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rPr>
          <w:rFonts w:hint="eastAsia" w:ascii="Times New Roman"/>
          <w:sz w:val="20"/>
        </w:rPr>
      </w:pPr>
    </w:p>
    <w:p>
      <w:pPr>
        <w:pStyle w:val="3"/>
        <w:ind w:left="0"/>
        <w:rPr>
          <w:rFonts w:ascii="Times New Roman"/>
          <w:sz w:val="20"/>
        </w:rPr>
      </w:pPr>
    </w:p>
    <w:p>
      <w:pPr>
        <w:pStyle w:val="3"/>
        <w:ind w:left="0"/>
        <w:rPr>
          <w:rFonts w:ascii="Times New Roman"/>
          <w:sz w:val="20"/>
        </w:rPr>
      </w:pPr>
    </w:p>
    <w:p>
      <w:pPr>
        <w:pStyle w:val="3"/>
        <w:spacing w:before="3"/>
        <w:ind w:left="0"/>
        <w:rPr>
          <w:rFonts w:ascii="Times New Roman"/>
          <w:sz w:val="18"/>
        </w:rPr>
      </w:pPr>
    </w:p>
    <w:p>
      <w:pPr>
        <w:pStyle w:val="3"/>
        <w:spacing w:before="5"/>
        <w:ind w:left="0"/>
        <w:jc w:val="center"/>
        <w:rPr>
          <w:rFonts w:hint="eastAsia" w:eastAsia="宋体"/>
          <w:b/>
          <w:color w:val="auto"/>
          <w:sz w:val="36"/>
          <w:highlight w:val="none"/>
          <w:lang w:eastAsia="zh-CN"/>
        </w:rPr>
      </w:pPr>
      <w:bookmarkStart w:id="5" w:name="_GoBack"/>
      <w:r>
        <w:rPr>
          <w:rFonts w:hint="eastAsia"/>
          <w:b/>
          <w:color w:val="auto"/>
          <w:sz w:val="44"/>
          <w:highlight w:val="none"/>
          <w:lang w:eastAsia="zh-CN"/>
        </w:rPr>
        <w:t>广东省机械技师学院南海校区建设项目监理</w:t>
      </w:r>
    </w:p>
    <w:p>
      <w:pPr>
        <w:ind w:left="2102" w:right="2116"/>
        <w:jc w:val="center"/>
        <w:rPr>
          <w:b/>
          <w:color w:val="auto"/>
          <w:sz w:val="84"/>
          <w:highlight w:val="none"/>
          <w14:shadow w14:blurRad="50800" w14:dist="38100" w14:dir="2700000" w14:sx="100000" w14:sy="100000" w14:kx="0" w14:ky="0" w14:algn="tl">
            <w14:srgbClr w14:val="000000">
              <w14:alpha w14:val="60000"/>
            </w14:srgbClr>
          </w14:shadow>
        </w:rPr>
      </w:pPr>
    </w:p>
    <w:p>
      <w:pPr>
        <w:ind w:left="2102" w:right="2116"/>
        <w:jc w:val="center"/>
        <w:rPr>
          <w:b/>
          <w:color w:val="auto"/>
          <w:sz w:val="84"/>
          <w:highlight w:val="none"/>
          <w14:shadow w14:blurRad="50800" w14:dist="38100" w14:dir="2700000" w14:sx="100000" w14:sy="100000" w14:kx="0" w14:ky="0" w14:algn="tl">
            <w14:srgbClr w14:val="000000">
              <w14:alpha w14:val="60000"/>
            </w14:srgbClr>
          </w14:shadow>
        </w:rPr>
      </w:pPr>
    </w:p>
    <w:p>
      <w:pPr>
        <w:ind w:left="2102" w:right="2116"/>
        <w:jc w:val="center"/>
        <w:rPr>
          <w:b/>
          <w:color w:val="auto"/>
          <w:sz w:val="84"/>
          <w:highlight w:val="none"/>
        </w:rPr>
      </w:pPr>
      <w:r>
        <w:rPr>
          <w:b/>
          <w:color w:val="auto"/>
          <w:sz w:val="84"/>
          <w:highlight w:val="none"/>
          <w14:shadow w14:blurRad="50800" w14:dist="38100" w14:dir="2700000" w14:sx="100000" w14:sy="100000" w14:kx="0" w14:ky="0" w14:algn="tl">
            <w14:srgbClr w14:val="000000">
              <w14:alpha w14:val="60000"/>
            </w14:srgbClr>
          </w14:shadow>
        </w:rPr>
        <w:t>委托监理合同</w:t>
      </w:r>
    </w:p>
    <w:p>
      <w:pPr>
        <w:pStyle w:val="8"/>
        <w:tabs>
          <w:tab w:val="left" w:pos="5728"/>
        </w:tabs>
        <w:spacing w:before="558"/>
        <w:ind w:firstLine="2570" w:firstLineChars="800"/>
        <w:rPr>
          <w:rFonts w:hint="default" w:ascii="Times New Roman" w:eastAsia="宋体"/>
          <w:color w:val="auto"/>
          <w:highlight w:val="none"/>
          <w:u w:val="single"/>
          <w:lang w:val="en-US" w:eastAsia="zh-CN"/>
        </w:rPr>
      </w:pPr>
      <w:r>
        <w:rPr>
          <w:color w:val="auto"/>
          <w:highlight w:val="none"/>
          <w14:shadow w14:blurRad="50800" w14:dist="38100" w14:dir="2700000" w14:sx="100000" w14:sy="100000" w14:kx="0" w14:ky="0" w14:algn="tl">
            <w14:srgbClr w14:val="000000">
              <w14:alpha w14:val="60000"/>
            </w14:srgbClr>
          </w14:shadow>
        </w:rPr>
        <w:t>合同编号：</w:t>
      </w:r>
      <w:r>
        <w:rPr>
          <w:rFonts w:hint="eastAsia" w:ascii="Times New Roman"/>
          <w:color w:val="auto"/>
          <w:highlight w:val="none"/>
          <w:u w:val="single"/>
          <w:lang w:val="en-US" w:eastAsia="zh-CN"/>
        </w:rPr>
        <w:t xml:space="preserve">                     </w:t>
      </w:r>
    </w:p>
    <w:p>
      <w:pPr>
        <w:pStyle w:val="3"/>
        <w:ind w:left="0"/>
        <w:rPr>
          <w:rFonts w:ascii="Times New Roman"/>
          <w:b/>
          <w:color w:val="auto"/>
          <w:sz w:val="20"/>
          <w:highlight w:val="none"/>
        </w:rPr>
      </w:pPr>
    </w:p>
    <w:p>
      <w:pPr>
        <w:pStyle w:val="3"/>
        <w:ind w:left="0"/>
        <w:rPr>
          <w:rFonts w:ascii="Times New Roman"/>
          <w:b/>
          <w:color w:val="auto"/>
          <w:sz w:val="20"/>
          <w:highlight w:val="none"/>
        </w:rPr>
      </w:pPr>
    </w:p>
    <w:p>
      <w:pPr>
        <w:pStyle w:val="3"/>
        <w:ind w:left="0"/>
        <w:rPr>
          <w:rFonts w:ascii="Times New Roman"/>
          <w:b/>
          <w:color w:val="auto"/>
          <w:sz w:val="20"/>
          <w:highlight w:val="none"/>
        </w:rPr>
      </w:pPr>
    </w:p>
    <w:p>
      <w:pPr>
        <w:pStyle w:val="3"/>
        <w:ind w:left="0"/>
        <w:rPr>
          <w:rFonts w:ascii="Times New Roman"/>
          <w:b/>
          <w:color w:val="auto"/>
          <w:sz w:val="20"/>
          <w:highlight w:val="none"/>
        </w:rPr>
      </w:pPr>
    </w:p>
    <w:p>
      <w:pPr>
        <w:pStyle w:val="3"/>
        <w:ind w:left="0"/>
        <w:rPr>
          <w:rFonts w:ascii="Times New Roman"/>
          <w:b/>
          <w:color w:val="auto"/>
          <w:sz w:val="20"/>
          <w:highlight w:val="none"/>
        </w:rPr>
      </w:pPr>
    </w:p>
    <w:p>
      <w:pPr>
        <w:pStyle w:val="3"/>
        <w:ind w:left="0"/>
        <w:rPr>
          <w:rFonts w:ascii="Times New Roman"/>
          <w:b/>
          <w:color w:val="auto"/>
          <w:sz w:val="20"/>
          <w:highlight w:val="none"/>
        </w:rPr>
      </w:pPr>
    </w:p>
    <w:p>
      <w:pPr>
        <w:pStyle w:val="3"/>
        <w:ind w:left="0"/>
        <w:rPr>
          <w:rFonts w:ascii="Times New Roman"/>
          <w:b/>
          <w:color w:val="auto"/>
          <w:sz w:val="20"/>
          <w:highlight w:val="none"/>
        </w:rPr>
      </w:pPr>
    </w:p>
    <w:p>
      <w:pPr>
        <w:pStyle w:val="3"/>
        <w:ind w:left="0"/>
        <w:rPr>
          <w:rFonts w:ascii="Times New Roman"/>
          <w:b/>
          <w:color w:val="auto"/>
          <w:sz w:val="20"/>
          <w:highlight w:val="none"/>
        </w:rPr>
      </w:pPr>
    </w:p>
    <w:p>
      <w:pPr>
        <w:pStyle w:val="3"/>
        <w:ind w:left="0"/>
        <w:rPr>
          <w:rFonts w:ascii="Times New Roman"/>
          <w:b/>
          <w:color w:val="auto"/>
          <w:sz w:val="20"/>
          <w:highlight w:val="none"/>
        </w:rPr>
      </w:pPr>
    </w:p>
    <w:p>
      <w:pPr>
        <w:pStyle w:val="3"/>
        <w:ind w:left="0"/>
        <w:rPr>
          <w:rFonts w:ascii="Times New Roman"/>
          <w:b/>
          <w:color w:val="auto"/>
          <w:sz w:val="20"/>
          <w:highlight w:val="none"/>
        </w:rPr>
      </w:pPr>
    </w:p>
    <w:p>
      <w:pPr>
        <w:pStyle w:val="3"/>
        <w:ind w:left="0"/>
        <w:rPr>
          <w:rFonts w:ascii="Times New Roman"/>
          <w:b/>
          <w:color w:val="auto"/>
          <w:sz w:val="20"/>
          <w:highlight w:val="none"/>
        </w:rPr>
      </w:pPr>
    </w:p>
    <w:p>
      <w:pPr>
        <w:pStyle w:val="3"/>
        <w:ind w:left="0"/>
        <w:rPr>
          <w:rFonts w:ascii="Times New Roman"/>
          <w:b/>
          <w:color w:val="auto"/>
          <w:sz w:val="20"/>
          <w:highlight w:val="none"/>
        </w:rPr>
      </w:pPr>
    </w:p>
    <w:p>
      <w:pPr>
        <w:pStyle w:val="3"/>
        <w:ind w:left="0"/>
        <w:rPr>
          <w:rFonts w:ascii="Times New Roman"/>
          <w:b/>
          <w:color w:val="auto"/>
          <w:sz w:val="20"/>
          <w:highlight w:val="none"/>
        </w:rPr>
      </w:pPr>
    </w:p>
    <w:p>
      <w:pPr>
        <w:pStyle w:val="3"/>
        <w:ind w:left="0"/>
        <w:rPr>
          <w:rFonts w:ascii="Times New Roman"/>
          <w:b/>
          <w:color w:val="auto"/>
          <w:sz w:val="20"/>
          <w:highlight w:val="none"/>
        </w:rPr>
      </w:pPr>
    </w:p>
    <w:p>
      <w:pPr>
        <w:pStyle w:val="3"/>
        <w:spacing w:before="10"/>
        <w:ind w:left="0"/>
        <w:rPr>
          <w:rFonts w:ascii="Times New Roman"/>
          <w:b/>
          <w:color w:val="auto"/>
          <w:sz w:val="17"/>
          <w:highlight w:val="none"/>
        </w:rPr>
      </w:pPr>
    </w:p>
    <w:p>
      <w:pPr>
        <w:tabs>
          <w:tab w:val="left" w:pos="4101"/>
          <w:tab w:val="left" w:pos="7833"/>
          <w:tab w:val="left" w:pos="7886"/>
        </w:tabs>
        <w:spacing w:before="55" w:line="364" w:lineRule="auto"/>
        <w:ind w:left="1899" w:leftChars="863" w:right="2038" w:firstLine="585" w:firstLineChars="182"/>
        <w:rPr>
          <w:bCs/>
          <w:color w:val="auto"/>
          <w:sz w:val="32"/>
          <w:highlight w:val="none"/>
          <w:u w:val="single"/>
        </w:rPr>
      </w:pPr>
      <w:r>
        <w:rPr>
          <w:b/>
          <w:color w:val="auto"/>
          <w:sz w:val="32"/>
          <w:highlight w:val="none"/>
          <w14:shadow w14:blurRad="50800" w14:dist="38100" w14:dir="2700000" w14:sx="100000" w14:sy="100000" w14:kx="0" w14:ky="0" w14:algn="tl">
            <w14:srgbClr w14:val="000000">
              <w14:alpha w14:val="60000"/>
            </w14:srgbClr>
          </w14:shadow>
        </w:rPr>
        <w:t>委托人：</w:t>
      </w:r>
      <w:r>
        <w:rPr>
          <w:bCs/>
          <w:color w:val="auto"/>
          <w:sz w:val="32"/>
          <w:highlight w:val="none"/>
          <w:u w:val="single"/>
        </w:rPr>
        <w:t xml:space="preserve"> 广东省代建项目管理局 </w:t>
      </w:r>
    </w:p>
    <w:p>
      <w:pPr>
        <w:tabs>
          <w:tab w:val="left" w:pos="4101"/>
          <w:tab w:val="left" w:pos="7833"/>
          <w:tab w:val="left" w:pos="7886"/>
        </w:tabs>
        <w:spacing w:before="55" w:line="364" w:lineRule="auto"/>
        <w:ind w:left="1899" w:leftChars="863" w:right="2038" w:firstLine="585" w:firstLineChars="182"/>
        <w:rPr>
          <w:rFonts w:hint="default" w:ascii="Times New Roman" w:eastAsia="宋体"/>
          <w:bCs/>
          <w:color w:val="auto"/>
          <w:sz w:val="32"/>
          <w:highlight w:val="none"/>
          <w:lang w:val="en-US" w:eastAsia="zh-CN"/>
        </w:rPr>
      </w:pPr>
      <w:r>
        <w:rPr>
          <w:b/>
          <w:color w:val="auto"/>
          <w:sz w:val="32"/>
          <w:highlight w:val="none"/>
          <w14:shadow w14:blurRad="50800" w14:dist="38100" w14:dir="2700000" w14:sx="100000" w14:sy="100000" w14:kx="0" w14:ky="0" w14:algn="tl">
            <w14:srgbClr w14:val="000000">
              <w14:alpha w14:val="60000"/>
            </w14:srgbClr>
          </w14:shadow>
        </w:rPr>
        <w:t>监理人：</w:t>
      </w:r>
      <w:r>
        <w:rPr>
          <w:rFonts w:hint="eastAsia"/>
          <w:bCs/>
          <w:color w:val="auto"/>
          <w:sz w:val="32"/>
          <w:highlight w:val="none"/>
          <w:u w:val="single"/>
          <w:lang w:val="en-US" w:eastAsia="zh-CN"/>
        </w:rPr>
        <w:t xml:space="preserve">                      </w:t>
      </w:r>
    </w:p>
    <w:p>
      <w:pPr>
        <w:spacing w:line="364" w:lineRule="auto"/>
        <w:rPr>
          <w:rFonts w:ascii="Times New Roman" w:eastAsia="Times New Roman"/>
          <w:bCs/>
          <w:color w:val="auto"/>
          <w:sz w:val="32"/>
          <w:highlight w:val="none"/>
        </w:rPr>
        <w:sectPr>
          <w:footerReference r:id="rId3" w:type="default"/>
          <w:pgSz w:w="11910" w:h="16840"/>
          <w:pgMar w:top="1580" w:right="900" w:bottom="1100" w:left="1080" w:header="720" w:footer="917" w:gutter="0"/>
          <w:pgNumType w:start="1"/>
          <w:cols w:space="720" w:num="1"/>
        </w:sectPr>
      </w:pPr>
    </w:p>
    <w:p>
      <w:pPr>
        <w:pStyle w:val="7"/>
        <w:tabs>
          <w:tab w:val="left" w:pos="724"/>
        </w:tabs>
        <w:rPr>
          <w:color w:val="auto"/>
          <w:highlight w:val="none"/>
        </w:rPr>
      </w:pPr>
      <w:r>
        <w:rPr>
          <w:color w:val="auto"/>
          <w:highlight w:val="none"/>
        </w:rPr>
        <w:t>目</w:t>
      </w:r>
      <w:r>
        <w:rPr>
          <w:color w:val="auto"/>
          <w:highlight w:val="none"/>
        </w:rPr>
        <w:tab/>
      </w:r>
      <w:r>
        <w:rPr>
          <w:color w:val="auto"/>
          <w:highlight w:val="none"/>
        </w:rPr>
        <w:t>录</w:t>
      </w:r>
    </w:p>
    <w:sdt>
      <w:sdtPr>
        <w:rPr>
          <w:color w:val="auto"/>
          <w:highlight w:val="none"/>
        </w:rPr>
        <w:id w:val="3"/>
        <w:docPartObj>
          <w:docPartGallery w:val="Table of Contents"/>
          <w:docPartUnique/>
        </w:docPartObj>
      </w:sdtPr>
      <w:sdtEndPr>
        <w:rPr>
          <w:color w:val="auto"/>
          <w:highlight w:val="none"/>
        </w:rPr>
      </w:sdtEndPr>
      <w:sdtContent>
        <w:p>
          <w:pPr>
            <w:pStyle w:val="16"/>
            <w:tabs>
              <w:tab w:val="left" w:pos="1483"/>
              <w:tab w:val="right" w:leader="dot" w:pos="8690"/>
            </w:tabs>
            <w:spacing w:before="705"/>
            <w:rPr>
              <w:b w:val="0"/>
              <w:color w:val="auto"/>
              <w:highlight w:val="none"/>
            </w:rPr>
          </w:pPr>
          <w:r>
            <w:rPr>
              <w:color w:val="auto"/>
              <w:highlight w:val="none"/>
            </w:rPr>
            <w:fldChar w:fldCharType="begin"/>
          </w:r>
          <w:r>
            <w:rPr>
              <w:color w:val="auto"/>
              <w:highlight w:val="none"/>
            </w:rPr>
            <w:instrText xml:space="preserve"> HYPERLINK \l "_TOC_250003" </w:instrText>
          </w:r>
          <w:r>
            <w:rPr>
              <w:color w:val="auto"/>
              <w:highlight w:val="none"/>
            </w:rPr>
            <w:fldChar w:fldCharType="separate"/>
          </w:r>
          <w:r>
            <w:rPr>
              <w:color w:val="auto"/>
              <w:highlight w:val="none"/>
            </w:rPr>
            <w:t>第一部分</w:t>
          </w:r>
          <w:r>
            <w:rPr>
              <w:color w:val="auto"/>
              <w:highlight w:val="none"/>
            </w:rPr>
            <w:tab/>
          </w:r>
          <w:r>
            <w:rPr>
              <w:color w:val="auto"/>
              <w:highlight w:val="none"/>
            </w:rPr>
            <w:t>委托监理协议书</w:t>
          </w:r>
          <w:r>
            <w:rPr>
              <w:color w:val="auto"/>
              <w:highlight w:val="none"/>
            </w:rPr>
            <w:tab/>
          </w:r>
          <w:r>
            <w:rPr>
              <w:b w:val="0"/>
              <w:color w:val="auto"/>
              <w:highlight w:val="none"/>
            </w:rPr>
            <w:t>3</w:t>
          </w:r>
          <w:r>
            <w:rPr>
              <w:b w:val="0"/>
              <w:color w:val="auto"/>
              <w:highlight w:val="none"/>
            </w:rPr>
            <w:fldChar w:fldCharType="end"/>
          </w:r>
        </w:p>
        <w:p>
          <w:pPr>
            <w:pStyle w:val="16"/>
            <w:tabs>
              <w:tab w:val="left" w:pos="1483"/>
              <w:tab w:val="right" w:leader="dot" w:pos="8807"/>
            </w:tabs>
            <w:spacing w:before="161"/>
            <w:rPr>
              <w:b w:val="0"/>
              <w:color w:val="auto"/>
              <w:highlight w:val="none"/>
            </w:rPr>
          </w:pPr>
          <w:r>
            <w:rPr>
              <w:color w:val="auto"/>
              <w:highlight w:val="none"/>
            </w:rPr>
            <w:fldChar w:fldCharType="begin"/>
          </w:r>
          <w:r>
            <w:rPr>
              <w:color w:val="auto"/>
              <w:highlight w:val="none"/>
            </w:rPr>
            <w:instrText xml:space="preserve"> HYPERLINK \l "_TOC_250002" </w:instrText>
          </w:r>
          <w:r>
            <w:rPr>
              <w:color w:val="auto"/>
              <w:highlight w:val="none"/>
            </w:rPr>
            <w:fldChar w:fldCharType="separate"/>
          </w:r>
          <w:r>
            <w:rPr>
              <w:color w:val="auto"/>
              <w:highlight w:val="none"/>
            </w:rPr>
            <w:t>第二部分</w:t>
          </w:r>
          <w:r>
            <w:rPr>
              <w:color w:val="auto"/>
              <w:highlight w:val="none"/>
            </w:rPr>
            <w:tab/>
          </w:r>
          <w:r>
            <w:rPr>
              <w:color w:val="auto"/>
              <w:highlight w:val="none"/>
            </w:rPr>
            <w:t>通用条款</w:t>
          </w:r>
          <w:r>
            <w:rPr>
              <w:color w:val="auto"/>
              <w:highlight w:val="none"/>
            </w:rPr>
            <w:tab/>
          </w:r>
          <w:r>
            <w:rPr>
              <w:b w:val="0"/>
              <w:color w:val="auto"/>
              <w:highlight w:val="none"/>
            </w:rPr>
            <w:t>10</w:t>
          </w:r>
          <w:r>
            <w:rPr>
              <w:b w:val="0"/>
              <w:color w:val="auto"/>
              <w:highlight w:val="none"/>
            </w:rPr>
            <w:fldChar w:fldCharType="end"/>
          </w:r>
        </w:p>
        <w:p>
          <w:pPr>
            <w:pStyle w:val="16"/>
            <w:tabs>
              <w:tab w:val="left" w:pos="1483"/>
              <w:tab w:val="right" w:leader="dot" w:pos="8687"/>
            </w:tabs>
            <w:rPr>
              <w:b w:val="0"/>
              <w:color w:val="auto"/>
              <w:highlight w:val="none"/>
            </w:rPr>
          </w:pPr>
          <w:r>
            <w:rPr>
              <w:color w:val="auto"/>
              <w:highlight w:val="none"/>
            </w:rPr>
            <w:fldChar w:fldCharType="begin"/>
          </w:r>
          <w:r>
            <w:rPr>
              <w:color w:val="auto"/>
              <w:highlight w:val="none"/>
            </w:rPr>
            <w:instrText xml:space="preserve"> HYPERLINK \l "_TOC_250001" </w:instrText>
          </w:r>
          <w:r>
            <w:rPr>
              <w:color w:val="auto"/>
              <w:highlight w:val="none"/>
            </w:rPr>
            <w:fldChar w:fldCharType="separate"/>
          </w:r>
          <w:r>
            <w:rPr>
              <w:color w:val="auto"/>
              <w:highlight w:val="none"/>
            </w:rPr>
            <w:t>第三部分</w:t>
          </w:r>
          <w:r>
            <w:rPr>
              <w:color w:val="auto"/>
              <w:highlight w:val="none"/>
            </w:rPr>
            <w:tab/>
          </w:r>
          <w:r>
            <w:rPr>
              <w:color w:val="auto"/>
              <w:highlight w:val="none"/>
            </w:rPr>
            <w:t>专用条款</w:t>
          </w:r>
          <w:r>
            <w:rPr>
              <w:color w:val="auto"/>
              <w:highlight w:val="none"/>
            </w:rPr>
            <w:tab/>
          </w:r>
          <w:r>
            <w:rPr>
              <w:b w:val="0"/>
              <w:color w:val="auto"/>
              <w:highlight w:val="none"/>
            </w:rPr>
            <w:t>22</w:t>
          </w:r>
          <w:r>
            <w:rPr>
              <w:b w:val="0"/>
              <w:color w:val="auto"/>
              <w:highlight w:val="none"/>
            </w:rPr>
            <w:fldChar w:fldCharType="end"/>
          </w:r>
        </w:p>
        <w:p>
          <w:pPr>
            <w:pStyle w:val="16"/>
            <w:tabs>
              <w:tab w:val="left" w:pos="1483"/>
              <w:tab w:val="right" w:leader="dot" w:pos="8807"/>
            </w:tabs>
            <w:spacing w:before="160"/>
            <w:rPr>
              <w:b w:val="0"/>
              <w:color w:val="auto"/>
              <w:highlight w:val="none"/>
            </w:rPr>
          </w:pPr>
          <w:r>
            <w:rPr>
              <w:color w:val="auto"/>
              <w:highlight w:val="none"/>
            </w:rPr>
            <w:fldChar w:fldCharType="begin"/>
          </w:r>
          <w:r>
            <w:rPr>
              <w:color w:val="auto"/>
              <w:highlight w:val="none"/>
            </w:rPr>
            <w:instrText xml:space="preserve"> HYPERLINK \l "_TOC_250000" </w:instrText>
          </w:r>
          <w:r>
            <w:rPr>
              <w:color w:val="auto"/>
              <w:highlight w:val="none"/>
            </w:rPr>
            <w:fldChar w:fldCharType="separate"/>
          </w:r>
          <w:r>
            <w:rPr>
              <w:color w:val="auto"/>
              <w:highlight w:val="none"/>
            </w:rPr>
            <w:t>第四部分</w:t>
          </w:r>
          <w:r>
            <w:rPr>
              <w:color w:val="auto"/>
              <w:highlight w:val="none"/>
            </w:rPr>
            <w:tab/>
          </w:r>
          <w:r>
            <w:rPr>
              <w:color w:val="auto"/>
              <w:highlight w:val="none"/>
            </w:rPr>
            <w:t>合同附件</w:t>
          </w:r>
          <w:r>
            <w:rPr>
              <w:color w:val="auto"/>
              <w:highlight w:val="none"/>
            </w:rPr>
            <w:tab/>
          </w:r>
          <w:r>
            <w:rPr>
              <w:b w:val="0"/>
              <w:color w:val="auto"/>
              <w:highlight w:val="none"/>
            </w:rPr>
            <w:t>6</w:t>
          </w:r>
          <w:r>
            <w:rPr>
              <w:b w:val="0"/>
              <w:color w:val="auto"/>
              <w:highlight w:val="none"/>
            </w:rPr>
            <w:fldChar w:fldCharType="end"/>
          </w:r>
          <w:r>
            <w:rPr>
              <w:rFonts w:hint="eastAsia"/>
              <w:b w:val="0"/>
              <w:color w:val="auto"/>
              <w:highlight w:val="none"/>
              <w:lang w:val="en-US" w:eastAsia="zh-CN"/>
            </w:rPr>
            <w:t>7</w:t>
          </w:r>
        </w:p>
      </w:sdtContent>
    </w:sdt>
    <w:p>
      <w:pPr>
        <w:pStyle w:val="3"/>
        <w:spacing w:before="158"/>
        <w:ind w:left="703"/>
        <w:rPr>
          <w:color w:val="auto"/>
          <w:highlight w:val="none"/>
        </w:rPr>
      </w:pPr>
      <w:r>
        <w:rPr>
          <w:color w:val="auto"/>
          <w:highlight w:val="none"/>
        </w:rPr>
        <w:t>附件 1：工程建设廉洁协议书</w:t>
      </w:r>
    </w:p>
    <w:p>
      <w:pPr>
        <w:pStyle w:val="3"/>
        <w:spacing w:before="161" w:line="364" w:lineRule="auto"/>
        <w:ind w:left="943" w:right="5614" w:hanging="240"/>
        <w:rPr>
          <w:color w:val="auto"/>
          <w:highlight w:val="none"/>
        </w:rPr>
      </w:pPr>
      <w:r>
        <w:rPr>
          <w:color w:val="auto"/>
          <w:highlight w:val="none"/>
        </w:rPr>
        <w:t>附件 2：项目监理机构及监理人员一、监理组织架构框图</w:t>
      </w:r>
    </w:p>
    <w:p>
      <w:pPr>
        <w:pStyle w:val="3"/>
        <w:spacing w:line="306" w:lineRule="exact"/>
        <w:ind w:left="943"/>
        <w:rPr>
          <w:color w:val="auto"/>
          <w:highlight w:val="none"/>
        </w:rPr>
      </w:pPr>
      <w:r>
        <w:rPr>
          <w:color w:val="auto"/>
          <w:highlight w:val="none"/>
        </w:rPr>
        <w:t>二、拟委派本项目驻场监理机构人员一览表</w:t>
      </w:r>
    </w:p>
    <w:p>
      <w:pPr>
        <w:pStyle w:val="3"/>
        <w:spacing w:before="160"/>
        <w:ind w:left="703"/>
        <w:rPr>
          <w:color w:val="auto"/>
          <w:highlight w:val="none"/>
        </w:rPr>
      </w:pPr>
      <w:r>
        <w:rPr>
          <w:color w:val="auto"/>
          <w:highlight w:val="none"/>
        </w:rPr>
        <w:t>附件 3：监理检测仪器设备清单</w:t>
      </w:r>
    </w:p>
    <w:p>
      <w:pPr>
        <w:rPr>
          <w:color w:val="auto"/>
          <w:highlight w:val="none"/>
        </w:rPr>
      </w:pPr>
    </w:p>
    <w:p>
      <w:pPr>
        <w:pStyle w:val="24"/>
        <w:ind w:firstLine="744" w:firstLineChars="300"/>
        <w:rPr>
          <w:rFonts w:ascii="宋体" w:hAnsi="宋体"/>
          <w:bCs/>
          <w:color w:val="auto"/>
          <w:spacing w:val="0"/>
          <w:highlight w:val="none"/>
        </w:rPr>
      </w:pPr>
      <w:r>
        <w:rPr>
          <w:rFonts w:hint="eastAsia" w:hAnsi="宋体"/>
          <w:bCs/>
          <w:snapToGrid w:val="0"/>
          <w:color w:val="auto"/>
          <w:highlight w:val="none"/>
        </w:rPr>
        <w:t>附件4：</w:t>
      </w:r>
      <w:r>
        <w:rPr>
          <w:rFonts w:hint="eastAsia" w:ascii="宋体" w:hAnsi="宋体"/>
          <w:bCs/>
          <w:color w:val="auto"/>
          <w:spacing w:val="0"/>
          <w:highlight w:val="none"/>
        </w:rPr>
        <w:t>履约保函格式</w:t>
      </w:r>
    </w:p>
    <w:p>
      <w:pPr>
        <w:pStyle w:val="24"/>
        <w:numPr>
          <w:ilvl w:val="0"/>
          <w:numId w:val="1"/>
        </w:numPr>
        <w:ind w:firstLineChars="0"/>
        <w:rPr>
          <w:rFonts w:ascii="宋体" w:hAnsi="宋体"/>
          <w:bCs/>
          <w:color w:val="auto"/>
          <w:spacing w:val="0"/>
          <w:highlight w:val="none"/>
        </w:rPr>
      </w:pPr>
      <w:r>
        <w:rPr>
          <w:rFonts w:hint="eastAsia" w:ascii="宋体" w:hAnsi="宋体"/>
          <w:bCs/>
          <w:color w:val="auto"/>
          <w:spacing w:val="0"/>
          <w:highlight w:val="none"/>
        </w:rPr>
        <w:t>银行保函</w:t>
      </w:r>
    </w:p>
    <w:p>
      <w:pPr>
        <w:pStyle w:val="24"/>
        <w:ind w:firstLine="763" w:firstLineChars="318"/>
        <w:rPr>
          <w:rFonts w:ascii="宋体" w:hAnsi="宋体"/>
          <w:bCs/>
          <w:color w:val="auto"/>
          <w:spacing w:val="0"/>
          <w:highlight w:val="none"/>
        </w:rPr>
      </w:pPr>
      <w:r>
        <w:rPr>
          <w:rFonts w:hint="eastAsia" w:ascii="宋体" w:hAnsi="宋体"/>
          <w:bCs/>
          <w:color w:val="auto"/>
          <w:spacing w:val="0"/>
          <w:highlight w:val="none"/>
        </w:rPr>
        <w:t>附件5：</w:t>
      </w:r>
      <w:r>
        <w:rPr>
          <w:rFonts w:hint="eastAsia" w:hAnsi="宋体"/>
          <w:bCs/>
          <w:snapToGrid w:val="0"/>
          <w:color w:val="auto"/>
          <w:highlight w:val="none"/>
        </w:rPr>
        <w:t>省属直接管理代建项目监理单位履约评价细则（试行）</w:t>
      </w:r>
    </w:p>
    <w:p>
      <w:pPr>
        <w:pStyle w:val="2"/>
        <w:rPr>
          <w:color w:val="auto"/>
          <w:highlight w:val="none"/>
        </w:rPr>
        <w:sectPr>
          <w:pgSz w:w="11910" w:h="16840"/>
          <w:pgMar w:top="1560" w:right="900" w:bottom="1180" w:left="1080" w:header="0" w:footer="917" w:gutter="0"/>
          <w:cols w:space="720" w:num="1"/>
        </w:sectPr>
      </w:pPr>
    </w:p>
    <w:p>
      <w:pPr>
        <w:pStyle w:val="6"/>
        <w:tabs>
          <w:tab w:val="left" w:pos="2200"/>
        </w:tabs>
        <w:rPr>
          <w:color w:val="auto"/>
          <w:highlight w:val="none"/>
        </w:rPr>
      </w:pPr>
      <w:bookmarkStart w:id="0" w:name="_TOC_250003"/>
      <w:bookmarkEnd w:id="0"/>
      <w:r>
        <w:rPr>
          <w:color w:val="auto"/>
          <w:highlight w:val="none"/>
        </w:rPr>
        <w:t>第一部分</w:t>
      </w:r>
      <w:r>
        <w:rPr>
          <w:color w:val="auto"/>
          <w:highlight w:val="none"/>
        </w:rPr>
        <w:tab/>
      </w:r>
      <w:r>
        <w:rPr>
          <w:color w:val="auto"/>
          <w:highlight w:val="none"/>
        </w:rPr>
        <w:t>委托监理协议书</w:t>
      </w:r>
    </w:p>
    <w:p>
      <w:pPr>
        <w:pStyle w:val="3"/>
        <w:spacing w:before="1"/>
        <w:ind w:left="0"/>
        <w:rPr>
          <w:color w:val="auto"/>
          <w:sz w:val="47"/>
          <w:highlight w:val="none"/>
        </w:rPr>
      </w:pPr>
    </w:p>
    <w:p>
      <w:pPr>
        <w:pStyle w:val="3"/>
        <w:tabs>
          <w:tab w:val="left" w:pos="7761"/>
        </w:tabs>
        <w:spacing w:line="316" w:lineRule="auto"/>
        <w:ind w:left="0" w:firstLine="482" w:firstLineChars="200"/>
        <w:jc w:val="both"/>
        <w:rPr>
          <w:color w:val="auto"/>
          <w:highlight w:val="none"/>
        </w:rPr>
      </w:pPr>
      <w:r>
        <w:rPr>
          <w:b/>
          <w:color w:val="auto"/>
          <w:highlight w:val="none"/>
          <w:u w:val="single"/>
        </w:rPr>
        <w:t>广东省代建项目管理局</w:t>
      </w:r>
      <w:r>
        <w:rPr>
          <w:color w:val="auto"/>
          <w:highlight w:val="none"/>
        </w:rPr>
        <w:t>（以下称委托人或甲方）与</w:t>
      </w:r>
      <w:r>
        <w:rPr>
          <w:color w:val="auto"/>
          <w:highlight w:val="none"/>
          <w:u w:val="single"/>
        </w:rPr>
        <w:t xml:space="preserve"> </w:t>
      </w:r>
      <w:r>
        <w:rPr>
          <w:rFonts w:hint="eastAsia"/>
          <w:b/>
          <w:color w:val="auto"/>
          <w:highlight w:val="none"/>
          <w:u w:val="single"/>
          <w:lang w:val="en-US" w:eastAsia="zh-CN"/>
        </w:rPr>
        <w:t xml:space="preserve">               </w:t>
      </w:r>
      <w:r>
        <w:rPr>
          <w:rFonts w:hint="eastAsia"/>
          <w:color w:val="auto"/>
          <w:highlight w:val="none"/>
          <w:u w:val="single"/>
          <w:lang w:val="en-US"/>
        </w:rPr>
        <w:t xml:space="preserve"> </w:t>
      </w:r>
      <w:r>
        <w:rPr>
          <w:color w:val="auto"/>
          <w:highlight w:val="none"/>
        </w:rPr>
        <w:t>（以下称监理人或乙方）依照《中华人民共和国</w:t>
      </w:r>
      <w:r>
        <w:rPr>
          <w:rFonts w:hint="eastAsia"/>
          <w:color w:val="auto"/>
          <w:highlight w:val="none"/>
        </w:rPr>
        <w:t>民法典</w:t>
      </w:r>
      <w:r>
        <w:rPr>
          <w:color w:val="auto"/>
          <w:highlight w:val="none"/>
        </w:rPr>
        <w:t>》、《中华人民共和国建筑法》、《中华人民共和国招标投标法》、《中华人民共和国招标投标法实施条例》及其他有关法律、行政法规、部门规章、地方性法规和规章，遵循平等、自愿、公平和诚实信用的原则，双方就</w:t>
      </w:r>
      <w:r>
        <w:rPr>
          <w:rFonts w:hint="eastAsia"/>
          <w:snapToGrid w:val="0"/>
          <w:color w:val="auto"/>
          <w:highlight w:val="none"/>
          <w:u w:val="single"/>
        </w:rPr>
        <w:t>广东省机械技师学院南海校区建设项目</w:t>
      </w:r>
      <w:r>
        <w:rPr>
          <w:rFonts w:hint="eastAsia"/>
          <w:b/>
          <w:color w:val="auto"/>
          <w:highlight w:val="none"/>
          <w:u w:val="single"/>
          <w:lang w:val="en-US"/>
        </w:rPr>
        <w:t xml:space="preserve"> </w:t>
      </w:r>
      <w:r>
        <w:rPr>
          <w:color w:val="auto"/>
          <w:highlight w:val="none"/>
        </w:rPr>
        <w:t>委托监理事宜协商一致，订立本合同。</w:t>
      </w:r>
    </w:p>
    <w:p>
      <w:pPr>
        <w:pStyle w:val="3"/>
        <w:spacing w:before="10"/>
        <w:ind w:left="0" w:firstLine="500" w:firstLineChars="200"/>
        <w:rPr>
          <w:color w:val="auto"/>
          <w:sz w:val="25"/>
          <w:highlight w:val="none"/>
        </w:rPr>
      </w:pPr>
    </w:p>
    <w:p>
      <w:pPr>
        <w:pStyle w:val="12"/>
        <w:spacing w:before="67"/>
        <w:ind w:left="0" w:firstLine="482" w:firstLineChars="200"/>
        <w:rPr>
          <w:color w:val="auto"/>
          <w:highlight w:val="none"/>
        </w:rPr>
      </w:pPr>
      <w:r>
        <w:rPr>
          <w:color w:val="auto"/>
          <w:highlight w:val="none"/>
        </w:rPr>
        <w:t>一、工程概况</w:t>
      </w:r>
    </w:p>
    <w:p>
      <w:pPr>
        <w:pStyle w:val="20"/>
        <w:numPr>
          <w:ilvl w:val="-1"/>
          <w:numId w:val="0"/>
        </w:numPr>
        <w:tabs>
          <w:tab w:val="left" w:pos="1185"/>
        </w:tabs>
        <w:spacing w:before="98"/>
        <w:ind w:left="440" w:leftChars="200" w:firstLine="0" w:firstLineChars="0"/>
        <w:jc w:val="left"/>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1</w:t>
      </w:r>
      <w:r>
        <w:rPr>
          <w:rFonts w:hint="eastAsia"/>
          <w:color w:val="auto"/>
          <w:sz w:val="24"/>
          <w:highlight w:val="none"/>
          <w:lang w:eastAsia="zh-CN"/>
        </w:rPr>
        <w:t>）</w:t>
      </w:r>
      <w:r>
        <w:rPr>
          <w:color w:val="auto"/>
          <w:sz w:val="24"/>
          <w:highlight w:val="none"/>
        </w:rPr>
        <w:t>工程名称：</w:t>
      </w:r>
      <w:r>
        <w:rPr>
          <w:rFonts w:hint="eastAsia"/>
          <w:snapToGrid w:val="0"/>
          <w:color w:val="auto"/>
          <w:sz w:val="24"/>
          <w:highlight w:val="none"/>
          <w:u w:val="single"/>
        </w:rPr>
        <w:t>广东省机械技师学院南海校区建设项目</w:t>
      </w:r>
      <w:r>
        <w:rPr>
          <w:color w:val="auto"/>
          <w:sz w:val="24"/>
          <w:highlight w:val="none"/>
        </w:rPr>
        <w:t>（简称本合同工程）。</w:t>
      </w:r>
    </w:p>
    <w:p>
      <w:pPr>
        <w:pStyle w:val="20"/>
        <w:numPr>
          <w:ilvl w:val="-1"/>
          <w:numId w:val="0"/>
        </w:numPr>
        <w:tabs>
          <w:tab w:val="left" w:pos="1185"/>
        </w:tabs>
        <w:spacing w:before="95"/>
        <w:ind w:left="440" w:leftChars="200" w:firstLine="0" w:firstLineChars="0"/>
        <w:jc w:val="left"/>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2</w:t>
      </w:r>
      <w:r>
        <w:rPr>
          <w:rFonts w:hint="eastAsia"/>
          <w:color w:val="auto"/>
          <w:sz w:val="24"/>
          <w:highlight w:val="none"/>
          <w:lang w:eastAsia="zh-CN"/>
        </w:rPr>
        <w:t>）</w:t>
      </w:r>
      <w:r>
        <w:rPr>
          <w:color w:val="auto"/>
          <w:sz w:val="24"/>
          <w:highlight w:val="none"/>
        </w:rPr>
        <w:t>工程地点：</w:t>
      </w:r>
      <w:r>
        <w:rPr>
          <w:rFonts w:hint="eastAsia"/>
          <w:color w:val="auto"/>
          <w:sz w:val="24"/>
          <w:szCs w:val="24"/>
          <w:highlight w:val="none"/>
          <w:u w:val="single"/>
        </w:rPr>
        <w:t>广东省佛山市南海区南海软件科技园区英才路1号（狮山大学城内）</w:t>
      </w:r>
      <w:r>
        <w:rPr>
          <w:color w:val="auto"/>
          <w:sz w:val="24"/>
          <w:highlight w:val="none"/>
        </w:rPr>
        <w:t>。</w:t>
      </w:r>
    </w:p>
    <w:p>
      <w:pPr>
        <w:pStyle w:val="20"/>
        <w:numPr>
          <w:ilvl w:val="-1"/>
          <w:numId w:val="0"/>
        </w:numPr>
        <w:tabs>
          <w:tab w:val="left" w:pos="1185"/>
        </w:tabs>
        <w:spacing w:before="0" w:line="400" w:lineRule="exact"/>
        <w:ind w:left="0" w:leftChars="0" w:firstLine="480" w:firstLineChars="200"/>
        <w:jc w:val="left"/>
        <w:rPr>
          <w:color w:val="auto"/>
          <w:sz w:val="34"/>
          <w:highlight w:val="none"/>
        </w:rPr>
      </w:pPr>
      <w:r>
        <w:rPr>
          <w:rFonts w:hint="eastAsia"/>
          <w:color w:val="auto"/>
          <w:sz w:val="24"/>
          <w:highlight w:val="none"/>
          <w:lang w:eastAsia="zh-CN"/>
        </w:rPr>
        <w:t>（</w:t>
      </w:r>
      <w:r>
        <w:rPr>
          <w:rFonts w:hint="eastAsia"/>
          <w:color w:val="auto"/>
          <w:sz w:val="24"/>
          <w:highlight w:val="none"/>
          <w:lang w:val="en-US" w:eastAsia="zh-CN"/>
        </w:rPr>
        <w:t>3</w:t>
      </w:r>
      <w:r>
        <w:rPr>
          <w:rFonts w:hint="eastAsia"/>
          <w:color w:val="auto"/>
          <w:sz w:val="24"/>
          <w:highlight w:val="none"/>
          <w:lang w:eastAsia="zh-CN"/>
        </w:rPr>
        <w:t>）</w:t>
      </w:r>
      <w:r>
        <w:rPr>
          <w:color w:val="auto"/>
          <w:sz w:val="24"/>
          <w:highlight w:val="none"/>
        </w:rPr>
        <w:t>工程规模：</w:t>
      </w:r>
      <w:r>
        <w:rPr>
          <w:rFonts w:hint="eastAsia" w:cs="宋体"/>
          <w:color w:val="auto"/>
          <w:sz w:val="24"/>
          <w:szCs w:val="24"/>
          <w:highlight w:val="none"/>
          <w:u w:val="single"/>
          <w:lang w:bidi="ar"/>
        </w:rPr>
        <w:t>本项目总建筑面积196223平方米。建设内容主要包括教学实训用房62240㎡、图书馆10640㎡、室内体育用房5725㎡、校级办公用房5440㎡、学生活动用房4720㎡、学生宿舍（公寓）52366㎡、单身教师宿舍（公寓）3600㎡、食堂3030㎡、后勤及附属用房8720㎡、外籍教师补助面积3400㎡、培训工作人员补助面积12175㎡等设施；架空层3878㎡、地下室11659㎡、连廊8630㎡等不计容部分，以及室外体育设施、道路广场、绿化等室外公用工程（本次招标不含雕塑工程）。建筑高度40米、最大跨度18米。</w:t>
      </w:r>
    </w:p>
    <w:p>
      <w:pPr>
        <w:pStyle w:val="3"/>
        <w:spacing w:before="94" w:line="316" w:lineRule="auto"/>
        <w:ind w:left="0" w:firstLine="480" w:firstLineChars="200"/>
        <w:rPr>
          <w:color w:val="auto"/>
          <w:highlight w:val="none"/>
        </w:rPr>
      </w:pPr>
      <w:r>
        <w:rPr>
          <w:color w:val="auto"/>
          <w:highlight w:val="none"/>
        </w:rPr>
        <w:t>在合同履行期内，委托人有权调整合同的建设规模，并按协议书的约定结算监理酬金。在本合同履行期内，委托人有权调整本合同工程的建设规模，并按本协议书第 3.1 款的约定结算监理酬金。</w:t>
      </w:r>
    </w:p>
    <w:p>
      <w:pPr>
        <w:pStyle w:val="20"/>
        <w:numPr>
          <w:ilvl w:val="-1"/>
          <w:numId w:val="0"/>
        </w:numPr>
        <w:tabs>
          <w:tab w:val="left" w:pos="1185"/>
        </w:tabs>
        <w:spacing w:before="0" w:line="400" w:lineRule="exact"/>
        <w:ind w:left="0" w:leftChars="0" w:firstLine="480" w:firstLineChars="200"/>
        <w:jc w:val="left"/>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4</w:t>
      </w:r>
      <w:r>
        <w:rPr>
          <w:rFonts w:hint="eastAsia"/>
          <w:color w:val="auto"/>
          <w:sz w:val="24"/>
          <w:highlight w:val="none"/>
          <w:lang w:eastAsia="zh-CN"/>
        </w:rPr>
        <w:t>）</w:t>
      </w:r>
      <w:r>
        <w:rPr>
          <w:color w:val="auto"/>
          <w:sz w:val="24"/>
          <w:highlight w:val="none"/>
        </w:rPr>
        <w:t>工程建安费估算：</w:t>
      </w:r>
      <w:r>
        <w:rPr>
          <w:rFonts w:hint="eastAsia" w:cs="宋体"/>
          <w:color w:val="auto"/>
          <w:sz w:val="24"/>
          <w:szCs w:val="24"/>
          <w:highlight w:val="none"/>
          <w:u w:val="single"/>
          <w:lang w:bidi="ar"/>
        </w:rPr>
        <w:t>本项目估算总投资为91542万元，其中：</w:t>
      </w:r>
      <w:r>
        <w:rPr>
          <w:rFonts w:hint="eastAsia" w:cs="宋体"/>
          <w:color w:val="auto"/>
          <w:sz w:val="24"/>
          <w:szCs w:val="24"/>
          <w:highlight w:val="none"/>
          <w:u w:val="single"/>
          <w:lang w:val="en-US" w:eastAsia="zh-CN" w:bidi="ar"/>
        </w:rPr>
        <w:t>建筑</w:t>
      </w:r>
      <w:r>
        <w:rPr>
          <w:rFonts w:hint="eastAsia" w:cs="宋体"/>
          <w:color w:val="auto"/>
          <w:sz w:val="24"/>
          <w:szCs w:val="24"/>
          <w:highlight w:val="none"/>
          <w:u w:val="single"/>
          <w:lang w:bidi="ar"/>
        </w:rPr>
        <w:t>工程费用79007万元</w:t>
      </w:r>
      <w:r>
        <w:rPr>
          <w:rFonts w:hint="eastAsia" w:cs="宋体"/>
          <w:color w:val="auto"/>
          <w:sz w:val="24"/>
          <w:szCs w:val="24"/>
          <w:highlight w:val="none"/>
          <w:u w:val="single"/>
          <w:lang w:eastAsia="zh-CN" w:bidi="ar"/>
        </w:rPr>
        <w:t>（</w:t>
      </w:r>
      <w:r>
        <w:rPr>
          <w:rFonts w:hint="eastAsia" w:cs="宋体"/>
          <w:color w:val="auto"/>
          <w:sz w:val="24"/>
          <w:szCs w:val="24"/>
          <w:highlight w:val="none"/>
          <w:u w:val="single"/>
          <w:lang w:val="en-US" w:eastAsia="zh-CN" w:bidi="ar"/>
        </w:rPr>
        <w:t>其中雕塑工程270万元）</w:t>
      </w:r>
    </w:p>
    <w:p>
      <w:pPr>
        <w:pStyle w:val="20"/>
        <w:numPr>
          <w:ilvl w:val="-1"/>
          <w:numId w:val="0"/>
        </w:numPr>
        <w:tabs>
          <w:tab w:val="left" w:pos="1185"/>
        </w:tabs>
        <w:spacing w:before="96"/>
        <w:ind w:left="440" w:leftChars="200" w:firstLine="0" w:firstLineChars="0"/>
        <w:jc w:val="left"/>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5</w:t>
      </w:r>
      <w:r>
        <w:rPr>
          <w:rFonts w:hint="eastAsia"/>
          <w:color w:val="auto"/>
          <w:sz w:val="24"/>
          <w:highlight w:val="none"/>
          <w:lang w:eastAsia="zh-CN"/>
        </w:rPr>
        <w:t>）</w:t>
      </w:r>
      <w:r>
        <w:rPr>
          <w:color w:val="auto"/>
          <w:sz w:val="24"/>
          <w:highlight w:val="none"/>
        </w:rPr>
        <w:t>监理目标：</w:t>
      </w:r>
    </w:p>
    <w:p>
      <w:pPr>
        <w:pStyle w:val="3"/>
        <w:spacing w:before="177" w:line="364" w:lineRule="auto"/>
        <w:ind w:left="0" w:firstLine="480" w:firstLineChars="200"/>
        <w:rPr>
          <w:color w:val="auto"/>
          <w:highlight w:val="none"/>
        </w:rPr>
      </w:pPr>
      <w:r>
        <w:rPr>
          <w:color w:val="auto"/>
          <w:highlight w:val="none"/>
        </w:rPr>
        <w:t>①质量控制目标：按照国家最新颁布《建筑工程施工质量验收统一标准》及相应配套的各专业验收规范，一次验收合格。</w:t>
      </w:r>
    </w:p>
    <w:p>
      <w:pPr>
        <w:pStyle w:val="3"/>
        <w:spacing w:before="2" w:line="364" w:lineRule="auto"/>
        <w:ind w:left="0" w:firstLine="480" w:firstLineChars="200"/>
        <w:jc w:val="both"/>
        <w:rPr>
          <w:color w:val="auto"/>
          <w:highlight w:val="none"/>
        </w:rPr>
      </w:pPr>
      <w:r>
        <w:rPr>
          <w:color w:val="auto"/>
          <w:highlight w:val="none"/>
        </w:rPr>
        <w:t>②进度控制目标：本项目施工期暂定为</w:t>
      </w:r>
      <w:r>
        <w:rPr>
          <w:rFonts w:hint="eastAsia"/>
          <w:color w:val="auto"/>
          <w:highlight w:val="none"/>
          <w:u w:val="single"/>
          <w:lang w:val="en-US" w:eastAsia="zh-CN"/>
        </w:rPr>
        <w:t xml:space="preserve">     </w:t>
      </w:r>
      <w:r>
        <w:rPr>
          <w:color w:val="auto"/>
          <w:highlight w:val="none"/>
        </w:rPr>
        <w:t>日历天 ，</w:t>
      </w:r>
      <w:r>
        <w:rPr>
          <w:color w:val="auto"/>
          <w:highlight w:val="none"/>
          <w:u w:val="single"/>
        </w:rPr>
        <w:t>监理人应加强工期统筹管理，运用先进技术手段，优化工序安排和劳动力、机械、材料的合同调配，杜绝人为管理不善导致窝工停工现象，督促施工单位确保本工程按期或提前完成。</w:t>
      </w:r>
    </w:p>
    <w:p>
      <w:pPr>
        <w:pStyle w:val="3"/>
        <w:spacing w:before="1" w:line="364" w:lineRule="auto"/>
        <w:ind w:left="0" w:firstLine="480" w:firstLineChars="200"/>
        <w:rPr>
          <w:color w:val="auto"/>
          <w:highlight w:val="none"/>
        </w:rPr>
      </w:pPr>
      <w:r>
        <w:rPr>
          <w:color w:val="auto"/>
          <w:highlight w:val="none"/>
        </w:rPr>
        <w:t>③造价控制目标：所监理项目的结算的建安工程费不超过本项目概算批复中对应的建安工程费。</w:t>
      </w:r>
    </w:p>
    <w:p>
      <w:pPr>
        <w:pStyle w:val="3"/>
        <w:spacing w:before="2" w:line="364" w:lineRule="auto"/>
        <w:ind w:left="0" w:firstLine="480" w:firstLineChars="200"/>
        <w:jc w:val="both"/>
        <w:rPr>
          <w:color w:val="auto"/>
          <w:highlight w:val="none"/>
        </w:rPr>
      </w:pPr>
      <w:r>
        <w:rPr>
          <w:color w:val="auto"/>
          <w:highlight w:val="none"/>
        </w:rPr>
        <w:t>④安全文明管理目标：确保不发生一般事故等级及以上的安全生产事故且死亡人数为零，达到省级及项目所在地安全生产文明施工示范工地标准；确保有关建设人员不违反使用单位安全监管规定。</w:t>
      </w:r>
    </w:p>
    <w:p>
      <w:pPr>
        <w:pStyle w:val="3"/>
        <w:spacing w:before="53" w:line="364" w:lineRule="auto"/>
        <w:ind w:right="110" w:firstLine="480" w:firstLineChars="200"/>
        <w:jc w:val="both"/>
        <w:rPr>
          <w:color w:val="auto"/>
          <w:highlight w:val="none"/>
        </w:rPr>
      </w:pPr>
      <w:r>
        <w:rPr>
          <w:color w:val="auto"/>
          <w:highlight w:val="none"/>
        </w:rPr>
        <w:t>⑤环境管理目标：</w:t>
      </w:r>
      <w:r>
        <w:rPr>
          <w:rFonts w:hint="eastAsia"/>
          <w:color w:val="auto"/>
          <w:highlight w:val="none"/>
        </w:rPr>
        <w:t>严格执行《佛山市建设工程文明施工管理规定》、《佛山市人民政府办公室关于印发佛山市扬尘污染防治管理办法的通知》（佛府办[2014]24号）、《佛山市人民政府办公室关于印发佛山市施工工地扬尘排污费征收管理试行办法的通知》（佛府办〔2014〕43号）、《佛山市扬尘污染防治条例》、广东省建设工程标准定额站《关于建设工程施工扬尘污染防治措施和用工实名管理费用计价有关事项的通知》、《广东省建设工程施工扬尘污染防治管理办法（试行）》、《佛山市南海区住房城乡建设和水利局关于印发南海区建设工程施工围挡（墙）及上画工作导则（第1版）的通知》（南建水函【2019】140号）等国家、省、市现行标准、规定和文件要求，确保噪声污染、扬尘污染等环境污染问题零投诉。</w:t>
      </w:r>
    </w:p>
    <w:p>
      <w:pPr>
        <w:pStyle w:val="3"/>
        <w:spacing w:before="4" w:line="364" w:lineRule="auto"/>
        <w:ind w:right="235" w:firstLine="559"/>
        <w:rPr>
          <w:color w:val="auto"/>
          <w:highlight w:val="none"/>
        </w:rPr>
      </w:pPr>
      <w:r>
        <w:rPr>
          <w:color w:val="auto"/>
          <w:highlight w:val="none"/>
        </w:rPr>
        <w:t>⑥监理文件及档案资料要求：按照广东省 2016 年版通表格式和要求，运用电子化、信息化手段，制作、收集、整理、归档全部监理及相关资料。</w:t>
      </w:r>
    </w:p>
    <w:p>
      <w:pPr>
        <w:pStyle w:val="3"/>
        <w:spacing w:before="2" w:line="364" w:lineRule="auto"/>
        <w:ind w:right="68" w:firstLine="480"/>
        <w:rPr>
          <w:color w:val="auto"/>
          <w:highlight w:val="none"/>
        </w:rPr>
      </w:pPr>
      <w:r>
        <w:rPr>
          <w:color w:val="auto"/>
          <w:highlight w:val="none"/>
        </w:rPr>
        <w:t>⑦其他要求：按照法律法规、工程建设标准、勘察设计文件及合同，全面落实对项目全部建设内容的监理服务工作，合同明确约定的必须全面执行，合同未明确的按现行法规、规范、标准及行业惯例落实。其他未尽事宜以合同和法规、规范、标准为准。</w:t>
      </w:r>
    </w:p>
    <w:p>
      <w:pPr>
        <w:pStyle w:val="3"/>
        <w:spacing w:before="7"/>
        <w:ind w:left="0"/>
        <w:rPr>
          <w:color w:val="auto"/>
          <w:sz w:val="25"/>
          <w:highlight w:val="none"/>
        </w:rPr>
      </w:pPr>
    </w:p>
    <w:p>
      <w:pPr>
        <w:pStyle w:val="12"/>
        <w:spacing w:before="1"/>
        <w:ind w:left="705" w:firstLine="0"/>
        <w:rPr>
          <w:color w:val="auto"/>
          <w:highlight w:val="none"/>
        </w:rPr>
      </w:pPr>
      <w:r>
        <w:rPr>
          <w:color w:val="auto"/>
          <w:highlight w:val="none"/>
        </w:rPr>
        <w:t>二、监理服务范围</w:t>
      </w:r>
    </w:p>
    <w:p>
      <w:pPr>
        <w:pStyle w:val="12"/>
        <w:numPr>
          <w:ilvl w:val="1"/>
          <w:numId w:val="2"/>
        </w:numPr>
        <w:tabs>
          <w:tab w:val="left" w:pos="1131"/>
        </w:tabs>
        <w:spacing w:before="98"/>
        <w:ind w:hanging="426"/>
        <w:rPr>
          <w:color w:val="auto"/>
          <w:highlight w:val="none"/>
        </w:rPr>
      </w:pPr>
      <w:r>
        <w:rPr>
          <w:color w:val="auto"/>
          <w:highlight w:val="none"/>
        </w:rPr>
        <w:t>监理范围</w:t>
      </w:r>
    </w:p>
    <w:p>
      <w:pPr>
        <w:pStyle w:val="20"/>
        <w:numPr>
          <w:ilvl w:val="0"/>
          <w:numId w:val="3"/>
        </w:numPr>
        <w:tabs>
          <w:tab w:val="left" w:pos="1191"/>
        </w:tabs>
        <w:spacing w:before="0" w:line="400" w:lineRule="exact"/>
        <w:ind w:right="230" w:firstLine="360"/>
        <w:jc w:val="both"/>
        <w:rPr>
          <w:color w:val="auto"/>
          <w:sz w:val="24"/>
          <w:highlight w:val="none"/>
        </w:rPr>
      </w:pPr>
      <w:r>
        <w:rPr>
          <w:color w:val="auto"/>
          <w:sz w:val="24"/>
          <w:highlight w:val="none"/>
        </w:rPr>
        <w:t>施工准备阶段、施工阶段、工程质量保修期的</w:t>
      </w:r>
      <w:r>
        <w:rPr>
          <w:rFonts w:hint="eastAsia"/>
          <w:color w:val="auto"/>
          <w:sz w:val="24"/>
          <w:highlight w:val="none"/>
          <w:lang w:eastAsia="zh-CN"/>
        </w:rPr>
        <w:t>质量控制</w:t>
      </w:r>
      <w:r>
        <w:rPr>
          <w:color w:val="auto"/>
          <w:sz w:val="24"/>
          <w:highlight w:val="none"/>
        </w:rPr>
        <w:t>、</w:t>
      </w:r>
      <w:r>
        <w:rPr>
          <w:rFonts w:hint="eastAsia"/>
          <w:color w:val="auto"/>
          <w:sz w:val="24"/>
          <w:highlight w:val="none"/>
          <w:lang w:eastAsia="zh-CN"/>
        </w:rPr>
        <w:t>安全生产管理</w:t>
      </w:r>
      <w:r>
        <w:rPr>
          <w:color w:val="auto"/>
          <w:sz w:val="24"/>
          <w:highlight w:val="none"/>
        </w:rPr>
        <w:t>、投资控制、进度控制、合同管理、信息管理、组织协调；协调各进驻单位同步建设，对各进驻单位进度统一调控，避免相互干扰，确保实现工程的总体目标。</w:t>
      </w:r>
    </w:p>
    <w:p>
      <w:pPr>
        <w:pStyle w:val="20"/>
        <w:numPr>
          <w:ilvl w:val="0"/>
          <w:numId w:val="3"/>
        </w:numPr>
        <w:tabs>
          <w:tab w:val="left" w:pos="1191"/>
        </w:tabs>
        <w:spacing w:line="400" w:lineRule="exact"/>
        <w:ind w:right="235" w:firstLine="360"/>
        <w:rPr>
          <w:color w:val="auto"/>
          <w:sz w:val="24"/>
          <w:highlight w:val="none"/>
        </w:rPr>
      </w:pPr>
      <w:r>
        <w:rPr>
          <w:color w:val="auto"/>
          <w:sz w:val="24"/>
          <w:highlight w:val="none"/>
        </w:rPr>
        <w:t>按委托人的要求提前进场参与开工前期的准备和筹划工作，协助委托人对施工图纸提出意见，制定工程管理办法、各参建方职责及有关事务性工作等。</w:t>
      </w:r>
    </w:p>
    <w:p>
      <w:pPr>
        <w:pStyle w:val="20"/>
        <w:numPr>
          <w:ilvl w:val="0"/>
          <w:numId w:val="3"/>
        </w:numPr>
        <w:tabs>
          <w:tab w:val="left" w:pos="1191"/>
        </w:tabs>
        <w:spacing w:line="400" w:lineRule="exact"/>
        <w:ind w:right="235" w:firstLine="360"/>
        <w:rPr>
          <w:color w:val="auto"/>
          <w:sz w:val="24"/>
          <w:highlight w:val="none"/>
        </w:rPr>
      </w:pPr>
      <w:r>
        <w:rPr>
          <w:rFonts w:hint="eastAsia"/>
          <w:color w:val="auto"/>
          <w:sz w:val="24"/>
          <w:highlight w:val="none"/>
        </w:rPr>
        <w:t>熟悉本项目的 BIM 技术方案，运用从本项目方案设计开始建立的 BIM 模型对施工各个阶段进行监督管理。</w:t>
      </w:r>
    </w:p>
    <w:p>
      <w:pPr>
        <w:pStyle w:val="12"/>
        <w:numPr>
          <w:ilvl w:val="1"/>
          <w:numId w:val="2"/>
        </w:numPr>
        <w:tabs>
          <w:tab w:val="left" w:pos="1131"/>
        </w:tabs>
        <w:spacing w:before="0" w:line="400" w:lineRule="exact"/>
        <w:ind w:hanging="426"/>
        <w:rPr>
          <w:color w:val="auto"/>
          <w:highlight w:val="none"/>
        </w:rPr>
      </w:pPr>
      <w:r>
        <w:rPr>
          <w:color w:val="auto"/>
          <w:highlight w:val="none"/>
        </w:rPr>
        <w:t>工程内容</w:t>
      </w:r>
    </w:p>
    <w:p>
      <w:pPr>
        <w:pStyle w:val="3"/>
        <w:spacing w:before="0" w:line="400" w:lineRule="exact"/>
        <w:ind w:right="94" w:firstLine="480"/>
        <w:rPr>
          <w:color w:val="auto"/>
          <w:highlight w:val="none"/>
        </w:rPr>
      </w:pPr>
      <w:r>
        <w:rPr>
          <w:color w:val="auto"/>
          <w:highlight w:val="none"/>
        </w:rPr>
        <w:t>包括但不限于</w:t>
      </w:r>
      <w:r>
        <w:rPr>
          <w:rFonts w:hint="eastAsia"/>
          <w:color w:val="auto"/>
          <w:highlight w:val="none"/>
          <w:u w:val="single"/>
        </w:rPr>
        <w:t>广东省机械技师学院南海校区建设项目</w:t>
      </w:r>
      <w:r>
        <w:rPr>
          <w:rFonts w:hint="eastAsia"/>
          <w:color w:val="auto"/>
          <w:highlight w:val="none"/>
          <w:u w:val="single"/>
          <w:lang w:val="en-US" w:eastAsia="zh-CN"/>
        </w:rPr>
        <w:t>监理</w:t>
      </w:r>
      <w:r>
        <w:rPr>
          <w:rFonts w:hint="eastAsia"/>
          <w:snapToGrid w:val="0"/>
          <w:color w:val="auto"/>
          <w:highlight w:val="none"/>
        </w:rPr>
        <w:t>的以下内容：</w:t>
      </w:r>
      <w:r>
        <w:rPr>
          <w:color w:val="auto"/>
          <w:highlight w:val="none"/>
        </w:rPr>
        <w:t>土建、装修、人防、机电安装（室内外供配电、电气、给排水、防雷、暖通、电梯、消防、设备检验）、智能化工程、园林绿化、燃气工程、市政配套等工程。</w:t>
      </w:r>
    </w:p>
    <w:p>
      <w:pPr>
        <w:pStyle w:val="12"/>
        <w:numPr>
          <w:ilvl w:val="1"/>
          <w:numId w:val="2"/>
        </w:numPr>
        <w:tabs>
          <w:tab w:val="left" w:pos="1131"/>
        </w:tabs>
        <w:spacing w:line="400" w:lineRule="exact"/>
        <w:ind w:hanging="426"/>
        <w:rPr>
          <w:color w:val="auto"/>
          <w:highlight w:val="none"/>
        </w:rPr>
      </w:pPr>
      <w:r>
        <w:rPr>
          <w:color w:val="auto"/>
          <w:highlight w:val="none"/>
        </w:rPr>
        <w:t>监理服务期</w:t>
      </w:r>
    </w:p>
    <w:p>
      <w:pPr>
        <w:pStyle w:val="20"/>
        <w:numPr>
          <w:ilvl w:val="-1"/>
          <w:numId w:val="0"/>
        </w:numPr>
        <w:tabs>
          <w:tab w:val="left" w:pos="945"/>
        </w:tabs>
        <w:spacing w:before="0" w:line="400" w:lineRule="exact"/>
        <w:ind w:left="0" w:firstLine="720" w:firstLineChars="300"/>
        <w:rPr>
          <w:color w:val="auto"/>
          <w:sz w:val="24"/>
          <w:highlight w:val="none"/>
        </w:rPr>
      </w:pPr>
      <w:r>
        <w:rPr>
          <w:rFonts w:hint="eastAsia"/>
          <w:b w:val="0"/>
          <w:bCs w:val="0"/>
          <w:color w:val="auto"/>
          <w:sz w:val="24"/>
          <w:highlight w:val="none"/>
          <w:lang w:val="en-US" w:eastAsia="zh-CN"/>
        </w:rPr>
        <w:t>1.施工</w:t>
      </w:r>
      <w:r>
        <w:rPr>
          <w:color w:val="auto"/>
          <w:sz w:val="24"/>
          <w:highlight w:val="none"/>
        </w:rPr>
        <w:t>准备阶段监理服务期：从中标通知书发放之日起至委托人下达开工令为止。</w:t>
      </w:r>
    </w:p>
    <w:p>
      <w:pPr>
        <w:pStyle w:val="20"/>
        <w:numPr>
          <w:ilvl w:val="-1"/>
          <w:numId w:val="0"/>
        </w:numPr>
        <w:tabs>
          <w:tab w:val="left" w:pos="945"/>
        </w:tabs>
        <w:spacing w:before="0" w:line="400" w:lineRule="exact"/>
        <w:ind w:left="0" w:right="233" w:firstLine="720" w:firstLineChars="300"/>
        <w:rPr>
          <w:color w:val="auto"/>
          <w:sz w:val="24"/>
          <w:highlight w:val="none"/>
        </w:rPr>
      </w:pPr>
      <w:r>
        <w:rPr>
          <w:rFonts w:hint="eastAsia"/>
          <w:color w:val="auto"/>
          <w:sz w:val="24"/>
          <w:highlight w:val="none"/>
          <w:lang w:val="en-US" w:eastAsia="zh-CN"/>
        </w:rPr>
        <w:t>2.</w:t>
      </w:r>
      <w:r>
        <w:rPr>
          <w:color w:val="auto"/>
          <w:sz w:val="24"/>
          <w:highlight w:val="none"/>
        </w:rPr>
        <w:t>施工阶段监理服务期：不超过</w:t>
      </w:r>
      <w:r>
        <w:rPr>
          <w:rFonts w:hint="eastAsia"/>
          <w:color w:val="auto"/>
          <w:sz w:val="24"/>
          <w:highlight w:val="none"/>
          <w:u w:val="single"/>
          <w:lang w:val="en-US" w:eastAsia="zh-CN"/>
        </w:rPr>
        <w:t xml:space="preserve">    </w:t>
      </w:r>
      <w:r>
        <w:rPr>
          <w:color w:val="auto"/>
          <w:sz w:val="24"/>
          <w:highlight w:val="none"/>
        </w:rPr>
        <w:t>个日历天（从下达开工令起至项目竣工验收合格止）。</w:t>
      </w:r>
    </w:p>
    <w:p>
      <w:pPr>
        <w:pStyle w:val="20"/>
        <w:numPr>
          <w:ilvl w:val="-1"/>
          <w:numId w:val="0"/>
        </w:numPr>
        <w:tabs>
          <w:tab w:val="left" w:pos="945"/>
        </w:tabs>
        <w:spacing w:line="400" w:lineRule="exact"/>
        <w:ind w:left="0" w:firstLine="720" w:firstLineChars="300"/>
        <w:rPr>
          <w:color w:val="auto"/>
          <w:sz w:val="24"/>
          <w:highlight w:val="none"/>
        </w:rPr>
      </w:pPr>
      <w:r>
        <w:rPr>
          <w:rFonts w:hint="eastAsia"/>
          <w:color w:val="auto"/>
          <w:sz w:val="24"/>
          <w:highlight w:val="none"/>
          <w:lang w:val="en-US" w:eastAsia="zh-CN"/>
        </w:rPr>
        <w:t>3.</w:t>
      </w:r>
      <w:r>
        <w:rPr>
          <w:color w:val="auto"/>
          <w:sz w:val="24"/>
          <w:highlight w:val="none"/>
        </w:rPr>
        <w:t>工程质量保修期：从工程竣工验收合格之日起到完成结算和保修期服务为止。</w:t>
      </w:r>
    </w:p>
    <w:p>
      <w:pPr>
        <w:pStyle w:val="20"/>
        <w:numPr>
          <w:ilvl w:val="-1"/>
          <w:numId w:val="0"/>
        </w:numPr>
        <w:tabs>
          <w:tab w:val="left" w:pos="945"/>
        </w:tabs>
        <w:spacing w:before="0" w:line="400" w:lineRule="exact"/>
        <w:ind w:left="0" w:firstLine="720" w:firstLineChars="300"/>
        <w:rPr>
          <w:color w:val="auto"/>
          <w:sz w:val="24"/>
          <w:highlight w:val="none"/>
        </w:rPr>
      </w:pPr>
      <w:r>
        <w:rPr>
          <w:rFonts w:hint="eastAsia"/>
          <w:color w:val="auto"/>
          <w:sz w:val="24"/>
          <w:highlight w:val="none"/>
          <w:lang w:val="en-US" w:eastAsia="zh-CN"/>
        </w:rPr>
        <w:t>4.</w:t>
      </w:r>
      <w:r>
        <w:rPr>
          <w:color w:val="auto"/>
          <w:sz w:val="24"/>
          <w:highlight w:val="none"/>
        </w:rPr>
        <w:t>监理服务周期必须满足实际施工要求。监理人须实行全过程监理服务，其中，施工阶段的监理服务期自工程开工之日起开始计算，不超过</w:t>
      </w:r>
      <w:r>
        <w:rPr>
          <w:rFonts w:hint="eastAsia"/>
          <w:color w:val="auto"/>
          <w:sz w:val="24"/>
          <w:highlight w:val="none"/>
          <w:u w:val="single"/>
          <w:lang w:val="en-US" w:eastAsia="zh-CN"/>
        </w:rPr>
        <w:t xml:space="preserve">    </w:t>
      </w:r>
      <w:r>
        <w:rPr>
          <w:color w:val="auto"/>
          <w:sz w:val="24"/>
          <w:highlight w:val="none"/>
        </w:rPr>
        <w:t>日历天。若因工程建设需要延长工程监理服务期的，监理人不得因工程监理服务期延长而要求增加工程监理服务费。</w:t>
      </w:r>
    </w:p>
    <w:p>
      <w:pPr>
        <w:pStyle w:val="20"/>
        <w:numPr>
          <w:ilvl w:val="-1"/>
          <w:numId w:val="0"/>
        </w:numPr>
        <w:tabs>
          <w:tab w:val="left" w:pos="945"/>
        </w:tabs>
        <w:spacing w:before="0" w:line="400" w:lineRule="exact"/>
        <w:ind w:left="0" w:firstLine="480" w:firstLineChars="200"/>
        <w:rPr>
          <w:color w:val="auto"/>
          <w:sz w:val="24"/>
          <w:highlight w:val="none"/>
        </w:rPr>
      </w:pPr>
      <w:r>
        <w:rPr>
          <w:color w:val="auto"/>
          <w:sz w:val="24"/>
          <w:highlight w:val="none"/>
        </w:rPr>
        <w:t>监理服务期内，工程施工阶段监理人的总监理工程师、总监理工程师代表、专业监理工程师、造价人员、资料员</w:t>
      </w:r>
      <w:r>
        <w:rPr>
          <w:rFonts w:hint="eastAsia"/>
          <w:color w:val="auto"/>
          <w:sz w:val="24"/>
          <w:highlight w:val="none"/>
        </w:rPr>
        <w:t>须按委托人要求在工程现场开展监理服务工作，驻场人员要求详见2.4 监理人员配备要求；</w:t>
      </w:r>
    </w:p>
    <w:p>
      <w:pPr>
        <w:pStyle w:val="12"/>
        <w:numPr>
          <w:ilvl w:val="1"/>
          <w:numId w:val="2"/>
        </w:numPr>
        <w:tabs>
          <w:tab w:val="left" w:pos="1191"/>
        </w:tabs>
        <w:spacing w:line="304" w:lineRule="exact"/>
        <w:ind w:left="1190" w:hanging="486"/>
        <w:jc w:val="both"/>
        <w:rPr>
          <w:color w:val="auto"/>
          <w:highlight w:val="none"/>
        </w:rPr>
      </w:pPr>
      <w:r>
        <w:rPr>
          <w:color w:val="auto"/>
          <w:highlight w:val="none"/>
        </w:rPr>
        <w:t>监理人员配备要求</w:t>
      </w:r>
    </w:p>
    <w:p>
      <w:pPr>
        <w:pStyle w:val="3"/>
        <w:spacing w:before="174" w:line="360" w:lineRule="auto"/>
        <w:ind w:right="233" w:firstLine="434"/>
        <w:jc w:val="both"/>
        <w:rPr>
          <w:color w:val="auto"/>
          <w:highlight w:val="none"/>
        </w:rPr>
      </w:pPr>
      <w:r>
        <w:rPr>
          <w:color w:val="auto"/>
          <w:highlight w:val="none"/>
          <w:lang w:val="en-US" w:bidi="ar-SA"/>
        </w:rPr>
        <mc:AlternateContent>
          <mc:Choice Requires="wps">
            <w:drawing>
              <wp:anchor distT="0" distB="0" distL="114300" distR="114300" simplePos="0" relativeHeight="251659264" behindDoc="1" locked="0" layoutInCell="1" allowOverlap="1">
                <wp:simplePos x="0" y="0"/>
                <wp:positionH relativeFrom="page">
                  <wp:posOffset>2169795</wp:posOffset>
                </wp:positionH>
                <wp:positionV relativeFrom="paragraph">
                  <wp:posOffset>287655</wp:posOffset>
                </wp:positionV>
                <wp:extent cx="3073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307340"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70.85pt;margin-top:22.65pt;height:0pt;width:24.2pt;mso-position-horizontal-relative:page;z-index:-251657216;mso-width-relative:page;mso-height-relative:page;" filled="f" stroked="t" coordsize="21600,21600" o:gfxdata="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FtMd2AAAAAkBAAAPAAAAAAAAAAEAIAAAACIAAABkcnMvZG93bnJldi54bWxQSwECFAAUAAAACACH&#10;TuJACY8mGusBAADXAwAADgAAAAAAAAABACAAAAAnAQAAZHJzL2Uyb0RvYy54bWxQSwUGAAAAAAYA&#10;BgBZAQAAhAUAAAAA&#10;">
                <v:fill on="f" focussize="0,0"/>
                <v:stroke weight="0.6pt" color="#000000" joinstyle="round"/>
                <v:imagedata o:title=""/>
                <o:lock v:ext="edit" aspectratio="f"/>
              </v:line>
            </w:pict>
          </mc:Fallback>
        </mc:AlternateContent>
      </w:r>
      <w:r>
        <w:rPr>
          <w:color w:val="auto"/>
          <w:highlight w:val="none"/>
        </w:rPr>
        <w:t>总监理工程师：</w:t>
      </w:r>
      <w:r>
        <w:rPr>
          <w:rFonts w:hint="eastAsia"/>
          <w:color w:val="auto"/>
          <w:highlight w:val="none"/>
          <w:lang w:val="en-US" w:eastAsia="zh-CN"/>
        </w:rPr>
        <w:t xml:space="preserve">   </w:t>
      </w:r>
      <w:r>
        <w:rPr>
          <w:color w:val="auto"/>
          <w:highlight w:val="none"/>
        </w:rPr>
        <w:t>名，要求为具有建设部 2006 年 4 月 1 日后颁发的中华人民和国注册监理工程师注册执业证书，且其注册专业房屋建筑工程，注册执业单位为本公司。</w:t>
      </w:r>
      <w:r>
        <w:rPr>
          <w:rFonts w:hint="eastAsia"/>
          <w:color w:val="auto"/>
          <w:highlight w:val="none"/>
        </w:rPr>
        <w:t>项目总监理工程师不得兼任其他项目总监理工程师。</w:t>
      </w:r>
    </w:p>
    <w:p>
      <w:pPr>
        <w:pStyle w:val="3"/>
        <w:spacing w:before="161" w:line="360" w:lineRule="auto"/>
        <w:ind w:right="113" w:firstLine="434"/>
        <w:rPr>
          <w:color w:val="auto"/>
          <w:highlight w:val="none"/>
        </w:rPr>
      </w:pPr>
      <w:r>
        <w:rPr>
          <w:color w:val="auto"/>
          <w:highlight w:val="none"/>
        </w:rPr>
        <w:t>专业监理工程师：要求土建、机电、</w:t>
      </w:r>
      <w:r>
        <w:rPr>
          <w:rFonts w:hint="eastAsia"/>
          <w:color w:val="auto"/>
          <w:highlight w:val="none"/>
          <w:lang w:val="en-US"/>
        </w:rPr>
        <w:t>电气、</w:t>
      </w:r>
      <w:r>
        <w:rPr>
          <w:color w:val="auto"/>
          <w:highlight w:val="none"/>
        </w:rPr>
        <w:t>给排水、装饰装修各</w:t>
      </w:r>
      <w:r>
        <w:rPr>
          <w:rFonts w:hint="eastAsia"/>
          <w:color w:val="auto"/>
          <w:highlight w:val="none"/>
          <w:lang w:val="en-US" w:eastAsia="zh-CN"/>
        </w:rPr>
        <w:t xml:space="preserve">   </w:t>
      </w:r>
      <w:r>
        <w:rPr>
          <w:color w:val="auto"/>
          <w:highlight w:val="none"/>
        </w:rPr>
        <w:t>名；具备工程师或以上职称；以专业监理工程师证书或注册监理工程师注册执业证书或毕业证或职称证上所列的相关专业为准。</w:t>
      </w:r>
    </w:p>
    <w:p>
      <w:pPr>
        <w:pStyle w:val="3"/>
        <w:tabs>
          <w:tab w:val="left" w:pos="2438"/>
        </w:tabs>
        <w:spacing w:before="1" w:line="360" w:lineRule="auto"/>
        <w:ind w:right="228" w:firstLine="434"/>
        <w:rPr>
          <w:color w:val="auto"/>
          <w:highlight w:val="none"/>
        </w:rPr>
      </w:pPr>
      <w:r>
        <w:rPr>
          <w:color w:val="auto"/>
          <w:highlight w:val="none"/>
        </w:rPr>
        <w:t>造价工程师</w:t>
      </w:r>
      <w:r>
        <w:rPr>
          <w:rFonts w:hint="eastAsia"/>
          <w:color w:val="auto"/>
          <w:highlight w:val="none"/>
          <w:u w:val="single"/>
          <w:lang w:val="en-US" w:eastAsia="zh-CN"/>
        </w:rPr>
        <w:t xml:space="preserve">    </w:t>
      </w:r>
      <w:r>
        <w:rPr>
          <w:color w:val="auto"/>
          <w:highlight w:val="none"/>
        </w:rPr>
        <w:t>名，具备注册造价工程师（或注册一级造价工程师）资格。根据项目进度、专业需求甲方要求参加例会。</w:t>
      </w:r>
    </w:p>
    <w:p>
      <w:pPr>
        <w:pStyle w:val="3"/>
        <w:tabs>
          <w:tab w:val="left" w:pos="4655"/>
        </w:tabs>
        <w:spacing w:before="2" w:line="360" w:lineRule="auto"/>
        <w:ind w:right="233" w:firstLine="434"/>
        <w:rPr>
          <w:color w:val="auto"/>
          <w:highlight w:val="none"/>
        </w:rPr>
      </w:pPr>
      <w:r>
        <w:rPr>
          <w:color w:val="auto"/>
          <w:highlight w:val="none"/>
        </w:rPr>
        <w:t>安全监理员或注册安全工程师：</w:t>
      </w:r>
      <w:r>
        <w:rPr>
          <w:rFonts w:hint="eastAsia"/>
          <w:color w:val="auto"/>
          <w:highlight w:val="none"/>
          <w:u w:val="single"/>
          <w:lang w:val="en-US" w:eastAsia="zh-CN"/>
        </w:rPr>
        <w:t xml:space="preserve">   </w:t>
      </w:r>
      <w:r>
        <w:rPr>
          <w:color w:val="auto"/>
          <w:highlight w:val="none"/>
        </w:rPr>
        <w:t>名，要求为取得安全监理员证书或注册安全工程师资格证书和注册证。</w:t>
      </w:r>
    </w:p>
    <w:p>
      <w:pPr>
        <w:pStyle w:val="3"/>
        <w:tabs>
          <w:tab w:val="left" w:pos="2145"/>
        </w:tabs>
        <w:spacing w:line="360" w:lineRule="auto"/>
        <w:ind w:left="703"/>
        <w:rPr>
          <w:color w:val="auto"/>
          <w:highlight w:val="none"/>
        </w:rPr>
      </w:pPr>
      <w:r>
        <w:rPr>
          <w:color w:val="auto"/>
          <w:highlight w:val="none"/>
        </w:rPr>
        <w:t>监理员：</w:t>
      </w:r>
      <w:r>
        <w:rPr>
          <w:rFonts w:hint="eastAsia"/>
          <w:color w:val="auto"/>
          <w:highlight w:val="none"/>
          <w:u w:val="single"/>
          <w:lang w:val="en-US" w:eastAsia="zh-CN"/>
        </w:rPr>
        <w:t xml:space="preserve">   </w:t>
      </w:r>
      <w:r>
        <w:rPr>
          <w:color w:val="auto"/>
          <w:highlight w:val="none"/>
        </w:rPr>
        <w:t>名，具备监理员证书。</w:t>
      </w:r>
    </w:p>
    <w:p>
      <w:pPr>
        <w:pStyle w:val="3"/>
        <w:tabs>
          <w:tab w:val="left" w:pos="2145"/>
        </w:tabs>
        <w:spacing w:before="95" w:line="360" w:lineRule="auto"/>
        <w:ind w:left="703"/>
        <w:rPr>
          <w:color w:val="auto"/>
          <w:highlight w:val="none"/>
        </w:rPr>
      </w:pPr>
      <w:r>
        <w:rPr>
          <w:color w:val="auto"/>
          <w:highlight w:val="none"/>
        </w:rPr>
        <w:t>资料员：</w:t>
      </w:r>
      <w:r>
        <w:rPr>
          <w:rFonts w:hint="eastAsia"/>
          <w:color w:val="auto"/>
          <w:highlight w:val="none"/>
          <w:u w:val="single"/>
          <w:lang w:val="en-US" w:eastAsia="zh-CN"/>
        </w:rPr>
        <w:t xml:space="preserve">   </w:t>
      </w:r>
      <w:r>
        <w:rPr>
          <w:color w:val="auto"/>
          <w:highlight w:val="none"/>
        </w:rPr>
        <w:t>名，熟悉建设工程档案归档要求。</w:t>
      </w:r>
    </w:p>
    <w:p>
      <w:pPr>
        <w:pStyle w:val="3"/>
        <w:ind w:left="0"/>
        <w:rPr>
          <w:color w:val="auto"/>
          <w:sz w:val="20"/>
          <w:highlight w:val="none"/>
        </w:rPr>
      </w:pPr>
    </w:p>
    <w:p>
      <w:pPr>
        <w:pStyle w:val="3"/>
        <w:spacing w:before="2"/>
        <w:ind w:left="0"/>
        <w:rPr>
          <w:color w:val="auto"/>
          <w:sz w:val="19"/>
          <w:highlight w:val="none"/>
        </w:rPr>
      </w:pPr>
    </w:p>
    <w:p>
      <w:pPr>
        <w:pStyle w:val="12"/>
        <w:ind w:left="705" w:firstLine="0"/>
        <w:rPr>
          <w:color w:val="auto"/>
          <w:highlight w:val="none"/>
        </w:rPr>
      </w:pPr>
      <w:r>
        <w:rPr>
          <w:color w:val="auto"/>
          <w:highlight w:val="none"/>
        </w:rPr>
        <w:t>三、监理酬金及其支付方式</w:t>
      </w:r>
    </w:p>
    <w:p>
      <w:pPr>
        <w:pStyle w:val="12"/>
        <w:numPr>
          <w:ilvl w:val="1"/>
          <w:numId w:val="4"/>
        </w:numPr>
        <w:tabs>
          <w:tab w:val="left" w:pos="1131"/>
        </w:tabs>
        <w:spacing w:before="98"/>
        <w:ind w:hanging="426"/>
        <w:jc w:val="both"/>
        <w:rPr>
          <w:color w:val="auto"/>
          <w:highlight w:val="none"/>
        </w:rPr>
      </w:pPr>
      <w:r>
        <w:rPr>
          <w:color w:val="auto"/>
          <w:highlight w:val="none"/>
        </w:rPr>
        <w:t>监理酬金的计取</w:t>
      </w:r>
    </w:p>
    <w:p>
      <w:pPr>
        <w:pStyle w:val="20"/>
        <w:numPr>
          <w:ilvl w:val="-1"/>
          <w:numId w:val="0"/>
        </w:numPr>
        <w:tabs>
          <w:tab w:val="left" w:pos="1364"/>
        </w:tabs>
        <w:spacing w:before="98" w:line="360" w:lineRule="auto"/>
        <w:ind w:left="0" w:right="230" w:firstLine="720" w:firstLineChars="300"/>
        <w:jc w:val="both"/>
        <w:rPr>
          <w:color w:val="auto"/>
          <w:sz w:val="24"/>
          <w:szCs w:val="24"/>
          <w:highlight w:val="none"/>
        </w:rPr>
      </w:pPr>
      <w:r>
        <w:rPr>
          <w:rFonts w:hint="eastAsia"/>
          <w:color w:val="auto"/>
          <w:sz w:val="24"/>
          <w:szCs w:val="24"/>
          <w:highlight w:val="none"/>
          <w:lang w:val="en-US" w:eastAsia="zh-CN"/>
        </w:rPr>
        <w:t xml:space="preserve">3.1.1 </w:t>
      </w:r>
      <w:r>
        <w:rPr>
          <w:color w:val="auto"/>
          <w:sz w:val="24"/>
          <w:szCs w:val="24"/>
          <w:highlight w:val="none"/>
        </w:rPr>
        <w:t>委托人、监理人一致同意：本合同的监理酬金暂以本合同工程概算批复工程费用作为施工监理服务收费的计费额，以中标价作为监理酬金的暂定金额；结算时以监理人实际工程结算建安费用作为施工监理服务收费的计费额，按监理费中标价同比例计算，作结算合同价，即：结算合同价=（监理费中标价÷概算批复工程费用）×结算建安工程费用。</w:t>
      </w:r>
      <w:r>
        <w:rPr>
          <w:rFonts w:hint="eastAsia"/>
          <w:color w:val="auto"/>
          <w:sz w:val="24"/>
          <w:szCs w:val="24"/>
          <w:highlight w:val="none"/>
        </w:rPr>
        <w:t>合同约定的监理酬金是基于合同约定监理人员按委托人要求到位的前提下，结算时才按本合同约定的方法计算。否则，除了按合同约定的处罚条款进行处罚以外，委托人有权在监理费用中扣除人员不到位的费用，计算举例：如投标文件承诺人员到场 10 人，如按委托人要求人员到位的前提下按合同约定方法计算的监理酬金结算额为 100万元，则对应每人监理酬金结算额为：100万元÷10人=10万元/人。如监理单位出现一名人员未按委托人要求到位，则扣除相应不到位费用10万元/人。监理人除按上述约定收取监理酬金外，不得向委托人主张其他任何费用或补偿。</w:t>
      </w:r>
    </w:p>
    <w:p>
      <w:pPr>
        <w:pStyle w:val="20"/>
        <w:numPr>
          <w:ilvl w:val="-1"/>
          <w:numId w:val="0"/>
        </w:numPr>
        <w:spacing w:before="98"/>
        <w:ind w:left="0" w:firstLine="480" w:firstLineChars="200"/>
        <w:jc w:val="both"/>
        <w:rPr>
          <w:color w:val="auto"/>
          <w:sz w:val="24"/>
          <w:highlight w:val="none"/>
        </w:rPr>
      </w:pPr>
      <w:r>
        <w:rPr>
          <w:rFonts w:hint="eastAsia"/>
          <w:color w:val="auto"/>
          <w:sz w:val="24"/>
          <w:highlight w:val="none"/>
          <w:lang w:val="en-US" w:eastAsia="zh-CN"/>
        </w:rPr>
        <w:t xml:space="preserve">3.1.2 </w:t>
      </w:r>
      <w:r>
        <w:rPr>
          <w:color w:val="auto"/>
          <w:sz w:val="24"/>
          <w:highlight w:val="none"/>
        </w:rPr>
        <w:t>本合同监理酬金的暂定金额为</w:t>
      </w:r>
      <w:r>
        <w:rPr>
          <w:rFonts w:hint="eastAsia"/>
          <w:color w:val="auto"/>
          <w:sz w:val="24"/>
          <w:szCs w:val="24"/>
          <w:highlight w:val="none"/>
          <w:u w:val="single"/>
          <w:lang w:val="en-US" w:eastAsia="zh-CN" w:bidi="ar"/>
        </w:rPr>
        <w:t xml:space="preserve">        </w:t>
      </w:r>
      <w:r>
        <w:rPr>
          <w:color w:val="auto"/>
          <w:sz w:val="24"/>
          <w:highlight w:val="none"/>
        </w:rPr>
        <w:t>万元（大写：</w:t>
      </w:r>
      <w:r>
        <w:rPr>
          <w:rFonts w:hint="eastAsia"/>
          <w:color w:val="auto"/>
          <w:sz w:val="24"/>
          <w:szCs w:val="24"/>
          <w:highlight w:val="none"/>
          <w:u w:val="single"/>
          <w:lang w:val="en-US" w:bidi="ar"/>
        </w:rPr>
        <w:t xml:space="preserve"> </w:t>
      </w:r>
      <w:r>
        <w:rPr>
          <w:rFonts w:hint="eastAsia"/>
          <w:color w:val="auto"/>
          <w:sz w:val="24"/>
          <w:szCs w:val="24"/>
          <w:highlight w:val="none"/>
          <w:u w:val="single"/>
          <w:lang w:val="en-US" w:eastAsia="zh-CN" w:bidi="ar"/>
        </w:rPr>
        <w:t xml:space="preserve">         </w:t>
      </w:r>
      <w:r>
        <w:rPr>
          <w:rFonts w:hint="eastAsia"/>
          <w:color w:val="auto"/>
          <w:sz w:val="24"/>
          <w:szCs w:val="24"/>
          <w:highlight w:val="none"/>
          <w:u w:val="single"/>
          <w:lang w:val="en-US" w:bidi="ar"/>
        </w:rPr>
        <w:t xml:space="preserve"> </w:t>
      </w:r>
      <w:r>
        <w:rPr>
          <w:color w:val="auto"/>
          <w:sz w:val="24"/>
          <w:highlight w:val="none"/>
        </w:rPr>
        <w:t>）。</w:t>
      </w:r>
    </w:p>
    <w:p>
      <w:pPr>
        <w:pStyle w:val="20"/>
        <w:numPr>
          <w:ilvl w:val="-1"/>
          <w:numId w:val="0"/>
        </w:numPr>
        <w:tabs>
          <w:tab w:val="left" w:pos="1364"/>
        </w:tabs>
        <w:spacing w:before="98" w:line="314" w:lineRule="auto"/>
        <w:ind w:left="0" w:right="230" w:firstLine="480" w:firstLineChars="200"/>
        <w:jc w:val="both"/>
        <w:rPr>
          <w:color w:val="auto"/>
          <w:sz w:val="24"/>
          <w:highlight w:val="none"/>
        </w:rPr>
      </w:pPr>
      <w:r>
        <w:rPr>
          <w:rFonts w:hint="eastAsia"/>
          <w:color w:val="auto"/>
          <w:sz w:val="24"/>
          <w:highlight w:val="none"/>
          <w:lang w:val="en-US" w:eastAsia="zh-CN"/>
        </w:rPr>
        <w:t xml:space="preserve">3.1.3 </w:t>
      </w:r>
      <w:r>
        <w:rPr>
          <w:color w:val="auto"/>
          <w:sz w:val="24"/>
          <w:highlight w:val="none"/>
        </w:rPr>
        <w:t>监理酬金的定义：凡在本合同中提及即与监理服务有关的一切费用均含在监理酬金中，具体包括人员工资、福利、社保、办公费用（资料费、电脑、打印机、复印机等办公设备及耗材费）、受托人为监理本项目使用的设备和设施费用、交通差旅费用、餐费、管理费、利润、税金等一切费用（包括专用条款 3.3.1 条提及的食堂开办及保洁费用）。</w:t>
      </w:r>
    </w:p>
    <w:p>
      <w:pPr>
        <w:pStyle w:val="20"/>
        <w:numPr>
          <w:ilvl w:val="-1"/>
          <w:numId w:val="0"/>
        </w:numPr>
        <w:tabs>
          <w:tab w:val="left" w:pos="1467"/>
        </w:tabs>
        <w:spacing w:before="7" w:line="316" w:lineRule="auto"/>
        <w:ind w:left="0" w:right="245" w:firstLine="480" w:firstLineChars="200"/>
        <w:jc w:val="both"/>
        <w:rPr>
          <w:color w:val="auto"/>
          <w:sz w:val="24"/>
          <w:highlight w:val="none"/>
        </w:rPr>
      </w:pPr>
      <w:r>
        <w:rPr>
          <w:rFonts w:hint="eastAsia"/>
          <w:color w:val="auto"/>
          <w:sz w:val="24"/>
          <w:highlight w:val="none"/>
          <w:lang w:val="en-US" w:eastAsia="zh-CN"/>
        </w:rPr>
        <w:t xml:space="preserve">3.1.4 </w:t>
      </w:r>
      <w:r>
        <w:rPr>
          <w:color w:val="auto"/>
          <w:sz w:val="24"/>
          <w:highlight w:val="none"/>
        </w:rPr>
        <w:t>当委托人认为监理人派到现场监理人员不能胜任监理工作导致合同范围内的各项工作不能按时完成或完成的工作不符合规定甚至出现违规现象时，这时可由委托人另行委派专业人员代替受托人安排的原班人员，所需费用（费用多少由委托人定，受托人不能有任何异议）由委托人从本合同监理酬金中直接扣除并支付给委托人指派的专业人员。在本合同中，凡与 3.1.5 条有矛盾的均以此条为准。</w:t>
      </w:r>
    </w:p>
    <w:p>
      <w:pPr>
        <w:pStyle w:val="20"/>
        <w:numPr>
          <w:ilvl w:val="-1"/>
          <w:numId w:val="0"/>
        </w:numPr>
        <w:tabs>
          <w:tab w:val="left" w:pos="1467"/>
        </w:tabs>
        <w:spacing w:line="316" w:lineRule="auto"/>
        <w:ind w:left="0" w:right="251" w:firstLine="480" w:firstLineChars="200"/>
        <w:jc w:val="both"/>
        <w:rPr>
          <w:color w:val="auto"/>
          <w:sz w:val="24"/>
          <w:highlight w:val="none"/>
        </w:rPr>
      </w:pPr>
      <w:r>
        <w:rPr>
          <w:rFonts w:hint="eastAsia"/>
          <w:color w:val="auto"/>
          <w:sz w:val="24"/>
          <w:highlight w:val="none"/>
          <w:lang w:val="en-US" w:eastAsia="zh-CN"/>
        </w:rPr>
        <w:t xml:space="preserve">3.1.5 </w:t>
      </w:r>
      <w:r>
        <w:rPr>
          <w:color w:val="auto"/>
          <w:sz w:val="24"/>
          <w:highlight w:val="none"/>
        </w:rPr>
        <w:t>在本合同约定的监理范围内，监理人不得以任何理由要求附加工作和额外工作的监理酬金。</w:t>
      </w:r>
    </w:p>
    <w:p>
      <w:pPr>
        <w:pStyle w:val="20"/>
        <w:numPr>
          <w:ilvl w:val="-1"/>
          <w:numId w:val="0"/>
        </w:numPr>
        <w:tabs>
          <w:tab w:val="left" w:pos="1467"/>
        </w:tabs>
        <w:spacing w:line="316" w:lineRule="auto"/>
        <w:ind w:left="0" w:right="251" w:firstLine="480" w:firstLineChars="200"/>
        <w:jc w:val="both"/>
        <w:rPr>
          <w:color w:val="auto"/>
          <w:sz w:val="24"/>
          <w:highlight w:val="none"/>
        </w:rPr>
      </w:pPr>
      <w:r>
        <w:rPr>
          <w:rFonts w:hint="eastAsia"/>
          <w:color w:val="auto"/>
          <w:sz w:val="24"/>
          <w:highlight w:val="none"/>
          <w:lang w:val="en-US" w:eastAsia="zh-CN"/>
        </w:rPr>
        <w:t xml:space="preserve">3.1.6 </w:t>
      </w:r>
      <w:r>
        <w:rPr>
          <w:color w:val="auto"/>
          <w:sz w:val="24"/>
          <w:highlight w:val="none"/>
        </w:rPr>
        <w:t>在本合同约定的监理范围内，当工程量增加、或设计变更、或设计变化、或设计规模变化时，监理人工作的变化均应视为本合同约定的监理工作。</w:t>
      </w:r>
    </w:p>
    <w:p>
      <w:pPr>
        <w:pStyle w:val="20"/>
        <w:numPr>
          <w:ilvl w:val="-1"/>
          <w:numId w:val="0"/>
        </w:numPr>
        <w:tabs>
          <w:tab w:val="left" w:pos="1467"/>
        </w:tabs>
        <w:spacing w:line="316" w:lineRule="auto"/>
        <w:ind w:left="0" w:right="251" w:firstLine="480" w:firstLineChars="200"/>
        <w:jc w:val="both"/>
        <w:rPr>
          <w:color w:val="auto"/>
          <w:sz w:val="24"/>
          <w:highlight w:val="none"/>
        </w:rPr>
      </w:pPr>
      <w:r>
        <w:rPr>
          <w:rFonts w:hint="eastAsia"/>
          <w:color w:val="auto"/>
          <w:sz w:val="24"/>
          <w:highlight w:val="none"/>
          <w:lang w:val="en-US" w:eastAsia="zh-CN"/>
        </w:rPr>
        <w:t xml:space="preserve">3.1.7 </w:t>
      </w:r>
      <w:r>
        <w:rPr>
          <w:color w:val="auto"/>
          <w:sz w:val="24"/>
          <w:highlight w:val="none"/>
        </w:rPr>
        <w:t>在本合同约定的服务期间，不因物价变动而对约定的监理酬金浮动幅度作任何调整。</w:t>
      </w:r>
    </w:p>
    <w:p>
      <w:pPr>
        <w:pStyle w:val="20"/>
        <w:numPr>
          <w:ilvl w:val="-1"/>
          <w:numId w:val="0"/>
        </w:numPr>
        <w:tabs>
          <w:tab w:val="left" w:pos="1467"/>
        </w:tabs>
        <w:spacing w:line="316" w:lineRule="auto"/>
        <w:ind w:left="0" w:right="245" w:firstLine="480" w:firstLineChars="200"/>
        <w:jc w:val="both"/>
        <w:rPr>
          <w:color w:val="auto"/>
          <w:sz w:val="24"/>
          <w:highlight w:val="none"/>
        </w:rPr>
      </w:pPr>
      <w:r>
        <w:rPr>
          <w:rFonts w:hint="eastAsia"/>
          <w:color w:val="auto"/>
          <w:sz w:val="24"/>
          <w:highlight w:val="none"/>
          <w:lang w:val="en-US" w:eastAsia="zh-CN"/>
        </w:rPr>
        <w:t xml:space="preserve">3.1.8 </w:t>
      </w:r>
      <w:r>
        <w:rPr>
          <w:color w:val="auto"/>
          <w:sz w:val="24"/>
          <w:highlight w:val="none"/>
        </w:rPr>
        <w:t>在本合同约定的监理范围内，非因监理人原因造成工程延期，致使监理服务期出现延长，监理人的责任期也应相应延长，本合同监理酬金暂定金额不作调整，双方另有约定的除外。</w:t>
      </w:r>
    </w:p>
    <w:p>
      <w:pPr>
        <w:pStyle w:val="20"/>
        <w:numPr>
          <w:ilvl w:val="-1"/>
          <w:numId w:val="0"/>
        </w:numPr>
        <w:tabs>
          <w:tab w:val="left" w:pos="1467"/>
        </w:tabs>
        <w:spacing w:line="316" w:lineRule="auto"/>
        <w:ind w:left="0" w:right="245" w:firstLine="480" w:firstLineChars="200"/>
        <w:jc w:val="both"/>
        <w:rPr>
          <w:color w:val="auto"/>
          <w:sz w:val="24"/>
          <w:highlight w:val="none"/>
        </w:rPr>
      </w:pPr>
      <w:r>
        <w:rPr>
          <w:rFonts w:hint="eastAsia"/>
          <w:color w:val="auto"/>
          <w:sz w:val="24"/>
          <w:highlight w:val="none"/>
          <w:lang w:val="en-US" w:eastAsia="zh-CN"/>
        </w:rPr>
        <w:t xml:space="preserve">3.1.9 </w:t>
      </w:r>
      <w:r>
        <w:rPr>
          <w:color w:val="auto"/>
          <w:sz w:val="24"/>
          <w:highlight w:val="none"/>
        </w:rPr>
        <w:t>如在工程实施期间，因国家政策变化、政府对本合同工程的计划调整或不可抗力等非委托人主观原因造成本合同工程停建的，则监理人必须接受终止服务并积极配合委托人做好善后工作，按已实际完成的监理服务内容和本合同的相关约定结清监理酬金，监理人不得要求额外的费用及任何形式的补偿。</w:t>
      </w:r>
    </w:p>
    <w:p>
      <w:pPr>
        <w:pStyle w:val="20"/>
        <w:numPr>
          <w:ilvl w:val="-1"/>
          <w:numId w:val="0"/>
        </w:numPr>
        <w:tabs>
          <w:tab w:val="left" w:pos="1527"/>
        </w:tabs>
        <w:spacing w:line="316" w:lineRule="auto"/>
        <w:ind w:left="0" w:right="245" w:firstLine="480" w:firstLineChars="200"/>
        <w:jc w:val="both"/>
        <w:rPr>
          <w:color w:val="auto"/>
          <w:sz w:val="24"/>
          <w:highlight w:val="none"/>
        </w:rPr>
      </w:pPr>
      <w:r>
        <w:rPr>
          <w:rFonts w:hint="eastAsia"/>
          <w:color w:val="auto"/>
          <w:sz w:val="24"/>
          <w:highlight w:val="none"/>
          <w:lang w:val="en-US" w:eastAsia="zh-CN"/>
        </w:rPr>
        <w:t xml:space="preserve">3.1.10 </w:t>
      </w:r>
      <w:r>
        <w:rPr>
          <w:color w:val="auto"/>
          <w:sz w:val="24"/>
          <w:highlight w:val="none"/>
        </w:rPr>
        <w:t>如在工程实施期间，因任何原因造成本合同工程中间停工而导致监理人必须二次或多次进出场，监理酬金暂定金额将不会因此而有所调整，相关费用亦已经包含在本合同监理酬金之中。因工程中间停工而不退场的，在此期间，监理人可与委托人协商减少驻场监理人员的数量，但本合同监理酬金暂定金额不作调整。</w:t>
      </w:r>
    </w:p>
    <w:p>
      <w:pPr>
        <w:pStyle w:val="12"/>
        <w:numPr>
          <w:ilvl w:val="1"/>
          <w:numId w:val="4"/>
        </w:numPr>
        <w:tabs>
          <w:tab w:val="left" w:pos="1131"/>
        </w:tabs>
        <w:spacing w:line="302" w:lineRule="exact"/>
        <w:ind w:hanging="426"/>
        <w:jc w:val="both"/>
        <w:rPr>
          <w:color w:val="auto"/>
          <w:highlight w:val="none"/>
        </w:rPr>
      </w:pPr>
      <w:r>
        <w:rPr>
          <w:color w:val="auto"/>
          <w:highlight w:val="none"/>
        </w:rPr>
        <w:t>监理酬金的支付</w:t>
      </w:r>
    </w:p>
    <w:p>
      <w:pPr>
        <w:pStyle w:val="20"/>
        <w:numPr>
          <w:ilvl w:val="-1"/>
          <w:numId w:val="0"/>
        </w:numPr>
        <w:tabs>
          <w:tab w:val="left" w:pos="1467"/>
        </w:tabs>
        <w:spacing w:before="75" w:line="316" w:lineRule="auto"/>
        <w:ind w:left="0" w:right="245" w:firstLine="480" w:firstLineChars="200"/>
        <w:jc w:val="both"/>
        <w:rPr>
          <w:color w:val="auto"/>
          <w:sz w:val="24"/>
          <w:highlight w:val="none"/>
        </w:rPr>
      </w:pPr>
      <w:r>
        <w:rPr>
          <w:rFonts w:hint="eastAsia"/>
          <w:color w:val="auto"/>
          <w:sz w:val="24"/>
          <w:highlight w:val="none"/>
          <w:lang w:val="en-US" w:eastAsia="zh-CN"/>
        </w:rPr>
        <w:t xml:space="preserve">3.2.1 </w:t>
      </w:r>
      <w:r>
        <w:rPr>
          <w:color w:val="auto"/>
          <w:sz w:val="24"/>
          <w:highlight w:val="none"/>
        </w:rPr>
        <w:t>监理人向委托人承诺，将按照本合同的约定完成本合同监理服务的工作内容且相关的监理服务须达到令委托人满意的程度。监理人如未能按约定完成相关工作内容的工作成果，或完成的工作成果未能达到约定的审核标准，或委托人对监理工作情况的检查结果未能达到约定的令人满意的程度，均视为监理人对该承诺的违反，委托人将在合同监理酬金暂定金额中扣减相关监理工作内容的酬金。监理人对于履行监理职责方面的违约责任按照专用条款第 4.1 款的相关约定执行。</w:t>
      </w:r>
    </w:p>
    <w:p>
      <w:pPr>
        <w:pStyle w:val="20"/>
        <w:numPr>
          <w:ilvl w:val="-1"/>
          <w:numId w:val="0"/>
        </w:numPr>
        <w:tabs>
          <w:tab w:val="left" w:pos="1325"/>
        </w:tabs>
        <w:spacing w:line="298" w:lineRule="exact"/>
        <w:ind w:left="0" w:firstLine="480" w:firstLineChars="200"/>
        <w:jc w:val="both"/>
        <w:rPr>
          <w:color w:val="auto"/>
          <w:sz w:val="24"/>
          <w:highlight w:val="none"/>
        </w:rPr>
      </w:pPr>
      <w:r>
        <w:rPr>
          <w:rFonts w:hint="eastAsia"/>
          <w:color w:val="auto"/>
          <w:sz w:val="24"/>
          <w:highlight w:val="none"/>
          <w:lang w:val="en-US" w:eastAsia="zh-CN"/>
        </w:rPr>
        <w:t xml:space="preserve">3.2.2 </w:t>
      </w:r>
      <w:r>
        <w:rPr>
          <w:color w:val="auto"/>
          <w:sz w:val="24"/>
          <w:highlight w:val="none"/>
        </w:rPr>
        <w:t>委托人同意按以下的支付时间与金额，支付监理人的报酬：</w:t>
      </w:r>
    </w:p>
    <w:p>
      <w:pPr>
        <w:pStyle w:val="20"/>
        <w:tabs>
          <w:tab w:val="left" w:pos="1325"/>
        </w:tabs>
        <w:spacing w:line="298" w:lineRule="exact"/>
        <w:ind w:left="685" w:firstLine="0"/>
        <w:jc w:val="both"/>
        <w:rPr>
          <w:color w:val="auto"/>
          <w:sz w:val="24"/>
          <w:highlight w:val="none"/>
        </w:rPr>
      </w:pPr>
    </w:p>
    <w:tbl>
      <w:tblPr>
        <w:tblStyle w:val="17"/>
        <w:tblW w:w="0" w:type="auto"/>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1624"/>
        <w:gridCol w:w="1984"/>
        <w:gridCol w:w="3926"/>
        <w:gridCol w:w="13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733" w:type="dxa"/>
            <w:vAlign w:val="center"/>
          </w:tcPr>
          <w:p>
            <w:pPr>
              <w:pStyle w:val="21"/>
              <w:spacing w:line="304" w:lineRule="exact"/>
              <w:ind w:left="117"/>
              <w:jc w:val="center"/>
              <w:rPr>
                <w:color w:val="auto"/>
                <w:sz w:val="24"/>
                <w:highlight w:val="none"/>
              </w:rPr>
            </w:pPr>
            <w:r>
              <w:rPr>
                <w:color w:val="auto"/>
                <w:sz w:val="24"/>
                <w:highlight w:val="none"/>
              </w:rPr>
              <w:t>序号</w:t>
            </w:r>
          </w:p>
        </w:tc>
        <w:tc>
          <w:tcPr>
            <w:tcW w:w="1624" w:type="dxa"/>
            <w:vAlign w:val="center"/>
          </w:tcPr>
          <w:p>
            <w:pPr>
              <w:pStyle w:val="21"/>
              <w:spacing w:line="304" w:lineRule="exact"/>
              <w:ind w:left="400"/>
              <w:jc w:val="center"/>
              <w:rPr>
                <w:color w:val="auto"/>
                <w:sz w:val="24"/>
                <w:highlight w:val="none"/>
              </w:rPr>
            </w:pPr>
            <w:r>
              <w:rPr>
                <w:color w:val="auto"/>
                <w:sz w:val="24"/>
                <w:highlight w:val="none"/>
              </w:rPr>
              <w:t>款项</w:t>
            </w:r>
          </w:p>
        </w:tc>
        <w:tc>
          <w:tcPr>
            <w:tcW w:w="1984" w:type="dxa"/>
            <w:vAlign w:val="center"/>
          </w:tcPr>
          <w:p>
            <w:pPr>
              <w:pStyle w:val="21"/>
              <w:spacing w:line="304" w:lineRule="exact"/>
              <w:ind w:left="293"/>
              <w:jc w:val="center"/>
              <w:rPr>
                <w:color w:val="auto"/>
                <w:sz w:val="24"/>
                <w:highlight w:val="none"/>
              </w:rPr>
            </w:pPr>
            <w:r>
              <w:rPr>
                <w:color w:val="auto"/>
                <w:sz w:val="24"/>
                <w:highlight w:val="none"/>
              </w:rPr>
              <w:t>当期支付数额</w:t>
            </w:r>
          </w:p>
        </w:tc>
        <w:tc>
          <w:tcPr>
            <w:tcW w:w="3926" w:type="dxa"/>
            <w:vAlign w:val="center"/>
          </w:tcPr>
          <w:p>
            <w:pPr>
              <w:pStyle w:val="21"/>
              <w:spacing w:line="304" w:lineRule="exact"/>
              <w:ind w:left="510"/>
              <w:jc w:val="center"/>
              <w:rPr>
                <w:color w:val="auto"/>
                <w:sz w:val="24"/>
                <w:highlight w:val="none"/>
              </w:rPr>
            </w:pPr>
            <w:r>
              <w:rPr>
                <w:color w:val="auto"/>
                <w:sz w:val="24"/>
                <w:highlight w:val="none"/>
              </w:rPr>
              <w:t>支付条件、支付日期</w:t>
            </w:r>
          </w:p>
        </w:tc>
        <w:tc>
          <w:tcPr>
            <w:tcW w:w="1323" w:type="dxa"/>
            <w:vAlign w:val="center"/>
          </w:tcPr>
          <w:p>
            <w:pPr>
              <w:pStyle w:val="21"/>
              <w:spacing w:line="304" w:lineRule="exact"/>
              <w:ind w:left="0"/>
              <w:jc w:val="center"/>
              <w:rPr>
                <w:color w:val="auto"/>
                <w:sz w:val="24"/>
                <w:highlight w:val="none"/>
              </w:rPr>
            </w:pPr>
            <w:r>
              <w:rPr>
                <w:color w:val="auto"/>
                <w:sz w:val="24"/>
                <w:highlight w:val="none"/>
              </w:rPr>
              <w:t>累计支付比例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733" w:type="dxa"/>
            <w:vAlign w:val="center"/>
          </w:tcPr>
          <w:p>
            <w:pPr>
              <w:pStyle w:val="21"/>
              <w:spacing w:line="302" w:lineRule="exact"/>
              <w:ind w:left="107"/>
              <w:jc w:val="center"/>
              <w:rPr>
                <w:color w:val="auto"/>
                <w:sz w:val="24"/>
                <w:highlight w:val="none"/>
              </w:rPr>
            </w:pPr>
            <w:r>
              <w:rPr>
                <w:color w:val="auto"/>
                <w:sz w:val="24"/>
                <w:highlight w:val="none"/>
              </w:rPr>
              <w:t>1</w:t>
            </w:r>
          </w:p>
        </w:tc>
        <w:tc>
          <w:tcPr>
            <w:tcW w:w="1624" w:type="dxa"/>
            <w:vAlign w:val="center"/>
          </w:tcPr>
          <w:p>
            <w:pPr>
              <w:pStyle w:val="21"/>
              <w:spacing w:before="0" w:line="302" w:lineRule="exact"/>
              <w:ind w:left="108"/>
              <w:jc w:val="center"/>
              <w:rPr>
                <w:color w:val="auto"/>
                <w:sz w:val="24"/>
                <w:highlight w:val="none"/>
              </w:rPr>
            </w:pPr>
            <w:r>
              <w:rPr>
                <w:color w:val="auto"/>
                <w:sz w:val="24"/>
                <w:highlight w:val="none"/>
              </w:rPr>
              <w:t>第一次支付</w:t>
            </w:r>
          </w:p>
        </w:tc>
        <w:tc>
          <w:tcPr>
            <w:tcW w:w="1984" w:type="dxa"/>
            <w:vAlign w:val="center"/>
          </w:tcPr>
          <w:p>
            <w:pPr>
              <w:pStyle w:val="21"/>
              <w:spacing w:line="302" w:lineRule="exact"/>
              <w:ind w:left="111"/>
              <w:jc w:val="center"/>
              <w:rPr>
                <w:color w:val="auto"/>
                <w:sz w:val="24"/>
                <w:highlight w:val="none"/>
              </w:rPr>
            </w:pPr>
            <w:r>
              <w:rPr>
                <w:color w:val="auto"/>
                <w:sz w:val="24"/>
                <w:highlight w:val="none"/>
              </w:rPr>
              <w:t>暂定监理酬金×</w:t>
            </w:r>
          </w:p>
          <w:p>
            <w:pPr>
              <w:pStyle w:val="21"/>
              <w:spacing w:before="98"/>
              <w:ind w:left="111"/>
              <w:jc w:val="center"/>
              <w:rPr>
                <w:color w:val="auto"/>
                <w:sz w:val="24"/>
                <w:highlight w:val="none"/>
              </w:rPr>
            </w:pPr>
            <w:r>
              <w:rPr>
                <w:color w:val="auto"/>
                <w:sz w:val="24"/>
                <w:highlight w:val="none"/>
              </w:rPr>
              <w:t>10%</w:t>
            </w:r>
          </w:p>
        </w:tc>
        <w:tc>
          <w:tcPr>
            <w:tcW w:w="3926" w:type="dxa"/>
            <w:vAlign w:val="center"/>
          </w:tcPr>
          <w:p>
            <w:pPr>
              <w:pStyle w:val="21"/>
              <w:spacing w:line="302" w:lineRule="exact"/>
              <w:ind w:left="109"/>
              <w:jc w:val="center"/>
              <w:rPr>
                <w:color w:val="auto"/>
                <w:sz w:val="24"/>
                <w:highlight w:val="none"/>
              </w:rPr>
            </w:pPr>
            <w:r>
              <w:rPr>
                <w:color w:val="auto"/>
                <w:sz w:val="24"/>
                <w:highlight w:val="none"/>
              </w:rPr>
              <w:t>合同签订且监理机构人员进</w:t>
            </w:r>
          </w:p>
          <w:p>
            <w:pPr>
              <w:pStyle w:val="21"/>
              <w:spacing w:before="98"/>
              <w:ind w:left="109"/>
              <w:jc w:val="center"/>
              <w:rPr>
                <w:color w:val="auto"/>
                <w:sz w:val="24"/>
                <w:highlight w:val="none"/>
              </w:rPr>
            </w:pPr>
            <w:r>
              <w:rPr>
                <w:color w:val="auto"/>
                <w:sz w:val="24"/>
                <w:highlight w:val="none"/>
              </w:rPr>
              <w:t>场之日起 10 个工作日内</w:t>
            </w:r>
          </w:p>
        </w:tc>
        <w:tc>
          <w:tcPr>
            <w:tcW w:w="1323" w:type="dxa"/>
            <w:vAlign w:val="center"/>
          </w:tcPr>
          <w:p>
            <w:pPr>
              <w:pStyle w:val="21"/>
              <w:spacing w:line="302" w:lineRule="exact"/>
              <w:ind w:left="110"/>
              <w:jc w:val="center"/>
              <w:rPr>
                <w:color w:val="auto"/>
                <w:sz w:val="24"/>
                <w:highlight w:val="none"/>
              </w:rPr>
            </w:pPr>
            <w:r>
              <w:rPr>
                <w:color w:val="auto"/>
                <w:sz w:val="24"/>
                <w:highlight w:val="none"/>
              </w:rPr>
              <w:t>合同价 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733" w:type="dxa"/>
            <w:vAlign w:val="center"/>
          </w:tcPr>
          <w:p>
            <w:pPr>
              <w:pStyle w:val="21"/>
              <w:spacing w:line="302" w:lineRule="exact"/>
              <w:ind w:left="107"/>
              <w:jc w:val="center"/>
              <w:rPr>
                <w:color w:val="auto"/>
                <w:sz w:val="24"/>
                <w:highlight w:val="none"/>
              </w:rPr>
            </w:pPr>
            <w:r>
              <w:rPr>
                <w:color w:val="auto"/>
                <w:sz w:val="24"/>
                <w:highlight w:val="none"/>
              </w:rPr>
              <w:t>2</w:t>
            </w:r>
          </w:p>
        </w:tc>
        <w:tc>
          <w:tcPr>
            <w:tcW w:w="1624" w:type="dxa"/>
            <w:vAlign w:val="center"/>
          </w:tcPr>
          <w:p>
            <w:pPr>
              <w:pStyle w:val="21"/>
              <w:spacing w:line="314" w:lineRule="auto"/>
              <w:ind w:left="108" w:right="97"/>
              <w:jc w:val="center"/>
              <w:rPr>
                <w:color w:val="auto"/>
                <w:sz w:val="24"/>
                <w:highlight w:val="none"/>
              </w:rPr>
            </w:pPr>
            <w:r>
              <w:rPr>
                <w:color w:val="auto"/>
                <w:sz w:val="24"/>
                <w:highlight w:val="none"/>
              </w:rPr>
              <w:t>第二次支付</w:t>
            </w:r>
          </w:p>
        </w:tc>
        <w:tc>
          <w:tcPr>
            <w:tcW w:w="1984" w:type="dxa"/>
            <w:vAlign w:val="center"/>
          </w:tcPr>
          <w:p>
            <w:pPr>
              <w:pStyle w:val="21"/>
              <w:spacing w:line="302" w:lineRule="exact"/>
              <w:ind w:left="111"/>
              <w:jc w:val="center"/>
              <w:rPr>
                <w:color w:val="auto"/>
                <w:sz w:val="24"/>
                <w:highlight w:val="none"/>
              </w:rPr>
            </w:pPr>
            <w:r>
              <w:rPr>
                <w:color w:val="auto"/>
                <w:sz w:val="24"/>
                <w:highlight w:val="none"/>
              </w:rPr>
              <w:t>暂定监理酬金×</w:t>
            </w:r>
          </w:p>
          <w:p>
            <w:pPr>
              <w:pStyle w:val="21"/>
              <w:spacing w:before="95"/>
              <w:ind w:left="111"/>
              <w:jc w:val="center"/>
              <w:rPr>
                <w:color w:val="auto"/>
                <w:sz w:val="24"/>
                <w:highlight w:val="none"/>
              </w:rPr>
            </w:pPr>
            <w:r>
              <w:rPr>
                <w:color w:val="auto"/>
                <w:sz w:val="24"/>
                <w:highlight w:val="none"/>
              </w:rPr>
              <w:t>30%</w:t>
            </w:r>
          </w:p>
        </w:tc>
        <w:tc>
          <w:tcPr>
            <w:tcW w:w="3926" w:type="dxa"/>
            <w:vAlign w:val="center"/>
          </w:tcPr>
          <w:p>
            <w:pPr>
              <w:pStyle w:val="21"/>
              <w:spacing w:line="314" w:lineRule="auto"/>
              <w:ind w:left="109" w:right="98"/>
              <w:jc w:val="center"/>
              <w:rPr>
                <w:color w:val="auto"/>
                <w:sz w:val="24"/>
                <w:highlight w:val="none"/>
              </w:rPr>
            </w:pPr>
            <w:r>
              <w:rPr>
                <w:color w:val="auto"/>
                <w:sz w:val="24"/>
                <w:highlight w:val="none"/>
              </w:rPr>
              <w:t>当施工进度款累计完成支付达项目施工合同价款的 40%时</w:t>
            </w:r>
          </w:p>
        </w:tc>
        <w:tc>
          <w:tcPr>
            <w:tcW w:w="1323" w:type="dxa"/>
            <w:vAlign w:val="center"/>
          </w:tcPr>
          <w:p>
            <w:pPr>
              <w:pStyle w:val="21"/>
              <w:spacing w:line="302" w:lineRule="exact"/>
              <w:ind w:left="110"/>
              <w:jc w:val="center"/>
              <w:rPr>
                <w:color w:val="auto"/>
                <w:sz w:val="24"/>
                <w:highlight w:val="none"/>
              </w:rPr>
            </w:pPr>
            <w:r>
              <w:rPr>
                <w:color w:val="auto"/>
                <w:sz w:val="24"/>
                <w:highlight w:val="none"/>
              </w:rPr>
              <w:t>合同价 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733" w:type="dxa"/>
            <w:vAlign w:val="center"/>
          </w:tcPr>
          <w:p>
            <w:pPr>
              <w:pStyle w:val="21"/>
              <w:spacing w:line="302" w:lineRule="exact"/>
              <w:ind w:left="107"/>
              <w:jc w:val="center"/>
              <w:rPr>
                <w:rFonts w:hint="eastAsia" w:eastAsia="宋体"/>
                <w:color w:val="auto"/>
                <w:sz w:val="24"/>
                <w:highlight w:val="none"/>
                <w:lang w:val="en-US" w:eastAsia="zh-CN"/>
              </w:rPr>
            </w:pPr>
            <w:r>
              <w:rPr>
                <w:rFonts w:hint="eastAsia"/>
                <w:color w:val="auto"/>
                <w:sz w:val="24"/>
                <w:highlight w:val="none"/>
                <w:lang w:val="en-US" w:eastAsia="zh-CN"/>
              </w:rPr>
              <w:t>3</w:t>
            </w:r>
          </w:p>
        </w:tc>
        <w:tc>
          <w:tcPr>
            <w:tcW w:w="1624" w:type="dxa"/>
            <w:vAlign w:val="center"/>
          </w:tcPr>
          <w:p>
            <w:pPr>
              <w:pStyle w:val="21"/>
              <w:spacing w:before="0" w:line="302" w:lineRule="exact"/>
              <w:ind w:left="108"/>
              <w:jc w:val="center"/>
              <w:rPr>
                <w:color w:val="auto"/>
                <w:sz w:val="24"/>
                <w:highlight w:val="none"/>
              </w:rPr>
            </w:pPr>
            <w:r>
              <w:rPr>
                <w:color w:val="auto"/>
                <w:sz w:val="24"/>
                <w:highlight w:val="none"/>
              </w:rPr>
              <w:t>第三次支付</w:t>
            </w:r>
          </w:p>
        </w:tc>
        <w:tc>
          <w:tcPr>
            <w:tcW w:w="1984" w:type="dxa"/>
            <w:vAlign w:val="center"/>
          </w:tcPr>
          <w:p>
            <w:pPr>
              <w:pStyle w:val="21"/>
              <w:spacing w:line="302" w:lineRule="exact"/>
              <w:ind w:left="111"/>
              <w:jc w:val="center"/>
              <w:rPr>
                <w:color w:val="auto"/>
                <w:sz w:val="24"/>
                <w:highlight w:val="none"/>
              </w:rPr>
            </w:pPr>
            <w:r>
              <w:rPr>
                <w:color w:val="auto"/>
                <w:sz w:val="24"/>
                <w:highlight w:val="none"/>
              </w:rPr>
              <w:t>暂定监理酬金×</w:t>
            </w:r>
          </w:p>
          <w:p>
            <w:pPr>
              <w:pStyle w:val="21"/>
              <w:spacing w:before="95"/>
              <w:ind w:left="111"/>
              <w:jc w:val="center"/>
              <w:rPr>
                <w:color w:val="auto"/>
                <w:sz w:val="24"/>
                <w:highlight w:val="none"/>
              </w:rPr>
            </w:pPr>
            <w:r>
              <w:rPr>
                <w:color w:val="auto"/>
                <w:sz w:val="24"/>
                <w:highlight w:val="none"/>
              </w:rPr>
              <w:t>30%</w:t>
            </w:r>
          </w:p>
        </w:tc>
        <w:tc>
          <w:tcPr>
            <w:tcW w:w="3926" w:type="dxa"/>
            <w:vAlign w:val="center"/>
          </w:tcPr>
          <w:p>
            <w:pPr>
              <w:pStyle w:val="21"/>
              <w:spacing w:before="0" w:line="314" w:lineRule="auto"/>
              <w:ind w:left="109" w:right="98"/>
              <w:jc w:val="center"/>
              <w:rPr>
                <w:color w:val="auto"/>
                <w:sz w:val="24"/>
                <w:highlight w:val="none"/>
              </w:rPr>
            </w:pPr>
            <w:r>
              <w:rPr>
                <w:color w:val="auto"/>
                <w:sz w:val="24"/>
                <w:highlight w:val="none"/>
              </w:rPr>
              <w:t xml:space="preserve">当施工进度款累计完成支付达项目施工合同价款的 </w:t>
            </w:r>
            <w:r>
              <w:rPr>
                <w:rFonts w:hint="eastAsia"/>
                <w:color w:val="auto"/>
                <w:sz w:val="24"/>
                <w:highlight w:val="none"/>
                <w:lang w:val="en-US" w:eastAsia="zh-CN"/>
              </w:rPr>
              <w:t>70</w:t>
            </w:r>
            <w:r>
              <w:rPr>
                <w:color w:val="auto"/>
                <w:sz w:val="24"/>
                <w:highlight w:val="none"/>
              </w:rPr>
              <w:t>%时</w:t>
            </w:r>
          </w:p>
        </w:tc>
        <w:tc>
          <w:tcPr>
            <w:tcW w:w="1323" w:type="dxa"/>
            <w:vAlign w:val="center"/>
          </w:tcPr>
          <w:p>
            <w:pPr>
              <w:pStyle w:val="21"/>
              <w:spacing w:line="302" w:lineRule="exact"/>
              <w:ind w:left="110"/>
              <w:jc w:val="center"/>
              <w:rPr>
                <w:color w:val="auto"/>
                <w:sz w:val="24"/>
                <w:highlight w:val="none"/>
              </w:rPr>
            </w:pPr>
            <w:r>
              <w:rPr>
                <w:color w:val="auto"/>
                <w:sz w:val="24"/>
                <w:highlight w:val="none"/>
              </w:rPr>
              <w:t xml:space="preserve">合同价 </w:t>
            </w:r>
            <w:r>
              <w:rPr>
                <w:rFonts w:hint="eastAsia"/>
                <w:color w:val="auto"/>
                <w:sz w:val="24"/>
                <w:highlight w:val="none"/>
                <w:lang w:val="en-US" w:eastAsia="zh-CN"/>
              </w:rPr>
              <w:t>70</w:t>
            </w:r>
            <w:r>
              <w:rPr>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733" w:type="dxa"/>
            <w:vAlign w:val="center"/>
          </w:tcPr>
          <w:p>
            <w:pPr>
              <w:pStyle w:val="21"/>
              <w:spacing w:line="302" w:lineRule="exact"/>
              <w:ind w:left="107"/>
              <w:jc w:val="center"/>
              <w:rPr>
                <w:rFonts w:hint="eastAsia" w:eastAsia="宋体"/>
                <w:color w:val="auto"/>
                <w:sz w:val="24"/>
                <w:highlight w:val="none"/>
                <w:lang w:eastAsia="zh-CN"/>
              </w:rPr>
            </w:pPr>
            <w:r>
              <w:rPr>
                <w:rFonts w:hint="eastAsia"/>
                <w:color w:val="auto"/>
                <w:sz w:val="24"/>
                <w:highlight w:val="none"/>
                <w:lang w:val="en-US" w:eastAsia="zh-CN"/>
              </w:rPr>
              <w:t>4</w:t>
            </w:r>
          </w:p>
        </w:tc>
        <w:tc>
          <w:tcPr>
            <w:tcW w:w="1624" w:type="dxa"/>
            <w:vAlign w:val="center"/>
          </w:tcPr>
          <w:p>
            <w:pPr>
              <w:pStyle w:val="21"/>
              <w:spacing w:before="0" w:line="302" w:lineRule="exact"/>
              <w:ind w:left="108"/>
              <w:jc w:val="center"/>
              <w:rPr>
                <w:color w:val="auto"/>
                <w:sz w:val="24"/>
                <w:highlight w:val="none"/>
              </w:rPr>
            </w:pPr>
            <w:r>
              <w:rPr>
                <w:color w:val="auto"/>
                <w:sz w:val="24"/>
                <w:highlight w:val="none"/>
              </w:rPr>
              <w:t>第</w:t>
            </w:r>
            <w:r>
              <w:rPr>
                <w:rFonts w:hint="eastAsia"/>
                <w:color w:val="auto"/>
                <w:sz w:val="24"/>
                <w:highlight w:val="none"/>
                <w:lang w:val="en-US" w:eastAsia="zh-CN"/>
              </w:rPr>
              <w:t>四</w:t>
            </w:r>
            <w:r>
              <w:rPr>
                <w:color w:val="auto"/>
                <w:sz w:val="24"/>
                <w:highlight w:val="none"/>
              </w:rPr>
              <w:t>次支付</w:t>
            </w:r>
          </w:p>
        </w:tc>
        <w:tc>
          <w:tcPr>
            <w:tcW w:w="1984" w:type="dxa"/>
            <w:vAlign w:val="center"/>
          </w:tcPr>
          <w:p>
            <w:pPr>
              <w:pStyle w:val="21"/>
              <w:spacing w:line="302" w:lineRule="exact"/>
              <w:ind w:left="111"/>
              <w:jc w:val="center"/>
              <w:rPr>
                <w:color w:val="auto"/>
                <w:sz w:val="24"/>
                <w:highlight w:val="none"/>
              </w:rPr>
            </w:pPr>
            <w:r>
              <w:rPr>
                <w:color w:val="auto"/>
                <w:sz w:val="24"/>
                <w:highlight w:val="none"/>
              </w:rPr>
              <w:t>暂定监理酬金×</w:t>
            </w:r>
          </w:p>
          <w:p>
            <w:pPr>
              <w:pStyle w:val="21"/>
              <w:spacing w:before="95"/>
              <w:ind w:left="111"/>
              <w:jc w:val="center"/>
              <w:rPr>
                <w:color w:val="auto"/>
                <w:sz w:val="24"/>
                <w:highlight w:val="none"/>
              </w:rPr>
            </w:pPr>
            <w:r>
              <w:rPr>
                <w:rFonts w:hint="eastAsia"/>
                <w:color w:val="auto"/>
                <w:sz w:val="24"/>
                <w:highlight w:val="none"/>
                <w:lang w:val="en-US" w:eastAsia="zh-CN"/>
              </w:rPr>
              <w:t>1</w:t>
            </w:r>
            <w:r>
              <w:rPr>
                <w:color w:val="auto"/>
                <w:sz w:val="24"/>
                <w:highlight w:val="none"/>
              </w:rPr>
              <w:t>5%</w:t>
            </w:r>
          </w:p>
        </w:tc>
        <w:tc>
          <w:tcPr>
            <w:tcW w:w="3926" w:type="dxa"/>
            <w:vAlign w:val="center"/>
          </w:tcPr>
          <w:p>
            <w:pPr>
              <w:pStyle w:val="21"/>
              <w:spacing w:before="0" w:line="302" w:lineRule="exact"/>
              <w:ind w:left="109"/>
              <w:jc w:val="center"/>
              <w:rPr>
                <w:color w:val="auto"/>
                <w:sz w:val="24"/>
                <w:highlight w:val="none"/>
              </w:rPr>
            </w:pPr>
            <w:r>
              <w:rPr>
                <w:color w:val="auto"/>
                <w:sz w:val="24"/>
                <w:highlight w:val="none"/>
              </w:rPr>
              <w:t>当取得竣工验收合格书之日时</w:t>
            </w:r>
          </w:p>
        </w:tc>
        <w:tc>
          <w:tcPr>
            <w:tcW w:w="1323" w:type="dxa"/>
            <w:vAlign w:val="center"/>
          </w:tcPr>
          <w:p>
            <w:pPr>
              <w:pStyle w:val="21"/>
              <w:spacing w:line="302" w:lineRule="exact"/>
              <w:ind w:left="110"/>
              <w:jc w:val="center"/>
              <w:rPr>
                <w:color w:val="auto"/>
                <w:sz w:val="24"/>
                <w:highlight w:val="none"/>
              </w:rPr>
            </w:pPr>
            <w:r>
              <w:rPr>
                <w:color w:val="auto"/>
                <w:sz w:val="24"/>
                <w:highlight w:val="none"/>
              </w:rPr>
              <w:t>合同价 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733" w:type="dxa"/>
            <w:vAlign w:val="center"/>
          </w:tcPr>
          <w:p>
            <w:pPr>
              <w:pStyle w:val="21"/>
              <w:spacing w:line="302" w:lineRule="exact"/>
              <w:ind w:left="107"/>
              <w:jc w:val="center"/>
              <w:rPr>
                <w:rFonts w:hint="eastAsia" w:eastAsia="宋体"/>
                <w:color w:val="auto"/>
                <w:sz w:val="24"/>
                <w:highlight w:val="none"/>
                <w:lang w:eastAsia="zh-CN"/>
              </w:rPr>
            </w:pPr>
            <w:r>
              <w:rPr>
                <w:rFonts w:hint="eastAsia"/>
                <w:color w:val="auto"/>
                <w:sz w:val="24"/>
                <w:highlight w:val="none"/>
                <w:lang w:val="en-US" w:eastAsia="zh-CN"/>
              </w:rPr>
              <w:t>5</w:t>
            </w:r>
          </w:p>
        </w:tc>
        <w:tc>
          <w:tcPr>
            <w:tcW w:w="1624" w:type="dxa"/>
            <w:vAlign w:val="center"/>
          </w:tcPr>
          <w:p>
            <w:pPr>
              <w:pStyle w:val="21"/>
              <w:spacing w:before="0" w:line="302" w:lineRule="exact"/>
              <w:ind w:left="108" w:right="0"/>
              <w:jc w:val="center"/>
              <w:rPr>
                <w:color w:val="auto"/>
                <w:sz w:val="24"/>
                <w:highlight w:val="none"/>
              </w:rPr>
            </w:pPr>
            <w:r>
              <w:rPr>
                <w:color w:val="auto"/>
                <w:sz w:val="24"/>
                <w:highlight w:val="none"/>
              </w:rPr>
              <w:t>第</w:t>
            </w:r>
            <w:r>
              <w:rPr>
                <w:rFonts w:hint="eastAsia"/>
                <w:color w:val="auto"/>
                <w:sz w:val="24"/>
                <w:highlight w:val="none"/>
                <w:lang w:val="en-US" w:eastAsia="zh-CN"/>
              </w:rPr>
              <w:t>五</w:t>
            </w:r>
            <w:r>
              <w:rPr>
                <w:color w:val="auto"/>
                <w:sz w:val="24"/>
                <w:highlight w:val="none"/>
              </w:rPr>
              <w:t>次支付（结算款）</w:t>
            </w:r>
          </w:p>
        </w:tc>
        <w:tc>
          <w:tcPr>
            <w:tcW w:w="1984" w:type="dxa"/>
            <w:vAlign w:val="center"/>
          </w:tcPr>
          <w:p>
            <w:pPr>
              <w:pStyle w:val="21"/>
              <w:spacing w:line="302" w:lineRule="exact"/>
              <w:ind w:left="111"/>
              <w:jc w:val="center"/>
              <w:rPr>
                <w:color w:val="auto"/>
                <w:sz w:val="24"/>
                <w:highlight w:val="none"/>
              </w:rPr>
            </w:pPr>
            <w:r>
              <w:rPr>
                <w:color w:val="auto"/>
                <w:sz w:val="24"/>
                <w:highlight w:val="none"/>
              </w:rPr>
              <w:t>结算监理酬金×</w:t>
            </w:r>
          </w:p>
          <w:p>
            <w:pPr>
              <w:pStyle w:val="21"/>
              <w:spacing w:before="98"/>
              <w:ind w:left="111"/>
              <w:jc w:val="center"/>
              <w:rPr>
                <w:color w:val="auto"/>
                <w:sz w:val="24"/>
                <w:highlight w:val="none"/>
              </w:rPr>
            </w:pPr>
            <w:r>
              <w:rPr>
                <w:color w:val="auto"/>
                <w:sz w:val="24"/>
                <w:highlight w:val="none"/>
              </w:rPr>
              <w:t>5%</w:t>
            </w:r>
          </w:p>
        </w:tc>
        <w:tc>
          <w:tcPr>
            <w:tcW w:w="3926" w:type="dxa"/>
            <w:vAlign w:val="center"/>
          </w:tcPr>
          <w:p>
            <w:pPr>
              <w:pStyle w:val="21"/>
              <w:spacing w:line="302" w:lineRule="exact"/>
              <w:ind w:left="109"/>
              <w:jc w:val="center"/>
              <w:rPr>
                <w:color w:val="auto"/>
                <w:sz w:val="24"/>
                <w:highlight w:val="none"/>
              </w:rPr>
            </w:pPr>
            <w:r>
              <w:rPr>
                <w:color w:val="auto"/>
                <w:sz w:val="24"/>
                <w:highlight w:val="none"/>
              </w:rPr>
              <w:t>监理范围内的工程结算财政</w:t>
            </w:r>
          </w:p>
          <w:p>
            <w:pPr>
              <w:pStyle w:val="21"/>
              <w:spacing w:before="5" w:line="400" w:lineRule="atLeast"/>
              <w:ind w:left="109" w:right="98"/>
              <w:jc w:val="center"/>
              <w:rPr>
                <w:color w:val="auto"/>
                <w:sz w:val="24"/>
                <w:highlight w:val="none"/>
              </w:rPr>
            </w:pPr>
            <w:r>
              <w:rPr>
                <w:color w:val="auto"/>
                <w:sz w:val="24"/>
                <w:highlight w:val="none"/>
              </w:rPr>
              <w:t>评审工作完成后 10 个工作日内</w:t>
            </w:r>
          </w:p>
        </w:tc>
        <w:tc>
          <w:tcPr>
            <w:tcW w:w="1323" w:type="dxa"/>
            <w:vAlign w:val="center"/>
          </w:tcPr>
          <w:p>
            <w:pPr>
              <w:pStyle w:val="21"/>
              <w:spacing w:line="302" w:lineRule="exact"/>
              <w:ind w:left="110"/>
              <w:jc w:val="center"/>
              <w:rPr>
                <w:color w:val="auto"/>
                <w:sz w:val="24"/>
                <w:highlight w:val="none"/>
              </w:rPr>
            </w:pPr>
            <w:r>
              <w:rPr>
                <w:color w:val="auto"/>
                <w:sz w:val="24"/>
                <w:highlight w:val="none"/>
              </w:rPr>
              <w:t>监理结算价的 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733" w:type="dxa"/>
            <w:vAlign w:val="center"/>
          </w:tcPr>
          <w:p>
            <w:pPr>
              <w:pStyle w:val="21"/>
              <w:spacing w:line="302" w:lineRule="exact"/>
              <w:ind w:left="107"/>
              <w:jc w:val="center"/>
              <w:rPr>
                <w:rFonts w:hint="eastAsia" w:eastAsia="宋体"/>
                <w:color w:val="auto"/>
                <w:sz w:val="24"/>
                <w:highlight w:val="none"/>
                <w:lang w:eastAsia="zh-CN"/>
              </w:rPr>
            </w:pPr>
            <w:r>
              <w:rPr>
                <w:rFonts w:hint="eastAsia"/>
                <w:color w:val="auto"/>
                <w:sz w:val="24"/>
                <w:highlight w:val="none"/>
                <w:lang w:val="en-US" w:eastAsia="zh-CN"/>
              </w:rPr>
              <w:t>6</w:t>
            </w:r>
          </w:p>
        </w:tc>
        <w:tc>
          <w:tcPr>
            <w:tcW w:w="1624" w:type="dxa"/>
            <w:vAlign w:val="center"/>
          </w:tcPr>
          <w:p>
            <w:pPr>
              <w:pStyle w:val="21"/>
              <w:spacing w:line="316" w:lineRule="auto"/>
              <w:ind w:left="108" w:right="97"/>
              <w:jc w:val="center"/>
              <w:rPr>
                <w:color w:val="auto"/>
                <w:sz w:val="24"/>
                <w:highlight w:val="none"/>
              </w:rPr>
            </w:pPr>
            <w:r>
              <w:rPr>
                <w:color w:val="auto"/>
                <w:sz w:val="24"/>
                <w:highlight w:val="none"/>
              </w:rPr>
              <w:t>第</w:t>
            </w:r>
            <w:r>
              <w:rPr>
                <w:rFonts w:hint="eastAsia"/>
                <w:color w:val="auto"/>
                <w:sz w:val="24"/>
                <w:highlight w:val="none"/>
                <w:lang w:val="en-US" w:eastAsia="zh-CN"/>
              </w:rPr>
              <w:t>六</w:t>
            </w:r>
            <w:r>
              <w:rPr>
                <w:color w:val="auto"/>
                <w:sz w:val="24"/>
                <w:highlight w:val="none"/>
              </w:rPr>
              <w:t>次支付（竣工保修期质量保修期）</w:t>
            </w:r>
          </w:p>
        </w:tc>
        <w:tc>
          <w:tcPr>
            <w:tcW w:w="1984" w:type="dxa"/>
            <w:vAlign w:val="center"/>
          </w:tcPr>
          <w:p>
            <w:pPr>
              <w:pStyle w:val="21"/>
              <w:spacing w:line="316" w:lineRule="auto"/>
              <w:ind w:left="111" w:right="82"/>
              <w:jc w:val="center"/>
              <w:rPr>
                <w:color w:val="auto"/>
                <w:sz w:val="24"/>
                <w:highlight w:val="none"/>
              </w:rPr>
            </w:pPr>
            <w:r>
              <w:rPr>
                <w:color w:val="auto"/>
                <w:sz w:val="24"/>
                <w:highlight w:val="none"/>
              </w:rPr>
              <w:t>结算后剩余未支付的监理酬金</w:t>
            </w:r>
          </w:p>
        </w:tc>
        <w:tc>
          <w:tcPr>
            <w:tcW w:w="3926" w:type="dxa"/>
            <w:vAlign w:val="center"/>
          </w:tcPr>
          <w:p>
            <w:pPr>
              <w:pStyle w:val="21"/>
              <w:spacing w:line="316" w:lineRule="auto"/>
              <w:ind w:left="109" w:right="98"/>
              <w:jc w:val="center"/>
              <w:rPr>
                <w:color w:val="auto"/>
                <w:sz w:val="24"/>
                <w:highlight w:val="none"/>
              </w:rPr>
            </w:pPr>
            <w:r>
              <w:rPr>
                <w:color w:val="auto"/>
                <w:sz w:val="24"/>
                <w:highlight w:val="none"/>
              </w:rPr>
              <w:t>工程竣工验收合格之日起满两年后十天内</w:t>
            </w:r>
          </w:p>
        </w:tc>
        <w:tc>
          <w:tcPr>
            <w:tcW w:w="1323" w:type="dxa"/>
            <w:vAlign w:val="center"/>
          </w:tcPr>
          <w:p>
            <w:pPr>
              <w:pStyle w:val="21"/>
              <w:spacing w:line="302" w:lineRule="exact"/>
              <w:ind w:left="110"/>
              <w:jc w:val="center"/>
              <w:rPr>
                <w:color w:val="auto"/>
                <w:sz w:val="24"/>
                <w:highlight w:val="none"/>
              </w:rPr>
            </w:pPr>
            <w:r>
              <w:rPr>
                <w:color w:val="auto"/>
                <w:sz w:val="24"/>
                <w:highlight w:val="none"/>
              </w:rPr>
              <w:t>100%</w:t>
            </w:r>
          </w:p>
        </w:tc>
      </w:tr>
    </w:tbl>
    <w:p>
      <w:pPr>
        <w:pStyle w:val="20"/>
        <w:numPr>
          <w:ilvl w:val="-1"/>
          <w:numId w:val="0"/>
        </w:numPr>
        <w:tabs>
          <w:tab w:val="left" w:pos="1378"/>
        </w:tabs>
        <w:spacing w:line="316" w:lineRule="auto"/>
        <w:ind w:left="0" w:right="239" w:firstLine="480" w:firstLineChars="200"/>
        <w:jc w:val="both"/>
        <w:rPr>
          <w:color w:val="auto"/>
          <w:sz w:val="24"/>
          <w:highlight w:val="none"/>
        </w:rPr>
      </w:pPr>
      <w:r>
        <w:rPr>
          <w:rFonts w:hint="eastAsia"/>
          <w:color w:val="auto"/>
          <w:sz w:val="24"/>
          <w:highlight w:val="none"/>
          <w:lang w:val="en-US" w:eastAsia="zh-CN"/>
        </w:rPr>
        <w:t xml:space="preserve">3.2.3 </w:t>
      </w:r>
      <w:r>
        <w:rPr>
          <w:color w:val="auto"/>
          <w:sz w:val="24"/>
          <w:highlight w:val="none"/>
        </w:rPr>
        <w:t>约定的拨款计划及行为，监理人应充分考虑到省财政集中支付程序所需的时间，如监理费未能及时到位，委托人应积极协调政府有关部门解决，监理人不得因非委托人原因而提出索赔，也不得因此影响本项目的进度、质量和安全。</w:t>
      </w:r>
    </w:p>
    <w:p>
      <w:pPr>
        <w:pStyle w:val="20"/>
        <w:numPr>
          <w:ilvl w:val="-1"/>
          <w:numId w:val="0"/>
        </w:numPr>
        <w:tabs>
          <w:tab w:val="left" w:pos="1337"/>
        </w:tabs>
        <w:spacing w:line="316" w:lineRule="auto"/>
        <w:ind w:left="0" w:right="235" w:firstLine="480" w:firstLineChars="200"/>
        <w:jc w:val="both"/>
        <w:rPr>
          <w:color w:val="auto"/>
          <w:sz w:val="24"/>
          <w:highlight w:val="none"/>
        </w:rPr>
      </w:pPr>
      <w:r>
        <w:rPr>
          <w:rFonts w:hint="eastAsia"/>
          <w:color w:val="auto"/>
          <w:sz w:val="24"/>
          <w:highlight w:val="none"/>
          <w:lang w:val="en-US" w:eastAsia="zh-CN"/>
        </w:rPr>
        <w:t xml:space="preserve">3.2.4 </w:t>
      </w:r>
      <w:r>
        <w:rPr>
          <w:color w:val="auto"/>
          <w:sz w:val="24"/>
          <w:highlight w:val="none"/>
        </w:rPr>
        <w:t>本合同结算监理酬金审定后，委托人发现监理酬金超付的，则监理人必须在 14 日内无条件退还委托人；若监理人迟延退还超付的监理酬金，除须继续向委托人退还超付的监理酬金外，还应每天向委托人支付该超付监理酬金 2‰的违约金。</w:t>
      </w:r>
    </w:p>
    <w:p>
      <w:pPr>
        <w:pStyle w:val="20"/>
        <w:numPr>
          <w:ilvl w:val="-1"/>
          <w:numId w:val="0"/>
        </w:numPr>
        <w:tabs>
          <w:tab w:val="left" w:pos="1306"/>
        </w:tabs>
        <w:spacing w:line="316" w:lineRule="auto"/>
        <w:ind w:left="0" w:right="235" w:firstLine="480" w:firstLineChars="200"/>
        <w:jc w:val="both"/>
        <w:rPr>
          <w:color w:val="auto"/>
          <w:sz w:val="24"/>
          <w:highlight w:val="none"/>
        </w:rPr>
      </w:pPr>
      <w:r>
        <w:rPr>
          <w:rFonts w:hint="eastAsia"/>
          <w:color w:val="auto"/>
          <w:sz w:val="24"/>
          <w:highlight w:val="none"/>
          <w:lang w:val="en-US" w:eastAsia="zh-CN"/>
        </w:rPr>
        <w:t xml:space="preserve">3.2.5 </w:t>
      </w:r>
      <w:r>
        <w:rPr>
          <w:color w:val="auto"/>
          <w:sz w:val="24"/>
          <w:highlight w:val="none"/>
        </w:rPr>
        <w:t>本合同价款由省财政部门直接支付至合同乙方。甲方审核合同款项出具同意支付意见后须将请款材料报送项目使用单位及省财政部门进行审核，并由项目使用单位及省财政部门办理款项支付相关手续。</w:t>
      </w:r>
    </w:p>
    <w:p>
      <w:pPr>
        <w:pStyle w:val="20"/>
        <w:numPr>
          <w:ilvl w:val="-1"/>
          <w:numId w:val="0"/>
        </w:numPr>
        <w:tabs>
          <w:tab w:val="left" w:pos="1304"/>
        </w:tabs>
        <w:spacing w:line="304" w:lineRule="exact"/>
        <w:ind w:left="0" w:firstLine="480" w:firstLineChars="200"/>
        <w:jc w:val="both"/>
        <w:rPr>
          <w:color w:val="auto"/>
          <w:sz w:val="24"/>
          <w:highlight w:val="none"/>
        </w:rPr>
      </w:pPr>
      <w:r>
        <w:rPr>
          <w:rFonts w:hint="eastAsia"/>
          <w:color w:val="auto"/>
          <w:sz w:val="24"/>
          <w:highlight w:val="none"/>
          <w:lang w:val="en-US" w:eastAsia="zh-CN"/>
        </w:rPr>
        <w:t xml:space="preserve">3.2.6 </w:t>
      </w:r>
      <w:r>
        <w:rPr>
          <w:color w:val="auto"/>
          <w:sz w:val="24"/>
          <w:highlight w:val="none"/>
        </w:rPr>
        <w:t>本项目工程监理费用不因工期变化而调整。</w:t>
      </w:r>
    </w:p>
    <w:p>
      <w:pPr>
        <w:pStyle w:val="3"/>
        <w:ind w:left="0"/>
        <w:rPr>
          <w:color w:val="auto"/>
          <w:highlight w:val="none"/>
        </w:rPr>
      </w:pPr>
    </w:p>
    <w:p>
      <w:pPr>
        <w:pStyle w:val="12"/>
        <w:spacing w:before="179"/>
        <w:ind w:left="705" w:firstLine="0"/>
        <w:rPr>
          <w:color w:val="auto"/>
          <w:highlight w:val="none"/>
        </w:rPr>
      </w:pPr>
      <w:r>
        <w:rPr>
          <w:color w:val="auto"/>
          <w:highlight w:val="none"/>
        </w:rPr>
        <w:t>四、总监理工程师</w:t>
      </w:r>
    </w:p>
    <w:p>
      <w:pPr>
        <w:pStyle w:val="3"/>
        <w:tabs>
          <w:tab w:val="left" w:pos="3446"/>
          <w:tab w:val="left" w:pos="5911"/>
          <w:tab w:val="left" w:pos="7910"/>
        </w:tabs>
        <w:spacing w:before="98"/>
        <w:ind w:left="0" w:firstLine="480" w:firstLineChars="200"/>
        <w:rPr>
          <w:color w:val="auto"/>
          <w:highlight w:val="none"/>
        </w:rPr>
      </w:pPr>
      <w:r>
        <w:rPr>
          <w:color w:val="auto"/>
          <w:highlight w:val="none"/>
        </w:rPr>
        <w:t>总监理工程师姓名：</w:t>
      </w:r>
      <w:r>
        <w:rPr>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lang w:val="en-US"/>
        </w:rPr>
        <w:t xml:space="preserve"> </w:t>
      </w:r>
      <w:r>
        <w:rPr>
          <w:color w:val="auto"/>
          <w:highlight w:val="none"/>
        </w:rPr>
        <w:t>，身份证号码：</w:t>
      </w:r>
      <w:r>
        <w:rPr>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lang w:val="en-US"/>
        </w:rPr>
        <w:t xml:space="preserve"> </w:t>
      </w:r>
      <w:r>
        <w:rPr>
          <w:color w:val="auto"/>
          <w:highlight w:val="none"/>
        </w:rPr>
        <w:t>，注册号：</w:t>
      </w:r>
      <w:r>
        <w:rPr>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lang w:val="en-US"/>
        </w:rPr>
        <w:t xml:space="preserve"> </w:t>
      </w:r>
      <w:r>
        <w:rPr>
          <w:color w:val="auto"/>
          <w:highlight w:val="none"/>
        </w:rPr>
        <w:t>。</w:t>
      </w:r>
    </w:p>
    <w:p>
      <w:pPr>
        <w:pStyle w:val="3"/>
        <w:ind w:left="0"/>
        <w:rPr>
          <w:color w:val="auto"/>
          <w:sz w:val="20"/>
          <w:highlight w:val="none"/>
        </w:rPr>
      </w:pPr>
    </w:p>
    <w:p>
      <w:pPr>
        <w:pStyle w:val="3"/>
        <w:spacing w:before="1"/>
        <w:ind w:left="0"/>
        <w:rPr>
          <w:color w:val="auto"/>
          <w:sz w:val="19"/>
          <w:highlight w:val="none"/>
        </w:rPr>
      </w:pPr>
    </w:p>
    <w:p>
      <w:pPr>
        <w:pStyle w:val="12"/>
        <w:spacing w:before="1"/>
        <w:ind w:left="705" w:firstLine="0"/>
        <w:rPr>
          <w:color w:val="auto"/>
          <w:highlight w:val="none"/>
        </w:rPr>
      </w:pPr>
      <w:r>
        <w:rPr>
          <w:color w:val="auto"/>
          <w:highlight w:val="none"/>
        </w:rPr>
        <w:t>五、词语限定</w:t>
      </w:r>
    </w:p>
    <w:p>
      <w:pPr>
        <w:pStyle w:val="3"/>
        <w:spacing w:before="95"/>
        <w:ind w:left="0" w:firstLine="480" w:firstLineChars="200"/>
        <w:rPr>
          <w:color w:val="auto"/>
          <w:highlight w:val="none"/>
        </w:rPr>
      </w:pPr>
      <w:r>
        <w:rPr>
          <w:color w:val="auto"/>
          <w:highlight w:val="none"/>
        </w:rPr>
        <w:t>本协议书中相关词语的含义与专用条款、通用条款中的定义与解释相同。</w:t>
      </w:r>
    </w:p>
    <w:p>
      <w:pPr>
        <w:pStyle w:val="3"/>
        <w:ind w:left="0"/>
        <w:rPr>
          <w:color w:val="auto"/>
          <w:highlight w:val="none"/>
        </w:rPr>
      </w:pPr>
    </w:p>
    <w:p>
      <w:pPr>
        <w:pStyle w:val="12"/>
        <w:spacing w:before="197"/>
        <w:ind w:left="705" w:firstLine="0"/>
        <w:rPr>
          <w:color w:val="auto"/>
          <w:highlight w:val="none"/>
        </w:rPr>
      </w:pPr>
      <w:r>
        <w:rPr>
          <w:color w:val="auto"/>
          <w:highlight w:val="none"/>
        </w:rPr>
        <w:t>六、主要人员信息提供</w:t>
      </w:r>
    </w:p>
    <w:p>
      <w:pPr>
        <w:pStyle w:val="3"/>
        <w:spacing w:before="95" w:line="316" w:lineRule="auto"/>
        <w:ind w:left="0" w:right="188" w:firstLine="480" w:firstLineChars="200"/>
        <w:rPr>
          <w:color w:val="auto"/>
          <w:highlight w:val="none"/>
        </w:rPr>
      </w:pPr>
      <w:r>
        <w:rPr>
          <w:color w:val="auto"/>
          <w:highlight w:val="none"/>
        </w:rPr>
        <w:t>监理人应在收到中标通知书之日起 5 日内以书面形式向委托人提交其法定代表人、总监理工程师、项目总监代表的的姓名、身份证号码、职务、职称、联系方式（包括办公电话、手机、传真号码）、通信地址等信息作为合同附件。</w:t>
      </w:r>
    </w:p>
    <w:p>
      <w:pPr>
        <w:pStyle w:val="3"/>
        <w:ind w:left="0"/>
        <w:rPr>
          <w:color w:val="auto"/>
          <w:highlight w:val="none"/>
        </w:rPr>
      </w:pPr>
    </w:p>
    <w:p>
      <w:pPr>
        <w:pStyle w:val="12"/>
        <w:spacing w:before="196"/>
        <w:ind w:left="705" w:firstLine="0"/>
        <w:rPr>
          <w:color w:val="auto"/>
          <w:highlight w:val="none"/>
        </w:rPr>
      </w:pPr>
      <w:r>
        <w:rPr>
          <w:color w:val="auto"/>
          <w:highlight w:val="none"/>
        </w:rPr>
        <w:t>七、监理人资料变更</w:t>
      </w:r>
    </w:p>
    <w:p>
      <w:pPr>
        <w:pStyle w:val="3"/>
        <w:spacing w:before="96" w:line="316" w:lineRule="auto"/>
        <w:ind w:left="0" w:right="230" w:firstLine="480" w:firstLineChars="200"/>
        <w:jc w:val="both"/>
        <w:rPr>
          <w:color w:val="auto"/>
          <w:highlight w:val="none"/>
        </w:rPr>
      </w:pPr>
      <w:r>
        <w:rPr>
          <w:color w:val="auto"/>
          <w:highlight w:val="none"/>
        </w:rPr>
        <w:t>在本合同有效期内，监理人的单位名称变更的，应及时以书面形式通知委托人并附上变更登记资料；监理人法定代表人变更的，应在变更后 15 日内向委托人提交新法定代表人的姓名、身份证号码、职务、职称、联系电话、通信地址等信息。</w:t>
      </w:r>
    </w:p>
    <w:p>
      <w:pPr>
        <w:pStyle w:val="3"/>
        <w:spacing w:before="5"/>
        <w:ind w:left="0"/>
        <w:rPr>
          <w:color w:val="auto"/>
          <w:sz w:val="31"/>
          <w:highlight w:val="none"/>
        </w:rPr>
      </w:pPr>
    </w:p>
    <w:p>
      <w:pPr>
        <w:pStyle w:val="12"/>
        <w:ind w:left="705" w:firstLine="0"/>
        <w:rPr>
          <w:color w:val="auto"/>
          <w:highlight w:val="none"/>
        </w:rPr>
      </w:pPr>
      <w:r>
        <w:rPr>
          <w:color w:val="auto"/>
          <w:highlight w:val="none"/>
        </w:rPr>
        <w:t>八、人员变更</w:t>
      </w:r>
    </w:p>
    <w:p>
      <w:pPr>
        <w:pStyle w:val="3"/>
        <w:spacing w:before="96" w:line="316" w:lineRule="auto"/>
        <w:ind w:left="0" w:right="233" w:firstLine="480" w:firstLineChars="200"/>
        <w:jc w:val="both"/>
        <w:rPr>
          <w:color w:val="auto"/>
          <w:highlight w:val="none"/>
        </w:rPr>
      </w:pPr>
      <w:r>
        <w:rPr>
          <w:color w:val="auto"/>
          <w:highlight w:val="none"/>
        </w:rPr>
        <w:t>在本合同有效期内，原则上不能更换总监理工程师，监理人确需更换总监理工程师， 应在更换前 7 日书面报告委托人并得到委托人许可，拟更换的总监理工程师的资格条件不得低于原总监理工程师。</w:t>
      </w:r>
    </w:p>
    <w:p>
      <w:pPr>
        <w:pStyle w:val="3"/>
        <w:spacing w:before="5"/>
        <w:ind w:left="0"/>
        <w:rPr>
          <w:color w:val="auto"/>
          <w:sz w:val="31"/>
          <w:highlight w:val="none"/>
        </w:rPr>
      </w:pPr>
    </w:p>
    <w:p>
      <w:pPr>
        <w:pStyle w:val="12"/>
        <w:ind w:left="705" w:firstLine="0"/>
        <w:rPr>
          <w:color w:val="auto"/>
          <w:highlight w:val="none"/>
        </w:rPr>
      </w:pPr>
      <w:r>
        <w:rPr>
          <w:color w:val="auto"/>
          <w:highlight w:val="none"/>
        </w:rPr>
        <w:t>九、双方承诺</w:t>
      </w:r>
    </w:p>
    <w:p>
      <w:pPr>
        <w:pStyle w:val="20"/>
        <w:numPr>
          <w:ilvl w:val="-1"/>
          <w:numId w:val="0"/>
        </w:numPr>
        <w:tabs>
          <w:tab w:val="left" w:pos="1276"/>
        </w:tabs>
        <w:spacing w:before="96"/>
        <w:ind w:left="0" w:firstLine="480" w:firstLineChars="200"/>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1</w:t>
      </w:r>
      <w:r>
        <w:rPr>
          <w:rFonts w:hint="eastAsia"/>
          <w:color w:val="auto"/>
          <w:sz w:val="24"/>
          <w:highlight w:val="none"/>
          <w:lang w:eastAsia="zh-CN"/>
        </w:rPr>
        <w:t>）</w:t>
      </w:r>
      <w:r>
        <w:rPr>
          <w:color w:val="auto"/>
          <w:sz w:val="24"/>
          <w:highlight w:val="none"/>
        </w:rPr>
        <w:t>监理人向委托人承诺，按照本合同约定提供监理与相关服务。</w:t>
      </w:r>
    </w:p>
    <w:p>
      <w:pPr>
        <w:pStyle w:val="20"/>
        <w:numPr>
          <w:ilvl w:val="-1"/>
          <w:numId w:val="0"/>
        </w:numPr>
        <w:tabs>
          <w:tab w:val="left" w:pos="1276"/>
        </w:tabs>
        <w:spacing w:before="98"/>
        <w:ind w:left="0" w:firstLine="480" w:firstLineChars="200"/>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2</w:t>
      </w:r>
      <w:r>
        <w:rPr>
          <w:rFonts w:hint="eastAsia"/>
          <w:color w:val="auto"/>
          <w:sz w:val="24"/>
          <w:highlight w:val="none"/>
          <w:lang w:eastAsia="zh-CN"/>
        </w:rPr>
        <w:t>）</w:t>
      </w:r>
      <w:r>
        <w:rPr>
          <w:color w:val="auto"/>
          <w:sz w:val="24"/>
          <w:highlight w:val="none"/>
        </w:rPr>
        <w:t>委托人向监理人承诺，按照本合同约定支付酬金。</w:t>
      </w:r>
    </w:p>
    <w:p>
      <w:pPr>
        <w:pStyle w:val="20"/>
        <w:numPr>
          <w:ilvl w:val="0"/>
          <w:numId w:val="0"/>
        </w:numPr>
        <w:tabs>
          <w:tab w:val="left" w:pos="1276"/>
        </w:tabs>
        <w:spacing w:before="0" w:line="400" w:lineRule="exact"/>
        <w:ind w:left="0" w:firstLine="480" w:firstLineChars="200"/>
        <w:rPr>
          <w:color w:val="auto"/>
          <w:sz w:val="31"/>
          <w:highlight w:val="none"/>
        </w:rPr>
      </w:pPr>
      <w:r>
        <w:rPr>
          <w:rFonts w:hint="eastAsia"/>
          <w:color w:val="auto"/>
          <w:sz w:val="24"/>
          <w:highlight w:val="none"/>
          <w:lang w:eastAsia="zh-CN"/>
        </w:rPr>
        <w:t>（</w:t>
      </w:r>
      <w:r>
        <w:rPr>
          <w:rFonts w:hint="eastAsia"/>
          <w:color w:val="auto"/>
          <w:sz w:val="24"/>
          <w:highlight w:val="none"/>
          <w:lang w:val="en-US" w:eastAsia="zh-CN"/>
        </w:rPr>
        <w:t>3</w:t>
      </w:r>
      <w:r>
        <w:rPr>
          <w:rFonts w:hint="eastAsia"/>
          <w:color w:val="auto"/>
          <w:sz w:val="24"/>
          <w:highlight w:val="none"/>
          <w:lang w:eastAsia="zh-CN"/>
        </w:rPr>
        <w:t>）</w:t>
      </w:r>
      <w:r>
        <w:rPr>
          <w:rFonts w:hint="eastAsia"/>
          <w:bCs/>
          <w:snapToGrid w:val="0"/>
          <w:color w:val="auto"/>
          <w:spacing w:val="-4"/>
          <w:sz w:val="24"/>
          <w:highlight w:val="none"/>
        </w:rPr>
        <w:t>监理人应按委托人通知规定的日期及政府相关文件的规定，向广州公共资源交易中心缴纳交易服务费，交易服务费的金额为中标总金额的</w:t>
      </w:r>
      <w:r>
        <w:rPr>
          <w:bCs/>
          <w:snapToGrid w:val="0"/>
          <w:color w:val="auto"/>
          <w:spacing w:val="-4"/>
          <w:sz w:val="24"/>
          <w:highlight w:val="none"/>
        </w:rPr>
        <w:t>0.9‰。</w:t>
      </w:r>
      <w:r>
        <w:rPr>
          <w:rFonts w:hint="eastAsia"/>
          <w:bCs/>
          <w:snapToGrid w:val="0"/>
          <w:color w:val="auto"/>
          <w:spacing w:val="-4"/>
          <w:sz w:val="24"/>
          <w:highlight w:val="none"/>
        </w:rPr>
        <w:t>上述费用在监理人第一次请款时一并申请</w:t>
      </w:r>
      <w:r>
        <w:rPr>
          <w:color w:val="auto"/>
          <w:sz w:val="24"/>
          <w:highlight w:val="none"/>
        </w:rPr>
        <w:t>。</w:t>
      </w:r>
    </w:p>
    <w:p>
      <w:pPr>
        <w:pStyle w:val="12"/>
        <w:ind w:left="705" w:firstLine="0"/>
        <w:rPr>
          <w:color w:val="auto"/>
          <w:highlight w:val="none"/>
        </w:rPr>
      </w:pPr>
      <w:r>
        <w:rPr>
          <w:color w:val="auto"/>
          <w:highlight w:val="none"/>
        </w:rPr>
        <w:t>十、合同的生效与终止</w:t>
      </w:r>
    </w:p>
    <w:p>
      <w:pPr>
        <w:pStyle w:val="3"/>
        <w:spacing w:before="96" w:line="316" w:lineRule="auto"/>
        <w:ind w:left="0" w:right="233" w:firstLine="480" w:firstLineChars="200"/>
        <w:rPr>
          <w:color w:val="auto"/>
          <w:highlight w:val="none"/>
        </w:rPr>
      </w:pPr>
      <w:r>
        <w:rPr>
          <w:color w:val="auto"/>
          <w:highlight w:val="none"/>
        </w:rPr>
        <w:t>本合同自委托人、监理人双方代表签字并加盖公章后生效。以下三个条件均满足后， 双方终止本合同的执行：</w:t>
      </w:r>
    </w:p>
    <w:p>
      <w:pPr>
        <w:pStyle w:val="20"/>
        <w:numPr>
          <w:ilvl w:val="-1"/>
          <w:numId w:val="0"/>
        </w:numPr>
        <w:tabs>
          <w:tab w:val="left" w:pos="1185"/>
        </w:tabs>
        <w:spacing w:line="305" w:lineRule="exact"/>
        <w:ind w:left="0" w:firstLine="480" w:firstLineChars="200"/>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1</w:t>
      </w:r>
      <w:r>
        <w:rPr>
          <w:rFonts w:hint="eastAsia"/>
          <w:color w:val="auto"/>
          <w:sz w:val="24"/>
          <w:highlight w:val="none"/>
          <w:lang w:eastAsia="zh-CN"/>
        </w:rPr>
        <w:t>）</w:t>
      </w:r>
      <w:r>
        <w:rPr>
          <w:color w:val="auto"/>
          <w:sz w:val="24"/>
          <w:highlight w:val="none"/>
        </w:rPr>
        <w:t>本合同工程质量保修期届满；</w:t>
      </w:r>
    </w:p>
    <w:p>
      <w:pPr>
        <w:pStyle w:val="20"/>
        <w:numPr>
          <w:ilvl w:val="-1"/>
          <w:numId w:val="0"/>
        </w:numPr>
        <w:tabs>
          <w:tab w:val="left" w:pos="1185"/>
        </w:tabs>
        <w:spacing w:before="98"/>
        <w:ind w:left="0" w:firstLine="480" w:firstLineChars="200"/>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2</w:t>
      </w:r>
      <w:r>
        <w:rPr>
          <w:rFonts w:hint="eastAsia"/>
          <w:color w:val="auto"/>
          <w:sz w:val="24"/>
          <w:highlight w:val="none"/>
          <w:lang w:eastAsia="zh-CN"/>
        </w:rPr>
        <w:t>）</w:t>
      </w:r>
      <w:r>
        <w:rPr>
          <w:color w:val="auto"/>
          <w:sz w:val="24"/>
          <w:highlight w:val="none"/>
        </w:rPr>
        <w:t>本合同工程竣工结算经终审部门审定之日起届满 60 日；</w:t>
      </w:r>
    </w:p>
    <w:p>
      <w:pPr>
        <w:pStyle w:val="20"/>
        <w:numPr>
          <w:ilvl w:val="-1"/>
          <w:numId w:val="0"/>
        </w:numPr>
        <w:tabs>
          <w:tab w:val="left" w:pos="1185"/>
        </w:tabs>
        <w:spacing w:before="98"/>
        <w:ind w:left="0" w:firstLine="480" w:firstLineChars="200"/>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3</w:t>
      </w:r>
      <w:r>
        <w:rPr>
          <w:rFonts w:hint="eastAsia"/>
          <w:color w:val="auto"/>
          <w:sz w:val="24"/>
          <w:highlight w:val="none"/>
          <w:lang w:eastAsia="zh-CN"/>
        </w:rPr>
        <w:t>）</w:t>
      </w:r>
      <w:r>
        <w:rPr>
          <w:color w:val="auto"/>
          <w:sz w:val="24"/>
          <w:highlight w:val="none"/>
        </w:rPr>
        <w:t>双方在本合同项下的责任承担、义务履行均告完毕。</w:t>
      </w:r>
    </w:p>
    <w:p>
      <w:pPr>
        <w:pStyle w:val="3"/>
        <w:ind w:left="0"/>
        <w:rPr>
          <w:color w:val="auto"/>
          <w:highlight w:val="none"/>
        </w:rPr>
      </w:pPr>
    </w:p>
    <w:p>
      <w:pPr>
        <w:pStyle w:val="12"/>
        <w:spacing w:before="194"/>
        <w:ind w:left="705" w:firstLine="0"/>
        <w:rPr>
          <w:color w:val="auto"/>
          <w:highlight w:val="none"/>
        </w:rPr>
      </w:pPr>
      <w:r>
        <w:rPr>
          <w:color w:val="auto"/>
          <w:highlight w:val="none"/>
        </w:rPr>
        <w:t>十一、合同文本的份数</w:t>
      </w:r>
    </w:p>
    <w:p>
      <w:pPr>
        <w:pStyle w:val="3"/>
        <w:spacing w:before="96"/>
        <w:ind w:left="703"/>
        <w:rPr>
          <w:color w:val="auto"/>
          <w:highlight w:val="none"/>
        </w:rPr>
      </w:pPr>
      <w:r>
        <w:rPr>
          <w:color w:val="auto"/>
          <w:highlight w:val="none"/>
        </w:rPr>
        <w:t>本合同一式</w:t>
      </w:r>
      <w:r>
        <w:rPr>
          <w:rFonts w:hint="eastAsia"/>
          <w:color w:val="auto"/>
          <w:highlight w:val="none"/>
        </w:rPr>
        <w:t>二</w:t>
      </w:r>
      <w:r>
        <w:rPr>
          <w:color w:val="auto"/>
          <w:highlight w:val="none"/>
        </w:rPr>
        <w:t>十二份，委托人执十</w:t>
      </w:r>
      <w:r>
        <w:rPr>
          <w:rFonts w:hint="eastAsia"/>
          <w:color w:val="auto"/>
          <w:highlight w:val="none"/>
        </w:rPr>
        <w:t>六</w:t>
      </w:r>
      <w:r>
        <w:rPr>
          <w:color w:val="auto"/>
          <w:highlight w:val="none"/>
        </w:rPr>
        <w:t>份，监理人执</w:t>
      </w:r>
      <w:r>
        <w:rPr>
          <w:rFonts w:hint="eastAsia"/>
          <w:color w:val="auto"/>
          <w:highlight w:val="none"/>
        </w:rPr>
        <w:t>六</w:t>
      </w:r>
      <w:r>
        <w:rPr>
          <w:color w:val="auto"/>
          <w:highlight w:val="none"/>
        </w:rPr>
        <w:t>份。</w:t>
      </w:r>
    </w:p>
    <w:p>
      <w:pPr>
        <w:pStyle w:val="3"/>
        <w:ind w:left="0"/>
        <w:rPr>
          <w:color w:val="auto"/>
          <w:highlight w:val="none"/>
        </w:rPr>
      </w:pPr>
    </w:p>
    <w:p>
      <w:pPr>
        <w:pStyle w:val="3"/>
        <w:tabs>
          <w:tab w:val="left" w:pos="5023"/>
          <w:tab w:val="left" w:pos="8263"/>
        </w:tabs>
        <w:spacing w:before="193"/>
        <w:ind w:left="343"/>
        <w:rPr>
          <w:rFonts w:ascii="Times New Roman"/>
          <w:color w:val="auto"/>
          <w:highlight w:val="none"/>
        </w:rPr>
      </w:pPr>
      <w:r>
        <w:rPr>
          <w:color w:val="auto"/>
          <w:highlight w:val="none"/>
        </w:rPr>
        <w:t>委托人：</w:t>
      </w:r>
      <w:r>
        <w:rPr>
          <w:color w:val="auto"/>
          <w:highlight w:val="none"/>
          <w:u w:val="single"/>
        </w:rPr>
        <w:t>广东省代建项目管理局</w:t>
      </w:r>
      <w:r>
        <w:rPr>
          <w:color w:val="auto"/>
          <w:highlight w:val="none"/>
        </w:rPr>
        <w:tab/>
      </w:r>
      <w:r>
        <w:rPr>
          <w:color w:val="auto"/>
          <w:highlight w:val="none"/>
        </w:rPr>
        <w:t>监理人：</w:t>
      </w:r>
      <w:r>
        <w:rPr>
          <w:rFonts w:ascii="Times New Roman" w:eastAsia="Times New Roman"/>
          <w:color w:val="auto"/>
          <w:highlight w:val="none"/>
          <w:u w:val="single"/>
        </w:rPr>
        <w:t xml:space="preserve"> </w:t>
      </w:r>
      <w:r>
        <w:rPr>
          <w:rFonts w:hint="eastAsia" w:ascii="Times New Roman"/>
          <w:color w:val="auto"/>
          <w:highlight w:val="none"/>
          <w:u w:val="single"/>
          <w:lang w:val="en-US" w:eastAsia="zh-CN"/>
        </w:rPr>
        <w:t xml:space="preserve">                        </w:t>
      </w:r>
      <w:r>
        <w:rPr>
          <w:rFonts w:hint="eastAsia" w:ascii="Times New Roman"/>
          <w:color w:val="auto"/>
          <w:highlight w:val="none"/>
          <w:u w:val="single"/>
          <w:lang w:val="en-US"/>
        </w:rPr>
        <w:t xml:space="preserve"> </w:t>
      </w:r>
    </w:p>
    <w:p>
      <w:pPr>
        <w:pStyle w:val="3"/>
        <w:tabs>
          <w:tab w:val="left" w:pos="8143"/>
        </w:tabs>
        <w:spacing w:before="99"/>
        <w:ind w:left="2503"/>
        <w:rPr>
          <w:color w:val="auto"/>
          <w:highlight w:val="none"/>
        </w:rPr>
      </w:pPr>
      <w:r>
        <w:rPr>
          <w:color w:val="auto"/>
          <w:highlight w:val="none"/>
        </w:rPr>
        <w:t>（盖章）</w:t>
      </w:r>
      <w:r>
        <w:rPr>
          <w:color w:val="auto"/>
          <w:highlight w:val="none"/>
        </w:rPr>
        <w:tab/>
      </w:r>
      <w:r>
        <w:rPr>
          <w:color w:val="auto"/>
          <w:highlight w:val="none"/>
        </w:rPr>
        <w:t>（盖章）</w:t>
      </w:r>
    </w:p>
    <w:p>
      <w:pPr>
        <w:pStyle w:val="3"/>
        <w:ind w:left="0"/>
        <w:rPr>
          <w:color w:val="auto"/>
          <w:highlight w:val="none"/>
        </w:rPr>
      </w:pPr>
    </w:p>
    <w:p>
      <w:pPr>
        <w:pStyle w:val="3"/>
        <w:tabs>
          <w:tab w:val="left" w:pos="5023"/>
        </w:tabs>
        <w:spacing w:before="193"/>
        <w:ind w:left="343"/>
        <w:rPr>
          <w:color w:val="auto"/>
          <w:highlight w:val="none"/>
        </w:rPr>
      </w:pPr>
      <w:r>
        <w:rPr>
          <w:color w:val="auto"/>
          <w:highlight w:val="none"/>
        </w:rPr>
        <w:t>法定代表人：</w:t>
      </w:r>
      <w:r>
        <w:rPr>
          <w:color w:val="auto"/>
          <w:highlight w:val="none"/>
        </w:rPr>
        <w:tab/>
      </w:r>
      <w:r>
        <w:rPr>
          <w:color w:val="auto"/>
          <w:highlight w:val="none"/>
        </w:rPr>
        <w:t>法定代表人：</w:t>
      </w:r>
    </w:p>
    <w:p>
      <w:pPr>
        <w:pStyle w:val="3"/>
        <w:tabs>
          <w:tab w:val="left" w:pos="5023"/>
        </w:tabs>
        <w:spacing w:before="40"/>
        <w:ind w:left="343"/>
        <w:rPr>
          <w:color w:val="auto"/>
          <w:highlight w:val="none"/>
        </w:rPr>
      </w:pPr>
      <w:r>
        <w:rPr>
          <w:color w:val="auto"/>
          <w:highlight w:val="none"/>
        </w:rPr>
        <w:t>委托代理人：</w:t>
      </w:r>
      <w:r>
        <w:rPr>
          <w:color w:val="auto"/>
          <w:highlight w:val="none"/>
        </w:rPr>
        <w:tab/>
      </w:r>
      <w:r>
        <w:rPr>
          <w:color w:val="auto"/>
          <w:highlight w:val="none"/>
        </w:rPr>
        <w:t>委托代理人：</w:t>
      </w:r>
    </w:p>
    <w:p>
      <w:pPr>
        <w:pStyle w:val="3"/>
        <w:ind w:left="0"/>
        <w:rPr>
          <w:color w:val="auto"/>
          <w:highlight w:val="none"/>
        </w:rPr>
      </w:pPr>
    </w:p>
    <w:p>
      <w:pPr>
        <w:pStyle w:val="3"/>
        <w:spacing w:before="2"/>
        <w:ind w:left="0"/>
        <w:rPr>
          <w:color w:val="auto"/>
          <w:sz w:val="32"/>
          <w:highlight w:val="none"/>
        </w:rPr>
      </w:pPr>
    </w:p>
    <w:p>
      <w:pPr>
        <w:pStyle w:val="3"/>
        <w:tabs>
          <w:tab w:val="left" w:pos="2923"/>
          <w:tab w:val="left" w:pos="3523"/>
        </w:tabs>
        <w:ind w:left="343"/>
        <w:rPr>
          <w:color w:val="auto"/>
          <w:highlight w:val="none"/>
        </w:rPr>
      </w:pPr>
      <w:bookmarkStart w:id="1" w:name="签订日期：2021年_____月___日"/>
      <w:bookmarkEnd w:id="1"/>
      <w:r>
        <w:rPr>
          <w:color w:val="auto"/>
          <w:highlight w:val="none"/>
        </w:rPr>
        <w:t>签订日期：</w:t>
      </w:r>
      <w:r>
        <w:rPr>
          <w:color w:val="auto"/>
          <w:highlight w:val="none"/>
          <w:u w:val="single"/>
        </w:rPr>
        <w:t>20</w:t>
      </w:r>
      <w:r>
        <w:rPr>
          <w:rFonts w:hint="eastAsia"/>
          <w:color w:val="auto"/>
          <w:highlight w:val="none"/>
          <w:u w:val="single"/>
          <w:lang w:val="en-US" w:eastAsia="zh-CN"/>
        </w:rPr>
        <w:t xml:space="preserve">   </w:t>
      </w:r>
      <w:r>
        <w:rPr>
          <w:rFonts w:hint="eastAsia"/>
          <w:color w:val="auto"/>
          <w:highlight w:val="none"/>
          <w:u w:val="single"/>
          <w:lang w:val="en-US"/>
        </w:rPr>
        <w:t xml:space="preserve"> </w:t>
      </w:r>
      <w:r>
        <w:rPr>
          <w:color w:val="auto"/>
          <w:highlight w:val="none"/>
        </w:rPr>
        <w:t>年</w:t>
      </w:r>
      <w:r>
        <w:rPr>
          <w:rFonts w:hint="eastAsia"/>
          <w:color w:val="auto"/>
          <w:highlight w:val="none"/>
          <w:u w:val="single"/>
          <w:lang w:val="en-US" w:eastAsia="zh-CN"/>
        </w:rPr>
        <w:t xml:space="preserve">    </w:t>
      </w:r>
      <w:r>
        <w:rPr>
          <w:color w:val="auto"/>
          <w:highlight w:val="none"/>
        </w:rPr>
        <w:t>月</w:t>
      </w:r>
      <w:r>
        <w:rPr>
          <w:rFonts w:hint="eastAsia"/>
          <w:color w:val="auto"/>
          <w:highlight w:val="none"/>
          <w:u w:val="single"/>
          <w:lang w:val="en-US" w:eastAsia="zh-CN"/>
        </w:rPr>
        <w:t xml:space="preserve">    </w:t>
      </w:r>
      <w:r>
        <w:rPr>
          <w:color w:val="auto"/>
          <w:highlight w:val="none"/>
        </w:rPr>
        <w:t>日</w:t>
      </w:r>
    </w:p>
    <w:p>
      <w:pPr>
        <w:rPr>
          <w:color w:val="auto"/>
          <w:highlight w:val="none"/>
        </w:rPr>
        <w:sectPr>
          <w:pgSz w:w="11910" w:h="16840"/>
          <w:pgMar w:top="1480" w:right="900" w:bottom="1180" w:left="1080" w:header="0" w:footer="917" w:gutter="0"/>
          <w:cols w:space="720" w:num="1"/>
        </w:sectPr>
      </w:pPr>
    </w:p>
    <w:p>
      <w:pPr>
        <w:tabs>
          <w:tab w:val="left" w:pos="2207"/>
        </w:tabs>
        <w:spacing w:before="16"/>
        <w:ind w:right="15"/>
        <w:jc w:val="center"/>
        <w:rPr>
          <w:b/>
          <w:color w:val="auto"/>
          <w:sz w:val="44"/>
          <w:highlight w:val="none"/>
        </w:rPr>
      </w:pPr>
      <w:bookmarkStart w:id="2" w:name="_TOC_250002"/>
      <w:bookmarkEnd w:id="2"/>
      <w:r>
        <w:rPr>
          <w:b/>
          <w:color w:val="auto"/>
          <w:sz w:val="44"/>
          <w:highlight w:val="none"/>
        </w:rPr>
        <w:t>第二部分</w:t>
      </w:r>
      <w:r>
        <w:rPr>
          <w:b/>
          <w:color w:val="auto"/>
          <w:sz w:val="44"/>
          <w:highlight w:val="none"/>
        </w:rPr>
        <w:tab/>
      </w:r>
      <w:r>
        <w:rPr>
          <w:b/>
          <w:color w:val="auto"/>
          <w:sz w:val="44"/>
          <w:highlight w:val="none"/>
        </w:rPr>
        <w:t>通用条款</w:t>
      </w:r>
    </w:p>
    <w:p>
      <w:pPr>
        <w:pStyle w:val="3"/>
        <w:ind w:left="0"/>
        <w:rPr>
          <w:b/>
          <w:color w:val="auto"/>
          <w:sz w:val="20"/>
          <w:highlight w:val="none"/>
        </w:rPr>
      </w:pPr>
    </w:p>
    <w:p>
      <w:pPr>
        <w:pStyle w:val="3"/>
        <w:ind w:left="0"/>
        <w:rPr>
          <w:b/>
          <w:color w:val="auto"/>
          <w:sz w:val="20"/>
          <w:highlight w:val="none"/>
        </w:rPr>
      </w:pPr>
    </w:p>
    <w:p>
      <w:pPr>
        <w:pStyle w:val="3"/>
        <w:spacing w:before="6"/>
        <w:ind w:left="0"/>
        <w:rPr>
          <w:b/>
          <w:color w:val="auto"/>
          <w:sz w:val="26"/>
          <w:highlight w:val="none"/>
        </w:rPr>
      </w:pPr>
    </w:p>
    <w:p>
      <w:pPr>
        <w:pStyle w:val="11"/>
        <w:numPr>
          <w:ilvl w:val="0"/>
          <w:numId w:val="5"/>
        </w:numPr>
        <w:tabs>
          <w:tab w:val="left" w:pos="507"/>
        </w:tabs>
        <w:spacing w:before="62"/>
        <w:rPr>
          <w:color w:val="auto"/>
          <w:highlight w:val="none"/>
        </w:rPr>
      </w:pPr>
      <w:r>
        <w:rPr>
          <w:color w:val="auto"/>
          <w:highlight w:val="none"/>
        </w:rPr>
        <w:t>定义与解释</w:t>
      </w:r>
    </w:p>
    <w:p>
      <w:pPr>
        <w:pStyle w:val="3"/>
        <w:spacing w:before="10"/>
        <w:ind w:left="0"/>
        <w:rPr>
          <w:b/>
          <w:color w:val="auto"/>
          <w:sz w:val="20"/>
          <w:highlight w:val="none"/>
        </w:rPr>
      </w:pPr>
    </w:p>
    <w:p>
      <w:pPr>
        <w:pStyle w:val="20"/>
        <w:numPr>
          <w:ilvl w:val="1"/>
          <w:numId w:val="5"/>
        </w:numPr>
        <w:tabs>
          <w:tab w:val="left" w:pos="984"/>
        </w:tabs>
        <w:spacing w:before="1"/>
        <w:rPr>
          <w:color w:val="auto"/>
          <w:sz w:val="24"/>
          <w:highlight w:val="none"/>
        </w:rPr>
      </w:pPr>
      <w:r>
        <w:rPr>
          <w:color w:val="auto"/>
          <w:sz w:val="24"/>
          <w:highlight w:val="none"/>
        </w:rPr>
        <w:t>定义</w:t>
      </w:r>
    </w:p>
    <w:p>
      <w:pPr>
        <w:pStyle w:val="3"/>
        <w:spacing w:before="81" w:line="362" w:lineRule="auto"/>
        <w:ind w:right="233" w:firstLine="480"/>
        <w:rPr>
          <w:color w:val="auto"/>
          <w:highlight w:val="none"/>
        </w:rPr>
      </w:pPr>
      <w:r>
        <w:rPr>
          <w:color w:val="auto"/>
          <w:highlight w:val="none"/>
        </w:rPr>
        <w:t>除根据上下文另有其意义外，组成本合同的全部文件中的下列名词和用语应具有本款所赋予的含义：</w:t>
      </w:r>
    </w:p>
    <w:p>
      <w:pPr>
        <w:pStyle w:val="20"/>
        <w:numPr>
          <w:ilvl w:val="2"/>
          <w:numId w:val="5"/>
        </w:numPr>
        <w:tabs>
          <w:tab w:val="left" w:pos="1305"/>
        </w:tabs>
        <w:spacing w:before="5"/>
        <w:ind w:hanging="602"/>
        <w:rPr>
          <w:color w:val="auto"/>
          <w:sz w:val="24"/>
          <w:highlight w:val="none"/>
        </w:rPr>
      </w:pPr>
      <w:r>
        <w:rPr>
          <w:color w:val="auto"/>
          <w:sz w:val="24"/>
          <w:highlight w:val="none"/>
        </w:rPr>
        <w:t>“工程”是指按照本合同约定实施监理与相关服务的建设工程。</w:t>
      </w:r>
    </w:p>
    <w:p>
      <w:pPr>
        <w:pStyle w:val="20"/>
        <w:numPr>
          <w:ilvl w:val="2"/>
          <w:numId w:val="5"/>
        </w:numPr>
        <w:tabs>
          <w:tab w:val="left" w:pos="1305"/>
        </w:tabs>
        <w:spacing w:before="158" w:line="364" w:lineRule="auto"/>
        <w:ind w:left="223" w:right="233" w:firstLine="480"/>
        <w:rPr>
          <w:color w:val="auto"/>
          <w:sz w:val="24"/>
          <w:highlight w:val="none"/>
        </w:rPr>
      </w:pPr>
      <w:r>
        <w:rPr>
          <w:color w:val="auto"/>
          <w:sz w:val="24"/>
          <w:highlight w:val="none"/>
        </w:rPr>
        <w:t>“委托人”是指本合同中委托监理与相关服务的一方，及其合法的继承人或受让人。</w:t>
      </w:r>
    </w:p>
    <w:p>
      <w:pPr>
        <w:pStyle w:val="20"/>
        <w:numPr>
          <w:ilvl w:val="2"/>
          <w:numId w:val="5"/>
        </w:numPr>
        <w:tabs>
          <w:tab w:val="left" w:pos="1305"/>
        </w:tabs>
        <w:spacing w:line="306" w:lineRule="exact"/>
        <w:ind w:hanging="602"/>
        <w:rPr>
          <w:color w:val="auto"/>
          <w:sz w:val="24"/>
          <w:highlight w:val="none"/>
        </w:rPr>
      </w:pPr>
      <w:r>
        <w:rPr>
          <w:color w:val="auto"/>
          <w:sz w:val="24"/>
          <w:highlight w:val="none"/>
        </w:rPr>
        <w:t>“监理人”是指本合同中提供监理与相关服务的一方，及其合法的继承人。</w:t>
      </w:r>
    </w:p>
    <w:p>
      <w:pPr>
        <w:pStyle w:val="20"/>
        <w:numPr>
          <w:ilvl w:val="2"/>
          <w:numId w:val="5"/>
        </w:numPr>
        <w:tabs>
          <w:tab w:val="left" w:pos="1305"/>
        </w:tabs>
        <w:spacing w:before="160" w:line="362" w:lineRule="auto"/>
        <w:ind w:left="223" w:right="230" w:firstLine="480"/>
        <w:rPr>
          <w:color w:val="auto"/>
          <w:sz w:val="24"/>
          <w:highlight w:val="none"/>
        </w:rPr>
      </w:pPr>
      <w:r>
        <w:rPr>
          <w:color w:val="auto"/>
          <w:sz w:val="24"/>
          <w:highlight w:val="none"/>
        </w:rPr>
        <w:t>“承包人”是指在工程范围内与委托人签订勘察、设计、施工等有关合同的当事人，及其合法的继承人。</w:t>
      </w:r>
    </w:p>
    <w:p>
      <w:pPr>
        <w:pStyle w:val="20"/>
        <w:numPr>
          <w:ilvl w:val="2"/>
          <w:numId w:val="5"/>
        </w:numPr>
        <w:tabs>
          <w:tab w:val="left" w:pos="1305"/>
        </w:tabs>
        <w:spacing w:before="5" w:line="364" w:lineRule="auto"/>
        <w:ind w:left="223" w:right="113" w:firstLine="480"/>
        <w:rPr>
          <w:color w:val="auto"/>
          <w:sz w:val="24"/>
          <w:highlight w:val="none"/>
        </w:rPr>
      </w:pPr>
      <w:r>
        <w:rPr>
          <w:color w:val="auto"/>
          <w:sz w:val="24"/>
          <w:highlight w:val="none"/>
        </w:rPr>
        <w:t>“监理”是指监理人受委托人的委托，依照法律法规、工程建设标准、勘察设计文件及合同，在施工阶段对建设工程质量、进度、造价进行控制，对合同、信息进行管理， 对工程建设相关方的关系进行协调，并履行建设工程安全生产管理法定职责的服务活动。</w:t>
      </w:r>
    </w:p>
    <w:p>
      <w:pPr>
        <w:pStyle w:val="20"/>
        <w:numPr>
          <w:ilvl w:val="2"/>
          <w:numId w:val="5"/>
        </w:numPr>
        <w:tabs>
          <w:tab w:val="left" w:pos="1305"/>
        </w:tabs>
        <w:spacing w:line="364" w:lineRule="auto"/>
        <w:ind w:left="223" w:right="235" w:firstLine="480"/>
        <w:rPr>
          <w:color w:val="auto"/>
          <w:sz w:val="24"/>
          <w:highlight w:val="none"/>
        </w:rPr>
      </w:pPr>
      <w:r>
        <w:rPr>
          <w:color w:val="auto"/>
          <w:sz w:val="24"/>
          <w:highlight w:val="none"/>
        </w:rPr>
        <w:t>“相关服务”是指监理人受委托人的委托，按照本合同约定，在勘察、设计、保修等阶段提供的服务活动。</w:t>
      </w:r>
    </w:p>
    <w:p>
      <w:pPr>
        <w:pStyle w:val="20"/>
        <w:numPr>
          <w:ilvl w:val="2"/>
          <w:numId w:val="5"/>
        </w:numPr>
        <w:tabs>
          <w:tab w:val="left" w:pos="1305"/>
        </w:tabs>
        <w:ind w:hanging="602"/>
        <w:rPr>
          <w:color w:val="auto"/>
          <w:sz w:val="24"/>
          <w:highlight w:val="none"/>
        </w:rPr>
      </w:pPr>
      <w:r>
        <w:rPr>
          <w:color w:val="auto"/>
          <w:sz w:val="24"/>
          <w:highlight w:val="none"/>
        </w:rPr>
        <w:t>“正常工作”指本合同订立时通用条款和专用条款中约定的监理人的工作。</w:t>
      </w:r>
    </w:p>
    <w:p>
      <w:pPr>
        <w:pStyle w:val="20"/>
        <w:numPr>
          <w:ilvl w:val="2"/>
          <w:numId w:val="5"/>
        </w:numPr>
        <w:tabs>
          <w:tab w:val="left" w:pos="1305"/>
        </w:tabs>
        <w:spacing w:before="157"/>
        <w:ind w:hanging="602"/>
        <w:rPr>
          <w:color w:val="auto"/>
          <w:sz w:val="24"/>
          <w:highlight w:val="none"/>
        </w:rPr>
      </w:pPr>
      <w:r>
        <w:rPr>
          <w:color w:val="auto"/>
          <w:sz w:val="24"/>
          <w:highlight w:val="none"/>
        </w:rPr>
        <w:t>“附加工作”是指本合同约定的正常工作以外监理人的工作。</w:t>
      </w:r>
    </w:p>
    <w:p>
      <w:pPr>
        <w:pStyle w:val="20"/>
        <w:numPr>
          <w:ilvl w:val="2"/>
          <w:numId w:val="5"/>
        </w:numPr>
        <w:tabs>
          <w:tab w:val="left" w:pos="1305"/>
        </w:tabs>
        <w:spacing w:before="160"/>
        <w:ind w:hanging="602"/>
        <w:rPr>
          <w:color w:val="auto"/>
          <w:sz w:val="24"/>
          <w:highlight w:val="none"/>
        </w:rPr>
      </w:pPr>
      <w:r>
        <w:rPr>
          <w:color w:val="auto"/>
          <w:sz w:val="24"/>
          <w:highlight w:val="none"/>
        </w:rPr>
        <w:t>“项目监理机构”是指监理人派驻工程负责履行本合同的组织机构。</w:t>
      </w:r>
    </w:p>
    <w:p>
      <w:pPr>
        <w:pStyle w:val="20"/>
        <w:numPr>
          <w:ilvl w:val="2"/>
          <w:numId w:val="5"/>
        </w:numPr>
        <w:tabs>
          <w:tab w:val="left" w:pos="1425"/>
        </w:tabs>
        <w:spacing w:before="158" w:line="364" w:lineRule="auto"/>
        <w:ind w:left="223" w:right="115" w:firstLine="480"/>
        <w:rPr>
          <w:color w:val="auto"/>
          <w:sz w:val="24"/>
          <w:highlight w:val="none"/>
        </w:rPr>
      </w:pPr>
      <w:r>
        <w:rPr>
          <w:color w:val="auto"/>
          <w:sz w:val="24"/>
          <w:highlight w:val="none"/>
        </w:rPr>
        <w:t>“总监理工程师”是指由监理人的法定代表人书面授权，全面负责履行本合同、主持项目监理机构工作的注册监理工程师。</w:t>
      </w:r>
    </w:p>
    <w:p>
      <w:pPr>
        <w:pStyle w:val="20"/>
        <w:numPr>
          <w:ilvl w:val="2"/>
          <w:numId w:val="5"/>
        </w:numPr>
        <w:tabs>
          <w:tab w:val="left" w:pos="1532"/>
        </w:tabs>
        <w:spacing w:line="364" w:lineRule="auto"/>
        <w:ind w:left="223" w:right="233" w:firstLine="480"/>
        <w:rPr>
          <w:color w:val="auto"/>
          <w:sz w:val="24"/>
          <w:highlight w:val="none"/>
        </w:rPr>
      </w:pPr>
      <w:r>
        <w:rPr>
          <w:color w:val="auto"/>
          <w:sz w:val="24"/>
          <w:highlight w:val="none"/>
        </w:rPr>
        <w:t>总监理工程师代表：指由总监理工程师授权，代表总监理工程师行使其部分职责和权力的注册监理工程师。</w:t>
      </w:r>
    </w:p>
    <w:p>
      <w:pPr>
        <w:pStyle w:val="20"/>
        <w:numPr>
          <w:ilvl w:val="2"/>
          <w:numId w:val="5"/>
        </w:numPr>
        <w:tabs>
          <w:tab w:val="left" w:pos="1532"/>
        </w:tabs>
        <w:spacing w:line="364" w:lineRule="auto"/>
        <w:ind w:left="223" w:right="233" w:firstLine="480"/>
        <w:rPr>
          <w:color w:val="auto"/>
          <w:sz w:val="24"/>
          <w:highlight w:val="none"/>
        </w:rPr>
      </w:pPr>
      <w:r>
        <w:rPr>
          <w:color w:val="auto"/>
          <w:sz w:val="24"/>
          <w:highlight w:val="none"/>
        </w:rPr>
        <w:t>注册监理工程师：指取得国务院建设主管部门颁发的《中华人民共和国注册监理工程师注册执业证书》和执业印章，从事建设工程监理与相关服务等活动的人员。</w:t>
      </w:r>
    </w:p>
    <w:p>
      <w:pPr>
        <w:pStyle w:val="20"/>
        <w:numPr>
          <w:ilvl w:val="2"/>
          <w:numId w:val="5"/>
        </w:numPr>
        <w:tabs>
          <w:tab w:val="left" w:pos="1532"/>
        </w:tabs>
        <w:spacing w:line="364" w:lineRule="auto"/>
        <w:ind w:left="223" w:right="233" w:firstLine="480"/>
        <w:rPr>
          <w:color w:val="auto"/>
          <w:sz w:val="24"/>
          <w:highlight w:val="none"/>
        </w:rPr>
      </w:pPr>
      <w:r>
        <w:rPr>
          <w:color w:val="auto"/>
          <w:sz w:val="24"/>
          <w:highlight w:val="none"/>
        </w:rPr>
        <w:t>专业监理工程师：指由总监理工程师授权，负责实施某一专业或某一岗位的监理工作，有相应监理文件签发权的监理人员。</w:t>
      </w:r>
    </w:p>
    <w:p>
      <w:pPr>
        <w:pStyle w:val="20"/>
        <w:numPr>
          <w:ilvl w:val="2"/>
          <w:numId w:val="5"/>
        </w:numPr>
        <w:tabs>
          <w:tab w:val="left" w:pos="1484"/>
        </w:tabs>
        <w:spacing w:line="306" w:lineRule="exact"/>
        <w:ind w:left="1483" w:hanging="781"/>
        <w:rPr>
          <w:color w:val="auto"/>
          <w:sz w:val="24"/>
          <w:highlight w:val="none"/>
        </w:rPr>
      </w:pPr>
      <w:r>
        <w:rPr>
          <w:color w:val="auto"/>
          <w:sz w:val="24"/>
          <w:highlight w:val="none"/>
        </w:rPr>
        <w:t>监理员：指从事具体监理工作的监理人员。</w:t>
      </w:r>
    </w:p>
    <w:p>
      <w:pPr>
        <w:pStyle w:val="20"/>
        <w:numPr>
          <w:ilvl w:val="2"/>
          <w:numId w:val="5"/>
        </w:numPr>
        <w:tabs>
          <w:tab w:val="left" w:pos="1421"/>
        </w:tabs>
        <w:spacing w:before="157"/>
        <w:ind w:left="1420" w:hanging="723"/>
        <w:rPr>
          <w:color w:val="auto"/>
          <w:sz w:val="24"/>
          <w:highlight w:val="none"/>
        </w:rPr>
      </w:pPr>
      <w:r>
        <w:rPr>
          <w:color w:val="auto"/>
          <w:sz w:val="24"/>
          <w:highlight w:val="none"/>
        </w:rPr>
        <w:t>“酬金”是指监理人履行本合同义务，委托人按照本合同约定给付监理人的金</w:t>
      </w:r>
    </w:p>
    <w:p>
      <w:pPr>
        <w:pStyle w:val="3"/>
        <w:spacing w:before="54"/>
        <w:rPr>
          <w:color w:val="auto"/>
          <w:highlight w:val="none"/>
        </w:rPr>
      </w:pPr>
      <w:r>
        <w:rPr>
          <w:color w:val="auto"/>
          <w:highlight w:val="none"/>
        </w:rPr>
        <w:t>额。</w:t>
      </w:r>
    </w:p>
    <w:p>
      <w:pPr>
        <w:pStyle w:val="20"/>
        <w:numPr>
          <w:ilvl w:val="2"/>
          <w:numId w:val="5"/>
        </w:numPr>
        <w:tabs>
          <w:tab w:val="left" w:pos="1421"/>
        </w:tabs>
        <w:spacing w:before="161" w:line="364" w:lineRule="auto"/>
        <w:ind w:left="223" w:right="233" w:firstLine="475"/>
        <w:rPr>
          <w:color w:val="auto"/>
          <w:sz w:val="24"/>
          <w:highlight w:val="none"/>
        </w:rPr>
      </w:pPr>
      <w:r>
        <w:rPr>
          <w:color w:val="auto"/>
          <w:sz w:val="24"/>
          <w:highlight w:val="none"/>
        </w:rPr>
        <w:t>“正常工作酬金”是指监理人完成正常工作，委托人应给付监理人并在协议书中载明的签约酬金额。</w:t>
      </w:r>
    </w:p>
    <w:p>
      <w:pPr>
        <w:pStyle w:val="20"/>
        <w:numPr>
          <w:ilvl w:val="2"/>
          <w:numId w:val="5"/>
        </w:numPr>
        <w:tabs>
          <w:tab w:val="left" w:pos="1420"/>
        </w:tabs>
        <w:spacing w:line="306" w:lineRule="exact"/>
        <w:ind w:left="1419" w:hanging="722"/>
        <w:rPr>
          <w:color w:val="auto"/>
          <w:sz w:val="24"/>
          <w:highlight w:val="none"/>
        </w:rPr>
      </w:pPr>
      <w:r>
        <w:rPr>
          <w:color w:val="auto"/>
          <w:sz w:val="24"/>
          <w:highlight w:val="none"/>
        </w:rPr>
        <w:t>“附加工作酬金”是指监理人完成附加工作，委托人应给付监理人的金额。</w:t>
      </w:r>
    </w:p>
    <w:p>
      <w:pPr>
        <w:pStyle w:val="20"/>
        <w:numPr>
          <w:ilvl w:val="2"/>
          <w:numId w:val="5"/>
        </w:numPr>
        <w:tabs>
          <w:tab w:val="left" w:pos="1426"/>
        </w:tabs>
        <w:spacing w:before="160" w:line="362" w:lineRule="auto"/>
        <w:ind w:left="223" w:right="233" w:firstLine="480"/>
        <w:rPr>
          <w:color w:val="auto"/>
          <w:sz w:val="24"/>
          <w:highlight w:val="none"/>
        </w:rPr>
      </w:pPr>
      <w:r>
        <w:rPr>
          <w:color w:val="auto"/>
          <w:sz w:val="24"/>
          <w:highlight w:val="none"/>
        </w:rPr>
        <w:t>“一方”是指委托人或监理人；“双方”是指委托人和监理人；“第三方”是指除委托人和监理人以外的有关方。</w:t>
      </w:r>
    </w:p>
    <w:p>
      <w:pPr>
        <w:pStyle w:val="20"/>
        <w:numPr>
          <w:ilvl w:val="2"/>
          <w:numId w:val="5"/>
        </w:numPr>
        <w:tabs>
          <w:tab w:val="left" w:pos="1426"/>
        </w:tabs>
        <w:spacing w:before="5" w:line="362" w:lineRule="auto"/>
        <w:ind w:left="223" w:right="233" w:firstLine="480"/>
        <w:rPr>
          <w:color w:val="auto"/>
          <w:sz w:val="24"/>
          <w:highlight w:val="none"/>
        </w:rPr>
      </w:pPr>
      <w:r>
        <w:rPr>
          <w:color w:val="auto"/>
          <w:sz w:val="24"/>
          <w:highlight w:val="none"/>
        </w:rPr>
        <w:t>“书面形式”是指合同书、信件和数据电文（包括电报、电传、传真、电子数据交换和电子邮件）等可以有形地表现所载内容的形式。</w:t>
      </w:r>
    </w:p>
    <w:p>
      <w:pPr>
        <w:pStyle w:val="20"/>
        <w:numPr>
          <w:ilvl w:val="2"/>
          <w:numId w:val="5"/>
        </w:numPr>
        <w:tabs>
          <w:tab w:val="left" w:pos="1425"/>
        </w:tabs>
        <w:spacing w:before="5"/>
        <w:ind w:left="1424" w:hanging="722"/>
        <w:rPr>
          <w:color w:val="auto"/>
          <w:sz w:val="24"/>
          <w:highlight w:val="none"/>
        </w:rPr>
      </w:pPr>
      <w:r>
        <w:rPr>
          <w:color w:val="auto"/>
          <w:sz w:val="24"/>
          <w:highlight w:val="none"/>
        </w:rPr>
        <w:t>“天”是指第一天零时至第二天零时的时间。</w:t>
      </w:r>
    </w:p>
    <w:p>
      <w:pPr>
        <w:pStyle w:val="20"/>
        <w:numPr>
          <w:ilvl w:val="2"/>
          <w:numId w:val="5"/>
        </w:numPr>
        <w:tabs>
          <w:tab w:val="left" w:pos="1425"/>
        </w:tabs>
        <w:spacing w:before="158"/>
        <w:ind w:left="1424" w:hanging="722"/>
        <w:rPr>
          <w:color w:val="auto"/>
          <w:sz w:val="24"/>
          <w:highlight w:val="none"/>
        </w:rPr>
      </w:pPr>
      <w:r>
        <w:rPr>
          <w:color w:val="auto"/>
          <w:sz w:val="24"/>
          <w:highlight w:val="none"/>
        </w:rPr>
        <w:t>“月”是指按公历从一个月中任何一天开始的一个公历月时间。</w:t>
      </w:r>
    </w:p>
    <w:p>
      <w:pPr>
        <w:pStyle w:val="20"/>
        <w:numPr>
          <w:ilvl w:val="2"/>
          <w:numId w:val="5"/>
        </w:numPr>
        <w:tabs>
          <w:tab w:val="left" w:pos="1426"/>
        </w:tabs>
        <w:spacing w:before="161" w:line="364" w:lineRule="auto"/>
        <w:ind w:left="223" w:right="230" w:firstLine="480"/>
        <w:jc w:val="both"/>
        <w:rPr>
          <w:color w:val="auto"/>
          <w:sz w:val="24"/>
          <w:highlight w:val="none"/>
        </w:rPr>
      </w:pPr>
      <w:r>
        <w:rPr>
          <w:color w:val="auto"/>
          <w:sz w:val="24"/>
          <w:highlight w:val="none"/>
        </w:rPr>
        <w:t>“不可抗力”是指委托人和监理人在订立本合同时不可预见，在工程施工过程中不可避免发生并不能克服的自然灾害和社会性突发事件，如地震、海啸、瘟疫、水灾、骚乱、暴动、战争和专用条款约定的其他情形。</w:t>
      </w:r>
    </w:p>
    <w:p>
      <w:pPr>
        <w:pStyle w:val="20"/>
        <w:numPr>
          <w:ilvl w:val="2"/>
          <w:numId w:val="5"/>
        </w:numPr>
        <w:tabs>
          <w:tab w:val="left" w:pos="1484"/>
        </w:tabs>
        <w:spacing w:line="305" w:lineRule="exact"/>
        <w:ind w:left="1483" w:hanging="781"/>
        <w:jc w:val="both"/>
        <w:rPr>
          <w:color w:val="auto"/>
          <w:sz w:val="24"/>
          <w:highlight w:val="none"/>
        </w:rPr>
      </w:pPr>
      <w:r>
        <w:rPr>
          <w:color w:val="auto"/>
          <w:sz w:val="24"/>
          <w:highlight w:val="none"/>
        </w:rPr>
        <w:t>监理规划：指导项目监理机构全面开展监理工作的纲领性文件。</w:t>
      </w:r>
    </w:p>
    <w:p>
      <w:pPr>
        <w:pStyle w:val="20"/>
        <w:numPr>
          <w:ilvl w:val="2"/>
          <w:numId w:val="5"/>
        </w:numPr>
        <w:tabs>
          <w:tab w:val="left" w:pos="1484"/>
        </w:tabs>
        <w:spacing w:before="160"/>
        <w:ind w:left="1483" w:hanging="781"/>
        <w:rPr>
          <w:color w:val="auto"/>
          <w:sz w:val="24"/>
          <w:highlight w:val="none"/>
        </w:rPr>
      </w:pPr>
      <w:r>
        <w:rPr>
          <w:color w:val="auto"/>
          <w:sz w:val="24"/>
          <w:highlight w:val="none"/>
        </w:rPr>
        <w:t>监理实施细则：指针对某一专业或某一方面监理工作的操作性文件。</w:t>
      </w:r>
    </w:p>
    <w:p>
      <w:pPr>
        <w:pStyle w:val="20"/>
        <w:numPr>
          <w:ilvl w:val="2"/>
          <w:numId w:val="5"/>
        </w:numPr>
        <w:tabs>
          <w:tab w:val="left" w:pos="1532"/>
        </w:tabs>
        <w:spacing w:before="158" w:line="364" w:lineRule="auto"/>
        <w:ind w:left="223" w:right="233" w:firstLine="480"/>
        <w:rPr>
          <w:color w:val="auto"/>
          <w:sz w:val="24"/>
          <w:highlight w:val="none"/>
        </w:rPr>
      </w:pPr>
      <w:r>
        <w:rPr>
          <w:color w:val="auto"/>
          <w:sz w:val="24"/>
          <w:highlight w:val="none"/>
        </w:rPr>
        <w:t>工程变更：指按照施工合同约定的程序对工程在材料、工艺、功能、构造、尺寸、技术指标、工程量及施工方法等方面做出的改变。</w:t>
      </w:r>
    </w:p>
    <w:p>
      <w:pPr>
        <w:pStyle w:val="20"/>
        <w:numPr>
          <w:ilvl w:val="2"/>
          <w:numId w:val="5"/>
        </w:numPr>
        <w:tabs>
          <w:tab w:val="left" w:pos="1532"/>
        </w:tabs>
        <w:spacing w:before="1" w:line="362" w:lineRule="auto"/>
        <w:ind w:left="223" w:right="233" w:firstLine="480"/>
        <w:rPr>
          <w:color w:val="auto"/>
          <w:sz w:val="24"/>
          <w:highlight w:val="none"/>
        </w:rPr>
      </w:pPr>
      <w:r>
        <w:rPr>
          <w:color w:val="auto"/>
          <w:sz w:val="24"/>
          <w:highlight w:val="none"/>
        </w:rPr>
        <w:t>旁站：指监理人员在施工现场对工程实体关键部位或关键工序的施工质量进行的监督检查活动。</w:t>
      </w:r>
    </w:p>
    <w:p>
      <w:pPr>
        <w:pStyle w:val="20"/>
        <w:numPr>
          <w:ilvl w:val="2"/>
          <w:numId w:val="5"/>
        </w:numPr>
        <w:tabs>
          <w:tab w:val="left" w:pos="1484"/>
        </w:tabs>
        <w:spacing w:before="5"/>
        <w:ind w:left="1483" w:hanging="781"/>
        <w:rPr>
          <w:color w:val="auto"/>
          <w:sz w:val="24"/>
          <w:highlight w:val="none"/>
        </w:rPr>
      </w:pPr>
      <w:r>
        <w:rPr>
          <w:color w:val="auto"/>
          <w:sz w:val="24"/>
          <w:highlight w:val="none"/>
        </w:rPr>
        <w:t>巡视：指监理人员在施工现场进行的定期或不定期的监督检查活动。</w:t>
      </w:r>
    </w:p>
    <w:p>
      <w:pPr>
        <w:pStyle w:val="20"/>
        <w:numPr>
          <w:ilvl w:val="2"/>
          <w:numId w:val="5"/>
        </w:numPr>
        <w:tabs>
          <w:tab w:val="left" w:pos="1532"/>
        </w:tabs>
        <w:spacing w:before="158" w:line="364" w:lineRule="auto"/>
        <w:ind w:left="223" w:right="233" w:firstLine="480"/>
        <w:rPr>
          <w:color w:val="auto"/>
          <w:sz w:val="24"/>
          <w:highlight w:val="none"/>
        </w:rPr>
      </w:pPr>
      <w:r>
        <w:rPr>
          <w:color w:val="auto"/>
          <w:sz w:val="24"/>
          <w:highlight w:val="none"/>
        </w:rPr>
        <w:t>平行检验：指项目监理机构在施工单位对工程质量自检的基础上，按照有关规定或建设工程监理合同约定独立进行的检测试验活动。</w:t>
      </w:r>
    </w:p>
    <w:p>
      <w:pPr>
        <w:pStyle w:val="20"/>
        <w:numPr>
          <w:ilvl w:val="2"/>
          <w:numId w:val="5"/>
        </w:numPr>
        <w:tabs>
          <w:tab w:val="left" w:pos="1532"/>
        </w:tabs>
        <w:spacing w:line="364" w:lineRule="auto"/>
        <w:ind w:left="223" w:right="233" w:firstLine="480"/>
        <w:rPr>
          <w:color w:val="auto"/>
          <w:sz w:val="24"/>
          <w:highlight w:val="none"/>
        </w:rPr>
      </w:pPr>
      <w:r>
        <w:rPr>
          <w:color w:val="auto"/>
          <w:sz w:val="24"/>
          <w:highlight w:val="none"/>
        </w:rPr>
        <w:t>见证取样：指项目监理机构对施工单位进行的涉及结构安全的试块、试件及工程材料现场取样、封样、送检工作的监督活动。</w:t>
      </w:r>
    </w:p>
    <w:p>
      <w:pPr>
        <w:pStyle w:val="20"/>
        <w:numPr>
          <w:ilvl w:val="2"/>
          <w:numId w:val="5"/>
        </w:numPr>
        <w:tabs>
          <w:tab w:val="left" w:pos="1484"/>
        </w:tabs>
        <w:spacing w:line="306" w:lineRule="exact"/>
        <w:ind w:left="1483" w:hanging="781"/>
        <w:rPr>
          <w:color w:val="auto"/>
          <w:sz w:val="24"/>
          <w:highlight w:val="none"/>
        </w:rPr>
      </w:pPr>
      <w:r>
        <w:rPr>
          <w:color w:val="auto"/>
          <w:sz w:val="24"/>
          <w:highlight w:val="none"/>
        </w:rPr>
        <w:t>工程延期：指由于非施工单位原因造成合同工期延长的时间。</w:t>
      </w:r>
    </w:p>
    <w:p>
      <w:pPr>
        <w:pStyle w:val="20"/>
        <w:numPr>
          <w:ilvl w:val="2"/>
          <w:numId w:val="5"/>
        </w:numPr>
        <w:tabs>
          <w:tab w:val="left" w:pos="1484"/>
        </w:tabs>
        <w:spacing w:before="160"/>
        <w:ind w:left="1483" w:hanging="781"/>
        <w:rPr>
          <w:color w:val="auto"/>
          <w:sz w:val="24"/>
          <w:highlight w:val="none"/>
        </w:rPr>
      </w:pPr>
      <w:r>
        <w:rPr>
          <w:color w:val="auto"/>
          <w:sz w:val="24"/>
          <w:highlight w:val="none"/>
        </w:rPr>
        <w:t>工期延误：指由于施工单位自身原因造成施工期延长的时间。</w:t>
      </w:r>
    </w:p>
    <w:p>
      <w:pPr>
        <w:pStyle w:val="20"/>
        <w:numPr>
          <w:ilvl w:val="2"/>
          <w:numId w:val="5"/>
        </w:numPr>
        <w:tabs>
          <w:tab w:val="left" w:pos="1532"/>
        </w:tabs>
        <w:spacing w:before="158" w:line="364" w:lineRule="auto"/>
        <w:ind w:left="223" w:right="233" w:firstLine="480"/>
        <w:rPr>
          <w:color w:val="auto"/>
          <w:sz w:val="24"/>
          <w:highlight w:val="none"/>
        </w:rPr>
      </w:pPr>
      <w:r>
        <w:rPr>
          <w:color w:val="auto"/>
          <w:sz w:val="24"/>
          <w:highlight w:val="none"/>
        </w:rPr>
        <w:t>监理日志：指项目监理机构每日对建设工程监理工作及建设工程实施情况所做的记录。</w:t>
      </w:r>
    </w:p>
    <w:p>
      <w:pPr>
        <w:pStyle w:val="20"/>
        <w:numPr>
          <w:ilvl w:val="2"/>
          <w:numId w:val="5"/>
        </w:numPr>
        <w:tabs>
          <w:tab w:val="left" w:pos="1532"/>
        </w:tabs>
        <w:spacing w:line="364" w:lineRule="auto"/>
        <w:ind w:left="223" w:right="233" w:firstLine="480"/>
        <w:rPr>
          <w:color w:val="auto"/>
          <w:sz w:val="24"/>
          <w:highlight w:val="none"/>
        </w:rPr>
      </w:pPr>
      <w:r>
        <w:rPr>
          <w:color w:val="auto"/>
          <w:sz w:val="24"/>
          <w:highlight w:val="none"/>
        </w:rPr>
        <w:t>监理月报：指项目监理机构每月向建设单位提交的建设工程监理工作及建设工程实施情况分析总结报告。</w:t>
      </w:r>
    </w:p>
    <w:p>
      <w:pPr>
        <w:pStyle w:val="20"/>
        <w:numPr>
          <w:ilvl w:val="2"/>
          <w:numId w:val="5"/>
        </w:numPr>
        <w:tabs>
          <w:tab w:val="left" w:pos="1532"/>
        </w:tabs>
        <w:spacing w:line="306" w:lineRule="exact"/>
        <w:ind w:left="1531" w:hanging="829"/>
        <w:rPr>
          <w:color w:val="auto"/>
          <w:sz w:val="24"/>
          <w:highlight w:val="none"/>
        </w:rPr>
      </w:pPr>
      <w:r>
        <w:rPr>
          <w:color w:val="auto"/>
          <w:sz w:val="24"/>
          <w:highlight w:val="none"/>
        </w:rPr>
        <w:t>设备监造：指项目监理机构按照建设工程监理合同和设备采购合同约定，对设</w:t>
      </w:r>
    </w:p>
    <w:p>
      <w:pPr>
        <w:pStyle w:val="3"/>
        <w:spacing w:before="54"/>
        <w:rPr>
          <w:color w:val="auto"/>
          <w:highlight w:val="none"/>
        </w:rPr>
      </w:pPr>
      <w:r>
        <w:rPr>
          <w:color w:val="auto"/>
          <w:highlight w:val="none"/>
        </w:rPr>
        <w:t>备制造过程进行的监督检查。</w:t>
      </w:r>
    </w:p>
    <w:p>
      <w:pPr>
        <w:pStyle w:val="20"/>
        <w:numPr>
          <w:ilvl w:val="2"/>
          <w:numId w:val="5"/>
        </w:numPr>
        <w:tabs>
          <w:tab w:val="left" w:pos="1484"/>
        </w:tabs>
        <w:spacing w:before="161" w:line="364" w:lineRule="auto"/>
        <w:ind w:left="223" w:right="113" w:firstLine="480"/>
        <w:jc w:val="both"/>
        <w:rPr>
          <w:color w:val="auto"/>
          <w:sz w:val="24"/>
          <w:highlight w:val="none"/>
        </w:rPr>
      </w:pPr>
      <w:r>
        <w:rPr>
          <w:color w:val="auto"/>
          <w:sz w:val="24"/>
          <w:highlight w:val="none"/>
        </w:rPr>
        <w:t>费用索赔：指根据承包合同的约定，合同一方因另一方原因造成本方经济损失， 通过监理工程师向对方索取费用的活动。</w:t>
      </w:r>
    </w:p>
    <w:p>
      <w:pPr>
        <w:pStyle w:val="20"/>
        <w:numPr>
          <w:ilvl w:val="2"/>
          <w:numId w:val="5"/>
        </w:numPr>
        <w:tabs>
          <w:tab w:val="left" w:pos="1532"/>
        </w:tabs>
        <w:spacing w:line="364" w:lineRule="auto"/>
        <w:ind w:left="223" w:right="230" w:firstLine="480"/>
        <w:jc w:val="both"/>
        <w:rPr>
          <w:color w:val="auto"/>
          <w:sz w:val="24"/>
          <w:highlight w:val="none"/>
        </w:rPr>
      </w:pPr>
      <w:r>
        <w:rPr>
          <w:color w:val="auto"/>
          <w:sz w:val="24"/>
          <w:highlight w:val="none"/>
        </w:rPr>
        <w:t>节点工期：指在经委托人和总监理工程师批准的施工组织设计或者工程工期网络计划中载明的承包人按总日历天数（包括法定节假日）计算完成某一阶段或某一工序的期限。按工期网络计划的一般线路和关键线路分为一般节点工期和关键节点工期。</w:t>
      </w:r>
    </w:p>
    <w:p>
      <w:pPr>
        <w:pStyle w:val="20"/>
        <w:numPr>
          <w:ilvl w:val="2"/>
          <w:numId w:val="5"/>
        </w:numPr>
        <w:tabs>
          <w:tab w:val="left" w:pos="1532"/>
        </w:tabs>
        <w:spacing w:line="364" w:lineRule="auto"/>
        <w:ind w:left="223" w:right="230" w:firstLine="480"/>
        <w:jc w:val="both"/>
        <w:rPr>
          <w:color w:val="auto"/>
          <w:sz w:val="24"/>
          <w:highlight w:val="none"/>
        </w:rPr>
      </w:pPr>
      <w:r>
        <w:rPr>
          <w:color w:val="auto"/>
          <w:sz w:val="24"/>
          <w:highlight w:val="none"/>
        </w:rPr>
        <w:t>通知：指合同中所提及的各方之间传达意思表示的方式，包括但不限于申请、报告、同意、答复、批准、指令、证书、决定，等等。除专用条款有特别约定外，只有采用书面形式的通知才有效。</w:t>
      </w:r>
    </w:p>
    <w:p>
      <w:pPr>
        <w:pStyle w:val="20"/>
        <w:numPr>
          <w:ilvl w:val="2"/>
          <w:numId w:val="5"/>
        </w:numPr>
        <w:tabs>
          <w:tab w:val="left" w:pos="1544"/>
        </w:tabs>
        <w:spacing w:line="364" w:lineRule="auto"/>
        <w:ind w:left="223" w:right="233" w:firstLine="480"/>
        <w:jc w:val="both"/>
        <w:rPr>
          <w:color w:val="auto"/>
          <w:sz w:val="24"/>
          <w:highlight w:val="none"/>
        </w:rPr>
      </w:pPr>
      <w:r>
        <w:rPr>
          <w:color w:val="auto"/>
          <w:sz w:val="24"/>
          <w:highlight w:val="none"/>
        </w:rPr>
        <w:t>生产安全事故：指在工程建设过程中由于责任过失造成工程倒塌或报废、机械设备毁坏和安全设施失当等原因造成人身伤亡或者重大经济损失的事故。</w:t>
      </w:r>
    </w:p>
    <w:p>
      <w:pPr>
        <w:pStyle w:val="20"/>
        <w:numPr>
          <w:ilvl w:val="2"/>
          <w:numId w:val="5"/>
        </w:numPr>
        <w:tabs>
          <w:tab w:val="left" w:pos="1484"/>
        </w:tabs>
        <w:spacing w:line="306" w:lineRule="exact"/>
        <w:ind w:left="1483" w:hanging="781"/>
        <w:jc w:val="both"/>
        <w:rPr>
          <w:color w:val="auto"/>
          <w:sz w:val="24"/>
          <w:highlight w:val="none"/>
        </w:rPr>
      </w:pPr>
      <w:r>
        <w:rPr>
          <w:color w:val="auto"/>
          <w:sz w:val="24"/>
          <w:highlight w:val="none"/>
        </w:rPr>
        <w:t>质量事故：指因质量原因导致损失或造成人身伤亡的事故。</w:t>
      </w:r>
    </w:p>
    <w:p>
      <w:pPr>
        <w:pStyle w:val="20"/>
        <w:numPr>
          <w:ilvl w:val="2"/>
          <w:numId w:val="5"/>
        </w:numPr>
        <w:tabs>
          <w:tab w:val="left" w:pos="1484"/>
        </w:tabs>
        <w:spacing w:before="155"/>
        <w:ind w:left="1483" w:hanging="781"/>
        <w:jc w:val="both"/>
        <w:rPr>
          <w:color w:val="auto"/>
          <w:sz w:val="24"/>
          <w:highlight w:val="none"/>
        </w:rPr>
      </w:pPr>
      <w:r>
        <w:rPr>
          <w:color w:val="auto"/>
          <w:sz w:val="24"/>
          <w:highlight w:val="none"/>
        </w:rPr>
        <w:t>元：指人民币元。</w:t>
      </w:r>
    </w:p>
    <w:p>
      <w:pPr>
        <w:pStyle w:val="20"/>
        <w:numPr>
          <w:ilvl w:val="2"/>
          <w:numId w:val="5"/>
        </w:numPr>
        <w:tabs>
          <w:tab w:val="left" w:pos="1532"/>
        </w:tabs>
        <w:spacing w:before="158" w:line="364" w:lineRule="auto"/>
        <w:ind w:left="223" w:right="233" w:firstLine="480"/>
        <w:jc w:val="both"/>
        <w:rPr>
          <w:color w:val="auto"/>
          <w:sz w:val="24"/>
          <w:highlight w:val="none"/>
        </w:rPr>
      </w:pPr>
      <w:r>
        <w:rPr>
          <w:color w:val="auto"/>
          <w:sz w:val="24"/>
          <w:highlight w:val="none"/>
        </w:rPr>
        <w:t>管理服务单位：指受委托人委托对本合同工程建设进行管理的单位，包括监理人和技术督导单位、材料设备管理服务单位等。</w:t>
      </w:r>
    </w:p>
    <w:p>
      <w:pPr>
        <w:pStyle w:val="20"/>
        <w:numPr>
          <w:ilvl w:val="2"/>
          <w:numId w:val="5"/>
        </w:numPr>
        <w:tabs>
          <w:tab w:val="left" w:pos="1484"/>
        </w:tabs>
        <w:spacing w:line="306" w:lineRule="exact"/>
        <w:ind w:left="1483" w:hanging="781"/>
        <w:jc w:val="both"/>
        <w:rPr>
          <w:color w:val="auto"/>
          <w:sz w:val="24"/>
          <w:highlight w:val="none"/>
        </w:rPr>
      </w:pPr>
      <w:r>
        <w:rPr>
          <w:color w:val="auto"/>
          <w:sz w:val="24"/>
          <w:highlight w:val="none"/>
        </w:rPr>
        <w:t>保证人：指按约定向委托人提交监理人履约保函的机构。</w:t>
      </w:r>
    </w:p>
    <w:p>
      <w:pPr>
        <w:pStyle w:val="20"/>
        <w:numPr>
          <w:ilvl w:val="2"/>
          <w:numId w:val="5"/>
        </w:numPr>
        <w:tabs>
          <w:tab w:val="left" w:pos="1532"/>
        </w:tabs>
        <w:spacing w:before="161" w:line="364" w:lineRule="auto"/>
        <w:ind w:left="223" w:right="230" w:firstLine="480"/>
        <w:jc w:val="both"/>
        <w:rPr>
          <w:color w:val="auto"/>
          <w:sz w:val="24"/>
          <w:highlight w:val="none"/>
        </w:rPr>
      </w:pPr>
      <w:r>
        <w:rPr>
          <w:color w:val="auto"/>
          <w:sz w:val="24"/>
          <w:highlight w:val="none"/>
        </w:rPr>
        <w:t>施工准备阶段：指自监理人接到入场通知开始，至本合同工程正式开工止，监理人在此期间应完成熟悉设计文件、参加设计技术交底、参加图纸会审、提交监理规划等监理工作。</w:t>
      </w:r>
    </w:p>
    <w:p>
      <w:pPr>
        <w:pStyle w:val="20"/>
        <w:numPr>
          <w:ilvl w:val="2"/>
          <w:numId w:val="5"/>
        </w:numPr>
        <w:tabs>
          <w:tab w:val="left" w:pos="1532"/>
        </w:tabs>
        <w:spacing w:line="364" w:lineRule="auto"/>
        <w:ind w:left="223" w:right="230" w:firstLine="480"/>
        <w:jc w:val="both"/>
        <w:rPr>
          <w:color w:val="auto"/>
          <w:sz w:val="24"/>
          <w:highlight w:val="none"/>
        </w:rPr>
      </w:pPr>
      <w:r>
        <w:rPr>
          <w:color w:val="auto"/>
          <w:sz w:val="24"/>
          <w:highlight w:val="none"/>
        </w:rPr>
        <w:t>施工阶段：指自本合同工程主体工程正式开工开始，至本合同工程具备竣工条件后止，监理人在此期间应负责实施本合同工程的工程质量控制、工程造价控制、工程职业健康安全控制、工程合同管理、工程信息管理等监理工作。</w:t>
      </w:r>
    </w:p>
    <w:p>
      <w:pPr>
        <w:pStyle w:val="20"/>
        <w:numPr>
          <w:ilvl w:val="2"/>
          <w:numId w:val="5"/>
        </w:numPr>
        <w:tabs>
          <w:tab w:val="left" w:pos="1532"/>
        </w:tabs>
        <w:spacing w:line="364" w:lineRule="auto"/>
        <w:ind w:left="223" w:right="230" w:firstLine="480"/>
        <w:jc w:val="both"/>
        <w:rPr>
          <w:color w:val="auto"/>
          <w:sz w:val="24"/>
          <w:highlight w:val="none"/>
        </w:rPr>
      </w:pPr>
      <w:r>
        <w:rPr>
          <w:color w:val="auto"/>
          <w:sz w:val="24"/>
          <w:highlight w:val="none"/>
        </w:rPr>
        <w:t>工程收尾阶段：指自本项目工程具备竣工条件直至本合同工程结算工作全部完成结束，监理人在此期间组织实施本合同工程的竣工验收、工程项目整改、工程结算等监理工作。</w:t>
      </w:r>
    </w:p>
    <w:p>
      <w:pPr>
        <w:pStyle w:val="20"/>
        <w:numPr>
          <w:ilvl w:val="2"/>
          <w:numId w:val="5"/>
        </w:numPr>
        <w:tabs>
          <w:tab w:val="left" w:pos="1532"/>
        </w:tabs>
        <w:spacing w:line="364" w:lineRule="auto"/>
        <w:ind w:left="223" w:right="230" w:firstLine="480"/>
        <w:jc w:val="both"/>
        <w:rPr>
          <w:color w:val="auto"/>
          <w:sz w:val="24"/>
          <w:highlight w:val="none"/>
        </w:rPr>
      </w:pPr>
      <w:r>
        <w:rPr>
          <w:color w:val="auto"/>
          <w:sz w:val="24"/>
          <w:highlight w:val="none"/>
        </w:rPr>
        <w:t>工程质量保修阶段：指自本工程项目质量保修期质量保修期开始，直至本工程项目质量保修期质量保修期结束，监理人在此期间应负责本合同工程质量保修相关的监理工作。</w:t>
      </w:r>
    </w:p>
    <w:p>
      <w:pPr>
        <w:pStyle w:val="3"/>
        <w:spacing w:before="12"/>
        <w:ind w:left="0"/>
        <w:rPr>
          <w:color w:val="auto"/>
          <w:sz w:val="35"/>
          <w:highlight w:val="none"/>
        </w:rPr>
      </w:pPr>
    </w:p>
    <w:p>
      <w:pPr>
        <w:pStyle w:val="20"/>
        <w:numPr>
          <w:ilvl w:val="1"/>
          <w:numId w:val="5"/>
        </w:numPr>
        <w:tabs>
          <w:tab w:val="left" w:pos="984"/>
        </w:tabs>
        <w:rPr>
          <w:color w:val="auto"/>
          <w:sz w:val="24"/>
          <w:highlight w:val="none"/>
        </w:rPr>
      </w:pPr>
      <w:r>
        <w:rPr>
          <w:color w:val="auto"/>
          <w:sz w:val="24"/>
          <w:highlight w:val="none"/>
        </w:rPr>
        <w:t>解释</w:t>
      </w:r>
    </w:p>
    <w:p>
      <w:pPr>
        <w:pStyle w:val="20"/>
        <w:numPr>
          <w:ilvl w:val="2"/>
          <w:numId w:val="5"/>
        </w:numPr>
        <w:tabs>
          <w:tab w:val="left" w:pos="1364"/>
        </w:tabs>
        <w:spacing w:before="158"/>
        <w:ind w:left="1363" w:hanging="661"/>
        <w:jc w:val="both"/>
        <w:rPr>
          <w:color w:val="auto"/>
          <w:sz w:val="24"/>
          <w:highlight w:val="none"/>
        </w:rPr>
      </w:pPr>
      <w:r>
        <w:rPr>
          <w:color w:val="auto"/>
          <w:sz w:val="24"/>
          <w:highlight w:val="none"/>
        </w:rPr>
        <w:t>本合同使用中文书写、解释和说明。如专用条款约定使用两种及以上语言文字时，</w:t>
      </w:r>
    </w:p>
    <w:p>
      <w:pPr>
        <w:pStyle w:val="3"/>
        <w:spacing w:before="54"/>
        <w:rPr>
          <w:color w:val="auto"/>
          <w:highlight w:val="none"/>
        </w:rPr>
      </w:pPr>
      <w:r>
        <w:rPr>
          <w:color w:val="auto"/>
          <w:highlight w:val="none"/>
        </w:rPr>
        <w:t>应以中文为准。</w:t>
      </w:r>
    </w:p>
    <w:p>
      <w:pPr>
        <w:pStyle w:val="20"/>
        <w:numPr>
          <w:ilvl w:val="2"/>
          <w:numId w:val="5"/>
        </w:numPr>
        <w:tabs>
          <w:tab w:val="left" w:pos="1364"/>
        </w:tabs>
        <w:spacing w:before="161" w:line="364" w:lineRule="auto"/>
        <w:ind w:left="223" w:right="161" w:firstLine="480"/>
        <w:rPr>
          <w:color w:val="auto"/>
          <w:sz w:val="24"/>
          <w:highlight w:val="none"/>
        </w:rPr>
      </w:pPr>
      <w:r>
        <w:rPr>
          <w:color w:val="auto"/>
          <w:sz w:val="24"/>
          <w:highlight w:val="none"/>
        </w:rPr>
        <w:t>组成本合同的下列文件彼此应能相互解释、互为说明。除专用条款另有约定外， 本合同文件的解释顺序如下：</w:t>
      </w:r>
    </w:p>
    <w:p>
      <w:pPr>
        <w:pStyle w:val="20"/>
        <w:numPr>
          <w:ilvl w:val="0"/>
          <w:numId w:val="6"/>
        </w:numPr>
        <w:tabs>
          <w:tab w:val="left" w:pos="1305"/>
        </w:tabs>
        <w:spacing w:line="306" w:lineRule="exact"/>
        <w:ind w:hanging="602"/>
        <w:rPr>
          <w:color w:val="auto"/>
          <w:sz w:val="24"/>
          <w:highlight w:val="none"/>
        </w:rPr>
      </w:pPr>
      <w:r>
        <w:rPr>
          <w:color w:val="auto"/>
          <w:sz w:val="24"/>
          <w:highlight w:val="none"/>
        </w:rPr>
        <w:t>协议书；</w:t>
      </w:r>
    </w:p>
    <w:p>
      <w:pPr>
        <w:pStyle w:val="20"/>
        <w:numPr>
          <w:ilvl w:val="0"/>
          <w:numId w:val="6"/>
        </w:numPr>
        <w:tabs>
          <w:tab w:val="left" w:pos="1305"/>
        </w:tabs>
        <w:spacing w:before="160"/>
        <w:ind w:hanging="602"/>
        <w:rPr>
          <w:color w:val="auto"/>
          <w:sz w:val="24"/>
          <w:highlight w:val="none"/>
        </w:rPr>
      </w:pPr>
      <w:r>
        <w:rPr>
          <w:color w:val="auto"/>
          <w:sz w:val="24"/>
          <w:highlight w:val="none"/>
        </w:rPr>
        <w:t>中标通知书（适用于招标工程）或委托书（适用于非招标工程）；</w:t>
      </w:r>
    </w:p>
    <w:p>
      <w:pPr>
        <w:pStyle w:val="20"/>
        <w:numPr>
          <w:ilvl w:val="0"/>
          <w:numId w:val="6"/>
        </w:numPr>
        <w:tabs>
          <w:tab w:val="left" w:pos="1305"/>
        </w:tabs>
        <w:spacing w:before="158"/>
        <w:ind w:hanging="602"/>
        <w:rPr>
          <w:color w:val="auto"/>
          <w:sz w:val="24"/>
          <w:highlight w:val="none"/>
        </w:rPr>
      </w:pPr>
      <w:r>
        <w:rPr>
          <w:color w:val="auto"/>
          <w:sz w:val="24"/>
          <w:highlight w:val="none"/>
        </w:rPr>
        <w:t>专用条款及附录 A、附件 2；</w:t>
      </w:r>
    </w:p>
    <w:p>
      <w:pPr>
        <w:pStyle w:val="20"/>
        <w:numPr>
          <w:ilvl w:val="0"/>
          <w:numId w:val="6"/>
        </w:numPr>
        <w:tabs>
          <w:tab w:val="left" w:pos="1305"/>
        </w:tabs>
        <w:spacing w:before="161"/>
        <w:ind w:hanging="602"/>
        <w:rPr>
          <w:color w:val="auto"/>
          <w:sz w:val="24"/>
          <w:highlight w:val="none"/>
        </w:rPr>
      </w:pPr>
      <w:r>
        <w:rPr>
          <w:color w:val="auto"/>
          <w:sz w:val="24"/>
          <w:highlight w:val="none"/>
        </w:rPr>
        <w:t>通用条款；</w:t>
      </w:r>
    </w:p>
    <w:p>
      <w:pPr>
        <w:pStyle w:val="20"/>
        <w:numPr>
          <w:ilvl w:val="0"/>
          <w:numId w:val="6"/>
        </w:numPr>
        <w:tabs>
          <w:tab w:val="left" w:pos="1305"/>
        </w:tabs>
        <w:spacing w:before="158" w:line="427" w:lineRule="auto"/>
        <w:ind w:left="703" w:right="221" w:firstLine="0"/>
        <w:rPr>
          <w:color w:val="auto"/>
          <w:sz w:val="24"/>
          <w:highlight w:val="none"/>
        </w:rPr>
      </w:pPr>
      <w:r>
        <w:rPr>
          <w:color w:val="auto"/>
          <w:sz w:val="24"/>
          <w:highlight w:val="none"/>
        </w:rPr>
        <w:t>投标文件（适用于招标工程）或监理与相关服务建议书（适用于非招标工程）。双方签订的补充协议与其他文件发生矛盾或歧义时，属于同一类内容的文件，应以最</w:t>
      </w:r>
    </w:p>
    <w:p>
      <w:pPr>
        <w:pStyle w:val="3"/>
        <w:spacing w:line="228" w:lineRule="exact"/>
        <w:rPr>
          <w:color w:val="auto"/>
          <w:highlight w:val="none"/>
        </w:rPr>
      </w:pPr>
      <w:r>
        <w:rPr>
          <w:color w:val="auto"/>
          <w:highlight w:val="none"/>
        </w:rPr>
        <w:t>新签署的为准。</w:t>
      </w:r>
    </w:p>
    <w:p>
      <w:pPr>
        <w:pStyle w:val="3"/>
        <w:ind w:left="0"/>
        <w:rPr>
          <w:color w:val="auto"/>
          <w:highlight w:val="none"/>
        </w:rPr>
      </w:pPr>
    </w:p>
    <w:p>
      <w:pPr>
        <w:pStyle w:val="3"/>
        <w:spacing w:before="9"/>
        <w:ind w:left="0"/>
        <w:rPr>
          <w:color w:val="auto"/>
          <w:sz w:val="18"/>
          <w:highlight w:val="none"/>
        </w:rPr>
      </w:pPr>
    </w:p>
    <w:p>
      <w:pPr>
        <w:pStyle w:val="11"/>
        <w:numPr>
          <w:ilvl w:val="0"/>
          <w:numId w:val="5"/>
        </w:numPr>
        <w:tabs>
          <w:tab w:val="left" w:pos="507"/>
        </w:tabs>
        <w:rPr>
          <w:color w:val="auto"/>
          <w:highlight w:val="none"/>
        </w:rPr>
      </w:pPr>
      <w:r>
        <w:rPr>
          <w:color w:val="auto"/>
          <w:highlight w:val="none"/>
        </w:rPr>
        <w:t>监理人的义务</w:t>
      </w:r>
    </w:p>
    <w:p>
      <w:pPr>
        <w:pStyle w:val="20"/>
        <w:numPr>
          <w:ilvl w:val="1"/>
          <w:numId w:val="5"/>
        </w:numPr>
        <w:tabs>
          <w:tab w:val="left" w:pos="984"/>
        </w:tabs>
        <w:spacing w:before="188"/>
        <w:rPr>
          <w:color w:val="auto"/>
          <w:sz w:val="24"/>
          <w:highlight w:val="none"/>
        </w:rPr>
      </w:pPr>
      <w:r>
        <w:rPr>
          <w:color w:val="auto"/>
          <w:sz w:val="24"/>
          <w:highlight w:val="none"/>
        </w:rPr>
        <w:t>监理的范围和工作内容</w:t>
      </w:r>
    </w:p>
    <w:p>
      <w:pPr>
        <w:pStyle w:val="20"/>
        <w:numPr>
          <w:ilvl w:val="2"/>
          <w:numId w:val="5"/>
        </w:numPr>
        <w:tabs>
          <w:tab w:val="left" w:pos="1563"/>
        </w:tabs>
        <w:spacing w:before="158"/>
        <w:ind w:left="1562" w:hanging="661"/>
        <w:rPr>
          <w:color w:val="auto"/>
          <w:sz w:val="24"/>
          <w:highlight w:val="none"/>
        </w:rPr>
      </w:pPr>
      <w:r>
        <w:rPr>
          <w:color w:val="auto"/>
          <w:sz w:val="24"/>
          <w:highlight w:val="none"/>
        </w:rPr>
        <w:t>监理范围在专用条款中约定。</w:t>
      </w:r>
    </w:p>
    <w:p>
      <w:pPr>
        <w:pStyle w:val="3"/>
        <w:spacing w:before="10"/>
        <w:ind w:left="0"/>
        <w:rPr>
          <w:color w:val="auto"/>
          <w:sz w:val="23"/>
          <w:highlight w:val="none"/>
        </w:rPr>
      </w:pPr>
    </w:p>
    <w:p>
      <w:pPr>
        <w:pStyle w:val="20"/>
        <w:numPr>
          <w:ilvl w:val="0"/>
          <w:numId w:val="7"/>
        </w:numPr>
        <w:tabs>
          <w:tab w:val="left" w:pos="1217"/>
        </w:tabs>
        <w:rPr>
          <w:color w:val="auto"/>
          <w:sz w:val="24"/>
          <w:highlight w:val="none"/>
        </w:rPr>
      </w:pPr>
      <w:r>
        <w:rPr>
          <w:color w:val="auto"/>
          <w:sz w:val="24"/>
          <w:highlight w:val="none"/>
        </w:rPr>
        <w:t>实行总监理工程师负责制。</w:t>
      </w:r>
    </w:p>
    <w:p>
      <w:pPr>
        <w:pStyle w:val="20"/>
        <w:numPr>
          <w:ilvl w:val="0"/>
          <w:numId w:val="7"/>
        </w:numPr>
        <w:tabs>
          <w:tab w:val="left" w:pos="1209"/>
        </w:tabs>
        <w:spacing w:before="172" w:line="374" w:lineRule="auto"/>
        <w:ind w:left="720" w:right="108" w:hanging="125"/>
        <w:rPr>
          <w:color w:val="auto"/>
          <w:sz w:val="24"/>
          <w:highlight w:val="none"/>
        </w:rPr>
      </w:pPr>
      <w:r>
        <w:rPr>
          <w:color w:val="auto"/>
          <w:sz w:val="24"/>
          <w:highlight w:val="none"/>
        </w:rPr>
        <w:t>监理人应公正、独立、自主地开展监理工作，维护委托人和承包人的合法权益。委托人授权监理人，依据有关法律、法规、政策及标准，充分行使其严格控制工程</w:t>
      </w:r>
    </w:p>
    <w:p>
      <w:pPr>
        <w:pStyle w:val="3"/>
        <w:spacing w:before="1" w:line="374" w:lineRule="auto"/>
        <w:ind w:right="239"/>
        <w:jc w:val="both"/>
        <w:rPr>
          <w:color w:val="auto"/>
          <w:highlight w:val="none"/>
        </w:rPr>
      </w:pPr>
      <w:r>
        <w:rPr>
          <w:color w:val="auto"/>
          <w:highlight w:val="none"/>
        </w:rPr>
        <w:t>进度、质量、安全和投资的权力，充分行使工程合同、工程信息管理和协调处理现场有关工程问题的权力，保证工程有序顺利进行。委托人通过监理人下达指令，监督承包人履约行为，承包人所有请求事项由监理人协调并在一般情况下均通过监理人接受或提出处理意见。</w:t>
      </w:r>
    </w:p>
    <w:p>
      <w:pPr>
        <w:pStyle w:val="20"/>
        <w:numPr>
          <w:ilvl w:val="0"/>
          <w:numId w:val="7"/>
        </w:numPr>
        <w:tabs>
          <w:tab w:val="left" w:pos="1215"/>
        </w:tabs>
        <w:spacing w:before="1"/>
        <w:ind w:left="1214" w:hanging="620"/>
        <w:rPr>
          <w:color w:val="auto"/>
          <w:sz w:val="24"/>
          <w:highlight w:val="none"/>
        </w:rPr>
      </w:pPr>
      <w:r>
        <w:rPr>
          <w:color w:val="auto"/>
          <w:sz w:val="24"/>
          <w:highlight w:val="none"/>
        </w:rPr>
        <w:t>建设工程监理除应符合《建设工程监理规范》（</w:t>
      </w:r>
      <w:r>
        <w:rPr>
          <w:rFonts w:ascii="Times New Roman" w:eastAsia="Times New Roman"/>
          <w:color w:val="auto"/>
          <w:sz w:val="24"/>
          <w:highlight w:val="none"/>
        </w:rPr>
        <w:t>GB50319-2013</w:t>
      </w:r>
      <w:r>
        <w:rPr>
          <w:color w:val="auto"/>
          <w:sz w:val="24"/>
          <w:highlight w:val="none"/>
        </w:rPr>
        <w:t>）外，还应符合</w:t>
      </w:r>
    </w:p>
    <w:p>
      <w:pPr>
        <w:pStyle w:val="3"/>
        <w:spacing w:before="173"/>
        <w:rPr>
          <w:color w:val="auto"/>
          <w:highlight w:val="none"/>
        </w:rPr>
      </w:pPr>
      <w:r>
        <w:rPr>
          <w:color w:val="auto"/>
          <w:highlight w:val="none"/>
        </w:rPr>
        <w:t>国家现行的有关强制性标准、规范的规定。</w:t>
      </w:r>
    </w:p>
    <w:p>
      <w:pPr>
        <w:pStyle w:val="20"/>
        <w:numPr>
          <w:ilvl w:val="2"/>
          <w:numId w:val="5"/>
        </w:numPr>
        <w:tabs>
          <w:tab w:val="left" w:pos="1563"/>
        </w:tabs>
        <w:spacing w:before="28"/>
        <w:ind w:left="1562" w:hanging="661"/>
        <w:rPr>
          <w:color w:val="auto"/>
          <w:sz w:val="24"/>
          <w:highlight w:val="none"/>
        </w:rPr>
      </w:pPr>
      <w:r>
        <w:rPr>
          <w:color w:val="auto"/>
          <w:sz w:val="24"/>
          <w:highlight w:val="none"/>
        </w:rPr>
        <w:t>除专用条款另有约定外，监理工作内容包括：</w:t>
      </w:r>
    </w:p>
    <w:p>
      <w:pPr>
        <w:pStyle w:val="20"/>
        <w:numPr>
          <w:ilvl w:val="0"/>
          <w:numId w:val="8"/>
        </w:numPr>
        <w:tabs>
          <w:tab w:val="left" w:pos="1305"/>
        </w:tabs>
        <w:spacing w:before="158" w:line="364" w:lineRule="auto"/>
        <w:ind w:right="235" w:firstLine="480"/>
        <w:rPr>
          <w:color w:val="auto"/>
          <w:sz w:val="24"/>
          <w:highlight w:val="none"/>
        </w:rPr>
      </w:pPr>
      <w:r>
        <w:rPr>
          <w:color w:val="auto"/>
          <w:sz w:val="24"/>
          <w:highlight w:val="none"/>
        </w:rPr>
        <w:t>收到工程设计文件后编制监理规划，并在第一次工地会议 7 天前报委托人。根据有关规定和监理工作需要，编制监理实施细则；</w:t>
      </w:r>
    </w:p>
    <w:p>
      <w:pPr>
        <w:pStyle w:val="20"/>
        <w:numPr>
          <w:ilvl w:val="0"/>
          <w:numId w:val="8"/>
        </w:numPr>
        <w:tabs>
          <w:tab w:val="left" w:pos="1305"/>
        </w:tabs>
        <w:spacing w:line="306" w:lineRule="exact"/>
        <w:ind w:left="1304" w:hanging="602"/>
        <w:rPr>
          <w:color w:val="auto"/>
          <w:sz w:val="24"/>
          <w:highlight w:val="none"/>
        </w:rPr>
      </w:pPr>
      <w:r>
        <w:rPr>
          <w:color w:val="auto"/>
          <w:sz w:val="24"/>
          <w:highlight w:val="none"/>
        </w:rPr>
        <w:t>熟悉工程设计文件，并参加由委托人主持的图纸会审和设计交底会议；</w:t>
      </w:r>
    </w:p>
    <w:p>
      <w:pPr>
        <w:pStyle w:val="20"/>
        <w:numPr>
          <w:ilvl w:val="0"/>
          <w:numId w:val="8"/>
        </w:numPr>
        <w:tabs>
          <w:tab w:val="left" w:pos="1305"/>
        </w:tabs>
        <w:spacing w:before="161" w:line="362" w:lineRule="auto"/>
        <w:ind w:right="230" w:firstLine="480"/>
        <w:rPr>
          <w:color w:val="auto"/>
          <w:sz w:val="24"/>
          <w:highlight w:val="none"/>
        </w:rPr>
      </w:pPr>
      <w:r>
        <w:rPr>
          <w:color w:val="auto"/>
          <w:sz w:val="24"/>
          <w:highlight w:val="none"/>
        </w:rPr>
        <w:t>参加由委托人主持的第一次工地会议；主持监理例会并根据工程需要主持或参加专题会议；</w:t>
      </w:r>
    </w:p>
    <w:p>
      <w:pPr>
        <w:pStyle w:val="20"/>
        <w:numPr>
          <w:ilvl w:val="0"/>
          <w:numId w:val="8"/>
        </w:numPr>
        <w:tabs>
          <w:tab w:val="left" w:pos="1305"/>
        </w:tabs>
        <w:spacing w:before="5"/>
        <w:ind w:left="1304" w:hanging="602"/>
        <w:rPr>
          <w:color w:val="auto"/>
          <w:sz w:val="24"/>
          <w:highlight w:val="none"/>
        </w:rPr>
      </w:pPr>
      <w:r>
        <w:rPr>
          <w:color w:val="auto"/>
          <w:sz w:val="24"/>
          <w:highlight w:val="none"/>
        </w:rPr>
        <w:t>审查承包人提交的施工组织设计，重点审查其中的质量安全技术措施、专项施工</w:t>
      </w:r>
    </w:p>
    <w:p>
      <w:pPr>
        <w:rPr>
          <w:color w:val="auto"/>
          <w:sz w:val="24"/>
          <w:highlight w:val="none"/>
        </w:rPr>
        <w:sectPr>
          <w:pgSz w:w="11910" w:h="16840"/>
          <w:pgMar w:top="1060" w:right="900" w:bottom="1180" w:left="1080" w:header="0" w:footer="917" w:gutter="0"/>
          <w:cols w:space="720" w:num="1"/>
        </w:sectPr>
      </w:pPr>
    </w:p>
    <w:p>
      <w:pPr>
        <w:pStyle w:val="3"/>
        <w:spacing w:before="54"/>
        <w:rPr>
          <w:color w:val="auto"/>
          <w:highlight w:val="none"/>
        </w:rPr>
      </w:pPr>
      <w:r>
        <w:rPr>
          <w:color w:val="auto"/>
          <w:highlight w:val="none"/>
        </w:rPr>
        <w:t>方案与工程建设强制性标准的符合性；</w:t>
      </w:r>
    </w:p>
    <w:p>
      <w:pPr>
        <w:pStyle w:val="20"/>
        <w:numPr>
          <w:ilvl w:val="0"/>
          <w:numId w:val="8"/>
        </w:numPr>
        <w:tabs>
          <w:tab w:val="left" w:pos="1305"/>
        </w:tabs>
        <w:spacing w:before="161"/>
        <w:ind w:left="1304" w:hanging="602"/>
        <w:rPr>
          <w:color w:val="auto"/>
          <w:sz w:val="24"/>
          <w:highlight w:val="none"/>
        </w:rPr>
      </w:pPr>
      <w:r>
        <w:rPr>
          <w:color w:val="auto"/>
          <w:sz w:val="24"/>
          <w:highlight w:val="none"/>
        </w:rPr>
        <w:t>检查承包人工程质量、安全生产管理制度及组织机构和人员资格；</w:t>
      </w:r>
    </w:p>
    <w:p>
      <w:pPr>
        <w:pStyle w:val="20"/>
        <w:numPr>
          <w:ilvl w:val="0"/>
          <w:numId w:val="8"/>
        </w:numPr>
        <w:tabs>
          <w:tab w:val="left" w:pos="1305"/>
        </w:tabs>
        <w:spacing w:before="160"/>
        <w:ind w:left="1304" w:hanging="602"/>
        <w:rPr>
          <w:color w:val="auto"/>
          <w:sz w:val="24"/>
          <w:highlight w:val="none"/>
        </w:rPr>
      </w:pPr>
      <w:r>
        <w:rPr>
          <w:color w:val="auto"/>
          <w:sz w:val="24"/>
          <w:highlight w:val="none"/>
        </w:rPr>
        <w:t>检查承包人专职安全生产管理人员的配备情况；</w:t>
      </w:r>
    </w:p>
    <w:p>
      <w:pPr>
        <w:pStyle w:val="20"/>
        <w:numPr>
          <w:ilvl w:val="0"/>
          <w:numId w:val="8"/>
        </w:numPr>
        <w:tabs>
          <w:tab w:val="left" w:pos="1305"/>
        </w:tabs>
        <w:spacing w:before="158"/>
        <w:ind w:left="1304" w:hanging="602"/>
        <w:rPr>
          <w:color w:val="auto"/>
          <w:sz w:val="24"/>
          <w:highlight w:val="none"/>
        </w:rPr>
      </w:pPr>
      <w:r>
        <w:rPr>
          <w:color w:val="auto"/>
          <w:sz w:val="24"/>
          <w:highlight w:val="none"/>
        </w:rPr>
        <w:t>审查承包人提交的施工进度计划，核查承包人对施工进度计划的调整；</w:t>
      </w:r>
    </w:p>
    <w:p>
      <w:pPr>
        <w:pStyle w:val="20"/>
        <w:numPr>
          <w:ilvl w:val="0"/>
          <w:numId w:val="8"/>
        </w:numPr>
        <w:tabs>
          <w:tab w:val="left" w:pos="1305"/>
        </w:tabs>
        <w:spacing w:before="161"/>
        <w:ind w:left="1304" w:hanging="602"/>
        <w:rPr>
          <w:color w:val="auto"/>
          <w:sz w:val="24"/>
          <w:highlight w:val="none"/>
        </w:rPr>
      </w:pPr>
      <w:r>
        <w:rPr>
          <w:color w:val="auto"/>
          <w:sz w:val="24"/>
          <w:highlight w:val="none"/>
        </w:rPr>
        <w:t>检查承包人的试验室；</w:t>
      </w:r>
    </w:p>
    <w:p>
      <w:pPr>
        <w:pStyle w:val="20"/>
        <w:numPr>
          <w:ilvl w:val="0"/>
          <w:numId w:val="8"/>
        </w:numPr>
        <w:tabs>
          <w:tab w:val="left" w:pos="1305"/>
        </w:tabs>
        <w:spacing w:before="158"/>
        <w:ind w:left="1304" w:hanging="602"/>
        <w:rPr>
          <w:color w:val="auto"/>
          <w:sz w:val="24"/>
          <w:highlight w:val="none"/>
        </w:rPr>
      </w:pPr>
      <w:r>
        <w:rPr>
          <w:color w:val="auto"/>
          <w:sz w:val="24"/>
          <w:highlight w:val="none"/>
        </w:rPr>
        <w:t>审核施工分包人资质条件；</w:t>
      </w:r>
    </w:p>
    <w:p>
      <w:pPr>
        <w:pStyle w:val="20"/>
        <w:numPr>
          <w:ilvl w:val="0"/>
          <w:numId w:val="8"/>
        </w:numPr>
        <w:tabs>
          <w:tab w:val="left" w:pos="1425"/>
        </w:tabs>
        <w:spacing w:before="160"/>
        <w:ind w:left="1424" w:hanging="722"/>
        <w:rPr>
          <w:color w:val="auto"/>
          <w:sz w:val="24"/>
          <w:highlight w:val="none"/>
        </w:rPr>
      </w:pPr>
      <w:r>
        <w:rPr>
          <w:color w:val="auto"/>
          <w:sz w:val="24"/>
          <w:highlight w:val="none"/>
        </w:rPr>
        <w:t>查验承包人的施工测量放线成果；</w:t>
      </w:r>
    </w:p>
    <w:p>
      <w:pPr>
        <w:pStyle w:val="20"/>
        <w:numPr>
          <w:ilvl w:val="0"/>
          <w:numId w:val="8"/>
        </w:numPr>
        <w:tabs>
          <w:tab w:val="left" w:pos="1425"/>
        </w:tabs>
        <w:spacing w:before="158"/>
        <w:ind w:left="1424" w:hanging="722"/>
        <w:rPr>
          <w:color w:val="auto"/>
          <w:sz w:val="24"/>
          <w:highlight w:val="none"/>
        </w:rPr>
      </w:pPr>
      <w:r>
        <w:rPr>
          <w:color w:val="auto"/>
          <w:sz w:val="24"/>
          <w:highlight w:val="none"/>
        </w:rPr>
        <w:t>审查工程开工条件，对条件具备的签发开工令；</w:t>
      </w:r>
    </w:p>
    <w:p>
      <w:pPr>
        <w:pStyle w:val="20"/>
        <w:numPr>
          <w:ilvl w:val="0"/>
          <w:numId w:val="8"/>
        </w:numPr>
        <w:tabs>
          <w:tab w:val="left" w:pos="1431"/>
        </w:tabs>
        <w:spacing w:before="161" w:line="362" w:lineRule="auto"/>
        <w:ind w:right="233" w:firstLine="480"/>
        <w:rPr>
          <w:color w:val="auto"/>
          <w:sz w:val="24"/>
          <w:highlight w:val="none"/>
        </w:rPr>
      </w:pPr>
      <w:r>
        <w:rPr>
          <w:color w:val="auto"/>
          <w:sz w:val="24"/>
          <w:highlight w:val="none"/>
        </w:rPr>
        <w:t>审查承包人报送的工程材料、构配件、设备质量证明文件的有效性和符合性， 并按规定对用于工程的材料采取平行检验或见证取样方式进行抽检；</w:t>
      </w:r>
    </w:p>
    <w:p>
      <w:pPr>
        <w:pStyle w:val="20"/>
        <w:numPr>
          <w:ilvl w:val="0"/>
          <w:numId w:val="8"/>
        </w:numPr>
        <w:tabs>
          <w:tab w:val="left" w:pos="1431"/>
        </w:tabs>
        <w:spacing w:before="5" w:line="362" w:lineRule="auto"/>
        <w:ind w:right="233" w:firstLine="480"/>
        <w:rPr>
          <w:color w:val="auto"/>
          <w:sz w:val="24"/>
          <w:highlight w:val="none"/>
        </w:rPr>
      </w:pPr>
      <w:r>
        <w:rPr>
          <w:color w:val="auto"/>
          <w:sz w:val="24"/>
          <w:highlight w:val="none"/>
        </w:rPr>
        <w:t>审核承包人提交的工程款支付申请，签发或出具工程款支付证书，并报委托人审核、批准；</w:t>
      </w:r>
    </w:p>
    <w:p>
      <w:pPr>
        <w:pStyle w:val="20"/>
        <w:numPr>
          <w:ilvl w:val="0"/>
          <w:numId w:val="8"/>
        </w:numPr>
        <w:tabs>
          <w:tab w:val="left" w:pos="1431"/>
        </w:tabs>
        <w:spacing w:before="5" w:line="362" w:lineRule="auto"/>
        <w:ind w:right="233" w:firstLine="480"/>
        <w:rPr>
          <w:color w:val="auto"/>
          <w:sz w:val="24"/>
          <w:highlight w:val="none"/>
        </w:rPr>
      </w:pPr>
      <w:r>
        <w:rPr>
          <w:color w:val="auto"/>
          <w:sz w:val="24"/>
          <w:highlight w:val="none"/>
        </w:rPr>
        <w:t>在巡视、旁站和检验过程中，发现工程质量、施工安全存在事故隐患的，要求承包人整改并报委托人；</w:t>
      </w:r>
    </w:p>
    <w:p>
      <w:pPr>
        <w:pStyle w:val="20"/>
        <w:numPr>
          <w:ilvl w:val="0"/>
          <w:numId w:val="8"/>
        </w:numPr>
        <w:tabs>
          <w:tab w:val="left" w:pos="1425"/>
        </w:tabs>
        <w:spacing w:before="5"/>
        <w:ind w:left="1424" w:hanging="722"/>
        <w:rPr>
          <w:color w:val="auto"/>
          <w:sz w:val="24"/>
          <w:highlight w:val="none"/>
        </w:rPr>
      </w:pPr>
      <w:r>
        <w:rPr>
          <w:color w:val="auto"/>
          <w:sz w:val="24"/>
          <w:highlight w:val="none"/>
        </w:rPr>
        <w:t>经委托人同意，签发工程暂停令和复工令；</w:t>
      </w:r>
    </w:p>
    <w:p>
      <w:pPr>
        <w:pStyle w:val="20"/>
        <w:numPr>
          <w:ilvl w:val="0"/>
          <w:numId w:val="8"/>
        </w:numPr>
        <w:tabs>
          <w:tab w:val="left" w:pos="1431"/>
        </w:tabs>
        <w:spacing w:before="158" w:line="364" w:lineRule="auto"/>
        <w:ind w:right="233" w:firstLine="480"/>
        <w:rPr>
          <w:color w:val="auto"/>
          <w:sz w:val="24"/>
          <w:highlight w:val="none"/>
        </w:rPr>
      </w:pPr>
      <w:r>
        <w:rPr>
          <w:color w:val="auto"/>
          <w:sz w:val="24"/>
          <w:highlight w:val="none"/>
        </w:rPr>
        <w:t>审查承包人提交的采用新材料、新工艺、新技术、新设备的论证材料及相关验收标准；</w:t>
      </w:r>
    </w:p>
    <w:p>
      <w:pPr>
        <w:pStyle w:val="20"/>
        <w:numPr>
          <w:ilvl w:val="0"/>
          <w:numId w:val="8"/>
        </w:numPr>
        <w:tabs>
          <w:tab w:val="left" w:pos="1425"/>
        </w:tabs>
        <w:spacing w:before="1"/>
        <w:ind w:left="1424" w:hanging="722"/>
        <w:rPr>
          <w:color w:val="auto"/>
          <w:sz w:val="24"/>
          <w:highlight w:val="none"/>
        </w:rPr>
      </w:pPr>
      <w:r>
        <w:rPr>
          <w:color w:val="auto"/>
          <w:sz w:val="24"/>
          <w:highlight w:val="none"/>
        </w:rPr>
        <w:t>验收隐蔽工程、分部分项工程；</w:t>
      </w:r>
    </w:p>
    <w:p>
      <w:pPr>
        <w:pStyle w:val="20"/>
        <w:numPr>
          <w:ilvl w:val="0"/>
          <w:numId w:val="8"/>
        </w:numPr>
        <w:tabs>
          <w:tab w:val="left" w:pos="1431"/>
        </w:tabs>
        <w:spacing w:before="158" w:line="364" w:lineRule="auto"/>
        <w:ind w:right="233" w:firstLine="480"/>
        <w:rPr>
          <w:color w:val="auto"/>
          <w:sz w:val="24"/>
          <w:highlight w:val="none"/>
        </w:rPr>
      </w:pPr>
      <w:r>
        <w:rPr>
          <w:color w:val="auto"/>
          <w:sz w:val="24"/>
          <w:highlight w:val="none"/>
        </w:rPr>
        <w:t>审查承包人提交的工程变更申请，协调处理施工进度调整、费用索赔、合同争议等事项；</w:t>
      </w:r>
    </w:p>
    <w:p>
      <w:pPr>
        <w:pStyle w:val="20"/>
        <w:numPr>
          <w:ilvl w:val="0"/>
          <w:numId w:val="8"/>
        </w:numPr>
        <w:tabs>
          <w:tab w:val="left" w:pos="1425"/>
        </w:tabs>
        <w:spacing w:line="306" w:lineRule="exact"/>
        <w:ind w:left="1424" w:hanging="722"/>
        <w:rPr>
          <w:color w:val="auto"/>
          <w:sz w:val="24"/>
          <w:highlight w:val="none"/>
        </w:rPr>
      </w:pPr>
      <w:r>
        <w:rPr>
          <w:color w:val="auto"/>
          <w:sz w:val="24"/>
          <w:highlight w:val="none"/>
        </w:rPr>
        <w:t>审查承包人提交的竣工验收申请，编写工程质量评估报告；</w:t>
      </w:r>
    </w:p>
    <w:p>
      <w:pPr>
        <w:pStyle w:val="20"/>
        <w:numPr>
          <w:ilvl w:val="0"/>
          <w:numId w:val="8"/>
        </w:numPr>
        <w:tabs>
          <w:tab w:val="left" w:pos="1425"/>
        </w:tabs>
        <w:spacing w:before="161"/>
        <w:ind w:left="1424" w:hanging="722"/>
        <w:rPr>
          <w:color w:val="auto"/>
          <w:sz w:val="24"/>
          <w:highlight w:val="none"/>
        </w:rPr>
      </w:pPr>
      <w:r>
        <w:rPr>
          <w:color w:val="auto"/>
          <w:sz w:val="24"/>
          <w:highlight w:val="none"/>
        </w:rPr>
        <w:t>参加工程竣工验收，签署竣工验收意见；</w:t>
      </w:r>
    </w:p>
    <w:p>
      <w:pPr>
        <w:pStyle w:val="20"/>
        <w:numPr>
          <w:ilvl w:val="0"/>
          <w:numId w:val="8"/>
        </w:numPr>
        <w:tabs>
          <w:tab w:val="left" w:pos="1425"/>
        </w:tabs>
        <w:spacing w:before="158"/>
        <w:ind w:left="1424" w:hanging="722"/>
        <w:rPr>
          <w:color w:val="auto"/>
          <w:sz w:val="24"/>
          <w:highlight w:val="none"/>
        </w:rPr>
      </w:pPr>
      <w:r>
        <w:rPr>
          <w:color w:val="auto"/>
          <w:sz w:val="24"/>
          <w:highlight w:val="none"/>
        </w:rPr>
        <w:t>审查承包人提交的竣工结算申请并报委托人；</w:t>
      </w:r>
    </w:p>
    <w:p>
      <w:pPr>
        <w:pStyle w:val="20"/>
        <w:numPr>
          <w:ilvl w:val="0"/>
          <w:numId w:val="8"/>
        </w:numPr>
        <w:tabs>
          <w:tab w:val="left" w:pos="1425"/>
        </w:tabs>
        <w:spacing w:before="160"/>
        <w:ind w:left="1424" w:hanging="722"/>
        <w:rPr>
          <w:color w:val="auto"/>
          <w:sz w:val="24"/>
          <w:highlight w:val="none"/>
        </w:rPr>
      </w:pPr>
      <w:r>
        <w:rPr>
          <w:color w:val="auto"/>
          <w:sz w:val="24"/>
          <w:highlight w:val="none"/>
        </w:rPr>
        <w:t>编制、整理工程监理归档文件并报委托人。</w:t>
      </w:r>
    </w:p>
    <w:p>
      <w:pPr>
        <w:pStyle w:val="3"/>
        <w:spacing w:before="7"/>
        <w:ind w:left="0"/>
        <w:rPr>
          <w:color w:val="auto"/>
          <w:sz w:val="18"/>
          <w:highlight w:val="none"/>
        </w:rPr>
      </w:pPr>
    </w:p>
    <w:p>
      <w:pPr>
        <w:pStyle w:val="20"/>
        <w:numPr>
          <w:ilvl w:val="2"/>
          <w:numId w:val="5"/>
        </w:numPr>
        <w:tabs>
          <w:tab w:val="left" w:pos="1364"/>
        </w:tabs>
        <w:ind w:left="1363" w:hanging="661"/>
        <w:rPr>
          <w:color w:val="auto"/>
          <w:sz w:val="24"/>
          <w:highlight w:val="none"/>
        </w:rPr>
      </w:pPr>
      <w:r>
        <w:rPr>
          <w:strike/>
          <w:color w:val="auto"/>
          <w:sz w:val="24"/>
          <w:highlight w:val="none"/>
        </w:rPr>
        <w:t>相关服务的范围和内容在附录 A 中约定。</w:t>
      </w:r>
    </w:p>
    <w:p>
      <w:pPr>
        <w:pStyle w:val="20"/>
        <w:numPr>
          <w:ilvl w:val="1"/>
          <w:numId w:val="5"/>
        </w:numPr>
        <w:tabs>
          <w:tab w:val="left" w:pos="420"/>
        </w:tabs>
        <w:spacing w:before="160"/>
        <w:ind w:left="883" w:right="6881" w:hanging="884"/>
        <w:jc w:val="right"/>
        <w:rPr>
          <w:color w:val="auto"/>
          <w:sz w:val="24"/>
          <w:highlight w:val="none"/>
        </w:rPr>
      </w:pPr>
      <w:r>
        <w:rPr>
          <w:color w:val="auto"/>
          <w:sz w:val="24"/>
          <w:highlight w:val="none"/>
        </w:rPr>
        <w:t>监理与相关服务依据</w:t>
      </w:r>
    </w:p>
    <w:p>
      <w:pPr>
        <w:pStyle w:val="20"/>
        <w:numPr>
          <w:ilvl w:val="2"/>
          <w:numId w:val="5"/>
        </w:numPr>
        <w:tabs>
          <w:tab w:val="left" w:pos="660"/>
        </w:tabs>
        <w:spacing w:before="82"/>
        <w:ind w:left="1363" w:right="6881" w:hanging="1364"/>
        <w:jc w:val="right"/>
        <w:rPr>
          <w:color w:val="auto"/>
          <w:sz w:val="24"/>
          <w:highlight w:val="none"/>
        </w:rPr>
      </w:pPr>
      <w:r>
        <w:rPr>
          <w:color w:val="auto"/>
          <w:sz w:val="24"/>
          <w:highlight w:val="none"/>
        </w:rPr>
        <w:t>监理依据包括：</w:t>
      </w:r>
    </w:p>
    <w:p>
      <w:pPr>
        <w:pStyle w:val="20"/>
        <w:numPr>
          <w:ilvl w:val="3"/>
          <w:numId w:val="5"/>
        </w:numPr>
        <w:tabs>
          <w:tab w:val="left" w:pos="1425"/>
        </w:tabs>
        <w:spacing w:before="160"/>
        <w:ind w:hanging="602"/>
        <w:rPr>
          <w:color w:val="auto"/>
          <w:sz w:val="24"/>
          <w:highlight w:val="none"/>
        </w:rPr>
      </w:pPr>
      <w:r>
        <w:rPr>
          <w:color w:val="auto"/>
          <w:sz w:val="24"/>
          <w:highlight w:val="none"/>
        </w:rPr>
        <w:t>适用的法律、行政法规及部门规章；</w:t>
      </w:r>
    </w:p>
    <w:p>
      <w:pPr>
        <w:pStyle w:val="20"/>
        <w:numPr>
          <w:ilvl w:val="3"/>
          <w:numId w:val="5"/>
        </w:numPr>
        <w:tabs>
          <w:tab w:val="left" w:pos="1425"/>
        </w:tabs>
        <w:spacing w:before="158"/>
        <w:ind w:hanging="602"/>
        <w:rPr>
          <w:color w:val="auto"/>
          <w:sz w:val="24"/>
          <w:highlight w:val="none"/>
        </w:rPr>
      </w:pPr>
      <w:r>
        <w:rPr>
          <w:color w:val="auto"/>
          <w:sz w:val="24"/>
          <w:highlight w:val="none"/>
        </w:rPr>
        <w:t>与工程有关的标准；</w:t>
      </w:r>
    </w:p>
    <w:p>
      <w:pPr>
        <w:pStyle w:val="20"/>
        <w:numPr>
          <w:ilvl w:val="3"/>
          <w:numId w:val="5"/>
        </w:numPr>
        <w:tabs>
          <w:tab w:val="left" w:pos="1425"/>
        </w:tabs>
        <w:spacing w:before="161"/>
        <w:ind w:hanging="602"/>
        <w:rPr>
          <w:color w:val="auto"/>
          <w:sz w:val="24"/>
          <w:highlight w:val="none"/>
        </w:rPr>
      </w:pPr>
      <w:r>
        <w:rPr>
          <w:color w:val="auto"/>
          <w:sz w:val="24"/>
          <w:highlight w:val="none"/>
        </w:rPr>
        <w:t>工程设计及有关文件；</w:t>
      </w:r>
    </w:p>
    <w:p>
      <w:pPr>
        <w:pStyle w:val="20"/>
        <w:numPr>
          <w:ilvl w:val="3"/>
          <w:numId w:val="5"/>
        </w:numPr>
        <w:tabs>
          <w:tab w:val="left" w:pos="1425"/>
        </w:tabs>
        <w:spacing w:before="158"/>
        <w:ind w:hanging="602"/>
        <w:rPr>
          <w:color w:val="auto"/>
          <w:sz w:val="24"/>
          <w:highlight w:val="none"/>
        </w:rPr>
      </w:pPr>
      <w:r>
        <w:rPr>
          <w:color w:val="auto"/>
          <w:sz w:val="24"/>
          <w:highlight w:val="none"/>
        </w:rPr>
        <w:t>本合同及委托人与第三方签订的与实施工程有关的其他合同。</w:t>
      </w:r>
    </w:p>
    <w:p>
      <w:pPr>
        <w:rPr>
          <w:color w:val="auto"/>
          <w:sz w:val="24"/>
          <w:highlight w:val="none"/>
        </w:rPr>
        <w:sectPr>
          <w:pgSz w:w="11910" w:h="16840"/>
          <w:pgMar w:top="1060" w:right="900" w:bottom="1180" w:left="1080" w:header="0" w:footer="917" w:gutter="0"/>
          <w:cols w:space="720" w:num="1"/>
        </w:sectPr>
      </w:pPr>
    </w:p>
    <w:p>
      <w:pPr>
        <w:pStyle w:val="3"/>
        <w:spacing w:before="53"/>
        <w:ind w:left="1044"/>
        <w:rPr>
          <w:color w:val="auto"/>
          <w:highlight w:val="none"/>
        </w:rPr>
      </w:pPr>
      <w:r>
        <w:rPr>
          <w:color w:val="auto"/>
          <w:highlight w:val="none"/>
        </w:rPr>
        <w:t>双方根据工程的行业和地域特点，在专用条款中具体约定监理依据。</w:t>
      </w:r>
    </w:p>
    <w:p>
      <w:pPr>
        <w:pStyle w:val="20"/>
        <w:numPr>
          <w:ilvl w:val="2"/>
          <w:numId w:val="5"/>
        </w:numPr>
        <w:tabs>
          <w:tab w:val="left" w:pos="1364"/>
        </w:tabs>
        <w:spacing w:before="82"/>
        <w:ind w:left="1363" w:hanging="661"/>
        <w:rPr>
          <w:color w:val="auto"/>
          <w:sz w:val="24"/>
          <w:highlight w:val="none"/>
        </w:rPr>
      </w:pPr>
      <w:r>
        <w:rPr>
          <w:color w:val="auto"/>
          <w:sz w:val="24"/>
          <w:highlight w:val="none"/>
        </w:rPr>
        <w:t>相关服务依据在专用条款中约定。</w:t>
      </w:r>
    </w:p>
    <w:p>
      <w:pPr>
        <w:pStyle w:val="3"/>
        <w:spacing w:before="8"/>
        <w:ind w:left="0"/>
        <w:rPr>
          <w:color w:val="auto"/>
          <w:sz w:val="18"/>
          <w:highlight w:val="none"/>
        </w:rPr>
      </w:pPr>
    </w:p>
    <w:p>
      <w:pPr>
        <w:pStyle w:val="20"/>
        <w:numPr>
          <w:ilvl w:val="1"/>
          <w:numId w:val="5"/>
        </w:numPr>
        <w:tabs>
          <w:tab w:val="left" w:pos="884"/>
        </w:tabs>
        <w:spacing w:before="1"/>
        <w:ind w:left="883" w:hanging="421"/>
        <w:jc w:val="both"/>
        <w:rPr>
          <w:color w:val="auto"/>
          <w:sz w:val="24"/>
          <w:highlight w:val="none"/>
        </w:rPr>
      </w:pPr>
      <w:r>
        <w:rPr>
          <w:color w:val="auto"/>
          <w:sz w:val="24"/>
          <w:highlight w:val="none"/>
        </w:rPr>
        <w:t>项目监理机构和人员</w:t>
      </w:r>
    </w:p>
    <w:p>
      <w:pPr>
        <w:pStyle w:val="20"/>
        <w:numPr>
          <w:ilvl w:val="2"/>
          <w:numId w:val="5"/>
        </w:numPr>
        <w:tabs>
          <w:tab w:val="left" w:pos="1364"/>
        </w:tabs>
        <w:spacing w:before="81" w:line="364" w:lineRule="auto"/>
        <w:ind w:left="223" w:right="233" w:firstLine="480"/>
        <w:jc w:val="both"/>
        <w:rPr>
          <w:color w:val="auto"/>
          <w:sz w:val="24"/>
          <w:highlight w:val="none"/>
        </w:rPr>
      </w:pPr>
      <w:r>
        <w:rPr>
          <w:color w:val="auto"/>
          <w:sz w:val="24"/>
          <w:highlight w:val="none"/>
        </w:rPr>
        <w:t>监理人应组建满足工作需要的项目监理机构，配备必要的检测设备。项目监理机构的主要人员应具有相应的资格条件。</w:t>
      </w:r>
    </w:p>
    <w:p>
      <w:pPr>
        <w:pStyle w:val="20"/>
        <w:numPr>
          <w:ilvl w:val="2"/>
          <w:numId w:val="5"/>
        </w:numPr>
        <w:tabs>
          <w:tab w:val="left" w:pos="1364"/>
        </w:tabs>
        <w:spacing w:line="364" w:lineRule="auto"/>
        <w:ind w:left="223" w:right="233" w:firstLine="480"/>
        <w:jc w:val="both"/>
        <w:rPr>
          <w:color w:val="auto"/>
          <w:sz w:val="24"/>
          <w:highlight w:val="none"/>
        </w:rPr>
      </w:pPr>
      <w:r>
        <w:rPr>
          <w:color w:val="auto"/>
          <w:sz w:val="24"/>
          <w:highlight w:val="none"/>
        </w:rPr>
        <w:t>本合同履行过程中，总监理工程师及重要岗位监理人员应保持相对稳定，以保证监理工作正常进行。</w:t>
      </w:r>
    </w:p>
    <w:p>
      <w:pPr>
        <w:pStyle w:val="20"/>
        <w:numPr>
          <w:ilvl w:val="2"/>
          <w:numId w:val="5"/>
        </w:numPr>
        <w:tabs>
          <w:tab w:val="left" w:pos="1364"/>
        </w:tabs>
        <w:spacing w:line="364" w:lineRule="auto"/>
        <w:ind w:left="223" w:right="233" w:firstLine="480"/>
        <w:jc w:val="both"/>
        <w:rPr>
          <w:color w:val="auto"/>
          <w:sz w:val="24"/>
          <w:highlight w:val="none"/>
        </w:rPr>
      </w:pPr>
      <w:r>
        <w:rPr>
          <w:color w:val="auto"/>
          <w:sz w:val="24"/>
          <w:highlight w:val="none"/>
        </w:rPr>
        <w:t>监理人可根据工程进展和工作需要调整项目监理机构人员。监理人更换总监理工程师时，应提前 7 天向委托人书面报告，经委托人同意后方可更换；监理人更换项目监理机构其他监理人员，应以相当资格与能力的人员替换，并通知委托人。</w:t>
      </w:r>
    </w:p>
    <w:p>
      <w:pPr>
        <w:pStyle w:val="20"/>
        <w:numPr>
          <w:ilvl w:val="2"/>
          <w:numId w:val="5"/>
        </w:numPr>
        <w:tabs>
          <w:tab w:val="left" w:pos="1364"/>
        </w:tabs>
        <w:spacing w:line="307" w:lineRule="exact"/>
        <w:ind w:left="1363" w:hanging="661"/>
        <w:jc w:val="both"/>
        <w:rPr>
          <w:color w:val="auto"/>
          <w:sz w:val="24"/>
          <w:highlight w:val="none"/>
        </w:rPr>
      </w:pPr>
      <w:r>
        <w:rPr>
          <w:color w:val="auto"/>
          <w:sz w:val="24"/>
          <w:highlight w:val="none"/>
        </w:rPr>
        <w:t>监理人应及时更换有下列情形之一的监理人员：</w:t>
      </w:r>
    </w:p>
    <w:p>
      <w:pPr>
        <w:pStyle w:val="20"/>
        <w:numPr>
          <w:ilvl w:val="0"/>
          <w:numId w:val="9"/>
        </w:numPr>
        <w:tabs>
          <w:tab w:val="left" w:pos="1305"/>
        </w:tabs>
        <w:spacing w:before="156"/>
        <w:ind w:hanging="602"/>
        <w:rPr>
          <w:color w:val="auto"/>
          <w:sz w:val="24"/>
          <w:highlight w:val="none"/>
        </w:rPr>
      </w:pPr>
      <w:r>
        <w:rPr>
          <w:color w:val="auto"/>
          <w:sz w:val="24"/>
          <w:highlight w:val="none"/>
        </w:rPr>
        <w:t>严重过失行为的；</w:t>
      </w:r>
    </w:p>
    <w:p>
      <w:pPr>
        <w:pStyle w:val="20"/>
        <w:numPr>
          <w:ilvl w:val="0"/>
          <w:numId w:val="9"/>
        </w:numPr>
        <w:tabs>
          <w:tab w:val="left" w:pos="1305"/>
        </w:tabs>
        <w:spacing w:before="160"/>
        <w:ind w:hanging="602"/>
        <w:rPr>
          <w:color w:val="auto"/>
          <w:sz w:val="24"/>
          <w:highlight w:val="none"/>
        </w:rPr>
      </w:pPr>
      <w:r>
        <w:rPr>
          <w:color w:val="auto"/>
          <w:sz w:val="24"/>
          <w:highlight w:val="none"/>
        </w:rPr>
        <w:t>有违法行为不能履行职责的；</w:t>
      </w:r>
    </w:p>
    <w:p>
      <w:pPr>
        <w:pStyle w:val="20"/>
        <w:numPr>
          <w:ilvl w:val="0"/>
          <w:numId w:val="9"/>
        </w:numPr>
        <w:tabs>
          <w:tab w:val="left" w:pos="1305"/>
        </w:tabs>
        <w:spacing w:before="158"/>
        <w:ind w:hanging="602"/>
        <w:rPr>
          <w:color w:val="auto"/>
          <w:sz w:val="24"/>
          <w:highlight w:val="none"/>
        </w:rPr>
      </w:pPr>
      <w:r>
        <w:rPr>
          <w:color w:val="auto"/>
          <w:sz w:val="24"/>
          <w:highlight w:val="none"/>
        </w:rPr>
        <w:t>涉嫌犯罪的；</w:t>
      </w:r>
    </w:p>
    <w:p>
      <w:pPr>
        <w:pStyle w:val="20"/>
        <w:numPr>
          <w:ilvl w:val="0"/>
          <w:numId w:val="9"/>
        </w:numPr>
        <w:tabs>
          <w:tab w:val="left" w:pos="1305"/>
        </w:tabs>
        <w:spacing w:before="161"/>
        <w:ind w:hanging="602"/>
        <w:rPr>
          <w:color w:val="auto"/>
          <w:sz w:val="24"/>
          <w:highlight w:val="none"/>
        </w:rPr>
      </w:pPr>
      <w:r>
        <w:rPr>
          <w:color w:val="auto"/>
          <w:sz w:val="24"/>
          <w:highlight w:val="none"/>
        </w:rPr>
        <w:t>不能胜任岗位职责的；</w:t>
      </w:r>
    </w:p>
    <w:p>
      <w:pPr>
        <w:pStyle w:val="20"/>
        <w:numPr>
          <w:ilvl w:val="0"/>
          <w:numId w:val="9"/>
        </w:numPr>
        <w:tabs>
          <w:tab w:val="left" w:pos="1305"/>
        </w:tabs>
        <w:spacing w:before="158"/>
        <w:ind w:hanging="602"/>
        <w:rPr>
          <w:color w:val="auto"/>
          <w:sz w:val="24"/>
          <w:highlight w:val="none"/>
        </w:rPr>
      </w:pPr>
      <w:r>
        <w:rPr>
          <w:color w:val="auto"/>
          <w:sz w:val="24"/>
          <w:highlight w:val="none"/>
        </w:rPr>
        <w:t>严重违反职业道德的；</w:t>
      </w:r>
    </w:p>
    <w:p>
      <w:pPr>
        <w:pStyle w:val="20"/>
        <w:numPr>
          <w:ilvl w:val="0"/>
          <w:numId w:val="9"/>
        </w:numPr>
        <w:tabs>
          <w:tab w:val="left" w:pos="1305"/>
        </w:tabs>
        <w:spacing w:before="160"/>
        <w:ind w:hanging="602"/>
        <w:rPr>
          <w:color w:val="auto"/>
          <w:sz w:val="24"/>
          <w:highlight w:val="none"/>
        </w:rPr>
      </w:pPr>
      <w:r>
        <w:rPr>
          <w:color w:val="auto"/>
          <w:sz w:val="24"/>
          <w:highlight w:val="none"/>
        </w:rPr>
        <w:t>专用条款约定的其他情形。</w:t>
      </w:r>
    </w:p>
    <w:p>
      <w:pPr>
        <w:pStyle w:val="3"/>
        <w:spacing w:before="7"/>
        <w:ind w:left="0"/>
        <w:rPr>
          <w:color w:val="auto"/>
          <w:sz w:val="18"/>
          <w:highlight w:val="none"/>
        </w:rPr>
      </w:pPr>
    </w:p>
    <w:p>
      <w:pPr>
        <w:pStyle w:val="20"/>
        <w:numPr>
          <w:ilvl w:val="2"/>
          <w:numId w:val="5"/>
        </w:numPr>
        <w:tabs>
          <w:tab w:val="left" w:pos="1364"/>
        </w:tabs>
        <w:ind w:left="1363" w:hanging="661"/>
        <w:rPr>
          <w:color w:val="auto"/>
          <w:sz w:val="24"/>
          <w:highlight w:val="none"/>
        </w:rPr>
      </w:pPr>
      <w:r>
        <w:rPr>
          <w:color w:val="auto"/>
          <w:sz w:val="24"/>
          <w:highlight w:val="none"/>
        </w:rPr>
        <w:t>委托人可要求监理人更换不能胜任本职工作的项目监理机构人员。</w:t>
      </w:r>
    </w:p>
    <w:p>
      <w:pPr>
        <w:pStyle w:val="20"/>
        <w:numPr>
          <w:ilvl w:val="1"/>
          <w:numId w:val="5"/>
        </w:numPr>
        <w:tabs>
          <w:tab w:val="left" w:pos="884"/>
        </w:tabs>
        <w:spacing w:before="161"/>
        <w:ind w:left="883" w:hanging="421"/>
        <w:rPr>
          <w:color w:val="auto"/>
          <w:sz w:val="24"/>
          <w:highlight w:val="none"/>
        </w:rPr>
      </w:pPr>
      <w:r>
        <w:rPr>
          <w:color w:val="auto"/>
          <w:sz w:val="24"/>
          <w:highlight w:val="none"/>
        </w:rPr>
        <w:t>履行职责</w:t>
      </w:r>
    </w:p>
    <w:p>
      <w:pPr>
        <w:pStyle w:val="3"/>
        <w:spacing w:before="81" w:line="364" w:lineRule="auto"/>
        <w:ind w:right="233" w:firstLine="480"/>
        <w:rPr>
          <w:color w:val="auto"/>
          <w:highlight w:val="none"/>
        </w:rPr>
      </w:pPr>
      <w:r>
        <w:rPr>
          <w:color w:val="auto"/>
          <w:highlight w:val="none"/>
        </w:rPr>
        <w:t>监理人应遵循职业道德准则和行为规范，严格按照法律法规、工程建设有关标准及本合同履行职责。</w:t>
      </w:r>
    </w:p>
    <w:p>
      <w:pPr>
        <w:pStyle w:val="20"/>
        <w:numPr>
          <w:ilvl w:val="2"/>
          <w:numId w:val="5"/>
        </w:numPr>
        <w:tabs>
          <w:tab w:val="left" w:pos="1364"/>
        </w:tabs>
        <w:spacing w:before="1" w:line="364" w:lineRule="auto"/>
        <w:ind w:left="223" w:right="230" w:firstLine="480"/>
        <w:jc w:val="both"/>
        <w:rPr>
          <w:color w:val="auto"/>
          <w:sz w:val="24"/>
          <w:highlight w:val="none"/>
        </w:rPr>
      </w:pPr>
      <w:r>
        <w:rPr>
          <w:color w:val="auto"/>
          <w:sz w:val="24"/>
          <w:highlight w:val="none"/>
        </w:rPr>
        <w:t>在监理与相关服务范围内，委托人和承包人提出的意见和要求，监理人应及时提出处置意见。当委托人与承包人之间发生合同争议时，监理人应协助委托人、承包人协商解决。</w:t>
      </w:r>
    </w:p>
    <w:p>
      <w:pPr>
        <w:pStyle w:val="20"/>
        <w:numPr>
          <w:ilvl w:val="2"/>
          <w:numId w:val="5"/>
        </w:numPr>
        <w:tabs>
          <w:tab w:val="left" w:pos="1364"/>
        </w:tabs>
        <w:spacing w:line="364" w:lineRule="auto"/>
        <w:ind w:left="223" w:right="233" w:firstLine="480"/>
        <w:jc w:val="both"/>
        <w:rPr>
          <w:color w:val="auto"/>
          <w:sz w:val="24"/>
          <w:highlight w:val="none"/>
        </w:rPr>
      </w:pPr>
      <w:r>
        <w:rPr>
          <w:color w:val="auto"/>
          <w:sz w:val="24"/>
          <w:highlight w:val="none"/>
        </w:rPr>
        <w:t>当委托人与承包人之间的合同争议提交仲裁机构仲裁或人民法院审理时，监理人应提供必要的证明资料。</w:t>
      </w:r>
    </w:p>
    <w:p>
      <w:pPr>
        <w:pStyle w:val="20"/>
        <w:numPr>
          <w:ilvl w:val="2"/>
          <w:numId w:val="5"/>
        </w:numPr>
        <w:tabs>
          <w:tab w:val="left" w:pos="1364"/>
        </w:tabs>
        <w:spacing w:line="364" w:lineRule="auto"/>
        <w:ind w:left="223" w:right="233" w:firstLine="480"/>
        <w:jc w:val="both"/>
        <w:rPr>
          <w:color w:val="auto"/>
          <w:sz w:val="24"/>
          <w:highlight w:val="none"/>
        </w:rPr>
      </w:pPr>
      <w:r>
        <w:rPr>
          <w:color w:val="auto"/>
          <w:sz w:val="24"/>
          <w:highlight w:val="none"/>
        </w:rPr>
        <w:t>监理人应在专用条款约定的授权范围内，处理委托人与承包人所签订合同的变更事宜。如果变更超过授权范围，应以书面形式报委托人批准。</w:t>
      </w:r>
    </w:p>
    <w:p>
      <w:pPr>
        <w:pStyle w:val="3"/>
        <w:spacing w:line="364" w:lineRule="auto"/>
        <w:ind w:right="233" w:firstLine="480"/>
        <w:jc w:val="both"/>
        <w:rPr>
          <w:color w:val="auto"/>
          <w:highlight w:val="none"/>
        </w:rPr>
      </w:pPr>
      <w:r>
        <w:rPr>
          <w:color w:val="auto"/>
          <w:highlight w:val="none"/>
        </w:rPr>
        <w:t>在紧急情况下，为了保护财产和人身安全，监理人所发出的指令未能事先报委托人批准时，应在发出指令后的 24 小时内以书面形式报委托人。</w:t>
      </w:r>
    </w:p>
    <w:p>
      <w:pPr>
        <w:pStyle w:val="20"/>
        <w:numPr>
          <w:ilvl w:val="2"/>
          <w:numId w:val="5"/>
        </w:numPr>
        <w:tabs>
          <w:tab w:val="left" w:pos="1364"/>
        </w:tabs>
        <w:spacing w:before="73"/>
        <w:ind w:left="1363" w:hanging="661"/>
        <w:jc w:val="both"/>
        <w:rPr>
          <w:color w:val="auto"/>
          <w:sz w:val="24"/>
          <w:highlight w:val="none"/>
        </w:rPr>
      </w:pPr>
      <w:r>
        <w:rPr>
          <w:color w:val="auto"/>
          <w:sz w:val="24"/>
          <w:highlight w:val="none"/>
        </w:rPr>
        <w:t>除专用条款另有约定外，监理人发现承包人的人员不能胜任本职工作的，有权要</w:t>
      </w:r>
    </w:p>
    <w:p>
      <w:pPr>
        <w:jc w:val="both"/>
        <w:rPr>
          <w:color w:val="auto"/>
          <w:sz w:val="24"/>
          <w:highlight w:val="none"/>
        </w:rPr>
        <w:sectPr>
          <w:pgSz w:w="11910" w:h="16840"/>
          <w:pgMar w:top="1140" w:right="900" w:bottom="1180" w:left="1080" w:header="0" w:footer="917" w:gutter="0"/>
          <w:cols w:space="720" w:num="1"/>
        </w:sectPr>
      </w:pPr>
    </w:p>
    <w:p>
      <w:pPr>
        <w:pStyle w:val="3"/>
        <w:spacing w:before="53"/>
        <w:rPr>
          <w:color w:val="auto"/>
          <w:highlight w:val="none"/>
        </w:rPr>
      </w:pPr>
      <w:r>
        <w:rPr>
          <w:color w:val="auto"/>
          <w:highlight w:val="none"/>
        </w:rPr>
        <w:t>求承包人予以调换。</w:t>
      </w:r>
    </w:p>
    <w:p>
      <w:pPr>
        <w:pStyle w:val="20"/>
        <w:numPr>
          <w:ilvl w:val="1"/>
          <w:numId w:val="5"/>
        </w:numPr>
        <w:tabs>
          <w:tab w:val="left" w:pos="984"/>
        </w:tabs>
        <w:spacing w:before="161"/>
        <w:ind w:hanging="421"/>
        <w:rPr>
          <w:color w:val="auto"/>
          <w:sz w:val="24"/>
          <w:highlight w:val="none"/>
        </w:rPr>
      </w:pPr>
      <w:r>
        <w:rPr>
          <w:color w:val="auto"/>
          <w:sz w:val="24"/>
          <w:highlight w:val="none"/>
        </w:rPr>
        <w:t>提交报告</w:t>
      </w:r>
    </w:p>
    <w:p>
      <w:pPr>
        <w:pStyle w:val="3"/>
        <w:spacing w:before="160"/>
        <w:ind w:left="703"/>
        <w:rPr>
          <w:color w:val="auto"/>
          <w:highlight w:val="none"/>
        </w:rPr>
      </w:pPr>
      <w:r>
        <w:rPr>
          <w:color w:val="auto"/>
          <w:highlight w:val="none"/>
        </w:rPr>
        <w:t>监理人应按专用条款约定的种类、时间和份数向委托人提交监理与相关服务的报告。</w:t>
      </w:r>
    </w:p>
    <w:p>
      <w:pPr>
        <w:pStyle w:val="20"/>
        <w:numPr>
          <w:ilvl w:val="1"/>
          <w:numId w:val="5"/>
        </w:numPr>
        <w:tabs>
          <w:tab w:val="left" w:pos="984"/>
        </w:tabs>
        <w:spacing w:before="161"/>
        <w:rPr>
          <w:color w:val="auto"/>
          <w:sz w:val="24"/>
          <w:highlight w:val="none"/>
        </w:rPr>
      </w:pPr>
      <w:r>
        <w:rPr>
          <w:color w:val="auto"/>
          <w:sz w:val="24"/>
          <w:highlight w:val="none"/>
        </w:rPr>
        <w:t>文件资料</w:t>
      </w:r>
    </w:p>
    <w:p>
      <w:pPr>
        <w:pStyle w:val="3"/>
        <w:spacing w:before="160" w:line="364" w:lineRule="auto"/>
        <w:ind w:right="233" w:firstLine="480"/>
        <w:rPr>
          <w:color w:val="auto"/>
          <w:highlight w:val="none"/>
        </w:rPr>
      </w:pPr>
      <w:r>
        <w:rPr>
          <w:color w:val="auto"/>
          <w:highlight w:val="none"/>
        </w:rPr>
        <w:t>在本合同履行期内，监理人应在现场保留工作所用的图纸、报告及记录监理工作的相关文件。工程竣工后，应当按照档案管理规定将监理有关文件归档。</w:t>
      </w:r>
    </w:p>
    <w:p>
      <w:pPr>
        <w:pStyle w:val="20"/>
        <w:numPr>
          <w:ilvl w:val="1"/>
          <w:numId w:val="5"/>
        </w:numPr>
        <w:tabs>
          <w:tab w:val="left" w:pos="984"/>
        </w:tabs>
        <w:spacing w:before="2"/>
        <w:ind w:hanging="421"/>
        <w:rPr>
          <w:color w:val="auto"/>
          <w:sz w:val="24"/>
          <w:highlight w:val="none"/>
        </w:rPr>
      </w:pPr>
      <w:r>
        <w:rPr>
          <w:color w:val="auto"/>
          <w:sz w:val="24"/>
          <w:highlight w:val="none"/>
        </w:rPr>
        <w:t>使用委托人的财产</w:t>
      </w:r>
    </w:p>
    <w:p>
      <w:pPr>
        <w:pStyle w:val="3"/>
        <w:spacing w:before="160" w:line="364" w:lineRule="auto"/>
        <w:ind w:right="230" w:firstLine="480"/>
        <w:jc w:val="both"/>
        <w:rPr>
          <w:color w:val="auto"/>
          <w:highlight w:val="none"/>
        </w:rPr>
      </w:pPr>
      <w:r>
        <w:rPr>
          <w:color w:val="auto"/>
          <w:highlight w:val="none"/>
        </w:rPr>
        <w:t>除专用条款另有约定外，委托人提供的房屋、设备属于委托人的财产，监理人应妥善使用和保管，在本合同终止时将这些房屋、设备的清单提交委托人，并按专用条款约定的时间和方式移交。</w:t>
      </w:r>
    </w:p>
    <w:p>
      <w:pPr>
        <w:pStyle w:val="3"/>
        <w:spacing w:before="4"/>
        <w:ind w:left="0"/>
        <w:rPr>
          <w:color w:val="auto"/>
          <w:sz w:val="30"/>
          <w:highlight w:val="none"/>
        </w:rPr>
      </w:pPr>
    </w:p>
    <w:p>
      <w:pPr>
        <w:pStyle w:val="11"/>
        <w:numPr>
          <w:ilvl w:val="0"/>
          <w:numId w:val="5"/>
        </w:numPr>
        <w:tabs>
          <w:tab w:val="left" w:pos="647"/>
        </w:tabs>
        <w:spacing w:before="1"/>
        <w:ind w:left="646" w:hanging="424"/>
        <w:rPr>
          <w:color w:val="auto"/>
          <w:highlight w:val="none"/>
        </w:rPr>
      </w:pPr>
      <w:r>
        <w:rPr>
          <w:color w:val="auto"/>
          <w:highlight w:val="none"/>
        </w:rPr>
        <w:t>委托人的义务</w:t>
      </w:r>
    </w:p>
    <w:p>
      <w:pPr>
        <w:pStyle w:val="3"/>
        <w:spacing w:before="10"/>
        <w:ind w:left="0"/>
        <w:rPr>
          <w:b/>
          <w:color w:val="auto"/>
          <w:sz w:val="20"/>
          <w:highlight w:val="none"/>
        </w:rPr>
      </w:pPr>
    </w:p>
    <w:p>
      <w:pPr>
        <w:pStyle w:val="20"/>
        <w:numPr>
          <w:ilvl w:val="1"/>
          <w:numId w:val="5"/>
        </w:numPr>
        <w:tabs>
          <w:tab w:val="left" w:pos="984"/>
        </w:tabs>
        <w:rPr>
          <w:color w:val="auto"/>
          <w:sz w:val="24"/>
          <w:highlight w:val="none"/>
        </w:rPr>
      </w:pPr>
      <w:r>
        <w:rPr>
          <w:color w:val="auto"/>
          <w:sz w:val="24"/>
          <w:highlight w:val="none"/>
        </w:rPr>
        <w:t>告知</w:t>
      </w:r>
    </w:p>
    <w:p>
      <w:pPr>
        <w:pStyle w:val="3"/>
        <w:spacing w:before="161" w:line="364" w:lineRule="auto"/>
        <w:ind w:right="233" w:firstLine="480"/>
        <w:rPr>
          <w:color w:val="auto"/>
          <w:highlight w:val="none"/>
        </w:rPr>
      </w:pPr>
      <w:r>
        <w:rPr>
          <w:color w:val="auto"/>
          <w:highlight w:val="none"/>
        </w:rPr>
        <w:t>委托人应在委托人与承包人签订的合同中明确监理人、总监理工程师和授予项目监理机构的权限。如有变更，应及时通知承包人。</w:t>
      </w:r>
    </w:p>
    <w:p>
      <w:pPr>
        <w:pStyle w:val="20"/>
        <w:numPr>
          <w:ilvl w:val="1"/>
          <w:numId w:val="5"/>
        </w:numPr>
        <w:tabs>
          <w:tab w:val="left" w:pos="984"/>
        </w:tabs>
        <w:spacing w:before="1"/>
        <w:ind w:hanging="421"/>
        <w:rPr>
          <w:color w:val="auto"/>
          <w:sz w:val="24"/>
          <w:highlight w:val="none"/>
        </w:rPr>
      </w:pPr>
      <w:r>
        <w:rPr>
          <w:color w:val="auto"/>
          <w:sz w:val="24"/>
          <w:highlight w:val="none"/>
        </w:rPr>
        <w:t>提供资料</w:t>
      </w:r>
    </w:p>
    <w:p>
      <w:pPr>
        <w:pStyle w:val="3"/>
        <w:spacing w:before="160" w:line="364" w:lineRule="auto"/>
        <w:ind w:right="233" w:firstLine="480"/>
        <w:rPr>
          <w:color w:val="auto"/>
          <w:highlight w:val="none"/>
        </w:rPr>
      </w:pPr>
      <w:r>
        <w:rPr>
          <w:color w:val="auto"/>
          <w:highlight w:val="none"/>
        </w:rPr>
        <w:t>委托人无偿向监理人提供工程有关的资料。在本合同履行过程中，委托人应及时向监理人提供最新的与工程有关的资料。</w:t>
      </w:r>
    </w:p>
    <w:p>
      <w:pPr>
        <w:pStyle w:val="20"/>
        <w:numPr>
          <w:ilvl w:val="1"/>
          <w:numId w:val="5"/>
        </w:numPr>
        <w:tabs>
          <w:tab w:val="left" w:pos="984"/>
        </w:tabs>
        <w:spacing w:before="2"/>
        <w:ind w:hanging="421"/>
        <w:rPr>
          <w:color w:val="auto"/>
          <w:sz w:val="24"/>
          <w:highlight w:val="none"/>
        </w:rPr>
      </w:pPr>
      <w:r>
        <w:rPr>
          <w:color w:val="auto"/>
          <w:sz w:val="24"/>
          <w:highlight w:val="none"/>
        </w:rPr>
        <w:t>提供工作条件</w:t>
      </w:r>
    </w:p>
    <w:p>
      <w:pPr>
        <w:pStyle w:val="3"/>
        <w:spacing w:before="81"/>
        <w:ind w:left="703"/>
        <w:rPr>
          <w:color w:val="auto"/>
          <w:highlight w:val="none"/>
        </w:rPr>
      </w:pPr>
      <w:r>
        <w:rPr>
          <w:color w:val="auto"/>
          <w:highlight w:val="none"/>
        </w:rPr>
        <w:t>委托人应为监理人完成监理与相关服务提供必要的条件。</w:t>
      </w:r>
    </w:p>
    <w:p>
      <w:pPr>
        <w:pStyle w:val="20"/>
        <w:numPr>
          <w:ilvl w:val="2"/>
          <w:numId w:val="5"/>
        </w:numPr>
        <w:tabs>
          <w:tab w:val="left" w:pos="1364"/>
        </w:tabs>
        <w:spacing w:before="160"/>
        <w:ind w:left="1363" w:hanging="661"/>
        <w:rPr>
          <w:color w:val="auto"/>
          <w:sz w:val="24"/>
          <w:highlight w:val="none"/>
        </w:rPr>
      </w:pPr>
      <w:r>
        <w:rPr>
          <w:color w:val="auto"/>
          <w:sz w:val="24"/>
          <w:highlight w:val="none"/>
        </w:rPr>
        <w:t>委托人可根据需要派遣相应的人员，提供房屋、设备，供监理人无偿使用。</w:t>
      </w:r>
    </w:p>
    <w:p>
      <w:pPr>
        <w:pStyle w:val="3"/>
        <w:spacing w:before="7"/>
        <w:ind w:left="0"/>
        <w:rPr>
          <w:color w:val="auto"/>
          <w:sz w:val="18"/>
          <w:highlight w:val="none"/>
        </w:rPr>
      </w:pPr>
    </w:p>
    <w:p>
      <w:pPr>
        <w:pStyle w:val="20"/>
        <w:numPr>
          <w:ilvl w:val="2"/>
          <w:numId w:val="5"/>
        </w:numPr>
        <w:tabs>
          <w:tab w:val="left" w:pos="1364"/>
        </w:tabs>
        <w:spacing w:line="364" w:lineRule="auto"/>
        <w:ind w:left="223" w:right="233" w:firstLine="480"/>
        <w:rPr>
          <w:color w:val="auto"/>
          <w:sz w:val="24"/>
          <w:highlight w:val="none"/>
        </w:rPr>
      </w:pPr>
      <w:r>
        <w:rPr>
          <w:color w:val="auto"/>
          <w:sz w:val="24"/>
          <w:highlight w:val="none"/>
        </w:rPr>
        <w:t>委托人应负责协调工程建设中所有外部关系，为监理人履行本合同提供必要的外部条件。</w:t>
      </w:r>
    </w:p>
    <w:p>
      <w:pPr>
        <w:pStyle w:val="20"/>
        <w:numPr>
          <w:ilvl w:val="1"/>
          <w:numId w:val="5"/>
        </w:numPr>
        <w:tabs>
          <w:tab w:val="left" w:pos="984"/>
        </w:tabs>
        <w:spacing w:line="230" w:lineRule="exact"/>
        <w:ind w:hanging="421"/>
        <w:rPr>
          <w:color w:val="auto"/>
          <w:sz w:val="24"/>
          <w:highlight w:val="none"/>
        </w:rPr>
      </w:pPr>
      <w:r>
        <w:rPr>
          <w:color w:val="auto"/>
          <w:sz w:val="24"/>
          <w:highlight w:val="none"/>
        </w:rPr>
        <w:t>委托人代表</w:t>
      </w:r>
    </w:p>
    <w:p>
      <w:pPr>
        <w:pStyle w:val="3"/>
        <w:spacing w:before="161" w:line="364" w:lineRule="auto"/>
        <w:ind w:right="110" w:firstLine="480"/>
        <w:jc w:val="both"/>
        <w:rPr>
          <w:color w:val="auto"/>
          <w:highlight w:val="none"/>
        </w:rPr>
      </w:pPr>
      <w:r>
        <w:rPr>
          <w:color w:val="auto"/>
          <w:highlight w:val="none"/>
        </w:rPr>
        <w:t>委托人应授权一名熟悉工程情况的代表，负责与监理人联系。委托人应在双方签订本合同后 7 天内，将委托人代表的姓名和职责书面告知监理人。当委托人更换委托人代表时，</w:t>
      </w:r>
    </w:p>
    <w:p>
      <w:pPr>
        <w:pStyle w:val="3"/>
        <w:spacing w:line="306" w:lineRule="exact"/>
        <w:rPr>
          <w:color w:val="auto"/>
          <w:highlight w:val="none"/>
        </w:rPr>
      </w:pPr>
      <w:r>
        <w:rPr>
          <w:color w:val="auto"/>
          <w:highlight w:val="none"/>
        </w:rPr>
        <w:t>应提前 7 天通知监理人。</w:t>
      </w:r>
    </w:p>
    <w:p>
      <w:pPr>
        <w:pStyle w:val="20"/>
        <w:numPr>
          <w:ilvl w:val="1"/>
          <w:numId w:val="5"/>
        </w:numPr>
        <w:tabs>
          <w:tab w:val="left" w:pos="984"/>
        </w:tabs>
        <w:spacing w:before="160"/>
        <w:ind w:hanging="421"/>
        <w:rPr>
          <w:color w:val="auto"/>
          <w:sz w:val="24"/>
          <w:highlight w:val="none"/>
        </w:rPr>
      </w:pPr>
      <w:r>
        <w:rPr>
          <w:color w:val="auto"/>
          <w:sz w:val="24"/>
          <w:highlight w:val="none"/>
        </w:rPr>
        <w:t>委托人意见或要求</w:t>
      </w:r>
    </w:p>
    <w:p>
      <w:pPr>
        <w:pStyle w:val="3"/>
        <w:spacing w:before="158" w:line="364" w:lineRule="auto"/>
        <w:ind w:right="233" w:firstLine="480"/>
        <w:rPr>
          <w:color w:val="auto"/>
          <w:highlight w:val="none"/>
        </w:rPr>
      </w:pPr>
      <w:r>
        <w:rPr>
          <w:color w:val="auto"/>
          <w:highlight w:val="none"/>
        </w:rPr>
        <w:t>在本合同约定的监理与相关服务工作范围内，委托人对承包人的任何意见或要求应通知监理人，由监理人向承包人发出相应指令。</w:t>
      </w:r>
    </w:p>
    <w:p>
      <w:pPr>
        <w:pStyle w:val="20"/>
        <w:numPr>
          <w:ilvl w:val="1"/>
          <w:numId w:val="5"/>
        </w:numPr>
        <w:tabs>
          <w:tab w:val="left" w:pos="984"/>
        </w:tabs>
        <w:spacing w:line="306" w:lineRule="exact"/>
        <w:ind w:hanging="421"/>
        <w:rPr>
          <w:color w:val="auto"/>
          <w:sz w:val="24"/>
          <w:highlight w:val="none"/>
        </w:rPr>
      </w:pPr>
      <w:r>
        <w:rPr>
          <w:color w:val="auto"/>
          <w:sz w:val="24"/>
          <w:highlight w:val="none"/>
        </w:rPr>
        <w:t>答复</w:t>
      </w:r>
    </w:p>
    <w:p>
      <w:pPr>
        <w:spacing w:line="306" w:lineRule="exact"/>
        <w:rPr>
          <w:color w:val="auto"/>
          <w:sz w:val="24"/>
          <w:highlight w:val="none"/>
        </w:rPr>
        <w:sectPr>
          <w:pgSz w:w="11910" w:h="16840"/>
          <w:pgMar w:top="1140" w:right="900" w:bottom="1180" w:left="1080" w:header="0" w:footer="917" w:gutter="0"/>
          <w:cols w:space="720" w:num="1"/>
        </w:sectPr>
      </w:pPr>
    </w:p>
    <w:p>
      <w:pPr>
        <w:pStyle w:val="3"/>
        <w:spacing w:before="54" w:line="364" w:lineRule="auto"/>
        <w:ind w:right="70" w:firstLine="480"/>
        <w:rPr>
          <w:color w:val="auto"/>
          <w:highlight w:val="none"/>
        </w:rPr>
      </w:pPr>
      <w:r>
        <w:rPr>
          <w:color w:val="auto"/>
          <w:highlight w:val="none"/>
        </w:rPr>
        <w:t>委托人应在专用条款约定的时间内，对监理人以书面形式提交并要求作出决定的事宜， 给予书面答复。逾期未答复的，视为委托人认可。</w:t>
      </w:r>
    </w:p>
    <w:p>
      <w:pPr>
        <w:pStyle w:val="20"/>
        <w:numPr>
          <w:ilvl w:val="1"/>
          <w:numId w:val="5"/>
        </w:numPr>
        <w:tabs>
          <w:tab w:val="left" w:pos="984"/>
        </w:tabs>
        <w:spacing w:before="1"/>
        <w:ind w:hanging="421"/>
        <w:rPr>
          <w:color w:val="auto"/>
          <w:sz w:val="24"/>
          <w:highlight w:val="none"/>
        </w:rPr>
      </w:pPr>
      <w:r>
        <w:rPr>
          <w:color w:val="auto"/>
          <w:sz w:val="24"/>
          <w:highlight w:val="none"/>
        </w:rPr>
        <w:t>支付</w:t>
      </w:r>
    </w:p>
    <w:p>
      <w:pPr>
        <w:pStyle w:val="3"/>
        <w:spacing w:before="158"/>
        <w:ind w:left="703"/>
        <w:rPr>
          <w:color w:val="auto"/>
          <w:highlight w:val="none"/>
        </w:rPr>
      </w:pPr>
      <w:r>
        <w:rPr>
          <w:color w:val="auto"/>
          <w:highlight w:val="none"/>
        </w:rPr>
        <w:t>委托人应按本合同约定，向监理人支付酬金。</w:t>
      </w:r>
    </w:p>
    <w:p>
      <w:pPr>
        <w:pStyle w:val="3"/>
        <w:ind w:left="0"/>
        <w:rPr>
          <w:color w:val="auto"/>
          <w:highlight w:val="none"/>
        </w:rPr>
      </w:pPr>
    </w:p>
    <w:p>
      <w:pPr>
        <w:pStyle w:val="3"/>
        <w:spacing w:before="10"/>
        <w:ind w:left="0"/>
        <w:rPr>
          <w:color w:val="auto"/>
          <w:highlight w:val="none"/>
        </w:rPr>
      </w:pPr>
    </w:p>
    <w:p>
      <w:pPr>
        <w:pStyle w:val="11"/>
        <w:numPr>
          <w:ilvl w:val="0"/>
          <w:numId w:val="5"/>
        </w:numPr>
        <w:tabs>
          <w:tab w:val="left" w:pos="507"/>
        </w:tabs>
        <w:rPr>
          <w:color w:val="auto"/>
          <w:highlight w:val="none"/>
        </w:rPr>
      </w:pPr>
      <w:r>
        <w:rPr>
          <w:color w:val="auto"/>
          <w:highlight w:val="none"/>
        </w:rPr>
        <w:t>违约责任</w:t>
      </w:r>
    </w:p>
    <w:p>
      <w:pPr>
        <w:pStyle w:val="3"/>
        <w:spacing w:before="10"/>
        <w:ind w:left="0"/>
        <w:rPr>
          <w:b/>
          <w:color w:val="auto"/>
          <w:sz w:val="20"/>
          <w:highlight w:val="none"/>
        </w:rPr>
      </w:pPr>
    </w:p>
    <w:p>
      <w:pPr>
        <w:pStyle w:val="20"/>
        <w:numPr>
          <w:ilvl w:val="1"/>
          <w:numId w:val="5"/>
        </w:numPr>
        <w:tabs>
          <w:tab w:val="left" w:pos="984"/>
        </w:tabs>
        <w:rPr>
          <w:color w:val="auto"/>
          <w:sz w:val="24"/>
          <w:highlight w:val="none"/>
        </w:rPr>
      </w:pPr>
      <w:r>
        <w:rPr>
          <w:color w:val="auto"/>
          <w:sz w:val="24"/>
          <w:highlight w:val="none"/>
        </w:rPr>
        <w:t>监理人的违约责任</w:t>
      </w:r>
    </w:p>
    <w:p>
      <w:pPr>
        <w:pStyle w:val="3"/>
        <w:spacing w:before="82"/>
        <w:ind w:left="703"/>
        <w:rPr>
          <w:color w:val="auto"/>
          <w:highlight w:val="none"/>
        </w:rPr>
      </w:pPr>
      <w:r>
        <w:rPr>
          <w:color w:val="auto"/>
          <w:highlight w:val="none"/>
        </w:rPr>
        <w:t>监理人未履行本合同义务的，应承担相应的责任。</w:t>
      </w:r>
    </w:p>
    <w:p>
      <w:pPr>
        <w:pStyle w:val="20"/>
        <w:numPr>
          <w:ilvl w:val="2"/>
          <w:numId w:val="5"/>
        </w:numPr>
        <w:tabs>
          <w:tab w:val="left" w:pos="1364"/>
        </w:tabs>
        <w:spacing w:before="160" w:line="364" w:lineRule="auto"/>
        <w:ind w:left="223" w:right="230" w:firstLine="480"/>
        <w:jc w:val="both"/>
        <w:rPr>
          <w:color w:val="auto"/>
          <w:sz w:val="24"/>
          <w:highlight w:val="none"/>
        </w:rPr>
      </w:pPr>
      <w:r>
        <w:rPr>
          <w:color w:val="auto"/>
          <w:sz w:val="24"/>
          <w:highlight w:val="none"/>
        </w:rPr>
        <w:t>因监理人违反本合同约定给委托人造成损失的，监理人应当赔偿委托人损失。赔偿金额的确定方法在专用条款中约定。监理人承担部分赔偿责任的，其承担赔偿金额由双方协商确定。</w:t>
      </w:r>
    </w:p>
    <w:p>
      <w:pPr>
        <w:pStyle w:val="20"/>
        <w:numPr>
          <w:ilvl w:val="2"/>
          <w:numId w:val="5"/>
        </w:numPr>
        <w:tabs>
          <w:tab w:val="left" w:pos="1364"/>
        </w:tabs>
        <w:spacing w:before="77"/>
        <w:ind w:left="1363" w:hanging="661"/>
        <w:jc w:val="both"/>
        <w:rPr>
          <w:color w:val="auto"/>
          <w:sz w:val="24"/>
          <w:highlight w:val="none"/>
        </w:rPr>
      </w:pPr>
      <w:r>
        <w:rPr>
          <w:color w:val="auto"/>
          <w:sz w:val="24"/>
          <w:highlight w:val="none"/>
        </w:rPr>
        <w:t>监理人向委托人的索赔不成立时，监理人应赔偿委托人由此发生的费用。</w:t>
      </w:r>
    </w:p>
    <w:p>
      <w:pPr>
        <w:pStyle w:val="20"/>
        <w:numPr>
          <w:ilvl w:val="1"/>
          <w:numId w:val="5"/>
        </w:numPr>
        <w:tabs>
          <w:tab w:val="left" w:pos="884"/>
        </w:tabs>
        <w:spacing w:before="81"/>
        <w:ind w:left="883" w:hanging="421"/>
        <w:jc w:val="both"/>
        <w:rPr>
          <w:color w:val="auto"/>
          <w:sz w:val="24"/>
          <w:highlight w:val="none"/>
        </w:rPr>
      </w:pPr>
      <w:r>
        <w:rPr>
          <w:color w:val="auto"/>
          <w:sz w:val="24"/>
          <w:highlight w:val="none"/>
        </w:rPr>
        <w:t>委托人的违约责任</w:t>
      </w:r>
    </w:p>
    <w:p>
      <w:pPr>
        <w:pStyle w:val="3"/>
        <w:spacing w:before="160"/>
        <w:ind w:left="703"/>
        <w:rPr>
          <w:color w:val="auto"/>
          <w:highlight w:val="none"/>
        </w:rPr>
      </w:pPr>
      <w:r>
        <w:rPr>
          <w:color w:val="auto"/>
          <w:highlight w:val="none"/>
        </w:rPr>
        <w:t>委托人未履行本合同义务的，应承担相应的责任。</w:t>
      </w:r>
    </w:p>
    <w:p>
      <w:pPr>
        <w:pStyle w:val="20"/>
        <w:numPr>
          <w:ilvl w:val="2"/>
          <w:numId w:val="5"/>
        </w:numPr>
        <w:tabs>
          <w:tab w:val="left" w:pos="1364"/>
        </w:tabs>
        <w:spacing w:before="158"/>
        <w:ind w:left="1363" w:hanging="661"/>
        <w:jc w:val="both"/>
        <w:rPr>
          <w:color w:val="auto"/>
          <w:sz w:val="24"/>
          <w:highlight w:val="none"/>
        </w:rPr>
      </w:pPr>
      <w:r>
        <w:rPr>
          <w:color w:val="auto"/>
          <w:sz w:val="24"/>
          <w:highlight w:val="none"/>
        </w:rPr>
        <w:t>委托人违反本合同约定造成监理人损失的，委托人应予以赔偿。</w:t>
      </w:r>
    </w:p>
    <w:p>
      <w:pPr>
        <w:pStyle w:val="20"/>
        <w:numPr>
          <w:ilvl w:val="2"/>
          <w:numId w:val="5"/>
        </w:numPr>
        <w:tabs>
          <w:tab w:val="left" w:pos="1364"/>
        </w:tabs>
        <w:spacing w:before="161"/>
        <w:ind w:left="1363" w:hanging="661"/>
        <w:jc w:val="both"/>
        <w:rPr>
          <w:color w:val="auto"/>
          <w:sz w:val="24"/>
          <w:highlight w:val="none"/>
        </w:rPr>
      </w:pPr>
      <w:r>
        <w:rPr>
          <w:color w:val="auto"/>
          <w:sz w:val="24"/>
          <w:highlight w:val="none"/>
        </w:rPr>
        <w:t>委托人向监理人的索赔不成立时，应赔偿监理人由此引起的费用。</w:t>
      </w:r>
    </w:p>
    <w:p>
      <w:pPr>
        <w:pStyle w:val="3"/>
        <w:spacing w:before="6"/>
        <w:ind w:left="0"/>
        <w:rPr>
          <w:color w:val="auto"/>
          <w:sz w:val="18"/>
          <w:highlight w:val="none"/>
        </w:rPr>
      </w:pPr>
    </w:p>
    <w:p>
      <w:pPr>
        <w:pStyle w:val="20"/>
        <w:numPr>
          <w:ilvl w:val="2"/>
          <w:numId w:val="5"/>
        </w:numPr>
        <w:tabs>
          <w:tab w:val="left" w:pos="1364"/>
        </w:tabs>
        <w:spacing w:before="1"/>
        <w:ind w:left="1363" w:hanging="661"/>
        <w:rPr>
          <w:color w:val="auto"/>
          <w:sz w:val="24"/>
          <w:highlight w:val="none"/>
        </w:rPr>
      </w:pPr>
      <w:r>
        <w:rPr>
          <w:color w:val="auto"/>
          <w:sz w:val="24"/>
          <w:highlight w:val="none"/>
        </w:rPr>
        <w:t>委托人未能按期支付酬金超过 28 天，应按专用条款约定支付逾期付款利息。</w:t>
      </w:r>
    </w:p>
    <w:p>
      <w:pPr>
        <w:pStyle w:val="20"/>
        <w:numPr>
          <w:ilvl w:val="1"/>
          <w:numId w:val="5"/>
        </w:numPr>
        <w:tabs>
          <w:tab w:val="left" w:pos="884"/>
        </w:tabs>
        <w:spacing w:before="160"/>
        <w:ind w:left="883" w:hanging="421"/>
        <w:rPr>
          <w:color w:val="auto"/>
          <w:sz w:val="24"/>
          <w:highlight w:val="none"/>
        </w:rPr>
      </w:pPr>
      <w:r>
        <w:rPr>
          <w:color w:val="auto"/>
          <w:sz w:val="24"/>
          <w:highlight w:val="none"/>
        </w:rPr>
        <w:t>除外责任</w:t>
      </w:r>
    </w:p>
    <w:p>
      <w:pPr>
        <w:pStyle w:val="3"/>
        <w:spacing w:before="81" w:line="364" w:lineRule="auto"/>
        <w:ind w:right="233" w:firstLine="480"/>
        <w:rPr>
          <w:color w:val="auto"/>
          <w:highlight w:val="none"/>
        </w:rPr>
      </w:pPr>
      <w:r>
        <w:rPr>
          <w:color w:val="auto"/>
          <w:highlight w:val="none"/>
        </w:rPr>
        <w:t>因非监理人的原因，且监理人无过错，发生工程质量事故、安全事故、工期延误等造成的损失，监理人不承担赔偿责任。</w:t>
      </w:r>
    </w:p>
    <w:p>
      <w:pPr>
        <w:pStyle w:val="3"/>
        <w:spacing w:line="364" w:lineRule="auto"/>
        <w:ind w:right="233" w:firstLine="480"/>
        <w:rPr>
          <w:color w:val="auto"/>
          <w:highlight w:val="none"/>
        </w:rPr>
      </w:pPr>
      <w:r>
        <w:rPr>
          <w:color w:val="auto"/>
          <w:highlight w:val="none"/>
        </w:rPr>
        <w:t>因不可抗力导致本合同全部或部分不能履行时，双方各自承担其因此而造成的损失、损害。</w:t>
      </w:r>
    </w:p>
    <w:p>
      <w:pPr>
        <w:pStyle w:val="3"/>
        <w:ind w:left="0"/>
        <w:rPr>
          <w:color w:val="auto"/>
          <w:highlight w:val="none"/>
        </w:rPr>
      </w:pPr>
    </w:p>
    <w:p>
      <w:pPr>
        <w:pStyle w:val="11"/>
        <w:numPr>
          <w:ilvl w:val="0"/>
          <w:numId w:val="5"/>
        </w:numPr>
        <w:tabs>
          <w:tab w:val="left" w:pos="507"/>
        </w:tabs>
        <w:spacing w:before="157"/>
        <w:rPr>
          <w:color w:val="auto"/>
          <w:highlight w:val="none"/>
        </w:rPr>
      </w:pPr>
      <w:r>
        <w:rPr>
          <w:color w:val="auto"/>
          <w:highlight w:val="none"/>
        </w:rPr>
        <w:t>支付</w:t>
      </w:r>
    </w:p>
    <w:p>
      <w:pPr>
        <w:pStyle w:val="20"/>
        <w:numPr>
          <w:ilvl w:val="1"/>
          <w:numId w:val="5"/>
        </w:numPr>
        <w:tabs>
          <w:tab w:val="left" w:pos="984"/>
        </w:tabs>
        <w:spacing w:before="188"/>
        <w:rPr>
          <w:color w:val="auto"/>
          <w:sz w:val="24"/>
          <w:highlight w:val="none"/>
        </w:rPr>
      </w:pPr>
      <w:r>
        <w:rPr>
          <w:color w:val="auto"/>
          <w:sz w:val="24"/>
          <w:highlight w:val="none"/>
        </w:rPr>
        <w:t>支付货币</w:t>
      </w:r>
    </w:p>
    <w:p>
      <w:pPr>
        <w:pStyle w:val="3"/>
        <w:spacing w:before="158" w:line="364" w:lineRule="auto"/>
        <w:ind w:right="70" w:firstLine="480"/>
        <w:rPr>
          <w:color w:val="auto"/>
          <w:highlight w:val="none"/>
        </w:rPr>
      </w:pPr>
      <w:r>
        <w:rPr>
          <w:color w:val="auto"/>
          <w:highlight w:val="none"/>
        </w:rPr>
        <w:t>除专用条款另有约定外，酬金均以人民币支付。涉及外币支付的，所采用的货币种类、比例和汇率在专用条款中约定。</w:t>
      </w:r>
    </w:p>
    <w:p>
      <w:pPr>
        <w:pStyle w:val="20"/>
        <w:numPr>
          <w:ilvl w:val="1"/>
          <w:numId w:val="5"/>
        </w:numPr>
        <w:tabs>
          <w:tab w:val="left" w:pos="984"/>
        </w:tabs>
        <w:spacing w:before="1"/>
        <w:ind w:hanging="421"/>
        <w:rPr>
          <w:color w:val="auto"/>
          <w:sz w:val="24"/>
          <w:highlight w:val="none"/>
        </w:rPr>
      </w:pPr>
      <w:r>
        <w:rPr>
          <w:color w:val="auto"/>
          <w:sz w:val="24"/>
          <w:highlight w:val="none"/>
        </w:rPr>
        <w:t>支付申请</w:t>
      </w:r>
    </w:p>
    <w:p>
      <w:pPr>
        <w:pStyle w:val="3"/>
        <w:spacing w:before="158" w:line="364" w:lineRule="auto"/>
        <w:ind w:right="188" w:firstLine="480"/>
        <w:rPr>
          <w:color w:val="auto"/>
          <w:highlight w:val="none"/>
        </w:rPr>
      </w:pPr>
      <w:r>
        <w:rPr>
          <w:color w:val="auto"/>
          <w:highlight w:val="none"/>
        </w:rPr>
        <w:t>监理人应在本合同约定的每次应付款时间的 7 天前，向委托人提交支付申请书。支付申请书应当说明当期应付款总额，并列出当期应支付的款项及其金额。</w:t>
      </w:r>
    </w:p>
    <w:p>
      <w:pPr>
        <w:pStyle w:val="20"/>
        <w:numPr>
          <w:ilvl w:val="1"/>
          <w:numId w:val="5"/>
        </w:numPr>
        <w:tabs>
          <w:tab w:val="left" w:pos="984"/>
        </w:tabs>
        <w:spacing w:line="306" w:lineRule="exact"/>
        <w:ind w:hanging="421"/>
        <w:rPr>
          <w:color w:val="auto"/>
          <w:sz w:val="24"/>
          <w:highlight w:val="none"/>
        </w:rPr>
      </w:pPr>
      <w:r>
        <w:rPr>
          <w:color w:val="auto"/>
          <w:sz w:val="24"/>
          <w:highlight w:val="none"/>
        </w:rPr>
        <w:t>支付酬金</w:t>
      </w:r>
    </w:p>
    <w:p>
      <w:pPr>
        <w:pStyle w:val="3"/>
        <w:spacing w:before="54"/>
        <w:ind w:left="703"/>
        <w:rPr>
          <w:color w:val="auto"/>
          <w:highlight w:val="none"/>
        </w:rPr>
      </w:pPr>
      <w:r>
        <w:rPr>
          <w:color w:val="auto"/>
          <w:highlight w:val="none"/>
        </w:rPr>
        <w:t>支付的酬金包括正常工作酬金、附加工作酬金、合理化建议奖励金额及费用。</w:t>
      </w:r>
    </w:p>
    <w:p>
      <w:pPr>
        <w:pStyle w:val="20"/>
        <w:numPr>
          <w:ilvl w:val="1"/>
          <w:numId w:val="5"/>
        </w:numPr>
        <w:tabs>
          <w:tab w:val="left" w:pos="984"/>
        </w:tabs>
        <w:spacing w:before="161"/>
        <w:jc w:val="both"/>
        <w:rPr>
          <w:color w:val="auto"/>
          <w:sz w:val="24"/>
          <w:highlight w:val="none"/>
        </w:rPr>
      </w:pPr>
      <w:r>
        <w:rPr>
          <w:color w:val="auto"/>
          <w:sz w:val="24"/>
          <w:highlight w:val="none"/>
        </w:rPr>
        <w:t>有争议部分的付款</w:t>
      </w:r>
    </w:p>
    <w:p>
      <w:pPr>
        <w:pStyle w:val="3"/>
        <w:spacing w:before="160" w:line="364" w:lineRule="auto"/>
        <w:ind w:right="230" w:firstLine="480"/>
        <w:jc w:val="both"/>
        <w:rPr>
          <w:color w:val="auto"/>
          <w:highlight w:val="none"/>
        </w:rPr>
      </w:pPr>
      <w:r>
        <w:rPr>
          <w:color w:val="auto"/>
          <w:highlight w:val="none"/>
        </w:rPr>
        <w:t>委托人对监理人提交的支付申请书有异议时，应当在收到监理人提交的支付申请书后 7 天内，以书面形式向监理人发出异议通知。无异议部分的款项应按期支付，有异议部分的款项按第 7 条约定办理。</w:t>
      </w:r>
    </w:p>
    <w:p>
      <w:pPr>
        <w:pStyle w:val="3"/>
        <w:ind w:left="0"/>
        <w:rPr>
          <w:color w:val="auto"/>
          <w:highlight w:val="none"/>
        </w:rPr>
      </w:pPr>
    </w:p>
    <w:p>
      <w:pPr>
        <w:pStyle w:val="11"/>
        <w:numPr>
          <w:ilvl w:val="0"/>
          <w:numId w:val="5"/>
        </w:numPr>
        <w:tabs>
          <w:tab w:val="left" w:pos="507"/>
        </w:tabs>
        <w:spacing w:before="156"/>
        <w:rPr>
          <w:color w:val="auto"/>
          <w:highlight w:val="none"/>
        </w:rPr>
      </w:pPr>
      <w:r>
        <w:rPr>
          <w:color w:val="auto"/>
          <w:highlight w:val="none"/>
        </w:rPr>
        <w:t>合同生效、变更、暂停、解除与终止</w:t>
      </w:r>
    </w:p>
    <w:p>
      <w:pPr>
        <w:pStyle w:val="3"/>
        <w:spacing w:before="10"/>
        <w:ind w:left="0"/>
        <w:rPr>
          <w:b/>
          <w:color w:val="auto"/>
          <w:sz w:val="20"/>
          <w:highlight w:val="none"/>
        </w:rPr>
      </w:pPr>
    </w:p>
    <w:p>
      <w:pPr>
        <w:pStyle w:val="20"/>
        <w:numPr>
          <w:ilvl w:val="1"/>
          <w:numId w:val="5"/>
        </w:numPr>
        <w:tabs>
          <w:tab w:val="left" w:pos="984"/>
        </w:tabs>
        <w:spacing w:before="1"/>
        <w:rPr>
          <w:color w:val="auto"/>
          <w:sz w:val="24"/>
          <w:highlight w:val="none"/>
        </w:rPr>
      </w:pPr>
      <w:r>
        <w:rPr>
          <w:color w:val="auto"/>
          <w:sz w:val="24"/>
          <w:highlight w:val="none"/>
        </w:rPr>
        <w:t>生效</w:t>
      </w:r>
    </w:p>
    <w:p>
      <w:pPr>
        <w:pStyle w:val="3"/>
        <w:spacing w:before="160" w:line="364" w:lineRule="auto"/>
        <w:ind w:right="233" w:firstLine="480"/>
        <w:rPr>
          <w:color w:val="auto"/>
          <w:highlight w:val="none"/>
        </w:rPr>
      </w:pPr>
      <w:r>
        <w:rPr>
          <w:color w:val="auto"/>
          <w:highlight w:val="none"/>
        </w:rPr>
        <w:t>除法律另有规定或者专用条款另有约定外，委托人和监理人的法定代表人或其授权代理人在协议书上签字并盖单位章后本合同生效。</w:t>
      </w:r>
    </w:p>
    <w:p>
      <w:pPr>
        <w:pStyle w:val="20"/>
        <w:numPr>
          <w:ilvl w:val="1"/>
          <w:numId w:val="5"/>
        </w:numPr>
        <w:tabs>
          <w:tab w:val="left" w:pos="984"/>
        </w:tabs>
        <w:spacing w:line="230" w:lineRule="exact"/>
        <w:ind w:hanging="421"/>
        <w:rPr>
          <w:color w:val="auto"/>
          <w:sz w:val="24"/>
          <w:highlight w:val="none"/>
        </w:rPr>
      </w:pPr>
      <w:r>
        <w:rPr>
          <w:color w:val="auto"/>
          <w:sz w:val="24"/>
          <w:highlight w:val="none"/>
        </w:rPr>
        <w:t>变更</w:t>
      </w:r>
    </w:p>
    <w:p>
      <w:pPr>
        <w:pStyle w:val="20"/>
        <w:numPr>
          <w:ilvl w:val="2"/>
          <w:numId w:val="5"/>
        </w:numPr>
        <w:tabs>
          <w:tab w:val="left" w:pos="1364"/>
        </w:tabs>
        <w:spacing w:before="158"/>
        <w:ind w:left="1363" w:hanging="661"/>
        <w:jc w:val="both"/>
        <w:rPr>
          <w:color w:val="auto"/>
          <w:sz w:val="24"/>
          <w:highlight w:val="none"/>
        </w:rPr>
      </w:pPr>
      <w:r>
        <w:rPr>
          <w:color w:val="auto"/>
          <w:sz w:val="24"/>
          <w:highlight w:val="none"/>
        </w:rPr>
        <w:t>任何一方提出变更请求时，双方经协商一致后可进行变更。</w:t>
      </w:r>
    </w:p>
    <w:p>
      <w:pPr>
        <w:pStyle w:val="20"/>
        <w:numPr>
          <w:ilvl w:val="2"/>
          <w:numId w:val="5"/>
        </w:numPr>
        <w:tabs>
          <w:tab w:val="left" w:pos="1364"/>
        </w:tabs>
        <w:spacing w:before="161" w:line="364" w:lineRule="auto"/>
        <w:ind w:left="223" w:right="230" w:firstLine="480"/>
        <w:jc w:val="both"/>
        <w:rPr>
          <w:color w:val="auto"/>
          <w:sz w:val="24"/>
          <w:highlight w:val="none"/>
        </w:rPr>
      </w:pPr>
      <w:r>
        <w:rPr>
          <w:color w:val="auto"/>
          <w:sz w:val="24"/>
          <w:highlight w:val="none"/>
        </w:rPr>
        <w:t>除不可抗力外，因非监理人原因导致监理人履行合同期限延长、内容增加时，监理人应当将此情况与可能产生的影响及时通知委托人。增加的监理工作时间、工作内容应视为附加工作。附加工作酬金的确定方法在专用条款中约定。</w:t>
      </w:r>
    </w:p>
    <w:p>
      <w:pPr>
        <w:pStyle w:val="20"/>
        <w:numPr>
          <w:ilvl w:val="2"/>
          <w:numId w:val="5"/>
        </w:numPr>
        <w:tabs>
          <w:tab w:val="left" w:pos="1364"/>
        </w:tabs>
        <w:spacing w:line="364" w:lineRule="auto"/>
        <w:ind w:left="223" w:right="230" w:firstLine="480"/>
        <w:jc w:val="both"/>
        <w:rPr>
          <w:color w:val="auto"/>
          <w:sz w:val="24"/>
          <w:highlight w:val="none"/>
        </w:rPr>
      </w:pPr>
      <w:r>
        <w:rPr>
          <w:color w:val="auto"/>
          <w:sz w:val="24"/>
          <w:highlight w:val="none"/>
        </w:rPr>
        <w:t>合同生效后，如果实际情况发生变化使得监理人不能完成全部或部分工作时，监理人应立即通知委托人。除不可抗力外，其善后工作以及恢复服务的准备工作应为附加工作，附加工作酬金的确定方法在专用条款中约定。监理人用于恢复服务的准备时间不应超过 28 天。</w:t>
      </w:r>
    </w:p>
    <w:p>
      <w:pPr>
        <w:pStyle w:val="20"/>
        <w:numPr>
          <w:ilvl w:val="2"/>
          <w:numId w:val="5"/>
        </w:numPr>
        <w:tabs>
          <w:tab w:val="left" w:pos="1364"/>
        </w:tabs>
        <w:spacing w:line="364" w:lineRule="auto"/>
        <w:ind w:left="223" w:right="115" w:firstLine="480"/>
        <w:jc w:val="both"/>
        <w:rPr>
          <w:color w:val="auto"/>
          <w:sz w:val="24"/>
          <w:highlight w:val="none"/>
        </w:rPr>
      </w:pPr>
      <w:r>
        <w:rPr>
          <w:color w:val="auto"/>
          <w:sz w:val="24"/>
          <w:highlight w:val="none"/>
        </w:rPr>
        <w:t>合同签订后，遇有与工程相关的法律法规、标准颁布或修订的，双方应遵照执行。由此引起监理与相关服务的范围、时间、酬金变化的，双方应通过协商进行相应调整。</w:t>
      </w:r>
    </w:p>
    <w:p>
      <w:pPr>
        <w:pStyle w:val="20"/>
        <w:numPr>
          <w:ilvl w:val="2"/>
          <w:numId w:val="5"/>
        </w:numPr>
        <w:tabs>
          <w:tab w:val="left" w:pos="1364"/>
        </w:tabs>
        <w:spacing w:line="364" w:lineRule="auto"/>
        <w:ind w:left="223" w:right="233" w:firstLine="480"/>
        <w:jc w:val="both"/>
        <w:rPr>
          <w:color w:val="auto"/>
          <w:sz w:val="24"/>
          <w:highlight w:val="none"/>
        </w:rPr>
      </w:pPr>
      <w:r>
        <w:rPr>
          <w:color w:val="auto"/>
          <w:sz w:val="24"/>
          <w:highlight w:val="none"/>
        </w:rPr>
        <w:t>因非监理人原因造成工程概算投资额或建筑安装工程费增加时，正常工作酬金应作相应调整。调整方法在专用条款中约定。</w:t>
      </w:r>
    </w:p>
    <w:p>
      <w:pPr>
        <w:pStyle w:val="20"/>
        <w:numPr>
          <w:ilvl w:val="2"/>
          <w:numId w:val="5"/>
        </w:numPr>
        <w:tabs>
          <w:tab w:val="left" w:pos="1364"/>
        </w:tabs>
        <w:spacing w:line="362" w:lineRule="auto"/>
        <w:ind w:left="223" w:right="233" w:firstLine="480"/>
        <w:jc w:val="both"/>
        <w:rPr>
          <w:color w:val="auto"/>
          <w:sz w:val="24"/>
          <w:highlight w:val="none"/>
        </w:rPr>
      </w:pPr>
      <w:r>
        <w:rPr>
          <w:color w:val="auto"/>
          <w:sz w:val="24"/>
          <w:highlight w:val="none"/>
        </w:rPr>
        <w:t>因工程规模、监理范围的变化导致监理人的正常工作量减少时，正常工作酬金应作相应调整。调整方法在专用条款中约定。</w:t>
      </w:r>
    </w:p>
    <w:p>
      <w:pPr>
        <w:pStyle w:val="20"/>
        <w:numPr>
          <w:ilvl w:val="1"/>
          <w:numId w:val="5"/>
        </w:numPr>
        <w:tabs>
          <w:tab w:val="left" w:pos="1124"/>
        </w:tabs>
        <w:ind w:left="1123" w:hanging="421"/>
        <w:jc w:val="both"/>
        <w:rPr>
          <w:color w:val="auto"/>
          <w:sz w:val="24"/>
          <w:highlight w:val="none"/>
        </w:rPr>
      </w:pPr>
      <w:r>
        <w:rPr>
          <w:color w:val="auto"/>
          <w:sz w:val="24"/>
          <w:highlight w:val="none"/>
        </w:rPr>
        <w:t>暂停与解除</w:t>
      </w:r>
    </w:p>
    <w:p>
      <w:pPr>
        <w:pStyle w:val="3"/>
        <w:spacing w:before="157" w:line="364" w:lineRule="auto"/>
        <w:ind w:right="233" w:firstLine="480"/>
        <w:rPr>
          <w:color w:val="auto"/>
          <w:highlight w:val="none"/>
        </w:rPr>
      </w:pPr>
      <w:r>
        <w:rPr>
          <w:color w:val="auto"/>
          <w:highlight w:val="none"/>
        </w:rPr>
        <w:t>除双方协商一致可以解除本合同外，当一方无正当理由未履行本合同约定的义务时， 另一方可以根据本合同约定暂停履行本合同直至解除本合同。</w:t>
      </w:r>
    </w:p>
    <w:p>
      <w:pPr>
        <w:pStyle w:val="20"/>
        <w:numPr>
          <w:ilvl w:val="2"/>
          <w:numId w:val="5"/>
        </w:numPr>
        <w:tabs>
          <w:tab w:val="left" w:pos="1364"/>
        </w:tabs>
        <w:spacing w:line="364" w:lineRule="auto"/>
        <w:ind w:left="223" w:right="230" w:firstLine="480"/>
        <w:jc w:val="both"/>
        <w:rPr>
          <w:color w:val="auto"/>
          <w:sz w:val="24"/>
          <w:highlight w:val="none"/>
        </w:rPr>
      </w:pPr>
      <w:r>
        <w:rPr>
          <w:color w:val="auto"/>
          <w:sz w:val="24"/>
          <w:highlight w:val="none"/>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pStyle w:val="3"/>
        <w:spacing w:before="54" w:line="364" w:lineRule="auto"/>
        <w:ind w:right="233" w:firstLine="480"/>
        <w:rPr>
          <w:color w:val="auto"/>
          <w:highlight w:val="none"/>
        </w:rPr>
      </w:pPr>
      <w:r>
        <w:rPr>
          <w:color w:val="auto"/>
          <w:highlight w:val="none"/>
        </w:rPr>
        <w:t>因解除本合同或解除监理人的部分义务导致监理人遭受的损失，除依法可以免除责任的情况外，应由委托人予以补偿，补偿金额由双方协商确定。</w:t>
      </w:r>
    </w:p>
    <w:p>
      <w:pPr>
        <w:pStyle w:val="3"/>
        <w:spacing w:before="1"/>
        <w:ind w:left="703"/>
        <w:rPr>
          <w:color w:val="auto"/>
          <w:highlight w:val="none"/>
        </w:rPr>
      </w:pPr>
      <w:r>
        <w:rPr>
          <w:color w:val="auto"/>
          <w:highlight w:val="none"/>
        </w:rPr>
        <w:t>解除本合同的协议必须采取书面形式，协议未达成之前，本合同仍然有效。</w:t>
      </w:r>
    </w:p>
    <w:p>
      <w:pPr>
        <w:pStyle w:val="20"/>
        <w:numPr>
          <w:ilvl w:val="2"/>
          <w:numId w:val="5"/>
        </w:numPr>
        <w:tabs>
          <w:tab w:val="left" w:pos="1364"/>
        </w:tabs>
        <w:spacing w:before="158" w:line="364" w:lineRule="auto"/>
        <w:ind w:left="223" w:right="230" w:firstLine="480"/>
        <w:jc w:val="both"/>
        <w:rPr>
          <w:color w:val="auto"/>
          <w:sz w:val="24"/>
          <w:highlight w:val="none"/>
        </w:rPr>
      </w:pPr>
      <w:r>
        <w:rPr>
          <w:color w:val="auto"/>
          <w:sz w:val="24"/>
          <w:highlight w:val="none"/>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pStyle w:val="3"/>
        <w:spacing w:line="307" w:lineRule="exact"/>
        <w:ind w:left="703"/>
        <w:jc w:val="both"/>
        <w:rPr>
          <w:color w:val="auto"/>
          <w:highlight w:val="none"/>
        </w:rPr>
      </w:pPr>
      <w:r>
        <w:rPr>
          <w:color w:val="auto"/>
          <w:highlight w:val="none"/>
        </w:rPr>
        <w:t>暂停部分监理与相关服务时间超过 182 天，监理人可发出解除本合同约定的该部分义</w:t>
      </w:r>
    </w:p>
    <w:p>
      <w:pPr>
        <w:pStyle w:val="3"/>
        <w:spacing w:before="158" w:line="364" w:lineRule="auto"/>
        <w:ind w:right="230"/>
        <w:jc w:val="both"/>
        <w:rPr>
          <w:color w:val="auto"/>
          <w:highlight w:val="none"/>
        </w:rPr>
      </w:pPr>
      <w:r>
        <w:rPr>
          <w:color w:val="auto"/>
          <w:highlight w:val="none"/>
        </w:rPr>
        <w:t>务的通知；暂停全部工作时间超过 182 天，监理人可发出解除本合同的通知，本合同自通知到达委托人时解除。委托人应将监理与相关服务的酬金支付至本合同解除日，且应承担第 4.2 款约定的责任。</w:t>
      </w:r>
    </w:p>
    <w:p>
      <w:pPr>
        <w:pStyle w:val="20"/>
        <w:numPr>
          <w:ilvl w:val="2"/>
          <w:numId w:val="5"/>
        </w:numPr>
        <w:tabs>
          <w:tab w:val="left" w:pos="1426"/>
        </w:tabs>
        <w:spacing w:line="364" w:lineRule="auto"/>
        <w:ind w:left="223" w:right="230" w:firstLine="480"/>
        <w:jc w:val="both"/>
        <w:rPr>
          <w:color w:val="auto"/>
          <w:sz w:val="24"/>
          <w:highlight w:val="none"/>
        </w:rPr>
      </w:pPr>
      <w:r>
        <w:rPr>
          <w:color w:val="auto"/>
          <w:sz w:val="24"/>
          <w:highlight w:val="none"/>
        </w:rPr>
        <w:t>当监理人无正当理由未履行本合同约定的义务时，委托人应通知监理人限期改正。若委托人在监理人接到通知后的 7 天内未收到监理人书面形式的合理解释，则可在 7 天内发出解除本合同的通知，自通知到达监理人时本合同解除。委托人应将监理与相关服务的酬金支付至限期改正通知到达监理人之日，但监理人应承担第 4.1 款约定的责任。</w:t>
      </w:r>
    </w:p>
    <w:p>
      <w:pPr>
        <w:pStyle w:val="20"/>
        <w:numPr>
          <w:ilvl w:val="2"/>
          <w:numId w:val="5"/>
        </w:numPr>
        <w:tabs>
          <w:tab w:val="left" w:pos="1373"/>
        </w:tabs>
        <w:spacing w:line="364" w:lineRule="auto"/>
        <w:ind w:left="223" w:right="230" w:firstLine="480"/>
        <w:jc w:val="both"/>
        <w:rPr>
          <w:color w:val="auto"/>
          <w:sz w:val="24"/>
          <w:highlight w:val="none"/>
        </w:rPr>
      </w:pPr>
      <w:r>
        <w:rPr>
          <w:color w:val="auto"/>
          <w:sz w:val="24"/>
          <w:highlight w:val="none"/>
        </w:rPr>
        <w:t>监理人在专用条款 5.3 中约定的支付之日起 28 天后仍未收到委托人按本合同约定应付的款项，可向委托人发出催付通知。委托人接到通知 14 天后仍未支付或未提出监理人可以接受的延期支付安排，监理人可向委托人发出暂停工作的通知并可自行暂停全部或部分工作。暂停工作后 14 天内监理人仍未获得委托人应付酬金或委托人的合理答复，监理人可向委托人发出解除本合同的通知，自通知到达委托人时本合同解除。委托人应承担第</w:t>
      </w:r>
    </w:p>
    <w:p>
      <w:pPr>
        <w:pStyle w:val="3"/>
        <w:spacing w:line="306" w:lineRule="exact"/>
        <w:jc w:val="both"/>
        <w:rPr>
          <w:color w:val="auto"/>
          <w:highlight w:val="none"/>
        </w:rPr>
      </w:pPr>
      <w:r>
        <w:rPr>
          <w:color w:val="auto"/>
          <w:highlight w:val="none"/>
        </w:rPr>
        <w:t>4.2.3 款约定的责任。</w:t>
      </w:r>
    </w:p>
    <w:p>
      <w:pPr>
        <w:pStyle w:val="20"/>
        <w:numPr>
          <w:ilvl w:val="2"/>
          <w:numId w:val="10"/>
        </w:numPr>
        <w:tabs>
          <w:tab w:val="left" w:pos="1426"/>
        </w:tabs>
        <w:spacing w:before="156" w:line="364" w:lineRule="auto"/>
        <w:ind w:right="233" w:firstLine="480"/>
        <w:jc w:val="both"/>
        <w:rPr>
          <w:color w:val="auto"/>
          <w:sz w:val="24"/>
          <w:highlight w:val="none"/>
        </w:rPr>
      </w:pPr>
      <w:r>
        <w:rPr>
          <w:color w:val="auto"/>
          <w:sz w:val="24"/>
          <w:highlight w:val="none"/>
        </w:rPr>
        <w:t>因不可抗力致使本合同部分或全部不能履行时，一方应立即通知另一方，可暂停或解除本合同。</w:t>
      </w:r>
    </w:p>
    <w:p>
      <w:pPr>
        <w:pStyle w:val="20"/>
        <w:numPr>
          <w:ilvl w:val="2"/>
          <w:numId w:val="10"/>
        </w:numPr>
        <w:tabs>
          <w:tab w:val="left" w:pos="1364"/>
        </w:tabs>
        <w:spacing w:line="306" w:lineRule="exact"/>
        <w:ind w:left="1363" w:hanging="661"/>
        <w:jc w:val="both"/>
        <w:rPr>
          <w:color w:val="auto"/>
          <w:sz w:val="24"/>
          <w:highlight w:val="none"/>
        </w:rPr>
      </w:pPr>
      <w:r>
        <w:rPr>
          <w:color w:val="auto"/>
          <w:sz w:val="24"/>
          <w:highlight w:val="none"/>
        </w:rPr>
        <w:t>本合同解除后，本合同约定的有关结算、清理、争议解决方式的条件仍然有效。</w:t>
      </w:r>
    </w:p>
    <w:p>
      <w:pPr>
        <w:pStyle w:val="20"/>
        <w:numPr>
          <w:ilvl w:val="1"/>
          <w:numId w:val="5"/>
        </w:numPr>
        <w:tabs>
          <w:tab w:val="left" w:pos="984"/>
        </w:tabs>
        <w:spacing w:before="160"/>
        <w:ind w:hanging="421"/>
        <w:rPr>
          <w:color w:val="auto"/>
          <w:sz w:val="24"/>
          <w:highlight w:val="none"/>
        </w:rPr>
      </w:pPr>
      <w:r>
        <w:rPr>
          <w:color w:val="auto"/>
          <w:sz w:val="24"/>
          <w:highlight w:val="none"/>
        </w:rPr>
        <w:t>终止</w:t>
      </w:r>
    </w:p>
    <w:p>
      <w:pPr>
        <w:pStyle w:val="3"/>
        <w:spacing w:before="158"/>
        <w:ind w:left="703"/>
        <w:rPr>
          <w:color w:val="auto"/>
          <w:highlight w:val="none"/>
        </w:rPr>
      </w:pPr>
      <w:r>
        <w:rPr>
          <w:color w:val="auto"/>
          <w:highlight w:val="none"/>
        </w:rPr>
        <w:t>以下条件全部满足时，本合同即告终止：</w:t>
      </w:r>
    </w:p>
    <w:p>
      <w:pPr>
        <w:pStyle w:val="20"/>
        <w:numPr>
          <w:ilvl w:val="0"/>
          <w:numId w:val="11"/>
        </w:numPr>
        <w:tabs>
          <w:tab w:val="left" w:pos="1305"/>
        </w:tabs>
        <w:spacing w:before="161"/>
        <w:ind w:hanging="602"/>
        <w:rPr>
          <w:color w:val="auto"/>
          <w:sz w:val="24"/>
          <w:highlight w:val="none"/>
        </w:rPr>
      </w:pPr>
      <w:r>
        <w:rPr>
          <w:color w:val="auto"/>
          <w:sz w:val="24"/>
          <w:highlight w:val="none"/>
        </w:rPr>
        <w:t>监理人完成本合同约定的全部工作；</w:t>
      </w:r>
    </w:p>
    <w:p>
      <w:pPr>
        <w:pStyle w:val="20"/>
        <w:numPr>
          <w:ilvl w:val="0"/>
          <w:numId w:val="11"/>
        </w:numPr>
        <w:tabs>
          <w:tab w:val="left" w:pos="1305"/>
        </w:tabs>
        <w:spacing w:before="158"/>
        <w:ind w:hanging="602"/>
        <w:rPr>
          <w:color w:val="auto"/>
          <w:sz w:val="24"/>
          <w:highlight w:val="none"/>
        </w:rPr>
      </w:pPr>
      <w:r>
        <w:rPr>
          <w:color w:val="auto"/>
          <w:sz w:val="24"/>
          <w:highlight w:val="none"/>
        </w:rPr>
        <w:t>委托人与监理人结清并支付全部酬金。</w:t>
      </w:r>
    </w:p>
    <w:p>
      <w:pPr>
        <w:pStyle w:val="3"/>
        <w:ind w:left="0"/>
        <w:rPr>
          <w:color w:val="auto"/>
          <w:highlight w:val="none"/>
        </w:rPr>
      </w:pPr>
    </w:p>
    <w:p>
      <w:pPr>
        <w:pStyle w:val="3"/>
        <w:spacing w:before="9"/>
        <w:ind w:left="0"/>
        <w:rPr>
          <w:color w:val="auto"/>
          <w:highlight w:val="none"/>
        </w:rPr>
      </w:pPr>
    </w:p>
    <w:p>
      <w:pPr>
        <w:pStyle w:val="11"/>
        <w:numPr>
          <w:ilvl w:val="0"/>
          <w:numId w:val="5"/>
        </w:numPr>
        <w:tabs>
          <w:tab w:val="left" w:pos="507"/>
        </w:tabs>
        <w:rPr>
          <w:color w:val="auto"/>
          <w:highlight w:val="none"/>
        </w:rPr>
      </w:pPr>
      <w:r>
        <w:rPr>
          <w:color w:val="auto"/>
          <w:highlight w:val="none"/>
        </w:rPr>
        <w:t>争议解决</w:t>
      </w:r>
    </w:p>
    <w:p>
      <w:pPr>
        <w:pStyle w:val="20"/>
        <w:numPr>
          <w:ilvl w:val="1"/>
          <w:numId w:val="5"/>
        </w:numPr>
        <w:tabs>
          <w:tab w:val="left" w:pos="984"/>
        </w:tabs>
        <w:spacing w:before="188"/>
        <w:rPr>
          <w:color w:val="auto"/>
          <w:sz w:val="24"/>
          <w:highlight w:val="none"/>
        </w:rPr>
      </w:pPr>
      <w:r>
        <w:rPr>
          <w:color w:val="auto"/>
          <w:sz w:val="24"/>
          <w:highlight w:val="none"/>
        </w:rPr>
        <w:t>协商</w:t>
      </w:r>
    </w:p>
    <w:p>
      <w:pPr>
        <w:pStyle w:val="3"/>
        <w:spacing w:before="160"/>
        <w:ind w:left="703"/>
        <w:rPr>
          <w:color w:val="auto"/>
          <w:highlight w:val="none"/>
        </w:rPr>
      </w:pPr>
      <w:r>
        <w:rPr>
          <w:color w:val="auto"/>
          <w:highlight w:val="none"/>
        </w:rPr>
        <w:t>双方应本着诚信原则协商解决彼此间的争议。</w:t>
      </w:r>
    </w:p>
    <w:p>
      <w:pPr>
        <w:pStyle w:val="20"/>
        <w:numPr>
          <w:ilvl w:val="1"/>
          <w:numId w:val="5"/>
        </w:numPr>
        <w:tabs>
          <w:tab w:val="left" w:pos="984"/>
        </w:tabs>
        <w:spacing w:before="54"/>
        <w:rPr>
          <w:color w:val="auto"/>
          <w:sz w:val="24"/>
          <w:highlight w:val="none"/>
        </w:rPr>
      </w:pPr>
      <w:r>
        <w:rPr>
          <w:color w:val="auto"/>
          <w:sz w:val="24"/>
          <w:highlight w:val="none"/>
        </w:rPr>
        <w:t>调解</w:t>
      </w:r>
    </w:p>
    <w:p>
      <w:pPr>
        <w:pStyle w:val="3"/>
        <w:spacing w:before="161" w:line="364" w:lineRule="auto"/>
        <w:ind w:right="233" w:firstLine="480"/>
        <w:rPr>
          <w:color w:val="auto"/>
          <w:highlight w:val="none"/>
        </w:rPr>
      </w:pPr>
      <w:r>
        <w:rPr>
          <w:color w:val="auto"/>
          <w:highlight w:val="none"/>
        </w:rPr>
        <w:t>如果双方不能在 14 天内或双方商定的其他时间内解决本合同争议，可以将其提交给专用条款约定的或事后达成协议的调解人进行调解。</w:t>
      </w:r>
    </w:p>
    <w:p>
      <w:pPr>
        <w:pStyle w:val="20"/>
        <w:numPr>
          <w:ilvl w:val="1"/>
          <w:numId w:val="5"/>
        </w:numPr>
        <w:tabs>
          <w:tab w:val="left" w:pos="984"/>
        </w:tabs>
        <w:spacing w:line="306" w:lineRule="exact"/>
        <w:ind w:hanging="421"/>
        <w:rPr>
          <w:color w:val="auto"/>
          <w:sz w:val="24"/>
          <w:highlight w:val="none"/>
        </w:rPr>
      </w:pPr>
      <w:r>
        <w:rPr>
          <w:color w:val="auto"/>
          <w:sz w:val="24"/>
          <w:highlight w:val="none"/>
        </w:rPr>
        <w:t>仲裁或诉讼</w:t>
      </w:r>
    </w:p>
    <w:p>
      <w:pPr>
        <w:pStyle w:val="3"/>
        <w:spacing w:before="160" w:line="362" w:lineRule="auto"/>
        <w:ind w:right="233" w:firstLine="480"/>
        <w:rPr>
          <w:color w:val="auto"/>
          <w:highlight w:val="none"/>
        </w:rPr>
      </w:pPr>
      <w:r>
        <w:rPr>
          <w:color w:val="auto"/>
          <w:highlight w:val="none"/>
        </w:rPr>
        <w:t>双方均有权不经调解直接向专用条款约定的仲裁机构申请仲裁或向有管辖权的人民法院提起诉讼。</w:t>
      </w:r>
    </w:p>
    <w:p>
      <w:pPr>
        <w:pStyle w:val="3"/>
        <w:ind w:left="0"/>
        <w:rPr>
          <w:color w:val="auto"/>
          <w:highlight w:val="none"/>
        </w:rPr>
      </w:pPr>
    </w:p>
    <w:p>
      <w:pPr>
        <w:pStyle w:val="11"/>
        <w:numPr>
          <w:ilvl w:val="0"/>
          <w:numId w:val="5"/>
        </w:numPr>
        <w:tabs>
          <w:tab w:val="left" w:pos="507"/>
        </w:tabs>
        <w:spacing w:before="162"/>
        <w:rPr>
          <w:color w:val="auto"/>
          <w:highlight w:val="none"/>
        </w:rPr>
      </w:pPr>
      <w:r>
        <w:rPr>
          <w:color w:val="auto"/>
          <w:highlight w:val="none"/>
        </w:rPr>
        <w:t>其他</w:t>
      </w:r>
    </w:p>
    <w:p>
      <w:pPr>
        <w:pStyle w:val="3"/>
        <w:spacing w:before="10"/>
        <w:ind w:left="0"/>
        <w:rPr>
          <w:b/>
          <w:color w:val="auto"/>
          <w:sz w:val="20"/>
          <w:highlight w:val="none"/>
        </w:rPr>
      </w:pPr>
    </w:p>
    <w:p>
      <w:pPr>
        <w:pStyle w:val="20"/>
        <w:numPr>
          <w:ilvl w:val="1"/>
          <w:numId w:val="5"/>
        </w:numPr>
        <w:tabs>
          <w:tab w:val="left" w:pos="984"/>
        </w:tabs>
        <w:rPr>
          <w:color w:val="auto"/>
          <w:sz w:val="24"/>
          <w:highlight w:val="none"/>
        </w:rPr>
      </w:pPr>
      <w:r>
        <w:rPr>
          <w:color w:val="auto"/>
          <w:sz w:val="24"/>
          <w:highlight w:val="none"/>
        </w:rPr>
        <w:t>外出考察费用</w:t>
      </w:r>
    </w:p>
    <w:p>
      <w:pPr>
        <w:pStyle w:val="3"/>
        <w:spacing w:before="81"/>
        <w:ind w:left="703"/>
        <w:rPr>
          <w:color w:val="auto"/>
          <w:highlight w:val="none"/>
        </w:rPr>
      </w:pPr>
      <w:r>
        <w:rPr>
          <w:color w:val="auto"/>
          <w:highlight w:val="none"/>
        </w:rPr>
        <w:t>经委托人同意，监理人员外出考察发生的费用由委托人审核后支付。</w:t>
      </w:r>
    </w:p>
    <w:p>
      <w:pPr>
        <w:pStyle w:val="20"/>
        <w:numPr>
          <w:ilvl w:val="1"/>
          <w:numId w:val="5"/>
        </w:numPr>
        <w:tabs>
          <w:tab w:val="left" w:pos="984"/>
        </w:tabs>
        <w:spacing w:before="161"/>
        <w:rPr>
          <w:color w:val="auto"/>
          <w:sz w:val="24"/>
          <w:highlight w:val="none"/>
        </w:rPr>
      </w:pPr>
      <w:r>
        <w:rPr>
          <w:color w:val="auto"/>
          <w:sz w:val="24"/>
          <w:highlight w:val="none"/>
        </w:rPr>
        <w:t>检测费用</w:t>
      </w:r>
    </w:p>
    <w:p>
      <w:pPr>
        <w:pStyle w:val="3"/>
        <w:spacing w:before="158" w:line="364" w:lineRule="auto"/>
        <w:ind w:right="233" w:firstLine="480"/>
        <w:rPr>
          <w:color w:val="auto"/>
          <w:highlight w:val="none"/>
        </w:rPr>
      </w:pPr>
      <w:r>
        <w:rPr>
          <w:color w:val="auto"/>
          <w:highlight w:val="none"/>
        </w:rPr>
        <w:t>委托人要求监理人进行的材料和设备检测所发生的费用，由委托人支付，支付时间在专用条款中约定。</w:t>
      </w:r>
    </w:p>
    <w:p>
      <w:pPr>
        <w:pStyle w:val="20"/>
        <w:numPr>
          <w:ilvl w:val="1"/>
          <w:numId w:val="5"/>
        </w:numPr>
        <w:tabs>
          <w:tab w:val="left" w:pos="984"/>
        </w:tabs>
        <w:spacing w:line="306" w:lineRule="exact"/>
        <w:ind w:hanging="421"/>
        <w:rPr>
          <w:color w:val="auto"/>
          <w:sz w:val="24"/>
          <w:highlight w:val="none"/>
        </w:rPr>
      </w:pPr>
      <w:r>
        <w:rPr>
          <w:color w:val="auto"/>
          <w:sz w:val="24"/>
          <w:highlight w:val="none"/>
        </w:rPr>
        <w:t>咨询费用</w:t>
      </w:r>
    </w:p>
    <w:p>
      <w:pPr>
        <w:pStyle w:val="3"/>
        <w:spacing w:before="161" w:line="362" w:lineRule="auto"/>
        <w:ind w:right="233" w:firstLine="480"/>
        <w:rPr>
          <w:color w:val="auto"/>
          <w:highlight w:val="none"/>
        </w:rPr>
      </w:pPr>
      <w:r>
        <w:rPr>
          <w:color w:val="auto"/>
          <w:highlight w:val="none"/>
        </w:rPr>
        <w:t>经委托人同意，根据工程需要由监理人组织的相关咨询论证会以及聘请相关专家等发生的费用由委托人支付，支付时间在专用条款中约定。</w:t>
      </w:r>
    </w:p>
    <w:p>
      <w:pPr>
        <w:pStyle w:val="20"/>
        <w:numPr>
          <w:ilvl w:val="1"/>
          <w:numId w:val="5"/>
        </w:numPr>
        <w:tabs>
          <w:tab w:val="left" w:pos="984"/>
        </w:tabs>
        <w:spacing w:before="4"/>
        <w:ind w:hanging="421"/>
        <w:rPr>
          <w:color w:val="auto"/>
          <w:sz w:val="24"/>
          <w:highlight w:val="none"/>
        </w:rPr>
      </w:pPr>
      <w:r>
        <w:rPr>
          <w:color w:val="auto"/>
          <w:sz w:val="24"/>
          <w:highlight w:val="none"/>
        </w:rPr>
        <w:t>奖励</w:t>
      </w:r>
    </w:p>
    <w:p>
      <w:pPr>
        <w:pStyle w:val="3"/>
        <w:spacing w:before="159" w:line="364" w:lineRule="auto"/>
        <w:ind w:right="230" w:firstLine="480"/>
        <w:jc w:val="both"/>
        <w:rPr>
          <w:color w:val="auto"/>
          <w:highlight w:val="none"/>
        </w:rPr>
      </w:pPr>
      <w:r>
        <w:rPr>
          <w:color w:val="auto"/>
          <w:highlight w:val="none"/>
        </w:rPr>
        <w:t>监理人在服务过程中提出的合理化建议，使委托人获得经济效益的，双方在专用条款中约定奖励金额的确定方法。奖励金额在合理化建议被采纳后，与最近一期的正常工作酬金同期支付。</w:t>
      </w:r>
    </w:p>
    <w:p>
      <w:pPr>
        <w:pStyle w:val="20"/>
        <w:numPr>
          <w:ilvl w:val="1"/>
          <w:numId w:val="5"/>
        </w:numPr>
        <w:tabs>
          <w:tab w:val="left" w:pos="984"/>
        </w:tabs>
        <w:spacing w:line="307" w:lineRule="exact"/>
        <w:ind w:hanging="421"/>
        <w:jc w:val="both"/>
        <w:rPr>
          <w:color w:val="auto"/>
          <w:sz w:val="24"/>
          <w:highlight w:val="none"/>
        </w:rPr>
      </w:pPr>
      <w:r>
        <w:rPr>
          <w:color w:val="auto"/>
          <w:sz w:val="24"/>
          <w:highlight w:val="none"/>
        </w:rPr>
        <w:t>守法诚信</w:t>
      </w:r>
    </w:p>
    <w:p>
      <w:pPr>
        <w:pStyle w:val="3"/>
        <w:spacing w:before="160"/>
        <w:ind w:left="703"/>
        <w:rPr>
          <w:color w:val="auto"/>
          <w:highlight w:val="none"/>
        </w:rPr>
      </w:pPr>
      <w:r>
        <w:rPr>
          <w:color w:val="auto"/>
          <w:highlight w:val="none"/>
        </w:rPr>
        <w:t>监理人及其工作人员不得从与实施工程有关的第三方处获得任何经济利益。</w:t>
      </w:r>
    </w:p>
    <w:p>
      <w:pPr>
        <w:pStyle w:val="20"/>
        <w:numPr>
          <w:ilvl w:val="1"/>
          <w:numId w:val="5"/>
        </w:numPr>
        <w:tabs>
          <w:tab w:val="left" w:pos="984"/>
        </w:tabs>
        <w:spacing w:before="158"/>
        <w:rPr>
          <w:color w:val="auto"/>
          <w:sz w:val="24"/>
          <w:highlight w:val="none"/>
        </w:rPr>
      </w:pPr>
      <w:r>
        <w:rPr>
          <w:color w:val="auto"/>
          <w:sz w:val="24"/>
          <w:highlight w:val="none"/>
        </w:rPr>
        <w:t>保密</w:t>
      </w:r>
    </w:p>
    <w:p>
      <w:pPr>
        <w:pStyle w:val="3"/>
        <w:spacing w:before="161" w:line="362" w:lineRule="auto"/>
        <w:ind w:right="233" w:firstLine="480"/>
        <w:rPr>
          <w:color w:val="auto"/>
          <w:highlight w:val="none"/>
        </w:rPr>
      </w:pPr>
      <w:r>
        <w:rPr>
          <w:color w:val="auto"/>
          <w:highlight w:val="none"/>
        </w:rPr>
        <w:t>双方不得泄露对方申明的保密资料，亦不得泄露与实施工程有关的第三方所提供的保密资料，保密事项在专用条款中约定。</w:t>
      </w:r>
    </w:p>
    <w:p>
      <w:pPr>
        <w:pStyle w:val="20"/>
        <w:numPr>
          <w:ilvl w:val="1"/>
          <w:numId w:val="5"/>
        </w:numPr>
        <w:tabs>
          <w:tab w:val="left" w:pos="984"/>
        </w:tabs>
        <w:spacing w:before="5"/>
        <w:ind w:hanging="421"/>
        <w:rPr>
          <w:color w:val="auto"/>
          <w:sz w:val="24"/>
          <w:highlight w:val="none"/>
        </w:rPr>
      </w:pPr>
      <w:r>
        <w:rPr>
          <w:color w:val="auto"/>
          <w:sz w:val="24"/>
          <w:highlight w:val="none"/>
        </w:rPr>
        <w:t>通知</w:t>
      </w:r>
    </w:p>
    <w:p>
      <w:pPr>
        <w:pStyle w:val="3"/>
        <w:spacing w:before="158"/>
        <w:ind w:left="703"/>
        <w:rPr>
          <w:color w:val="auto"/>
          <w:highlight w:val="none"/>
        </w:rPr>
      </w:pPr>
      <w:r>
        <w:rPr>
          <w:color w:val="auto"/>
          <w:highlight w:val="none"/>
        </w:rPr>
        <w:t>本合同涉及的通知均应当采用书面形式，并在送达对方时生效，收件人应书面签收。</w:t>
      </w:r>
    </w:p>
    <w:p>
      <w:pPr>
        <w:pStyle w:val="20"/>
        <w:numPr>
          <w:ilvl w:val="1"/>
          <w:numId w:val="5"/>
        </w:numPr>
        <w:tabs>
          <w:tab w:val="left" w:pos="984"/>
        </w:tabs>
        <w:spacing w:before="160"/>
        <w:rPr>
          <w:color w:val="auto"/>
          <w:sz w:val="24"/>
          <w:highlight w:val="none"/>
        </w:rPr>
      </w:pPr>
      <w:r>
        <w:rPr>
          <w:color w:val="auto"/>
          <w:sz w:val="24"/>
          <w:highlight w:val="none"/>
        </w:rPr>
        <w:t>著作权</w:t>
      </w:r>
    </w:p>
    <w:p>
      <w:pPr>
        <w:pStyle w:val="3"/>
        <w:spacing w:before="158"/>
        <w:ind w:left="703"/>
        <w:rPr>
          <w:color w:val="auto"/>
          <w:highlight w:val="none"/>
        </w:rPr>
      </w:pPr>
      <w:r>
        <w:rPr>
          <w:color w:val="auto"/>
          <w:highlight w:val="none"/>
        </w:rPr>
        <w:t>监理人对其编制的文件拥有著作权。</w:t>
      </w:r>
    </w:p>
    <w:p>
      <w:pPr>
        <w:pStyle w:val="3"/>
        <w:spacing w:before="161" w:line="362" w:lineRule="auto"/>
        <w:ind w:right="70" w:firstLine="480"/>
        <w:rPr>
          <w:color w:val="auto"/>
          <w:highlight w:val="none"/>
        </w:rPr>
      </w:pPr>
      <w:r>
        <w:rPr>
          <w:color w:val="auto"/>
          <w:highlight w:val="none"/>
        </w:rPr>
        <w:t>监理人可单独或与他人联合出版有关监理与相关服务的资料。除专用条款另有约定外， 如果监理人在本合同履行期间及本合同终止后两年内出版涉及本合同工程的有关监理与相</w:t>
      </w:r>
    </w:p>
    <w:p>
      <w:pPr>
        <w:pStyle w:val="3"/>
        <w:spacing w:before="54"/>
        <w:rPr>
          <w:color w:val="auto"/>
          <w:highlight w:val="none"/>
        </w:rPr>
      </w:pPr>
      <w:r>
        <w:rPr>
          <w:color w:val="auto"/>
          <w:highlight w:val="none"/>
        </w:rPr>
        <w:t>关服务的资料，应当征得委托人的同意。</w:t>
      </w:r>
    </w:p>
    <w:p>
      <w:pPr>
        <w:rPr>
          <w:color w:val="auto"/>
          <w:highlight w:val="none"/>
        </w:rPr>
        <w:sectPr>
          <w:pgSz w:w="11910" w:h="16840"/>
          <w:pgMar w:top="1060" w:right="900" w:bottom="1180" w:left="1080" w:header="0" w:footer="917" w:gutter="0"/>
          <w:cols w:space="720" w:num="1"/>
        </w:sectPr>
      </w:pPr>
    </w:p>
    <w:p>
      <w:pPr>
        <w:pStyle w:val="3"/>
        <w:spacing w:before="7"/>
        <w:ind w:left="0"/>
        <w:rPr>
          <w:color w:val="auto"/>
          <w:sz w:val="9"/>
          <w:highlight w:val="none"/>
        </w:rPr>
      </w:pPr>
    </w:p>
    <w:p>
      <w:pPr>
        <w:tabs>
          <w:tab w:val="left" w:pos="2207"/>
        </w:tabs>
        <w:spacing w:before="37"/>
        <w:ind w:right="15"/>
        <w:jc w:val="center"/>
        <w:rPr>
          <w:b/>
          <w:color w:val="auto"/>
          <w:sz w:val="44"/>
          <w:highlight w:val="none"/>
        </w:rPr>
      </w:pPr>
      <w:bookmarkStart w:id="3" w:name="_TOC_250001"/>
      <w:bookmarkEnd w:id="3"/>
      <w:r>
        <w:rPr>
          <w:b/>
          <w:color w:val="auto"/>
          <w:sz w:val="44"/>
          <w:highlight w:val="none"/>
        </w:rPr>
        <w:t>第三部分</w:t>
      </w:r>
      <w:r>
        <w:rPr>
          <w:b/>
          <w:color w:val="auto"/>
          <w:sz w:val="44"/>
          <w:highlight w:val="none"/>
        </w:rPr>
        <w:tab/>
      </w:r>
      <w:r>
        <w:rPr>
          <w:b/>
          <w:color w:val="auto"/>
          <w:sz w:val="44"/>
          <w:highlight w:val="none"/>
        </w:rPr>
        <w:t>专用条款</w:t>
      </w:r>
    </w:p>
    <w:p>
      <w:pPr>
        <w:pStyle w:val="3"/>
        <w:ind w:left="0"/>
        <w:rPr>
          <w:b/>
          <w:color w:val="auto"/>
          <w:sz w:val="44"/>
          <w:highlight w:val="none"/>
        </w:rPr>
      </w:pPr>
    </w:p>
    <w:p>
      <w:pPr>
        <w:pStyle w:val="3"/>
        <w:spacing w:before="6"/>
        <w:ind w:left="0"/>
        <w:rPr>
          <w:b/>
          <w:color w:val="auto"/>
          <w:sz w:val="39"/>
          <w:highlight w:val="none"/>
        </w:rPr>
      </w:pPr>
    </w:p>
    <w:p>
      <w:pPr>
        <w:pStyle w:val="3"/>
        <w:spacing w:line="364" w:lineRule="auto"/>
        <w:ind w:right="230" w:firstLine="360"/>
        <w:jc w:val="both"/>
        <w:rPr>
          <w:color w:val="auto"/>
          <w:highlight w:val="none"/>
        </w:rPr>
      </w:pPr>
      <w:r>
        <w:rPr>
          <w:color w:val="auto"/>
          <w:highlight w:val="none"/>
        </w:rPr>
        <w:t>（本部分条款的编号与通用条款的编号相对应，是根据本合同工程的实际情况对通用条款中相对应条款进行的修改、补充或否定，其适用顺序优先于通用条款。本部分条款未阐明的内容，则按本合同其他部分的有关约定执行）</w:t>
      </w:r>
    </w:p>
    <w:p>
      <w:pPr>
        <w:pStyle w:val="11"/>
        <w:numPr>
          <w:ilvl w:val="0"/>
          <w:numId w:val="12"/>
        </w:numPr>
        <w:tabs>
          <w:tab w:val="left" w:pos="1209"/>
        </w:tabs>
        <w:spacing w:line="357" w:lineRule="exact"/>
        <w:ind w:hanging="425"/>
        <w:jc w:val="left"/>
        <w:rPr>
          <w:color w:val="auto"/>
          <w:highlight w:val="none"/>
        </w:rPr>
      </w:pPr>
      <w:r>
        <w:rPr>
          <w:color w:val="auto"/>
          <w:highlight w:val="none"/>
        </w:rPr>
        <w:t>定义与解释</w:t>
      </w:r>
    </w:p>
    <w:p>
      <w:pPr>
        <w:pStyle w:val="12"/>
        <w:numPr>
          <w:ilvl w:val="1"/>
          <w:numId w:val="12"/>
        </w:numPr>
        <w:tabs>
          <w:tab w:val="left" w:pos="1131"/>
        </w:tabs>
        <w:spacing w:before="188"/>
        <w:ind w:hanging="426"/>
        <w:rPr>
          <w:color w:val="auto"/>
          <w:highlight w:val="none"/>
        </w:rPr>
      </w:pPr>
      <w:r>
        <w:rPr>
          <w:color w:val="auto"/>
          <w:highlight w:val="none"/>
        </w:rPr>
        <w:t>定义</w:t>
      </w:r>
    </w:p>
    <w:p>
      <w:pPr>
        <w:pStyle w:val="3"/>
        <w:spacing w:before="6"/>
        <w:ind w:left="0"/>
        <w:rPr>
          <w:b/>
          <w:color w:val="auto"/>
          <w:sz w:val="18"/>
          <w:highlight w:val="none"/>
        </w:rPr>
      </w:pPr>
    </w:p>
    <w:p>
      <w:pPr>
        <w:pStyle w:val="3"/>
        <w:spacing w:line="364" w:lineRule="auto"/>
        <w:ind w:right="233" w:firstLine="480"/>
        <w:jc w:val="both"/>
        <w:rPr>
          <w:color w:val="auto"/>
          <w:highlight w:val="none"/>
        </w:rPr>
      </w:pPr>
      <w:r>
        <w:rPr>
          <w:color w:val="auto"/>
          <w:highlight w:val="none"/>
        </w:rPr>
        <w:t>1.1.11 总监理工程师代表：指由总监理工程师授权，代表总监理工程师行使其部分职责和权力，具有工程类注册执业资格或具有中级及以上专业技术职称、3 年及以上工程监理实践经验的监理人员。</w:t>
      </w:r>
    </w:p>
    <w:p>
      <w:pPr>
        <w:pStyle w:val="20"/>
        <w:numPr>
          <w:ilvl w:val="2"/>
          <w:numId w:val="13"/>
        </w:numPr>
        <w:tabs>
          <w:tab w:val="left" w:pos="1532"/>
        </w:tabs>
        <w:spacing w:before="2" w:line="364" w:lineRule="auto"/>
        <w:ind w:right="230" w:firstLine="480"/>
        <w:jc w:val="both"/>
        <w:rPr>
          <w:color w:val="auto"/>
          <w:sz w:val="24"/>
          <w:highlight w:val="none"/>
        </w:rPr>
      </w:pPr>
      <w:r>
        <w:rPr>
          <w:color w:val="auto"/>
          <w:sz w:val="24"/>
          <w:highlight w:val="none"/>
        </w:rPr>
        <w:t>专业监理工程师：指由总监理工程师授权，负责实施某一专业或某一岗位的监理工作，有相应监理文件签发权，具有工程类注册执业资格或具有中级及以上专业技术职称、2 年及以上工程实践经验的监理人员。</w:t>
      </w:r>
    </w:p>
    <w:p>
      <w:pPr>
        <w:pStyle w:val="20"/>
        <w:numPr>
          <w:ilvl w:val="2"/>
          <w:numId w:val="13"/>
        </w:numPr>
        <w:tabs>
          <w:tab w:val="left" w:pos="1527"/>
        </w:tabs>
        <w:spacing w:line="230" w:lineRule="exact"/>
        <w:ind w:left="1526" w:hanging="808"/>
        <w:rPr>
          <w:color w:val="auto"/>
          <w:sz w:val="24"/>
          <w:highlight w:val="none"/>
        </w:rPr>
      </w:pPr>
      <w:r>
        <w:rPr>
          <w:color w:val="auto"/>
          <w:sz w:val="24"/>
          <w:highlight w:val="none"/>
        </w:rPr>
        <w:t>监理员：指从事具体监理工作，具有中专及以上学历并经过监理业务培训的</w:t>
      </w:r>
    </w:p>
    <w:p>
      <w:pPr>
        <w:pStyle w:val="3"/>
        <w:spacing w:before="161"/>
        <w:rPr>
          <w:color w:val="auto"/>
          <w:highlight w:val="none"/>
        </w:rPr>
      </w:pPr>
      <w:r>
        <w:rPr>
          <w:color w:val="auto"/>
          <w:highlight w:val="none"/>
        </w:rPr>
        <w:t>监理人员。</w:t>
      </w:r>
    </w:p>
    <w:p>
      <w:pPr>
        <w:pStyle w:val="3"/>
        <w:spacing w:before="7"/>
        <w:ind w:left="0"/>
        <w:rPr>
          <w:color w:val="auto"/>
          <w:sz w:val="23"/>
          <w:highlight w:val="none"/>
        </w:rPr>
      </w:pPr>
    </w:p>
    <w:p>
      <w:pPr>
        <w:pStyle w:val="20"/>
        <w:numPr>
          <w:ilvl w:val="2"/>
          <w:numId w:val="14"/>
        </w:numPr>
        <w:tabs>
          <w:tab w:val="left" w:pos="1553"/>
        </w:tabs>
        <w:spacing w:line="374" w:lineRule="auto"/>
        <w:ind w:right="228" w:firstLine="480"/>
        <w:rPr>
          <w:color w:val="auto"/>
          <w:sz w:val="24"/>
          <w:highlight w:val="none"/>
        </w:rPr>
      </w:pPr>
      <w:r>
        <w:rPr>
          <w:color w:val="auto"/>
          <w:sz w:val="23"/>
          <w:highlight w:val="none"/>
        </w:rPr>
        <w:t>生产安全事故：</w:t>
      </w:r>
      <w:r>
        <w:rPr>
          <w:color w:val="auto"/>
          <w:sz w:val="24"/>
          <w:highlight w:val="none"/>
        </w:rPr>
        <w:t>指在工程建设过程中由于责任过失造成工程倒塌或报废、机械设备毁坏和安全设施失当等原因造成人身伤亡或者重大经济损失的事故。分为：</w:t>
      </w:r>
    </w:p>
    <w:p>
      <w:pPr>
        <w:pStyle w:val="20"/>
        <w:numPr>
          <w:ilvl w:val="3"/>
          <w:numId w:val="14"/>
        </w:numPr>
        <w:tabs>
          <w:tab w:val="left" w:pos="1841"/>
        </w:tabs>
        <w:spacing w:before="1" w:line="374" w:lineRule="auto"/>
        <w:ind w:right="240" w:firstLine="496"/>
        <w:rPr>
          <w:color w:val="auto"/>
          <w:sz w:val="24"/>
          <w:highlight w:val="none"/>
        </w:rPr>
      </w:pPr>
      <w:r>
        <w:rPr>
          <w:color w:val="auto"/>
          <w:sz w:val="24"/>
          <w:highlight w:val="none"/>
        </w:rPr>
        <w:t>特别重大事故，是指造成 30 人以上死亡，或者 100 人以上重伤（包括急性工业中毒，下同），或者 1 亿元以上直接经济损失的事故；</w:t>
      </w:r>
    </w:p>
    <w:p>
      <w:pPr>
        <w:pStyle w:val="20"/>
        <w:numPr>
          <w:ilvl w:val="3"/>
          <w:numId w:val="14"/>
        </w:numPr>
        <w:tabs>
          <w:tab w:val="left" w:pos="1841"/>
        </w:tabs>
        <w:spacing w:line="374" w:lineRule="auto"/>
        <w:ind w:right="233" w:firstLine="496"/>
        <w:rPr>
          <w:color w:val="auto"/>
          <w:sz w:val="24"/>
          <w:highlight w:val="none"/>
        </w:rPr>
      </w:pPr>
      <w:r>
        <w:rPr>
          <w:color w:val="auto"/>
          <w:sz w:val="24"/>
          <w:highlight w:val="none"/>
        </w:rPr>
        <w:t>重大事故，是指造成 10 人以上 30 人以下死亡，或者 50 人以上 100 人以下重伤，或者 5000 万元以上 1 亿元以下直接经济损失的事故；</w:t>
      </w:r>
    </w:p>
    <w:p>
      <w:pPr>
        <w:pStyle w:val="20"/>
        <w:numPr>
          <w:ilvl w:val="3"/>
          <w:numId w:val="14"/>
        </w:numPr>
        <w:tabs>
          <w:tab w:val="left" w:pos="1841"/>
        </w:tabs>
        <w:spacing w:before="1" w:line="374" w:lineRule="auto"/>
        <w:ind w:right="233" w:firstLine="496"/>
        <w:rPr>
          <w:color w:val="auto"/>
          <w:sz w:val="24"/>
          <w:highlight w:val="none"/>
        </w:rPr>
      </w:pPr>
      <w:r>
        <w:rPr>
          <w:color w:val="auto"/>
          <w:sz w:val="24"/>
          <w:highlight w:val="none"/>
        </w:rPr>
        <w:t>较大事故，是指造成 3 人以上 10 人以下死亡，或者 10 人以上 50 人以下重伤，或者 1000 万元以上 5000 万元以下直接经济损失的事故；</w:t>
      </w:r>
    </w:p>
    <w:p>
      <w:pPr>
        <w:pStyle w:val="20"/>
        <w:numPr>
          <w:ilvl w:val="3"/>
          <w:numId w:val="14"/>
        </w:numPr>
        <w:tabs>
          <w:tab w:val="left" w:pos="1841"/>
        </w:tabs>
        <w:ind w:left="1840"/>
        <w:rPr>
          <w:color w:val="auto"/>
          <w:sz w:val="24"/>
          <w:highlight w:val="none"/>
        </w:rPr>
      </w:pPr>
      <w:r>
        <w:rPr>
          <w:color w:val="auto"/>
          <w:sz w:val="24"/>
          <w:highlight w:val="none"/>
        </w:rPr>
        <w:t>一般事故，是指造成 3 人以下死亡，或者 10 人以下重伤，或者 1000 万元</w:t>
      </w:r>
    </w:p>
    <w:p>
      <w:pPr>
        <w:pStyle w:val="3"/>
        <w:spacing w:before="173"/>
        <w:rPr>
          <w:color w:val="auto"/>
          <w:highlight w:val="none"/>
        </w:rPr>
      </w:pPr>
      <w:r>
        <w:rPr>
          <w:color w:val="auto"/>
          <w:highlight w:val="none"/>
        </w:rPr>
        <w:t>以下直接经济损失的事故。</w:t>
      </w:r>
    </w:p>
    <w:p>
      <w:pPr>
        <w:pStyle w:val="3"/>
        <w:spacing w:before="28"/>
        <w:ind w:left="720"/>
        <w:rPr>
          <w:color w:val="auto"/>
          <w:highlight w:val="none"/>
        </w:rPr>
      </w:pPr>
      <w:r>
        <w:rPr>
          <w:color w:val="auto"/>
          <w:highlight w:val="none"/>
        </w:rPr>
        <w:t>本项所称的“以上”包括本数，所称的“以下”不包括本数。</w:t>
      </w:r>
    </w:p>
    <w:p>
      <w:pPr>
        <w:pStyle w:val="3"/>
        <w:spacing w:before="161"/>
        <w:ind w:left="703"/>
        <w:rPr>
          <w:color w:val="auto"/>
          <w:highlight w:val="none"/>
        </w:rPr>
      </w:pPr>
      <w:r>
        <w:rPr>
          <w:color w:val="auto"/>
          <w:highlight w:val="none"/>
        </w:rPr>
        <w:t>1.1.42 保证人：指按专用条款第 2.16 款约定向委托人提交监理人履约保函的机构。</w:t>
      </w:r>
    </w:p>
    <w:p>
      <w:pPr>
        <w:pStyle w:val="12"/>
        <w:numPr>
          <w:ilvl w:val="1"/>
          <w:numId w:val="12"/>
        </w:numPr>
        <w:tabs>
          <w:tab w:val="left" w:pos="1131"/>
        </w:tabs>
        <w:spacing w:before="158"/>
        <w:ind w:hanging="426"/>
        <w:rPr>
          <w:color w:val="auto"/>
          <w:highlight w:val="none"/>
        </w:rPr>
      </w:pPr>
      <w:r>
        <w:rPr>
          <w:color w:val="auto"/>
          <w:highlight w:val="none"/>
        </w:rPr>
        <w:t>解释</w:t>
      </w:r>
    </w:p>
    <w:p>
      <w:pPr>
        <w:pStyle w:val="3"/>
        <w:spacing w:before="54" w:line="364" w:lineRule="auto"/>
        <w:ind w:right="233" w:firstLine="463"/>
        <w:rPr>
          <w:color w:val="auto"/>
          <w:highlight w:val="none"/>
        </w:rPr>
      </w:pPr>
      <w:r>
        <w:rPr>
          <w:color w:val="auto"/>
          <w:highlight w:val="none"/>
        </w:rPr>
        <w:t>1.2.2 下列文件应被认为是组成本合同的一部分，并互为补充和解释，如各文件存在冲突之处，以如下排列次序在前者优先适用：</w:t>
      </w:r>
    </w:p>
    <w:p>
      <w:pPr>
        <w:pStyle w:val="20"/>
        <w:numPr>
          <w:ilvl w:val="0"/>
          <w:numId w:val="15"/>
        </w:numPr>
        <w:tabs>
          <w:tab w:val="left" w:pos="1185"/>
        </w:tabs>
        <w:spacing w:before="1"/>
        <w:ind w:hanging="602"/>
        <w:rPr>
          <w:color w:val="auto"/>
          <w:sz w:val="24"/>
          <w:highlight w:val="none"/>
        </w:rPr>
      </w:pPr>
      <w:r>
        <w:rPr>
          <w:color w:val="auto"/>
          <w:sz w:val="24"/>
          <w:highlight w:val="none"/>
        </w:rPr>
        <w:t>相关政府主管部门关于</w:t>
      </w:r>
      <w:r>
        <w:rPr>
          <w:rFonts w:hint="eastAsia"/>
          <w:color w:val="auto"/>
          <w:sz w:val="24"/>
          <w:highlight w:val="none"/>
        </w:rPr>
        <w:t xml:space="preserve">     </w:t>
      </w:r>
      <w:r>
        <w:rPr>
          <w:color w:val="auto"/>
          <w:sz w:val="24"/>
          <w:highlight w:val="none"/>
        </w:rPr>
        <w:t>的有关文件；</w:t>
      </w:r>
    </w:p>
    <w:p>
      <w:pPr>
        <w:pStyle w:val="20"/>
        <w:numPr>
          <w:ilvl w:val="0"/>
          <w:numId w:val="15"/>
        </w:numPr>
        <w:tabs>
          <w:tab w:val="left" w:pos="1185"/>
        </w:tabs>
        <w:spacing w:before="158"/>
        <w:ind w:hanging="602"/>
        <w:rPr>
          <w:color w:val="auto"/>
          <w:sz w:val="24"/>
          <w:highlight w:val="none"/>
        </w:rPr>
      </w:pPr>
      <w:r>
        <w:rPr>
          <w:color w:val="auto"/>
          <w:sz w:val="24"/>
          <w:highlight w:val="none"/>
        </w:rPr>
        <w:t>本合同履行期间委托人与监理人双方签订的补充合同（协议）或修正文件；</w:t>
      </w:r>
    </w:p>
    <w:p>
      <w:pPr>
        <w:pStyle w:val="20"/>
        <w:numPr>
          <w:ilvl w:val="0"/>
          <w:numId w:val="15"/>
        </w:numPr>
        <w:tabs>
          <w:tab w:val="left" w:pos="1185"/>
        </w:tabs>
        <w:spacing w:before="161"/>
        <w:ind w:hanging="602"/>
        <w:rPr>
          <w:color w:val="auto"/>
          <w:sz w:val="24"/>
          <w:highlight w:val="none"/>
        </w:rPr>
      </w:pPr>
      <w:r>
        <w:rPr>
          <w:color w:val="auto"/>
          <w:sz w:val="24"/>
          <w:highlight w:val="none"/>
        </w:rPr>
        <w:t>委托监理协议书；</w:t>
      </w:r>
    </w:p>
    <w:p>
      <w:pPr>
        <w:pStyle w:val="20"/>
        <w:numPr>
          <w:ilvl w:val="0"/>
          <w:numId w:val="15"/>
        </w:numPr>
        <w:tabs>
          <w:tab w:val="left" w:pos="1185"/>
        </w:tabs>
        <w:spacing w:before="158"/>
        <w:ind w:hanging="602"/>
        <w:rPr>
          <w:color w:val="auto"/>
          <w:sz w:val="24"/>
          <w:highlight w:val="none"/>
        </w:rPr>
      </w:pPr>
      <w:r>
        <w:rPr>
          <w:color w:val="auto"/>
          <w:sz w:val="24"/>
          <w:highlight w:val="none"/>
        </w:rPr>
        <w:t>中标通知书；</w:t>
      </w:r>
    </w:p>
    <w:p>
      <w:pPr>
        <w:pStyle w:val="20"/>
        <w:numPr>
          <w:ilvl w:val="0"/>
          <w:numId w:val="15"/>
        </w:numPr>
        <w:tabs>
          <w:tab w:val="left" w:pos="1185"/>
        </w:tabs>
        <w:spacing w:before="161"/>
        <w:ind w:hanging="602"/>
        <w:rPr>
          <w:color w:val="auto"/>
          <w:sz w:val="24"/>
          <w:highlight w:val="none"/>
        </w:rPr>
      </w:pPr>
      <w:r>
        <w:rPr>
          <w:color w:val="auto"/>
          <w:sz w:val="24"/>
          <w:highlight w:val="none"/>
        </w:rPr>
        <w:t>专用条款；</w:t>
      </w:r>
    </w:p>
    <w:p>
      <w:pPr>
        <w:pStyle w:val="20"/>
        <w:numPr>
          <w:ilvl w:val="0"/>
          <w:numId w:val="15"/>
        </w:numPr>
        <w:tabs>
          <w:tab w:val="left" w:pos="1185"/>
        </w:tabs>
        <w:spacing w:before="158"/>
        <w:ind w:hanging="602"/>
        <w:rPr>
          <w:color w:val="auto"/>
          <w:sz w:val="24"/>
          <w:highlight w:val="none"/>
        </w:rPr>
      </w:pPr>
      <w:r>
        <w:rPr>
          <w:color w:val="auto"/>
          <w:sz w:val="24"/>
          <w:highlight w:val="none"/>
        </w:rPr>
        <w:t>委托人制定的本合同工程管理的各项制度、规定；</w:t>
      </w:r>
    </w:p>
    <w:p>
      <w:pPr>
        <w:pStyle w:val="20"/>
        <w:numPr>
          <w:ilvl w:val="0"/>
          <w:numId w:val="15"/>
        </w:numPr>
        <w:tabs>
          <w:tab w:val="left" w:pos="1185"/>
        </w:tabs>
        <w:spacing w:before="160"/>
        <w:ind w:hanging="602"/>
        <w:rPr>
          <w:color w:val="auto"/>
          <w:sz w:val="24"/>
          <w:highlight w:val="none"/>
        </w:rPr>
      </w:pPr>
      <w:r>
        <w:rPr>
          <w:color w:val="auto"/>
          <w:sz w:val="24"/>
          <w:highlight w:val="none"/>
        </w:rPr>
        <w:t>本合同附件[属本条第（1）、（6）项内容的除外]；</w:t>
      </w:r>
    </w:p>
    <w:p>
      <w:pPr>
        <w:pStyle w:val="20"/>
        <w:numPr>
          <w:ilvl w:val="0"/>
          <w:numId w:val="15"/>
        </w:numPr>
        <w:tabs>
          <w:tab w:val="left" w:pos="1185"/>
        </w:tabs>
        <w:spacing w:before="158"/>
        <w:ind w:hanging="602"/>
        <w:rPr>
          <w:color w:val="auto"/>
          <w:sz w:val="24"/>
          <w:highlight w:val="none"/>
        </w:rPr>
      </w:pPr>
      <w:r>
        <w:rPr>
          <w:color w:val="auto"/>
          <w:sz w:val="24"/>
          <w:highlight w:val="none"/>
        </w:rPr>
        <w:t>通用条款；</w:t>
      </w:r>
    </w:p>
    <w:p>
      <w:pPr>
        <w:pStyle w:val="20"/>
        <w:numPr>
          <w:ilvl w:val="0"/>
          <w:numId w:val="15"/>
        </w:numPr>
        <w:tabs>
          <w:tab w:val="left" w:pos="1185"/>
        </w:tabs>
        <w:spacing w:before="161" w:line="362" w:lineRule="auto"/>
        <w:ind w:left="223" w:right="230" w:firstLine="360"/>
        <w:rPr>
          <w:color w:val="auto"/>
          <w:sz w:val="24"/>
          <w:highlight w:val="none"/>
        </w:rPr>
      </w:pPr>
      <w:r>
        <w:rPr>
          <w:color w:val="auto"/>
          <w:sz w:val="24"/>
          <w:highlight w:val="none"/>
        </w:rPr>
        <w:t>本合同工程监理招标文件[含招标文件补充文件、澄清文件、答疑文件等，属本条第（7）项内容的除外]；</w:t>
      </w:r>
    </w:p>
    <w:p>
      <w:pPr>
        <w:pStyle w:val="20"/>
        <w:numPr>
          <w:ilvl w:val="0"/>
          <w:numId w:val="15"/>
        </w:numPr>
        <w:tabs>
          <w:tab w:val="left" w:pos="1305"/>
        </w:tabs>
        <w:spacing w:before="5" w:line="362" w:lineRule="auto"/>
        <w:ind w:left="223" w:right="221" w:firstLine="360"/>
        <w:rPr>
          <w:color w:val="auto"/>
          <w:sz w:val="24"/>
          <w:highlight w:val="none"/>
        </w:rPr>
      </w:pPr>
      <w:r>
        <w:rPr>
          <w:color w:val="auto"/>
          <w:sz w:val="24"/>
          <w:highlight w:val="none"/>
        </w:rPr>
        <w:t>监理人据以中标的本合同工程监理投标文件[含投标文件澄清等，属本条第（7） 项内容的除外]；</w:t>
      </w:r>
    </w:p>
    <w:p>
      <w:pPr>
        <w:pStyle w:val="20"/>
        <w:numPr>
          <w:ilvl w:val="0"/>
          <w:numId w:val="15"/>
        </w:numPr>
        <w:tabs>
          <w:tab w:val="left" w:pos="1305"/>
        </w:tabs>
        <w:spacing w:before="5"/>
        <w:ind w:left="1304" w:hanging="722"/>
        <w:rPr>
          <w:color w:val="auto"/>
          <w:sz w:val="24"/>
          <w:highlight w:val="none"/>
        </w:rPr>
      </w:pPr>
      <w:r>
        <w:rPr>
          <w:color w:val="auto"/>
          <w:sz w:val="24"/>
          <w:highlight w:val="none"/>
        </w:rPr>
        <w:t>组成本合同的其他文件。</w:t>
      </w:r>
    </w:p>
    <w:p>
      <w:pPr>
        <w:pStyle w:val="3"/>
        <w:spacing w:before="158" w:line="364" w:lineRule="auto"/>
        <w:ind w:right="110" w:firstLine="480"/>
        <w:rPr>
          <w:color w:val="auto"/>
          <w:highlight w:val="none"/>
        </w:rPr>
      </w:pPr>
      <w:r>
        <w:rPr>
          <w:color w:val="auto"/>
          <w:highlight w:val="none"/>
        </w:rPr>
        <w:t>通过上述顺序解释仍无法明确的事项，由委托人与监理人协商解决；如协商不成，由委托人按照公平合理和有利于本合同工程建设的原则作出决定，如监理人对此决定不服的， 应在接到委托人决定之日起三日内提出书面异议。如期满不提出书面异议的，视为同意委托人的决定。委托人收到监理人的书面异议后应作出进一步的决定。如监理人仍有异议的， 可按专用条款第 7 条的约定处理，但在有关部门没有作出正式裁决之前，监理人必须无条件先行执行委托人的决定。</w:t>
      </w:r>
    </w:p>
    <w:p>
      <w:pPr>
        <w:pStyle w:val="3"/>
        <w:ind w:left="0"/>
        <w:rPr>
          <w:color w:val="auto"/>
          <w:highlight w:val="none"/>
        </w:rPr>
      </w:pPr>
    </w:p>
    <w:p>
      <w:pPr>
        <w:pStyle w:val="11"/>
        <w:numPr>
          <w:ilvl w:val="0"/>
          <w:numId w:val="12"/>
        </w:numPr>
        <w:tabs>
          <w:tab w:val="left" w:pos="507"/>
        </w:tabs>
        <w:spacing w:before="157"/>
        <w:ind w:left="506" w:hanging="284"/>
        <w:jc w:val="left"/>
        <w:rPr>
          <w:color w:val="auto"/>
          <w:highlight w:val="none"/>
        </w:rPr>
      </w:pPr>
      <w:r>
        <w:rPr>
          <w:color w:val="auto"/>
          <w:highlight w:val="none"/>
        </w:rPr>
        <w:t>监理人的义务</w:t>
      </w:r>
    </w:p>
    <w:p>
      <w:pPr>
        <w:pStyle w:val="12"/>
        <w:numPr>
          <w:ilvl w:val="1"/>
          <w:numId w:val="12"/>
        </w:numPr>
        <w:tabs>
          <w:tab w:val="left" w:pos="989"/>
        </w:tabs>
        <w:spacing w:before="188"/>
        <w:ind w:left="988"/>
        <w:rPr>
          <w:color w:val="auto"/>
          <w:highlight w:val="none"/>
        </w:rPr>
      </w:pPr>
      <w:r>
        <w:rPr>
          <w:color w:val="auto"/>
          <w:highlight w:val="none"/>
        </w:rPr>
        <w:t>监理的范围和工作内容</w:t>
      </w:r>
    </w:p>
    <w:p>
      <w:pPr>
        <w:pStyle w:val="3"/>
        <w:spacing w:before="7"/>
        <w:ind w:left="0"/>
        <w:rPr>
          <w:b/>
          <w:color w:val="auto"/>
          <w:sz w:val="23"/>
          <w:highlight w:val="none"/>
        </w:rPr>
      </w:pPr>
    </w:p>
    <w:p>
      <w:pPr>
        <w:pStyle w:val="12"/>
        <w:numPr>
          <w:ilvl w:val="2"/>
          <w:numId w:val="16"/>
        </w:numPr>
        <w:tabs>
          <w:tab w:val="left" w:pos="1475"/>
          <w:tab w:val="left" w:pos="1476"/>
        </w:tabs>
        <w:rPr>
          <w:rFonts w:ascii="Times New Roman" w:eastAsia="Times New Roman"/>
          <w:color w:val="auto"/>
          <w:highlight w:val="none"/>
        </w:rPr>
      </w:pPr>
      <w:r>
        <w:rPr>
          <w:color w:val="auto"/>
          <w:highlight w:val="none"/>
        </w:rPr>
        <w:t>施工准备阶段的监理工作</w:t>
      </w:r>
    </w:p>
    <w:p>
      <w:pPr>
        <w:pStyle w:val="3"/>
        <w:spacing w:before="173"/>
        <w:ind w:left="720"/>
        <w:rPr>
          <w:color w:val="auto"/>
          <w:highlight w:val="none"/>
        </w:rPr>
      </w:pPr>
      <w:r>
        <w:rPr>
          <w:color w:val="auto"/>
          <w:highlight w:val="none"/>
        </w:rPr>
        <w:t>施工准备阶段的监理工作包括但不限于以下内容：</w:t>
      </w:r>
    </w:p>
    <w:p>
      <w:pPr>
        <w:pStyle w:val="20"/>
        <w:numPr>
          <w:ilvl w:val="0"/>
          <w:numId w:val="17"/>
        </w:numPr>
        <w:tabs>
          <w:tab w:val="left" w:pos="1220"/>
        </w:tabs>
        <w:spacing w:before="172" w:line="374" w:lineRule="auto"/>
        <w:ind w:right="227" w:firstLine="372"/>
        <w:rPr>
          <w:color w:val="auto"/>
          <w:sz w:val="24"/>
          <w:highlight w:val="none"/>
        </w:rPr>
      </w:pPr>
      <w:r>
        <w:rPr>
          <w:color w:val="auto"/>
          <w:sz w:val="24"/>
          <w:highlight w:val="none"/>
        </w:rPr>
        <w:t>在设计交底前，总监理工程师应组织监理人员熟悉设计文件，并对图纸中存在的问题通过委托人向设计单位提出书面意见和建议。</w:t>
      </w:r>
    </w:p>
    <w:p>
      <w:pPr>
        <w:pStyle w:val="20"/>
        <w:numPr>
          <w:ilvl w:val="0"/>
          <w:numId w:val="17"/>
        </w:numPr>
        <w:tabs>
          <w:tab w:val="left" w:pos="1220"/>
        </w:tabs>
        <w:spacing w:before="1" w:line="374" w:lineRule="auto"/>
        <w:ind w:right="227" w:firstLine="372"/>
        <w:rPr>
          <w:color w:val="auto"/>
          <w:sz w:val="24"/>
          <w:highlight w:val="none"/>
        </w:rPr>
      </w:pPr>
      <w:r>
        <w:rPr>
          <w:color w:val="auto"/>
          <w:sz w:val="24"/>
          <w:highlight w:val="none"/>
        </w:rPr>
        <w:t>项目监理人员应参加由委托人组织的设计技术交底会，总监理工程师应组织人员编写设计技术交底会议纪要并提交给委托人。</w:t>
      </w:r>
    </w:p>
    <w:p>
      <w:pPr>
        <w:spacing w:line="374" w:lineRule="auto"/>
        <w:rPr>
          <w:color w:val="auto"/>
          <w:sz w:val="24"/>
          <w:highlight w:val="none"/>
        </w:rPr>
        <w:sectPr>
          <w:pgSz w:w="11910" w:h="16840"/>
          <w:pgMar w:top="1060" w:right="900" w:bottom="1180" w:left="1080" w:header="0" w:footer="917" w:gutter="0"/>
          <w:cols w:space="720" w:num="1"/>
        </w:sectPr>
      </w:pPr>
    </w:p>
    <w:p>
      <w:pPr>
        <w:pStyle w:val="20"/>
        <w:numPr>
          <w:ilvl w:val="0"/>
          <w:numId w:val="17"/>
        </w:numPr>
        <w:tabs>
          <w:tab w:val="left" w:pos="1220"/>
        </w:tabs>
        <w:spacing w:before="58" w:line="374" w:lineRule="auto"/>
        <w:ind w:right="227" w:firstLine="372"/>
        <w:rPr>
          <w:color w:val="auto"/>
          <w:sz w:val="24"/>
          <w:highlight w:val="none"/>
        </w:rPr>
      </w:pPr>
      <w:r>
        <w:rPr>
          <w:color w:val="auto"/>
          <w:sz w:val="24"/>
          <w:highlight w:val="none"/>
        </w:rPr>
        <w:t>图纸会审由委托人组织，总监理工程师应组织人员做好图纸会审记录并提交给委托人。</w:t>
      </w:r>
    </w:p>
    <w:p>
      <w:pPr>
        <w:pStyle w:val="20"/>
        <w:numPr>
          <w:ilvl w:val="0"/>
          <w:numId w:val="17"/>
        </w:numPr>
        <w:tabs>
          <w:tab w:val="left" w:pos="1220"/>
        </w:tabs>
        <w:spacing w:before="1" w:line="374" w:lineRule="auto"/>
        <w:ind w:right="227" w:firstLine="372"/>
        <w:rPr>
          <w:color w:val="auto"/>
          <w:sz w:val="24"/>
          <w:highlight w:val="none"/>
        </w:rPr>
      </w:pPr>
      <w:r>
        <w:rPr>
          <w:color w:val="auto"/>
          <w:sz w:val="24"/>
          <w:highlight w:val="none"/>
        </w:rPr>
        <w:t>工程项目开工前，总监理工程师应组织专业监理工程师审查承包人报送的施工组织设计（方案）报审表，提出审查意见，并经总监理工程师审核、签认后报委托人。</w:t>
      </w:r>
    </w:p>
    <w:p>
      <w:pPr>
        <w:pStyle w:val="20"/>
        <w:numPr>
          <w:ilvl w:val="0"/>
          <w:numId w:val="17"/>
        </w:numPr>
        <w:tabs>
          <w:tab w:val="left" w:pos="1220"/>
        </w:tabs>
        <w:spacing w:line="374" w:lineRule="auto"/>
        <w:ind w:right="227" w:firstLine="372"/>
        <w:jc w:val="both"/>
        <w:rPr>
          <w:color w:val="auto"/>
          <w:sz w:val="24"/>
          <w:highlight w:val="none"/>
        </w:rPr>
      </w:pPr>
      <w:r>
        <w:rPr>
          <w:color w:val="auto"/>
          <w:sz w:val="24"/>
          <w:highlight w:val="none"/>
        </w:rPr>
        <w:t>工程项目开工前，总监理工程师应审查承包人现场项目管理机构的质量管理体系、环境管理体系和安全管理体系，在确能保证工程项目施工质量时予以确认。对质量管理体系、环境管理体系和安全管理体系应审核以下内容：</w:t>
      </w:r>
    </w:p>
    <w:p>
      <w:pPr>
        <w:pStyle w:val="20"/>
        <w:numPr>
          <w:ilvl w:val="1"/>
          <w:numId w:val="17"/>
        </w:numPr>
        <w:tabs>
          <w:tab w:val="left" w:pos="1092"/>
        </w:tabs>
        <w:spacing w:before="1"/>
        <w:rPr>
          <w:color w:val="auto"/>
          <w:sz w:val="24"/>
          <w:highlight w:val="none"/>
        </w:rPr>
      </w:pPr>
      <w:r>
        <w:rPr>
          <w:color w:val="auto"/>
          <w:sz w:val="24"/>
          <w:highlight w:val="none"/>
        </w:rPr>
        <w:t>质量管理体系、环境管理体系和安全管理体系的组织及职责；</w:t>
      </w:r>
    </w:p>
    <w:p>
      <w:pPr>
        <w:pStyle w:val="20"/>
        <w:numPr>
          <w:ilvl w:val="1"/>
          <w:numId w:val="17"/>
        </w:numPr>
        <w:tabs>
          <w:tab w:val="left" w:pos="1092"/>
        </w:tabs>
        <w:spacing w:before="173"/>
        <w:rPr>
          <w:color w:val="auto"/>
          <w:sz w:val="24"/>
          <w:highlight w:val="none"/>
        </w:rPr>
      </w:pPr>
      <w:r>
        <w:rPr>
          <w:color w:val="auto"/>
          <w:sz w:val="24"/>
          <w:highlight w:val="none"/>
        </w:rPr>
        <w:t>质量管理体系、环境管理体系和安全管理体系各过程的识别与管理；</w:t>
      </w:r>
    </w:p>
    <w:p>
      <w:pPr>
        <w:pStyle w:val="20"/>
        <w:numPr>
          <w:ilvl w:val="1"/>
          <w:numId w:val="17"/>
        </w:numPr>
        <w:tabs>
          <w:tab w:val="left" w:pos="1092"/>
        </w:tabs>
        <w:spacing w:before="172"/>
        <w:rPr>
          <w:color w:val="auto"/>
          <w:sz w:val="24"/>
          <w:highlight w:val="none"/>
        </w:rPr>
      </w:pPr>
      <w:r>
        <w:rPr>
          <w:color w:val="auto"/>
          <w:sz w:val="24"/>
          <w:highlight w:val="none"/>
        </w:rPr>
        <w:t>质量管理体系、环境管理体系和安全管理体系的持续改进措施。</w:t>
      </w:r>
    </w:p>
    <w:p>
      <w:pPr>
        <w:pStyle w:val="20"/>
        <w:numPr>
          <w:ilvl w:val="0"/>
          <w:numId w:val="17"/>
        </w:numPr>
        <w:tabs>
          <w:tab w:val="left" w:pos="1220"/>
        </w:tabs>
        <w:spacing w:before="173" w:line="374" w:lineRule="auto"/>
        <w:ind w:right="227" w:firstLine="372"/>
        <w:jc w:val="both"/>
        <w:rPr>
          <w:color w:val="auto"/>
          <w:sz w:val="24"/>
          <w:highlight w:val="none"/>
        </w:rPr>
      </w:pPr>
      <w:r>
        <w:rPr>
          <w:color w:val="auto"/>
          <w:sz w:val="24"/>
          <w:highlight w:val="none"/>
        </w:rPr>
        <w:t>分包工程开工前，专业监理工程师应审查承包人报送的分包单位资格报审表和分包单位有关资质资料，符合有关规定后，由总监理工程师予以签认。对分包单位资格应审核以下内容：</w:t>
      </w:r>
    </w:p>
    <w:p>
      <w:pPr>
        <w:pStyle w:val="20"/>
        <w:numPr>
          <w:ilvl w:val="0"/>
          <w:numId w:val="18"/>
        </w:numPr>
        <w:tabs>
          <w:tab w:val="left" w:pos="1092"/>
        </w:tabs>
        <w:spacing w:before="1" w:line="374" w:lineRule="auto"/>
        <w:ind w:right="151" w:firstLine="496"/>
        <w:rPr>
          <w:color w:val="auto"/>
          <w:sz w:val="24"/>
          <w:highlight w:val="none"/>
        </w:rPr>
      </w:pPr>
      <w:r>
        <w:rPr>
          <w:color w:val="auto"/>
          <w:sz w:val="24"/>
          <w:highlight w:val="none"/>
        </w:rPr>
        <w:t>分包单位的营业执照、企业资质等级证书、特殊行业施工许可证、国外（境外） 企业在国内承包工程许可证；</w:t>
      </w:r>
    </w:p>
    <w:p>
      <w:pPr>
        <w:pStyle w:val="20"/>
        <w:numPr>
          <w:ilvl w:val="0"/>
          <w:numId w:val="18"/>
        </w:numPr>
        <w:tabs>
          <w:tab w:val="left" w:pos="1092"/>
        </w:tabs>
        <w:ind w:left="1092"/>
        <w:rPr>
          <w:color w:val="auto"/>
          <w:sz w:val="24"/>
          <w:highlight w:val="none"/>
        </w:rPr>
      </w:pPr>
      <w:r>
        <w:rPr>
          <w:color w:val="auto"/>
          <w:sz w:val="24"/>
          <w:highlight w:val="none"/>
        </w:rPr>
        <w:t>分包单位的业绩，尤其是类似工程施工的经验；</w:t>
      </w:r>
    </w:p>
    <w:p>
      <w:pPr>
        <w:pStyle w:val="20"/>
        <w:numPr>
          <w:ilvl w:val="0"/>
          <w:numId w:val="18"/>
        </w:numPr>
        <w:tabs>
          <w:tab w:val="left" w:pos="1092"/>
        </w:tabs>
        <w:spacing w:before="173"/>
        <w:ind w:left="1092"/>
        <w:rPr>
          <w:color w:val="auto"/>
          <w:sz w:val="24"/>
          <w:highlight w:val="none"/>
        </w:rPr>
      </w:pPr>
      <w:r>
        <w:rPr>
          <w:color w:val="auto"/>
          <w:sz w:val="24"/>
          <w:highlight w:val="none"/>
        </w:rPr>
        <w:t>拟分包工程的内容和范围；</w:t>
      </w:r>
    </w:p>
    <w:p>
      <w:pPr>
        <w:pStyle w:val="20"/>
        <w:numPr>
          <w:ilvl w:val="0"/>
          <w:numId w:val="18"/>
        </w:numPr>
        <w:tabs>
          <w:tab w:val="left" w:pos="1092"/>
        </w:tabs>
        <w:spacing w:before="172"/>
        <w:ind w:left="1092"/>
        <w:rPr>
          <w:color w:val="auto"/>
          <w:sz w:val="24"/>
          <w:highlight w:val="none"/>
        </w:rPr>
      </w:pPr>
      <w:r>
        <w:rPr>
          <w:color w:val="auto"/>
          <w:sz w:val="24"/>
          <w:highlight w:val="none"/>
        </w:rPr>
        <w:t>专职管理人员和特种作业人员的资格证、上岗证。</w:t>
      </w:r>
    </w:p>
    <w:p>
      <w:pPr>
        <w:pStyle w:val="20"/>
        <w:numPr>
          <w:ilvl w:val="0"/>
          <w:numId w:val="17"/>
        </w:numPr>
        <w:tabs>
          <w:tab w:val="left" w:pos="1220"/>
        </w:tabs>
        <w:spacing w:before="173" w:line="374" w:lineRule="auto"/>
        <w:ind w:right="227" w:firstLine="372"/>
        <w:rPr>
          <w:color w:val="auto"/>
          <w:sz w:val="24"/>
          <w:highlight w:val="none"/>
        </w:rPr>
      </w:pPr>
      <w:r>
        <w:rPr>
          <w:color w:val="auto"/>
          <w:sz w:val="24"/>
          <w:highlight w:val="none"/>
        </w:rPr>
        <w:t>专业监理工程师应按以下要求对承包人报送的测量放线控制方案成果及保护措施进行检查，符合要求时，专业监理工程师对承包人报送的施工测量资料予以签认：</w:t>
      </w:r>
    </w:p>
    <w:p>
      <w:pPr>
        <w:pStyle w:val="20"/>
        <w:numPr>
          <w:ilvl w:val="0"/>
          <w:numId w:val="19"/>
        </w:numPr>
        <w:tabs>
          <w:tab w:val="left" w:pos="1092"/>
        </w:tabs>
        <w:rPr>
          <w:color w:val="auto"/>
          <w:sz w:val="24"/>
          <w:highlight w:val="none"/>
        </w:rPr>
      </w:pPr>
      <w:r>
        <w:rPr>
          <w:color w:val="auto"/>
          <w:sz w:val="24"/>
          <w:highlight w:val="none"/>
        </w:rPr>
        <w:t>检查承包人专职测量人员的岗位证书及测量设备检定证书；</w:t>
      </w:r>
    </w:p>
    <w:p>
      <w:pPr>
        <w:pStyle w:val="20"/>
        <w:numPr>
          <w:ilvl w:val="0"/>
          <w:numId w:val="19"/>
        </w:numPr>
        <w:tabs>
          <w:tab w:val="left" w:pos="1092"/>
        </w:tabs>
        <w:spacing w:before="173"/>
        <w:rPr>
          <w:color w:val="auto"/>
          <w:sz w:val="24"/>
          <w:highlight w:val="none"/>
        </w:rPr>
      </w:pPr>
      <w:r>
        <w:rPr>
          <w:color w:val="auto"/>
          <w:sz w:val="24"/>
          <w:highlight w:val="none"/>
        </w:rPr>
        <w:t>审核承包人提交的控制测量方案；</w:t>
      </w:r>
    </w:p>
    <w:p>
      <w:pPr>
        <w:pStyle w:val="20"/>
        <w:numPr>
          <w:ilvl w:val="0"/>
          <w:numId w:val="19"/>
        </w:numPr>
        <w:tabs>
          <w:tab w:val="left" w:pos="1086"/>
        </w:tabs>
        <w:spacing w:before="172" w:line="374" w:lineRule="auto"/>
        <w:ind w:left="223" w:right="233" w:firstLine="496"/>
        <w:rPr>
          <w:color w:val="auto"/>
          <w:sz w:val="24"/>
          <w:highlight w:val="none"/>
        </w:rPr>
      </w:pPr>
      <w:r>
        <w:rPr>
          <w:color w:val="auto"/>
          <w:sz w:val="24"/>
          <w:highlight w:val="none"/>
        </w:rPr>
        <w:t>复核控制桩的校核成果、控制桩的保护措施以及平面控制网、高程控制网和临时水准点的测量成果。</w:t>
      </w:r>
    </w:p>
    <w:p>
      <w:pPr>
        <w:pStyle w:val="20"/>
        <w:numPr>
          <w:ilvl w:val="0"/>
          <w:numId w:val="17"/>
        </w:numPr>
        <w:tabs>
          <w:tab w:val="left" w:pos="1220"/>
        </w:tabs>
        <w:spacing w:before="1" w:line="374" w:lineRule="auto"/>
        <w:ind w:right="227" w:firstLine="372"/>
        <w:rPr>
          <w:color w:val="auto"/>
          <w:sz w:val="24"/>
          <w:highlight w:val="none"/>
        </w:rPr>
      </w:pPr>
      <w:r>
        <w:rPr>
          <w:color w:val="auto"/>
          <w:sz w:val="24"/>
          <w:highlight w:val="none"/>
        </w:rPr>
        <w:t>专业监理工程师应审查承包人报送的工程开工报审表及相关资料，具备以下开工条件时，由总监理工程师签发，并报委托人：</w:t>
      </w:r>
    </w:p>
    <w:p>
      <w:pPr>
        <w:pStyle w:val="20"/>
        <w:numPr>
          <w:ilvl w:val="0"/>
          <w:numId w:val="20"/>
        </w:numPr>
        <w:tabs>
          <w:tab w:val="left" w:pos="1092"/>
        </w:tabs>
        <w:rPr>
          <w:color w:val="auto"/>
          <w:sz w:val="24"/>
          <w:highlight w:val="none"/>
        </w:rPr>
      </w:pPr>
      <w:r>
        <w:rPr>
          <w:color w:val="auto"/>
          <w:sz w:val="24"/>
          <w:highlight w:val="none"/>
        </w:rPr>
        <w:t>施工许可证已获政府主管部门批准；</w:t>
      </w:r>
    </w:p>
    <w:p>
      <w:pPr>
        <w:pStyle w:val="20"/>
        <w:numPr>
          <w:ilvl w:val="0"/>
          <w:numId w:val="20"/>
        </w:numPr>
        <w:tabs>
          <w:tab w:val="left" w:pos="1092"/>
        </w:tabs>
        <w:spacing w:before="173"/>
        <w:rPr>
          <w:color w:val="auto"/>
          <w:sz w:val="24"/>
          <w:highlight w:val="none"/>
        </w:rPr>
      </w:pPr>
      <w:r>
        <w:rPr>
          <w:color w:val="auto"/>
          <w:sz w:val="24"/>
          <w:highlight w:val="none"/>
        </w:rPr>
        <w:t>征地拆迁工作能满足工程进度的需要；</w:t>
      </w:r>
    </w:p>
    <w:p>
      <w:pPr>
        <w:pStyle w:val="20"/>
        <w:numPr>
          <w:ilvl w:val="0"/>
          <w:numId w:val="20"/>
        </w:numPr>
        <w:tabs>
          <w:tab w:val="left" w:pos="1092"/>
        </w:tabs>
        <w:spacing w:before="172"/>
        <w:rPr>
          <w:color w:val="auto"/>
          <w:sz w:val="24"/>
          <w:highlight w:val="none"/>
        </w:rPr>
      </w:pPr>
      <w:r>
        <w:rPr>
          <w:color w:val="auto"/>
          <w:sz w:val="24"/>
          <w:highlight w:val="none"/>
        </w:rPr>
        <w:t>施工组织设计已获总监理工程师批准；</w:t>
      </w:r>
    </w:p>
    <w:p>
      <w:pPr>
        <w:pStyle w:val="20"/>
        <w:numPr>
          <w:ilvl w:val="0"/>
          <w:numId w:val="20"/>
        </w:numPr>
        <w:tabs>
          <w:tab w:val="left" w:pos="1092"/>
        </w:tabs>
        <w:spacing w:before="173"/>
        <w:rPr>
          <w:color w:val="auto"/>
          <w:sz w:val="24"/>
          <w:highlight w:val="none"/>
        </w:rPr>
      </w:pPr>
      <w:r>
        <w:rPr>
          <w:color w:val="auto"/>
          <w:sz w:val="24"/>
          <w:highlight w:val="none"/>
        </w:rPr>
        <w:t>承包人现场管理人员已到位，机具、施工人员已进场，主要工程材料已落实；</w:t>
      </w:r>
    </w:p>
    <w:p>
      <w:pPr>
        <w:rPr>
          <w:color w:val="auto"/>
          <w:sz w:val="24"/>
          <w:highlight w:val="none"/>
        </w:rPr>
        <w:sectPr>
          <w:pgSz w:w="11910" w:h="16840"/>
          <w:pgMar w:top="1200" w:right="900" w:bottom="1180" w:left="1080" w:header="0" w:footer="917" w:gutter="0"/>
          <w:cols w:space="720" w:num="1"/>
        </w:sectPr>
      </w:pPr>
    </w:p>
    <w:p>
      <w:pPr>
        <w:pStyle w:val="20"/>
        <w:numPr>
          <w:ilvl w:val="0"/>
          <w:numId w:val="20"/>
        </w:numPr>
        <w:tabs>
          <w:tab w:val="left" w:pos="1092"/>
        </w:tabs>
        <w:spacing w:before="58"/>
        <w:rPr>
          <w:color w:val="auto"/>
          <w:sz w:val="24"/>
          <w:highlight w:val="none"/>
        </w:rPr>
      </w:pPr>
      <w:r>
        <w:rPr>
          <w:color w:val="auto"/>
          <w:sz w:val="24"/>
          <w:highlight w:val="none"/>
        </w:rPr>
        <w:t>进场道路及水、电、通讯等已满足开工要求；</w:t>
      </w:r>
    </w:p>
    <w:p>
      <w:pPr>
        <w:pStyle w:val="20"/>
        <w:numPr>
          <w:ilvl w:val="0"/>
          <w:numId w:val="20"/>
        </w:numPr>
        <w:tabs>
          <w:tab w:val="left" w:pos="1092"/>
        </w:tabs>
        <w:spacing w:before="173"/>
        <w:rPr>
          <w:color w:val="auto"/>
          <w:sz w:val="24"/>
          <w:highlight w:val="none"/>
        </w:rPr>
      </w:pPr>
      <w:r>
        <w:rPr>
          <w:color w:val="auto"/>
          <w:sz w:val="24"/>
          <w:highlight w:val="none"/>
        </w:rPr>
        <w:t>施工测量、技术交底、作业指导书等各项技术准备工作已经完成。</w:t>
      </w:r>
    </w:p>
    <w:p>
      <w:pPr>
        <w:pStyle w:val="20"/>
        <w:numPr>
          <w:ilvl w:val="0"/>
          <w:numId w:val="17"/>
        </w:numPr>
        <w:tabs>
          <w:tab w:val="left" w:pos="1220"/>
        </w:tabs>
        <w:spacing w:before="172" w:line="374" w:lineRule="auto"/>
        <w:ind w:right="227" w:firstLine="372"/>
        <w:rPr>
          <w:color w:val="auto"/>
          <w:sz w:val="24"/>
          <w:highlight w:val="none"/>
        </w:rPr>
      </w:pPr>
      <w:r>
        <w:rPr>
          <w:color w:val="auto"/>
          <w:sz w:val="24"/>
          <w:highlight w:val="none"/>
        </w:rPr>
        <w:t>工程项目开工前，监理人员应参加由委托人主持召开的第一次工地会议。工地会议应包括以下主要内容：</w:t>
      </w:r>
    </w:p>
    <w:p>
      <w:pPr>
        <w:pStyle w:val="20"/>
        <w:numPr>
          <w:ilvl w:val="0"/>
          <w:numId w:val="21"/>
        </w:numPr>
        <w:tabs>
          <w:tab w:val="left" w:pos="1092"/>
        </w:tabs>
        <w:spacing w:before="1"/>
        <w:rPr>
          <w:color w:val="auto"/>
          <w:sz w:val="24"/>
          <w:highlight w:val="none"/>
        </w:rPr>
      </w:pPr>
      <w:r>
        <w:rPr>
          <w:color w:val="auto"/>
          <w:sz w:val="24"/>
          <w:highlight w:val="none"/>
        </w:rPr>
        <w:t>委托人、承包人和监理人分别介绍各自派驻现场的组织机构、人员及其分工；</w:t>
      </w:r>
    </w:p>
    <w:p>
      <w:pPr>
        <w:pStyle w:val="20"/>
        <w:numPr>
          <w:ilvl w:val="0"/>
          <w:numId w:val="21"/>
        </w:numPr>
        <w:tabs>
          <w:tab w:val="left" w:pos="1092"/>
        </w:tabs>
        <w:spacing w:before="172"/>
        <w:rPr>
          <w:color w:val="auto"/>
          <w:sz w:val="24"/>
          <w:highlight w:val="none"/>
        </w:rPr>
      </w:pPr>
      <w:r>
        <w:rPr>
          <w:color w:val="auto"/>
          <w:sz w:val="24"/>
          <w:highlight w:val="none"/>
        </w:rPr>
        <w:t>委托人根据委托监理合同宣布对总监理工程师的授权；</w:t>
      </w:r>
    </w:p>
    <w:p>
      <w:pPr>
        <w:pStyle w:val="20"/>
        <w:numPr>
          <w:ilvl w:val="0"/>
          <w:numId w:val="21"/>
        </w:numPr>
        <w:tabs>
          <w:tab w:val="left" w:pos="1092"/>
        </w:tabs>
        <w:spacing w:before="173"/>
        <w:rPr>
          <w:color w:val="auto"/>
          <w:sz w:val="24"/>
          <w:highlight w:val="none"/>
        </w:rPr>
      </w:pPr>
      <w:r>
        <w:rPr>
          <w:color w:val="auto"/>
          <w:sz w:val="24"/>
          <w:highlight w:val="none"/>
        </w:rPr>
        <w:t>委托人介绍工程开工准备情况；</w:t>
      </w:r>
    </w:p>
    <w:p>
      <w:pPr>
        <w:pStyle w:val="20"/>
        <w:numPr>
          <w:ilvl w:val="0"/>
          <w:numId w:val="21"/>
        </w:numPr>
        <w:tabs>
          <w:tab w:val="left" w:pos="1092"/>
        </w:tabs>
        <w:spacing w:before="172"/>
        <w:rPr>
          <w:color w:val="auto"/>
          <w:sz w:val="24"/>
          <w:highlight w:val="none"/>
        </w:rPr>
      </w:pPr>
      <w:r>
        <w:rPr>
          <w:color w:val="auto"/>
          <w:sz w:val="24"/>
          <w:highlight w:val="none"/>
        </w:rPr>
        <w:t>承包人介绍施工准备情况；</w:t>
      </w:r>
    </w:p>
    <w:p>
      <w:pPr>
        <w:pStyle w:val="20"/>
        <w:numPr>
          <w:ilvl w:val="0"/>
          <w:numId w:val="21"/>
        </w:numPr>
        <w:tabs>
          <w:tab w:val="left" w:pos="1092"/>
        </w:tabs>
        <w:spacing w:before="173"/>
        <w:rPr>
          <w:color w:val="auto"/>
          <w:sz w:val="24"/>
          <w:highlight w:val="none"/>
        </w:rPr>
      </w:pPr>
      <w:r>
        <w:rPr>
          <w:color w:val="auto"/>
          <w:sz w:val="24"/>
          <w:highlight w:val="none"/>
        </w:rPr>
        <w:t>委托人和总监理工程师对施工准备情况提出意见和要求；</w:t>
      </w:r>
    </w:p>
    <w:p>
      <w:pPr>
        <w:pStyle w:val="20"/>
        <w:numPr>
          <w:ilvl w:val="0"/>
          <w:numId w:val="21"/>
        </w:numPr>
        <w:tabs>
          <w:tab w:val="left" w:pos="1092"/>
        </w:tabs>
        <w:spacing w:before="172"/>
        <w:rPr>
          <w:color w:val="auto"/>
          <w:sz w:val="24"/>
          <w:highlight w:val="none"/>
        </w:rPr>
      </w:pPr>
      <w:r>
        <w:rPr>
          <w:color w:val="auto"/>
          <w:sz w:val="24"/>
          <w:highlight w:val="none"/>
        </w:rPr>
        <w:t>总监理工程师介绍监理规划的主要内容；</w:t>
      </w:r>
    </w:p>
    <w:p>
      <w:pPr>
        <w:pStyle w:val="20"/>
        <w:numPr>
          <w:ilvl w:val="0"/>
          <w:numId w:val="21"/>
        </w:numPr>
        <w:tabs>
          <w:tab w:val="left" w:pos="1086"/>
        </w:tabs>
        <w:spacing w:before="173" w:line="374" w:lineRule="auto"/>
        <w:ind w:left="223" w:right="239" w:firstLine="496"/>
        <w:rPr>
          <w:color w:val="auto"/>
          <w:sz w:val="24"/>
          <w:highlight w:val="none"/>
        </w:rPr>
      </w:pPr>
      <w:r>
        <w:rPr>
          <w:color w:val="auto"/>
          <w:sz w:val="24"/>
          <w:highlight w:val="none"/>
        </w:rPr>
        <w:t>研究确定各方在施工过程中参加工地例会的主要人员，召开工地例会周期、地点及主要议题。</w:t>
      </w:r>
    </w:p>
    <w:p>
      <w:pPr>
        <w:pStyle w:val="3"/>
        <w:ind w:left="720"/>
        <w:rPr>
          <w:color w:val="auto"/>
          <w:highlight w:val="none"/>
        </w:rPr>
      </w:pPr>
      <w:r>
        <w:rPr>
          <w:color w:val="auto"/>
          <w:highlight w:val="none"/>
        </w:rPr>
        <w:t>第一次工地会议纪要应由项目监理机构负责起草，并经与会各方代表会签。</w:t>
      </w:r>
    </w:p>
    <w:p>
      <w:pPr>
        <w:pStyle w:val="20"/>
        <w:numPr>
          <w:ilvl w:val="0"/>
          <w:numId w:val="17"/>
        </w:numPr>
        <w:tabs>
          <w:tab w:val="left" w:pos="1342"/>
        </w:tabs>
        <w:spacing w:before="173"/>
        <w:ind w:left="1341" w:hanging="747"/>
        <w:rPr>
          <w:color w:val="auto"/>
          <w:sz w:val="24"/>
          <w:highlight w:val="none"/>
        </w:rPr>
      </w:pPr>
      <w:r>
        <w:rPr>
          <w:color w:val="auto"/>
          <w:sz w:val="24"/>
          <w:highlight w:val="none"/>
        </w:rPr>
        <w:t>制定监理规划</w:t>
      </w:r>
    </w:p>
    <w:p>
      <w:pPr>
        <w:pStyle w:val="20"/>
        <w:numPr>
          <w:ilvl w:val="0"/>
          <w:numId w:val="22"/>
        </w:numPr>
        <w:tabs>
          <w:tab w:val="left" w:pos="1086"/>
        </w:tabs>
        <w:spacing w:before="172" w:line="374" w:lineRule="auto"/>
        <w:ind w:right="239" w:firstLine="496"/>
        <w:rPr>
          <w:color w:val="auto"/>
          <w:sz w:val="24"/>
          <w:highlight w:val="none"/>
        </w:rPr>
      </w:pPr>
      <w:r>
        <w:rPr>
          <w:color w:val="auto"/>
          <w:sz w:val="24"/>
          <w:highlight w:val="none"/>
        </w:rPr>
        <w:t>监理规划的编制应针对项目的实际情况，明确项目监理机构的工作目标，确定具体的监理工作制度、程序、方法和措施，并应具有可操作性。</w:t>
      </w:r>
    </w:p>
    <w:p>
      <w:pPr>
        <w:pStyle w:val="20"/>
        <w:numPr>
          <w:ilvl w:val="0"/>
          <w:numId w:val="22"/>
        </w:numPr>
        <w:tabs>
          <w:tab w:val="left" w:pos="1092"/>
        </w:tabs>
        <w:spacing w:before="1"/>
        <w:ind w:left="1092" w:hanging="372"/>
        <w:rPr>
          <w:color w:val="auto"/>
          <w:sz w:val="24"/>
          <w:highlight w:val="none"/>
        </w:rPr>
      </w:pPr>
      <w:r>
        <w:rPr>
          <w:color w:val="auto"/>
          <w:sz w:val="24"/>
          <w:highlight w:val="none"/>
        </w:rPr>
        <w:t>监理规划编制的程序与依据应符合下列规定：</w:t>
      </w:r>
    </w:p>
    <w:p>
      <w:pPr>
        <w:pStyle w:val="3"/>
        <w:spacing w:before="132" w:line="348" w:lineRule="auto"/>
        <w:ind w:right="228" w:firstLine="576"/>
        <w:rPr>
          <w:color w:val="auto"/>
          <w:highlight w:val="none"/>
        </w:rPr>
      </w:pPr>
      <w:r>
        <w:rPr>
          <w:color w:val="auto"/>
          <w:sz w:val="28"/>
          <w:highlight w:val="none"/>
        </w:rPr>
        <w:t xml:space="preserve">① </w:t>
      </w:r>
      <w:r>
        <w:rPr>
          <w:color w:val="auto"/>
          <w:highlight w:val="none"/>
        </w:rPr>
        <w:t>监理规划应在签订委托监理合同及收到设计文件后开始编制，完成后必须经监理人技术负责人审核批准，并应在召开第一次工地会议前报送委托人；</w:t>
      </w:r>
    </w:p>
    <w:p>
      <w:pPr>
        <w:pStyle w:val="3"/>
        <w:spacing w:line="353" w:lineRule="exact"/>
        <w:ind w:left="799"/>
        <w:rPr>
          <w:color w:val="auto"/>
          <w:highlight w:val="none"/>
        </w:rPr>
      </w:pPr>
      <w:r>
        <w:rPr>
          <w:color w:val="auto"/>
          <w:sz w:val="28"/>
          <w:highlight w:val="none"/>
        </w:rPr>
        <w:t xml:space="preserve">② </w:t>
      </w:r>
      <w:r>
        <w:rPr>
          <w:color w:val="auto"/>
          <w:highlight w:val="none"/>
        </w:rPr>
        <w:t>监理规划应由总监理工程师主持、专业监理工程师参加编制；</w:t>
      </w:r>
    </w:p>
    <w:p>
      <w:pPr>
        <w:pStyle w:val="3"/>
        <w:spacing w:before="122"/>
        <w:ind w:left="799"/>
        <w:rPr>
          <w:color w:val="auto"/>
          <w:highlight w:val="none"/>
        </w:rPr>
      </w:pPr>
      <w:r>
        <w:rPr>
          <w:color w:val="auto"/>
          <w:sz w:val="28"/>
          <w:highlight w:val="none"/>
        </w:rPr>
        <w:t xml:space="preserve">③ </w:t>
      </w:r>
      <w:r>
        <w:rPr>
          <w:color w:val="auto"/>
          <w:highlight w:val="none"/>
        </w:rPr>
        <w:t>编制监理规划应依据为以下各项：</w:t>
      </w:r>
    </w:p>
    <w:p>
      <w:pPr>
        <w:pStyle w:val="20"/>
        <w:numPr>
          <w:ilvl w:val="0"/>
          <w:numId w:val="23"/>
        </w:numPr>
        <w:tabs>
          <w:tab w:val="left" w:pos="1145"/>
        </w:tabs>
        <w:spacing w:before="161"/>
        <w:rPr>
          <w:color w:val="auto"/>
          <w:sz w:val="24"/>
          <w:highlight w:val="none"/>
        </w:rPr>
      </w:pPr>
      <w:r>
        <w:rPr>
          <w:color w:val="auto"/>
          <w:sz w:val="24"/>
          <w:highlight w:val="none"/>
        </w:rPr>
        <w:t>建设工程的相关法律、法规及项目审批文件；</w:t>
      </w:r>
    </w:p>
    <w:p>
      <w:pPr>
        <w:pStyle w:val="20"/>
        <w:numPr>
          <w:ilvl w:val="0"/>
          <w:numId w:val="23"/>
        </w:numPr>
        <w:tabs>
          <w:tab w:val="left" w:pos="1160"/>
        </w:tabs>
        <w:spacing w:before="172"/>
        <w:ind w:left="1159" w:hanging="318"/>
        <w:rPr>
          <w:color w:val="auto"/>
          <w:sz w:val="24"/>
          <w:highlight w:val="none"/>
        </w:rPr>
      </w:pPr>
      <w:r>
        <w:rPr>
          <w:color w:val="auto"/>
          <w:sz w:val="24"/>
          <w:highlight w:val="none"/>
        </w:rPr>
        <w:t>与建设工程项目有关的标准、设计文件、技术资料；</w:t>
      </w:r>
    </w:p>
    <w:p>
      <w:pPr>
        <w:pStyle w:val="20"/>
        <w:numPr>
          <w:ilvl w:val="0"/>
          <w:numId w:val="23"/>
        </w:numPr>
        <w:tabs>
          <w:tab w:val="left" w:pos="1145"/>
        </w:tabs>
        <w:spacing w:before="173"/>
        <w:rPr>
          <w:color w:val="auto"/>
          <w:sz w:val="24"/>
          <w:highlight w:val="none"/>
        </w:rPr>
      </w:pPr>
      <w:r>
        <w:rPr>
          <w:color w:val="auto"/>
          <w:sz w:val="24"/>
          <w:highlight w:val="none"/>
        </w:rPr>
        <w:t>监理大纲、委托监理合同文件以及与建设工程项目相关的合同文件；</w:t>
      </w:r>
    </w:p>
    <w:p>
      <w:pPr>
        <w:pStyle w:val="20"/>
        <w:numPr>
          <w:ilvl w:val="0"/>
          <w:numId w:val="23"/>
        </w:numPr>
        <w:tabs>
          <w:tab w:val="left" w:pos="1160"/>
        </w:tabs>
        <w:spacing w:before="172"/>
        <w:ind w:left="1159" w:hanging="318"/>
        <w:rPr>
          <w:color w:val="auto"/>
          <w:sz w:val="24"/>
          <w:highlight w:val="none"/>
        </w:rPr>
      </w:pPr>
      <w:r>
        <w:rPr>
          <w:color w:val="auto"/>
          <w:sz w:val="24"/>
          <w:highlight w:val="none"/>
        </w:rPr>
        <w:t>委托人制定的有关本合同工程建设的管理制度。</w:t>
      </w:r>
    </w:p>
    <w:p>
      <w:pPr>
        <w:pStyle w:val="20"/>
        <w:numPr>
          <w:ilvl w:val="0"/>
          <w:numId w:val="22"/>
        </w:numPr>
        <w:tabs>
          <w:tab w:val="left" w:pos="1092"/>
        </w:tabs>
        <w:spacing w:before="173"/>
        <w:ind w:left="1092" w:hanging="372"/>
        <w:rPr>
          <w:color w:val="auto"/>
          <w:sz w:val="24"/>
          <w:highlight w:val="none"/>
        </w:rPr>
      </w:pPr>
      <w:r>
        <w:rPr>
          <w:color w:val="auto"/>
          <w:sz w:val="24"/>
          <w:highlight w:val="none"/>
        </w:rPr>
        <w:t>监理规划应包括以下主要内容：</w:t>
      </w:r>
    </w:p>
    <w:p>
      <w:pPr>
        <w:spacing w:before="132"/>
        <w:ind w:left="799"/>
        <w:rPr>
          <w:color w:val="auto"/>
          <w:sz w:val="24"/>
          <w:highlight w:val="none"/>
        </w:rPr>
      </w:pPr>
      <w:r>
        <w:rPr>
          <w:color w:val="auto"/>
          <w:sz w:val="28"/>
          <w:highlight w:val="none"/>
        </w:rPr>
        <w:t xml:space="preserve">① </w:t>
      </w:r>
      <w:r>
        <w:rPr>
          <w:color w:val="auto"/>
          <w:sz w:val="24"/>
          <w:highlight w:val="none"/>
        </w:rPr>
        <w:t>工程项目概况；</w:t>
      </w:r>
    </w:p>
    <w:p>
      <w:pPr>
        <w:spacing w:before="122"/>
        <w:ind w:left="799"/>
        <w:rPr>
          <w:color w:val="auto"/>
          <w:sz w:val="24"/>
          <w:highlight w:val="none"/>
        </w:rPr>
      </w:pPr>
      <w:r>
        <w:rPr>
          <w:color w:val="auto"/>
          <w:sz w:val="28"/>
          <w:highlight w:val="none"/>
        </w:rPr>
        <w:t xml:space="preserve">② </w:t>
      </w:r>
      <w:r>
        <w:rPr>
          <w:color w:val="auto"/>
          <w:sz w:val="24"/>
          <w:highlight w:val="none"/>
        </w:rPr>
        <w:t>监理工作范围；</w:t>
      </w:r>
    </w:p>
    <w:p>
      <w:pPr>
        <w:spacing w:before="121"/>
        <w:ind w:left="799"/>
        <w:rPr>
          <w:color w:val="auto"/>
          <w:sz w:val="24"/>
          <w:highlight w:val="none"/>
        </w:rPr>
      </w:pPr>
      <w:r>
        <w:rPr>
          <w:color w:val="auto"/>
          <w:sz w:val="28"/>
          <w:highlight w:val="none"/>
        </w:rPr>
        <w:t xml:space="preserve">③ </w:t>
      </w:r>
      <w:r>
        <w:rPr>
          <w:color w:val="auto"/>
          <w:sz w:val="24"/>
          <w:highlight w:val="none"/>
        </w:rPr>
        <w:t>监理工作内容；</w:t>
      </w:r>
    </w:p>
    <w:p>
      <w:pPr>
        <w:spacing w:before="121"/>
        <w:ind w:left="799"/>
        <w:rPr>
          <w:color w:val="auto"/>
          <w:sz w:val="24"/>
          <w:highlight w:val="none"/>
        </w:rPr>
      </w:pPr>
      <w:r>
        <w:rPr>
          <w:color w:val="auto"/>
          <w:sz w:val="28"/>
          <w:highlight w:val="none"/>
        </w:rPr>
        <w:t xml:space="preserve">④ </w:t>
      </w:r>
      <w:r>
        <w:rPr>
          <w:color w:val="auto"/>
          <w:sz w:val="24"/>
          <w:highlight w:val="none"/>
        </w:rPr>
        <w:t>监理工作目标；</w:t>
      </w:r>
    </w:p>
    <w:p>
      <w:pPr>
        <w:rPr>
          <w:color w:val="auto"/>
          <w:sz w:val="24"/>
          <w:highlight w:val="none"/>
        </w:rPr>
        <w:sectPr>
          <w:pgSz w:w="11910" w:h="16840"/>
          <w:pgMar w:top="1200" w:right="900" w:bottom="1180" w:left="1080" w:header="0" w:footer="917" w:gutter="0"/>
          <w:cols w:space="720" w:num="1"/>
        </w:sectPr>
      </w:pPr>
    </w:p>
    <w:p>
      <w:pPr>
        <w:spacing w:before="38"/>
        <w:ind w:left="799"/>
        <w:rPr>
          <w:color w:val="auto"/>
          <w:sz w:val="24"/>
          <w:highlight w:val="none"/>
        </w:rPr>
      </w:pPr>
      <w:r>
        <w:rPr>
          <w:color w:val="auto"/>
          <w:sz w:val="28"/>
          <w:highlight w:val="none"/>
        </w:rPr>
        <w:t xml:space="preserve">⑤ </w:t>
      </w:r>
      <w:r>
        <w:rPr>
          <w:color w:val="auto"/>
          <w:sz w:val="24"/>
          <w:highlight w:val="none"/>
        </w:rPr>
        <w:t>监理工作依据；</w:t>
      </w:r>
    </w:p>
    <w:p>
      <w:pPr>
        <w:pStyle w:val="3"/>
        <w:spacing w:before="121"/>
        <w:ind w:left="799"/>
        <w:rPr>
          <w:color w:val="auto"/>
          <w:highlight w:val="none"/>
        </w:rPr>
      </w:pPr>
      <w:r>
        <w:rPr>
          <w:color w:val="auto"/>
          <w:sz w:val="28"/>
          <w:highlight w:val="none"/>
        </w:rPr>
        <w:t xml:space="preserve">⑥ </w:t>
      </w:r>
      <w:r>
        <w:rPr>
          <w:color w:val="auto"/>
          <w:highlight w:val="none"/>
        </w:rPr>
        <w:t>项目监理机构的组织形式；</w:t>
      </w:r>
    </w:p>
    <w:p>
      <w:pPr>
        <w:pStyle w:val="3"/>
        <w:spacing w:before="122"/>
        <w:ind w:left="799"/>
        <w:rPr>
          <w:color w:val="auto"/>
          <w:highlight w:val="none"/>
        </w:rPr>
      </w:pPr>
      <w:r>
        <w:rPr>
          <w:color w:val="auto"/>
          <w:sz w:val="28"/>
          <w:highlight w:val="none"/>
        </w:rPr>
        <w:t xml:space="preserve">⑦ </w:t>
      </w:r>
      <w:r>
        <w:rPr>
          <w:color w:val="auto"/>
          <w:highlight w:val="none"/>
        </w:rPr>
        <w:t>项目监理机构的人员配备计划；</w:t>
      </w:r>
    </w:p>
    <w:p>
      <w:pPr>
        <w:pStyle w:val="3"/>
        <w:spacing w:before="121"/>
        <w:ind w:left="799"/>
        <w:rPr>
          <w:color w:val="auto"/>
          <w:highlight w:val="none"/>
        </w:rPr>
      </w:pPr>
      <w:r>
        <w:rPr>
          <w:color w:val="auto"/>
          <w:sz w:val="28"/>
          <w:highlight w:val="none"/>
        </w:rPr>
        <w:t xml:space="preserve">⑧ </w:t>
      </w:r>
      <w:r>
        <w:rPr>
          <w:color w:val="auto"/>
          <w:highlight w:val="none"/>
        </w:rPr>
        <w:t>项目监理机构的人员岗位职责；</w:t>
      </w:r>
    </w:p>
    <w:p>
      <w:pPr>
        <w:spacing w:before="121"/>
        <w:ind w:left="799"/>
        <w:rPr>
          <w:color w:val="auto"/>
          <w:sz w:val="24"/>
          <w:highlight w:val="none"/>
        </w:rPr>
      </w:pPr>
      <w:r>
        <w:rPr>
          <w:color w:val="auto"/>
          <w:sz w:val="28"/>
          <w:highlight w:val="none"/>
        </w:rPr>
        <w:t xml:space="preserve">⑨ </w:t>
      </w:r>
      <w:r>
        <w:rPr>
          <w:color w:val="auto"/>
          <w:sz w:val="24"/>
          <w:highlight w:val="none"/>
        </w:rPr>
        <w:t>监理工作程序；</w:t>
      </w:r>
    </w:p>
    <w:p>
      <w:pPr>
        <w:pStyle w:val="3"/>
        <w:spacing w:before="121"/>
        <w:ind w:left="799"/>
        <w:rPr>
          <w:color w:val="auto"/>
          <w:highlight w:val="none"/>
        </w:rPr>
      </w:pPr>
      <w:r>
        <w:rPr>
          <w:color w:val="auto"/>
          <w:sz w:val="28"/>
          <w:highlight w:val="none"/>
        </w:rPr>
        <w:t xml:space="preserve">⑩ </w:t>
      </w:r>
      <w:r>
        <w:rPr>
          <w:color w:val="auto"/>
          <w:highlight w:val="none"/>
        </w:rPr>
        <w:t>监理工作方法及措施；</w:t>
      </w:r>
    </w:p>
    <w:p>
      <w:pPr>
        <w:pStyle w:val="3"/>
        <w:spacing w:before="121"/>
        <w:ind w:left="799"/>
        <w:rPr>
          <w:color w:val="auto"/>
          <w:highlight w:val="none"/>
        </w:rPr>
      </w:pPr>
      <w:r>
        <w:rPr>
          <w:rFonts w:hint="eastAsia"/>
          <w:color w:val="auto"/>
          <w:sz w:val="28"/>
          <w:highlight w:val="none"/>
        </w:rPr>
        <w:t>⑪</w:t>
      </w:r>
      <w:r>
        <w:rPr>
          <w:color w:val="auto"/>
          <w:highlight w:val="none"/>
        </w:rPr>
        <w:t xml:space="preserve"> 监理工作制度；</w:t>
      </w:r>
    </w:p>
    <w:p>
      <w:pPr>
        <w:pStyle w:val="3"/>
        <w:spacing w:before="121"/>
        <w:ind w:left="799"/>
        <w:rPr>
          <w:color w:val="auto"/>
          <w:sz w:val="28"/>
          <w:highlight w:val="none"/>
        </w:rPr>
      </w:pPr>
      <w:r>
        <w:rPr>
          <w:rFonts w:hint="eastAsia"/>
          <w:color w:val="auto"/>
          <w:sz w:val="28"/>
          <w:highlight w:val="none"/>
        </w:rPr>
        <w:t>⑫ 监理设施。</w:t>
      </w:r>
    </w:p>
    <w:p>
      <w:pPr>
        <w:pStyle w:val="20"/>
        <w:numPr>
          <w:ilvl w:val="0"/>
          <w:numId w:val="22"/>
        </w:numPr>
        <w:tabs>
          <w:tab w:val="left" w:pos="1086"/>
        </w:tabs>
        <w:spacing w:before="99" w:line="374" w:lineRule="auto"/>
        <w:ind w:right="108" w:firstLine="496"/>
        <w:rPr>
          <w:color w:val="auto"/>
          <w:sz w:val="24"/>
          <w:highlight w:val="none"/>
        </w:rPr>
      </w:pPr>
      <w:r>
        <w:rPr>
          <w:color w:val="auto"/>
          <w:sz w:val="24"/>
          <w:highlight w:val="none"/>
        </w:rPr>
        <w:t>在监理工作实施过程中，如实际情况或条件发生重大变化而需要调整监理规划时，应由总监理工程师组织专业监理工程师研究修改，按原报审程序经过批准后报委托人。</w:t>
      </w:r>
    </w:p>
    <w:p>
      <w:pPr>
        <w:pStyle w:val="20"/>
        <w:numPr>
          <w:ilvl w:val="0"/>
          <w:numId w:val="17"/>
        </w:numPr>
        <w:tabs>
          <w:tab w:val="left" w:pos="1342"/>
        </w:tabs>
        <w:spacing w:before="1"/>
        <w:ind w:left="1341" w:hanging="747"/>
        <w:rPr>
          <w:color w:val="auto"/>
          <w:sz w:val="24"/>
          <w:highlight w:val="none"/>
        </w:rPr>
      </w:pPr>
      <w:r>
        <w:rPr>
          <w:color w:val="auto"/>
          <w:sz w:val="24"/>
          <w:highlight w:val="none"/>
        </w:rPr>
        <w:t>制定监理实施细则</w:t>
      </w:r>
    </w:p>
    <w:p>
      <w:pPr>
        <w:pStyle w:val="20"/>
        <w:numPr>
          <w:ilvl w:val="0"/>
          <w:numId w:val="24"/>
        </w:numPr>
        <w:tabs>
          <w:tab w:val="left" w:pos="1086"/>
        </w:tabs>
        <w:spacing w:before="172" w:line="374" w:lineRule="auto"/>
        <w:ind w:right="239" w:firstLine="496"/>
        <w:rPr>
          <w:color w:val="auto"/>
          <w:sz w:val="24"/>
          <w:highlight w:val="none"/>
        </w:rPr>
      </w:pPr>
      <w:r>
        <w:rPr>
          <w:color w:val="auto"/>
          <w:sz w:val="24"/>
          <w:highlight w:val="none"/>
        </w:rPr>
        <w:t>项目监理机构应编制监理实施细则。监理实施细则应符合监理规划的要求，并应结合工程项目的专业特点，做到详细具体、具有可操作性。</w:t>
      </w:r>
    </w:p>
    <w:p>
      <w:pPr>
        <w:pStyle w:val="20"/>
        <w:numPr>
          <w:ilvl w:val="0"/>
          <w:numId w:val="24"/>
        </w:numPr>
        <w:tabs>
          <w:tab w:val="left" w:pos="1092"/>
        </w:tabs>
        <w:spacing w:before="1"/>
        <w:ind w:left="1092" w:hanging="372"/>
        <w:rPr>
          <w:color w:val="auto"/>
          <w:sz w:val="24"/>
          <w:highlight w:val="none"/>
        </w:rPr>
      </w:pPr>
      <w:r>
        <w:rPr>
          <w:color w:val="auto"/>
          <w:sz w:val="24"/>
          <w:highlight w:val="none"/>
        </w:rPr>
        <w:t>监理实施细则的编制程序与依据应符合下列规定：</w:t>
      </w:r>
    </w:p>
    <w:p>
      <w:pPr>
        <w:pStyle w:val="3"/>
        <w:spacing w:before="132"/>
        <w:ind w:left="799"/>
        <w:rPr>
          <w:color w:val="auto"/>
          <w:highlight w:val="none"/>
        </w:rPr>
      </w:pPr>
      <w:r>
        <w:rPr>
          <w:color w:val="auto"/>
          <w:sz w:val="28"/>
          <w:highlight w:val="none"/>
        </w:rPr>
        <w:t xml:space="preserve">① </w:t>
      </w:r>
      <w:r>
        <w:rPr>
          <w:color w:val="auto"/>
          <w:highlight w:val="none"/>
        </w:rPr>
        <w:t>监理实施细则应在相应工程施工开始前编制完成，并必须经总监理工程师批准；</w:t>
      </w:r>
    </w:p>
    <w:p>
      <w:pPr>
        <w:pStyle w:val="3"/>
        <w:spacing w:before="122"/>
        <w:ind w:left="799"/>
        <w:rPr>
          <w:color w:val="auto"/>
          <w:highlight w:val="none"/>
        </w:rPr>
      </w:pPr>
      <w:r>
        <w:rPr>
          <w:color w:val="auto"/>
          <w:sz w:val="28"/>
          <w:highlight w:val="none"/>
        </w:rPr>
        <w:t xml:space="preserve">② </w:t>
      </w:r>
      <w:r>
        <w:rPr>
          <w:color w:val="auto"/>
          <w:highlight w:val="none"/>
        </w:rPr>
        <w:t>监理实施细则应由专业监理工程师编制；</w:t>
      </w:r>
    </w:p>
    <w:p>
      <w:pPr>
        <w:pStyle w:val="3"/>
        <w:spacing w:before="121"/>
        <w:ind w:left="799"/>
        <w:rPr>
          <w:color w:val="auto"/>
          <w:highlight w:val="none"/>
        </w:rPr>
      </w:pPr>
      <w:r>
        <w:rPr>
          <w:color w:val="auto"/>
          <w:sz w:val="28"/>
          <w:highlight w:val="none"/>
        </w:rPr>
        <w:t xml:space="preserve">③ </w:t>
      </w:r>
      <w:r>
        <w:rPr>
          <w:color w:val="auto"/>
          <w:highlight w:val="none"/>
        </w:rPr>
        <w:t>编制监理实施细则的依据为以下各项：</w:t>
      </w:r>
    </w:p>
    <w:p>
      <w:pPr>
        <w:pStyle w:val="20"/>
        <w:numPr>
          <w:ilvl w:val="0"/>
          <w:numId w:val="25"/>
        </w:numPr>
        <w:tabs>
          <w:tab w:val="left" w:pos="1145"/>
        </w:tabs>
        <w:spacing w:before="161"/>
        <w:rPr>
          <w:color w:val="auto"/>
          <w:sz w:val="24"/>
          <w:highlight w:val="none"/>
        </w:rPr>
      </w:pPr>
      <w:r>
        <w:rPr>
          <w:color w:val="auto"/>
          <w:sz w:val="24"/>
          <w:highlight w:val="none"/>
        </w:rPr>
        <w:t>已批准的监理规划；</w:t>
      </w:r>
    </w:p>
    <w:p>
      <w:pPr>
        <w:pStyle w:val="20"/>
        <w:numPr>
          <w:ilvl w:val="0"/>
          <w:numId w:val="25"/>
        </w:numPr>
        <w:tabs>
          <w:tab w:val="left" w:pos="1160"/>
        </w:tabs>
        <w:spacing w:before="173"/>
        <w:ind w:left="1159" w:hanging="318"/>
        <w:rPr>
          <w:color w:val="auto"/>
          <w:sz w:val="24"/>
          <w:highlight w:val="none"/>
        </w:rPr>
      </w:pPr>
      <w:r>
        <w:rPr>
          <w:color w:val="auto"/>
          <w:sz w:val="24"/>
          <w:highlight w:val="none"/>
        </w:rPr>
        <w:t>与专业工程相关的标准、设计文件和技术资料；</w:t>
      </w:r>
    </w:p>
    <w:p>
      <w:pPr>
        <w:pStyle w:val="20"/>
        <w:numPr>
          <w:ilvl w:val="0"/>
          <w:numId w:val="25"/>
        </w:numPr>
        <w:tabs>
          <w:tab w:val="left" w:pos="1145"/>
        </w:tabs>
        <w:spacing w:before="172"/>
        <w:rPr>
          <w:color w:val="auto"/>
          <w:sz w:val="24"/>
          <w:highlight w:val="none"/>
        </w:rPr>
      </w:pPr>
      <w:r>
        <w:rPr>
          <w:color w:val="auto"/>
          <w:sz w:val="24"/>
          <w:highlight w:val="none"/>
        </w:rPr>
        <w:t>施工组织设计；</w:t>
      </w:r>
    </w:p>
    <w:p>
      <w:pPr>
        <w:pStyle w:val="20"/>
        <w:numPr>
          <w:ilvl w:val="0"/>
          <w:numId w:val="25"/>
        </w:numPr>
        <w:tabs>
          <w:tab w:val="left" w:pos="1160"/>
        </w:tabs>
        <w:spacing w:before="173"/>
        <w:ind w:left="1159" w:hanging="318"/>
        <w:rPr>
          <w:color w:val="auto"/>
          <w:sz w:val="24"/>
          <w:highlight w:val="none"/>
        </w:rPr>
      </w:pPr>
      <w:r>
        <w:rPr>
          <w:color w:val="auto"/>
          <w:sz w:val="24"/>
          <w:highlight w:val="none"/>
        </w:rPr>
        <w:t>本合同工程的设计、施工、安装招投标文件及合同；</w:t>
      </w:r>
    </w:p>
    <w:p>
      <w:pPr>
        <w:pStyle w:val="20"/>
        <w:numPr>
          <w:ilvl w:val="0"/>
          <w:numId w:val="25"/>
        </w:numPr>
        <w:tabs>
          <w:tab w:val="left" w:pos="1145"/>
        </w:tabs>
        <w:spacing w:before="172"/>
        <w:rPr>
          <w:color w:val="auto"/>
          <w:sz w:val="24"/>
          <w:highlight w:val="none"/>
        </w:rPr>
      </w:pPr>
      <w:r>
        <w:rPr>
          <w:color w:val="auto"/>
          <w:sz w:val="24"/>
          <w:highlight w:val="none"/>
        </w:rPr>
        <w:t>委托人制定的有关本合同工程建设的管理制度。</w:t>
      </w:r>
    </w:p>
    <w:p>
      <w:pPr>
        <w:pStyle w:val="20"/>
        <w:numPr>
          <w:ilvl w:val="0"/>
          <w:numId w:val="24"/>
        </w:numPr>
        <w:tabs>
          <w:tab w:val="left" w:pos="1092"/>
        </w:tabs>
        <w:spacing w:before="173"/>
        <w:ind w:left="1092" w:hanging="372"/>
        <w:rPr>
          <w:color w:val="auto"/>
          <w:sz w:val="24"/>
          <w:highlight w:val="none"/>
        </w:rPr>
      </w:pPr>
      <w:r>
        <w:rPr>
          <w:color w:val="auto"/>
          <w:sz w:val="24"/>
          <w:highlight w:val="none"/>
        </w:rPr>
        <w:t>监理实施细则应包括下列主要内容：</w:t>
      </w:r>
    </w:p>
    <w:p>
      <w:pPr>
        <w:pStyle w:val="3"/>
        <w:spacing w:before="132"/>
        <w:ind w:left="799"/>
        <w:rPr>
          <w:color w:val="auto"/>
          <w:highlight w:val="none"/>
        </w:rPr>
      </w:pPr>
      <w:r>
        <w:rPr>
          <w:color w:val="auto"/>
          <w:sz w:val="28"/>
          <w:highlight w:val="none"/>
        </w:rPr>
        <w:t xml:space="preserve">① </w:t>
      </w:r>
      <w:r>
        <w:rPr>
          <w:color w:val="auto"/>
          <w:highlight w:val="none"/>
        </w:rPr>
        <w:t>专业工程的特点；</w:t>
      </w:r>
    </w:p>
    <w:p>
      <w:pPr>
        <w:pStyle w:val="3"/>
        <w:spacing w:before="121"/>
        <w:ind w:left="799"/>
        <w:rPr>
          <w:color w:val="auto"/>
          <w:highlight w:val="none"/>
        </w:rPr>
      </w:pPr>
      <w:r>
        <w:rPr>
          <w:color w:val="auto"/>
          <w:sz w:val="28"/>
          <w:highlight w:val="none"/>
        </w:rPr>
        <w:t xml:space="preserve">② </w:t>
      </w:r>
      <w:r>
        <w:rPr>
          <w:color w:val="auto"/>
          <w:highlight w:val="none"/>
        </w:rPr>
        <w:t>监理工作的流程；</w:t>
      </w:r>
    </w:p>
    <w:p>
      <w:pPr>
        <w:pStyle w:val="3"/>
        <w:spacing w:before="122"/>
        <w:ind w:left="799"/>
        <w:rPr>
          <w:color w:val="auto"/>
          <w:highlight w:val="none"/>
        </w:rPr>
      </w:pPr>
      <w:r>
        <w:rPr>
          <w:color w:val="auto"/>
          <w:sz w:val="28"/>
          <w:highlight w:val="none"/>
        </w:rPr>
        <w:t xml:space="preserve">③ </w:t>
      </w:r>
      <w:r>
        <w:rPr>
          <w:color w:val="auto"/>
          <w:highlight w:val="none"/>
        </w:rPr>
        <w:t>监理工作的控制要点及目标值；</w:t>
      </w:r>
    </w:p>
    <w:p>
      <w:pPr>
        <w:pStyle w:val="3"/>
        <w:spacing w:before="121"/>
        <w:ind w:left="799"/>
        <w:rPr>
          <w:color w:val="auto"/>
          <w:highlight w:val="none"/>
        </w:rPr>
      </w:pPr>
      <w:r>
        <w:rPr>
          <w:color w:val="auto"/>
          <w:sz w:val="28"/>
          <w:highlight w:val="none"/>
        </w:rPr>
        <w:t xml:space="preserve">④ </w:t>
      </w:r>
      <w:r>
        <w:rPr>
          <w:color w:val="auto"/>
          <w:highlight w:val="none"/>
        </w:rPr>
        <w:t>监理工作的方法及措施。</w:t>
      </w:r>
    </w:p>
    <w:p>
      <w:pPr>
        <w:pStyle w:val="20"/>
        <w:numPr>
          <w:ilvl w:val="0"/>
          <w:numId w:val="24"/>
        </w:numPr>
        <w:tabs>
          <w:tab w:val="left" w:pos="1092"/>
        </w:tabs>
        <w:spacing w:before="161"/>
        <w:ind w:left="1092" w:hanging="372"/>
        <w:rPr>
          <w:color w:val="auto"/>
          <w:sz w:val="24"/>
          <w:highlight w:val="none"/>
        </w:rPr>
      </w:pPr>
      <w:r>
        <w:rPr>
          <w:color w:val="auto"/>
          <w:sz w:val="24"/>
          <w:highlight w:val="none"/>
        </w:rPr>
        <w:t>在监理工作实施过程中，监理实施细则应根据实际情况进行补充、修改和完善。</w:t>
      </w:r>
    </w:p>
    <w:p>
      <w:pPr>
        <w:pStyle w:val="20"/>
        <w:numPr>
          <w:ilvl w:val="0"/>
          <w:numId w:val="17"/>
        </w:numPr>
        <w:tabs>
          <w:tab w:val="left" w:pos="1333"/>
        </w:tabs>
        <w:spacing w:before="173" w:line="374" w:lineRule="auto"/>
        <w:ind w:right="115" w:firstLine="372"/>
        <w:rPr>
          <w:color w:val="auto"/>
          <w:sz w:val="24"/>
          <w:highlight w:val="none"/>
        </w:rPr>
      </w:pPr>
      <w:r>
        <w:rPr>
          <w:color w:val="auto"/>
          <w:sz w:val="24"/>
          <w:highlight w:val="none"/>
        </w:rPr>
        <w:t>对合同管理实施控制工作程序化、规范化，建立定期和不定期的协商会办制度，根据合同文件的约定及委托人要求的图纸批准程序、工程变更程序、承包人索赔程序、</w:t>
      </w:r>
    </w:p>
    <w:p>
      <w:pPr>
        <w:spacing w:line="374" w:lineRule="auto"/>
        <w:rPr>
          <w:color w:val="auto"/>
          <w:sz w:val="24"/>
          <w:highlight w:val="none"/>
        </w:rPr>
        <w:sectPr>
          <w:pgSz w:w="11910" w:h="16840"/>
          <w:pgMar w:top="1180" w:right="900" w:bottom="1180" w:left="1080" w:header="0" w:footer="917" w:gutter="0"/>
          <w:cols w:space="720" w:num="1"/>
        </w:sectPr>
      </w:pPr>
    </w:p>
    <w:p>
      <w:pPr>
        <w:pStyle w:val="3"/>
        <w:spacing w:before="38" w:line="374" w:lineRule="auto"/>
        <w:ind w:right="239"/>
        <w:rPr>
          <w:color w:val="auto"/>
          <w:highlight w:val="none"/>
        </w:rPr>
      </w:pPr>
      <w:r>
        <w:rPr>
          <w:color w:val="auto"/>
          <w:highlight w:val="none"/>
        </w:rPr>
        <w:t>承包人的账单审查程序、进度付款账单的审查批准程序、工程问题的请示报告程序等制定相关表格。</w:t>
      </w:r>
    </w:p>
    <w:p>
      <w:pPr>
        <w:pStyle w:val="12"/>
        <w:numPr>
          <w:ilvl w:val="2"/>
          <w:numId w:val="16"/>
        </w:numPr>
        <w:tabs>
          <w:tab w:val="left" w:pos="1475"/>
          <w:tab w:val="left" w:pos="1476"/>
        </w:tabs>
        <w:spacing w:before="1"/>
        <w:rPr>
          <w:rFonts w:ascii="Times New Roman" w:eastAsia="Times New Roman"/>
          <w:color w:val="auto"/>
          <w:highlight w:val="none"/>
        </w:rPr>
      </w:pPr>
      <w:r>
        <w:rPr>
          <w:color w:val="auto"/>
          <w:highlight w:val="none"/>
        </w:rPr>
        <w:t>施工阶段的监理工作（包括但不限于以下内容）</w:t>
      </w:r>
    </w:p>
    <w:p>
      <w:pPr>
        <w:pStyle w:val="12"/>
        <w:numPr>
          <w:ilvl w:val="3"/>
          <w:numId w:val="16"/>
        </w:numPr>
        <w:tabs>
          <w:tab w:val="left" w:pos="1665"/>
          <w:tab w:val="left" w:pos="1666"/>
        </w:tabs>
        <w:spacing w:before="172"/>
        <w:rPr>
          <w:color w:val="auto"/>
          <w:highlight w:val="none"/>
        </w:rPr>
      </w:pPr>
      <w:r>
        <w:rPr>
          <w:color w:val="auto"/>
          <w:highlight w:val="none"/>
        </w:rPr>
        <w:t>工程质量控制工作</w:t>
      </w:r>
    </w:p>
    <w:p>
      <w:pPr>
        <w:pStyle w:val="20"/>
        <w:numPr>
          <w:ilvl w:val="0"/>
          <w:numId w:val="26"/>
        </w:numPr>
        <w:tabs>
          <w:tab w:val="left" w:pos="1220"/>
        </w:tabs>
        <w:spacing w:before="173" w:line="374" w:lineRule="auto"/>
        <w:ind w:right="227" w:firstLine="372"/>
        <w:rPr>
          <w:color w:val="auto"/>
          <w:sz w:val="24"/>
          <w:highlight w:val="none"/>
        </w:rPr>
      </w:pPr>
      <w:r>
        <w:rPr>
          <w:color w:val="auto"/>
          <w:sz w:val="24"/>
          <w:highlight w:val="none"/>
        </w:rPr>
        <w:t>在施工过程中，当承包人对已批准的施工组织设计进行调整、补充或变动时， 应经专业监理工程师审查，并应由总监理工程师签认。</w:t>
      </w:r>
    </w:p>
    <w:p>
      <w:pPr>
        <w:pStyle w:val="20"/>
        <w:numPr>
          <w:ilvl w:val="0"/>
          <w:numId w:val="26"/>
        </w:numPr>
        <w:tabs>
          <w:tab w:val="left" w:pos="1220"/>
        </w:tabs>
        <w:spacing w:line="374" w:lineRule="auto"/>
        <w:ind w:right="227" w:firstLine="372"/>
        <w:rPr>
          <w:color w:val="auto"/>
          <w:sz w:val="24"/>
          <w:highlight w:val="none"/>
        </w:rPr>
      </w:pPr>
      <w:r>
        <w:rPr>
          <w:color w:val="auto"/>
          <w:sz w:val="24"/>
          <w:highlight w:val="none"/>
        </w:rPr>
        <w:t>专业监理工程师应要求承包人报送重点部位、关键工序的施工方案或作业指导和确保工程质量的措施，审核同意后予以签认。</w:t>
      </w:r>
    </w:p>
    <w:p>
      <w:pPr>
        <w:pStyle w:val="20"/>
        <w:numPr>
          <w:ilvl w:val="0"/>
          <w:numId w:val="26"/>
        </w:numPr>
        <w:tabs>
          <w:tab w:val="left" w:pos="1220"/>
        </w:tabs>
        <w:spacing w:before="1" w:line="374" w:lineRule="auto"/>
        <w:ind w:right="227" w:firstLine="372"/>
        <w:rPr>
          <w:color w:val="auto"/>
          <w:sz w:val="24"/>
          <w:highlight w:val="none"/>
        </w:rPr>
      </w:pPr>
      <w:r>
        <w:rPr>
          <w:color w:val="auto"/>
          <w:sz w:val="24"/>
          <w:highlight w:val="none"/>
        </w:rPr>
        <w:t>当承包人采用新材料、新工艺、新技术、新设备时，专业监理工程师应要求承包人报送相应的施工工艺措施和证明材料，组织专题论证，经审定后予以签认。</w:t>
      </w:r>
    </w:p>
    <w:p>
      <w:pPr>
        <w:pStyle w:val="20"/>
        <w:numPr>
          <w:ilvl w:val="0"/>
          <w:numId w:val="26"/>
        </w:numPr>
        <w:tabs>
          <w:tab w:val="left" w:pos="1220"/>
        </w:tabs>
        <w:spacing w:line="374" w:lineRule="auto"/>
        <w:ind w:right="227" w:firstLine="372"/>
        <w:rPr>
          <w:color w:val="auto"/>
          <w:sz w:val="24"/>
          <w:highlight w:val="none"/>
        </w:rPr>
      </w:pPr>
      <w:r>
        <w:rPr>
          <w:color w:val="auto"/>
          <w:sz w:val="24"/>
          <w:highlight w:val="none"/>
        </w:rPr>
        <w:t>项目监理机构应对承包人在施工过程中报送的施工测量放线成果进行复验和确认。</w:t>
      </w:r>
    </w:p>
    <w:p>
      <w:pPr>
        <w:pStyle w:val="20"/>
        <w:numPr>
          <w:ilvl w:val="0"/>
          <w:numId w:val="26"/>
        </w:numPr>
        <w:tabs>
          <w:tab w:val="left" w:pos="1220"/>
        </w:tabs>
        <w:spacing w:before="1" w:line="374" w:lineRule="auto"/>
        <w:ind w:right="227" w:firstLine="372"/>
        <w:jc w:val="both"/>
        <w:rPr>
          <w:color w:val="auto"/>
          <w:sz w:val="24"/>
          <w:highlight w:val="none"/>
        </w:rPr>
      </w:pPr>
      <w:r>
        <w:rPr>
          <w:color w:val="auto"/>
          <w:sz w:val="24"/>
          <w:highlight w:val="none"/>
        </w:rPr>
        <w:t>监理人应对材料、设备的进场验收负主要责任。专业监理工程师应对承包人报送的拟进场工程材料、构配件和设备的工程材料/构配件/设备报审表及其质量证明资料进行审核，并对进场的实物按照委托监理合同约定或有关工程质量管理文件规定的比例采用平行检验或见证取样方式进行抽检。</w:t>
      </w:r>
    </w:p>
    <w:p>
      <w:pPr>
        <w:pStyle w:val="3"/>
        <w:spacing w:before="1" w:line="374" w:lineRule="auto"/>
        <w:ind w:right="227" w:firstLine="496"/>
        <w:jc w:val="both"/>
        <w:rPr>
          <w:color w:val="auto"/>
          <w:highlight w:val="none"/>
        </w:rPr>
      </w:pPr>
      <w:r>
        <w:rPr>
          <w:color w:val="auto"/>
          <w:highlight w:val="none"/>
        </w:rPr>
        <w:t>对未经监理人员验收或验收不合格的工程材料、构配件、设备，监理人员应拒绝签认，并应签发监理工程师通知单，书面通知承包人限期将不合格的工程材料、构配件、设备撤出现场。</w:t>
      </w:r>
    </w:p>
    <w:p>
      <w:pPr>
        <w:pStyle w:val="20"/>
        <w:numPr>
          <w:ilvl w:val="0"/>
          <w:numId w:val="26"/>
        </w:numPr>
        <w:tabs>
          <w:tab w:val="left" w:pos="1217"/>
        </w:tabs>
        <w:spacing w:before="1"/>
        <w:ind w:left="1216" w:hanging="622"/>
        <w:rPr>
          <w:color w:val="auto"/>
          <w:sz w:val="24"/>
          <w:highlight w:val="none"/>
        </w:rPr>
      </w:pPr>
      <w:r>
        <w:rPr>
          <w:color w:val="auto"/>
          <w:sz w:val="24"/>
          <w:highlight w:val="none"/>
        </w:rPr>
        <w:t>项目监理机构应定期检查承包人的直接影响工程质量的计量设备的技术状况。</w:t>
      </w:r>
    </w:p>
    <w:p>
      <w:pPr>
        <w:pStyle w:val="20"/>
        <w:numPr>
          <w:ilvl w:val="0"/>
          <w:numId w:val="26"/>
        </w:numPr>
        <w:tabs>
          <w:tab w:val="left" w:pos="1220"/>
        </w:tabs>
        <w:spacing w:before="173" w:line="374" w:lineRule="auto"/>
        <w:ind w:right="113" w:firstLine="372"/>
        <w:rPr>
          <w:color w:val="auto"/>
          <w:sz w:val="24"/>
          <w:highlight w:val="none"/>
        </w:rPr>
      </w:pPr>
      <w:r>
        <w:rPr>
          <w:color w:val="auto"/>
          <w:sz w:val="24"/>
          <w:highlight w:val="none"/>
        </w:rPr>
        <w:t>总监理工程师应安排监理人员对建筑材料设备的进场检验的全过程进行见证， 对施工过程进行巡视和检查（包括重点检查、抽查及专项检查）。对基础工程中土方回填，混凝土灌注桩浇筑，地下连续墙、土钉墙、后浇带及其他结构混凝土、防水混凝土浇筑，卷材防水层细部构造处理，钢结构安装和主体结构工程中梁柱节点钢筋隐蔽过程， 混凝土浇筑，预应力张拉，装配式结构安装，钢结构安装，网架结构安装，索膜安装及委托人要求的其它旁站工作等，专业监理工程师应安排监理员进行旁站，主要职责是：</w:t>
      </w:r>
    </w:p>
    <w:p>
      <w:pPr>
        <w:pStyle w:val="20"/>
        <w:numPr>
          <w:ilvl w:val="1"/>
          <w:numId w:val="26"/>
        </w:numPr>
        <w:tabs>
          <w:tab w:val="left" w:pos="1086"/>
        </w:tabs>
        <w:spacing w:before="1" w:line="374" w:lineRule="auto"/>
        <w:ind w:right="239" w:firstLine="496"/>
        <w:rPr>
          <w:color w:val="auto"/>
          <w:sz w:val="24"/>
          <w:highlight w:val="none"/>
        </w:rPr>
      </w:pPr>
      <w:r>
        <w:rPr>
          <w:color w:val="auto"/>
          <w:sz w:val="24"/>
          <w:highlight w:val="none"/>
        </w:rPr>
        <w:t>检查施工企业现场质检人员到岗、特殊工种人员持证上岗以及施工机械、建筑材料准备情况；</w:t>
      </w:r>
    </w:p>
    <w:p>
      <w:pPr>
        <w:pStyle w:val="20"/>
        <w:numPr>
          <w:ilvl w:val="1"/>
          <w:numId w:val="26"/>
        </w:numPr>
        <w:tabs>
          <w:tab w:val="left" w:pos="1086"/>
        </w:tabs>
        <w:spacing w:before="1" w:line="374" w:lineRule="auto"/>
        <w:ind w:right="239" w:firstLine="496"/>
        <w:rPr>
          <w:color w:val="auto"/>
          <w:sz w:val="24"/>
          <w:highlight w:val="none"/>
        </w:rPr>
      </w:pPr>
      <w:r>
        <w:rPr>
          <w:color w:val="auto"/>
          <w:sz w:val="24"/>
          <w:highlight w:val="none"/>
        </w:rPr>
        <w:t>在现场跟班监督关键部位、关键工序的施工执行施工方案以及工程建设强制性标准情况；</w:t>
      </w:r>
    </w:p>
    <w:p>
      <w:pPr>
        <w:spacing w:line="374" w:lineRule="auto"/>
        <w:rPr>
          <w:color w:val="auto"/>
          <w:sz w:val="24"/>
          <w:highlight w:val="none"/>
        </w:rPr>
        <w:sectPr>
          <w:pgSz w:w="11910" w:h="16840"/>
          <w:pgMar w:top="1220" w:right="900" w:bottom="1180" w:left="1080" w:header="0" w:footer="917" w:gutter="0"/>
          <w:cols w:space="720" w:num="1"/>
        </w:sectPr>
      </w:pPr>
    </w:p>
    <w:p>
      <w:pPr>
        <w:pStyle w:val="20"/>
        <w:numPr>
          <w:ilvl w:val="1"/>
          <w:numId w:val="26"/>
        </w:numPr>
        <w:tabs>
          <w:tab w:val="left" w:pos="1086"/>
        </w:tabs>
        <w:spacing w:before="58" w:line="374" w:lineRule="auto"/>
        <w:ind w:right="233" w:firstLine="496"/>
        <w:rPr>
          <w:color w:val="auto"/>
          <w:sz w:val="24"/>
          <w:highlight w:val="none"/>
        </w:rPr>
      </w:pPr>
      <w:r>
        <w:rPr>
          <w:color w:val="auto"/>
          <w:sz w:val="24"/>
          <w:highlight w:val="none"/>
        </w:rPr>
        <w:t>核查进场建筑材料、建筑构配件、设备和商品混凝土的质量检验报告等，并可在现场监督施工企业进行检验或者委托具有资格的第三方进行复验；</w:t>
      </w:r>
    </w:p>
    <w:p>
      <w:pPr>
        <w:pStyle w:val="20"/>
        <w:numPr>
          <w:ilvl w:val="1"/>
          <w:numId w:val="26"/>
        </w:numPr>
        <w:tabs>
          <w:tab w:val="left" w:pos="1092"/>
        </w:tabs>
        <w:spacing w:before="1"/>
        <w:ind w:left="1092" w:hanging="373"/>
        <w:rPr>
          <w:color w:val="auto"/>
          <w:sz w:val="24"/>
          <w:highlight w:val="none"/>
        </w:rPr>
      </w:pPr>
      <w:r>
        <w:rPr>
          <w:color w:val="auto"/>
          <w:sz w:val="24"/>
          <w:highlight w:val="none"/>
        </w:rPr>
        <w:t>做好旁站监理记录和监理日记，保存旁站监理原始资料。</w:t>
      </w:r>
    </w:p>
    <w:p>
      <w:pPr>
        <w:pStyle w:val="3"/>
        <w:spacing w:before="172" w:line="374" w:lineRule="auto"/>
        <w:ind w:right="227" w:firstLine="496"/>
        <w:jc w:val="both"/>
        <w:rPr>
          <w:color w:val="auto"/>
          <w:highlight w:val="none"/>
        </w:rPr>
      </w:pPr>
      <w:r>
        <w:rPr>
          <w:color w:val="auto"/>
          <w:highlight w:val="none"/>
        </w:rPr>
        <w:t>旁站监理人员应当认真履行职责，对需要实施旁站监理的关键部位、关键工序在施工现场跟班监督，及时发现和处理旁站监理过程中出现的质量问题，如实准确地做好旁站监理记录。凡旁站监理人员和施工企业现场质检人员未在旁站监理记录上签字的，不得进行下一道工序施工。</w:t>
      </w:r>
    </w:p>
    <w:p>
      <w:pPr>
        <w:pStyle w:val="3"/>
        <w:spacing w:before="1" w:line="374" w:lineRule="auto"/>
        <w:ind w:right="227" w:firstLine="496"/>
        <w:jc w:val="both"/>
        <w:rPr>
          <w:color w:val="auto"/>
          <w:highlight w:val="none"/>
        </w:rPr>
      </w:pPr>
      <w:r>
        <w:rPr>
          <w:color w:val="auto"/>
          <w:highlight w:val="none"/>
        </w:rPr>
        <w:t>旁站监理人员实施旁站监理时，发现施工企业有违反工程建设强制性标准行为的， 有权责令施工企业立即整改；发现其施工活动已经或者可能危及工程质量的，应当及时向监理工程师或者总监理工程师报告，由总监理工程师下达局部暂停施工指令或者采取其他应急措施。</w:t>
      </w:r>
    </w:p>
    <w:p>
      <w:pPr>
        <w:pStyle w:val="3"/>
        <w:spacing w:before="2" w:line="374" w:lineRule="auto"/>
        <w:ind w:right="227" w:firstLine="496"/>
        <w:jc w:val="both"/>
        <w:rPr>
          <w:color w:val="auto"/>
          <w:highlight w:val="none"/>
        </w:rPr>
      </w:pPr>
      <w:r>
        <w:rPr>
          <w:color w:val="auto"/>
          <w:highlight w:val="none"/>
        </w:rPr>
        <w:t>旁站监理记录是监理工程师或者总监理工程师依法行使有关签字权的重要依据。对于需要旁站监理的关键部位、关键工序施工，凡没有实施旁站监理或者没有旁站监理记录的，监理工程师或者总监理工程师不得在相应文件上签字。在工程竣工验收后，监理企业应当将旁站监理记录存档备查。</w:t>
      </w:r>
    </w:p>
    <w:p>
      <w:pPr>
        <w:pStyle w:val="20"/>
        <w:numPr>
          <w:ilvl w:val="0"/>
          <w:numId w:val="26"/>
        </w:numPr>
        <w:tabs>
          <w:tab w:val="left" w:pos="1220"/>
        </w:tabs>
        <w:spacing w:before="1" w:line="374" w:lineRule="auto"/>
        <w:ind w:right="227" w:firstLine="372"/>
        <w:rPr>
          <w:color w:val="auto"/>
          <w:sz w:val="24"/>
          <w:highlight w:val="none"/>
        </w:rPr>
      </w:pPr>
      <w:r>
        <w:rPr>
          <w:color w:val="auto"/>
          <w:sz w:val="24"/>
          <w:highlight w:val="none"/>
        </w:rPr>
        <w:t>专业监理工程师应根据承包人报送的隐蔽工程报验申请表和自检结果进行现场检查，符合要求后予以签认。</w:t>
      </w:r>
    </w:p>
    <w:p>
      <w:pPr>
        <w:pStyle w:val="3"/>
        <w:spacing w:line="374" w:lineRule="auto"/>
        <w:ind w:right="227" w:firstLine="496"/>
        <w:rPr>
          <w:color w:val="auto"/>
          <w:highlight w:val="none"/>
        </w:rPr>
      </w:pPr>
      <w:r>
        <w:rPr>
          <w:color w:val="auto"/>
          <w:highlight w:val="none"/>
        </w:rPr>
        <w:t>对未经监理人员验收或验收不合格的工序，监理人员应拒绝签认，并要求承包人严禁进行下一道工序的施工。</w:t>
      </w:r>
    </w:p>
    <w:p>
      <w:pPr>
        <w:pStyle w:val="20"/>
        <w:numPr>
          <w:ilvl w:val="0"/>
          <w:numId w:val="26"/>
        </w:numPr>
        <w:tabs>
          <w:tab w:val="left" w:pos="1220"/>
        </w:tabs>
        <w:spacing w:before="1" w:line="374" w:lineRule="auto"/>
        <w:ind w:right="227" w:firstLine="372"/>
        <w:jc w:val="both"/>
        <w:rPr>
          <w:color w:val="auto"/>
          <w:sz w:val="24"/>
          <w:highlight w:val="none"/>
        </w:rPr>
      </w:pPr>
      <w:r>
        <w:rPr>
          <w:color w:val="auto"/>
          <w:sz w:val="24"/>
          <w:highlight w:val="none"/>
        </w:rPr>
        <w:t>专业监理工程师应对承包人报送的分项工程质量验评资料进行审核，符合要求后予以签认；总监理工程师应组织监理人员对承包人报送的分部工程和单位工程质量验评资料进行审核和现场检查，符合要求后予以签认。</w:t>
      </w:r>
    </w:p>
    <w:p>
      <w:pPr>
        <w:pStyle w:val="20"/>
        <w:numPr>
          <w:ilvl w:val="0"/>
          <w:numId w:val="26"/>
        </w:numPr>
        <w:tabs>
          <w:tab w:val="left" w:pos="1336"/>
        </w:tabs>
        <w:spacing w:before="1" w:line="374" w:lineRule="auto"/>
        <w:ind w:right="239" w:firstLine="372"/>
        <w:jc w:val="both"/>
        <w:rPr>
          <w:color w:val="auto"/>
          <w:sz w:val="24"/>
          <w:highlight w:val="none"/>
        </w:rPr>
      </w:pPr>
      <w:r>
        <w:rPr>
          <w:color w:val="auto"/>
          <w:sz w:val="24"/>
          <w:highlight w:val="none"/>
        </w:rPr>
        <w:t>监理单位按照基建程序从工程建设前期法定建设程序资料、施工过程质量控制技术资料、工程验收及备案资料按照与工程同步的原则进行及时收集，保证保管一套完整的工程技术资料。</w:t>
      </w:r>
    </w:p>
    <w:p>
      <w:pPr>
        <w:pStyle w:val="20"/>
        <w:numPr>
          <w:ilvl w:val="0"/>
          <w:numId w:val="26"/>
        </w:numPr>
        <w:tabs>
          <w:tab w:val="left" w:pos="1342"/>
        </w:tabs>
        <w:spacing w:before="1"/>
        <w:ind w:left="1341" w:hanging="747"/>
        <w:rPr>
          <w:color w:val="auto"/>
          <w:sz w:val="24"/>
          <w:highlight w:val="none"/>
        </w:rPr>
      </w:pPr>
      <w:r>
        <w:rPr>
          <w:color w:val="auto"/>
          <w:sz w:val="24"/>
          <w:highlight w:val="none"/>
        </w:rPr>
        <w:t>施工阶段的工程质量控制中的其他监理工作</w:t>
      </w:r>
    </w:p>
    <w:p>
      <w:pPr>
        <w:pStyle w:val="20"/>
        <w:numPr>
          <w:ilvl w:val="0"/>
          <w:numId w:val="27"/>
        </w:numPr>
        <w:tabs>
          <w:tab w:val="left" w:pos="1086"/>
        </w:tabs>
        <w:spacing w:before="172" w:line="374" w:lineRule="auto"/>
        <w:ind w:right="239" w:firstLine="496"/>
        <w:rPr>
          <w:color w:val="auto"/>
          <w:sz w:val="24"/>
          <w:highlight w:val="none"/>
        </w:rPr>
      </w:pPr>
      <w:r>
        <w:rPr>
          <w:color w:val="auto"/>
          <w:sz w:val="24"/>
          <w:highlight w:val="none"/>
        </w:rPr>
        <w:t>对施工过程中出现的质量缺陷，专业监理工程师应及时下达监理工程师通知， 要求承包人整改，并检查整改结果。</w:t>
      </w:r>
    </w:p>
    <w:p>
      <w:pPr>
        <w:pStyle w:val="20"/>
        <w:numPr>
          <w:ilvl w:val="0"/>
          <w:numId w:val="27"/>
        </w:numPr>
        <w:tabs>
          <w:tab w:val="left" w:pos="1086"/>
        </w:tabs>
        <w:spacing w:before="172" w:line="374" w:lineRule="auto"/>
        <w:ind w:right="239" w:firstLine="496"/>
        <w:rPr>
          <w:color w:val="auto"/>
          <w:sz w:val="24"/>
          <w:highlight w:val="none"/>
        </w:rPr>
      </w:pPr>
      <w:r>
        <w:rPr>
          <w:color w:val="auto"/>
          <w:sz w:val="24"/>
          <w:highlight w:val="none"/>
        </w:rPr>
        <w:t>监理人应在本合同工程的施工阶段开始之前向委托人提交质量事故处理程序。监理人员发现施工存在重大质量隐患，可能造成质量事故或已经造成质量事故时，应通过总监理工程师及时下达工程暂停令，要求承包人停工整改。整改完毕并经监理人员复查，符合规定要求后，总监理工程师应及时签署工程复工报审表。总监理工程师下达工程暂停令和签署工程复工报审表，应事先向委托人报告。</w:t>
      </w:r>
    </w:p>
    <w:p>
      <w:pPr>
        <w:pStyle w:val="20"/>
        <w:numPr>
          <w:ilvl w:val="0"/>
          <w:numId w:val="27"/>
        </w:numPr>
        <w:tabs>
          <w:tab w:val="left" w:pos="1086"/>
        </w:tabs>
        <w:spacing w:before="1" w:line="374" w:lineRule="auto"/>
        <w:ind w:right="239" w:firstLine="496"/>
        <w:jc w:val="both"/>
        <w:rPr>
          <w:color w:val="auto"/>
          <w:sz w:val="24"/>
          <w:highlight w:val="none"/>
        </w:rPr>
      </w:pPr>
      <w:r>
        <w:rPr>
          <w:color w:val="auto"/>
          <w:sz w:val="24"/>
          <w:highlight w:val="none"/>
        </w:rPr>
        <w:t>对需要返工处理或加固补强的质量事故，总监理工程师应责令承包人报送质量事故调查报告和经设计单位等相关单位认可的处理方案，项目监理机构应对质量事故的处理过程和处理结果进行跟踪检查和验收。</w:t>
      </w:r>
    </w:p>
    <w:p>
      <w:pPr>
        <w:pStyle w:val="20"/>
        <w:numPr>
          <w:ilvl w:val="0"/>
          <w:numId w:val="27"/>
        </w:numPr>
        <w:tabs>
          <w:tab w:val="left" w:pos="1086"/>
        </w:tabs>
        <w:spacing w:before="1" w:line="374" w:lineRule="auto"/>
        <w:ind w:right="233" w:firstLine="496"/>
        <w:rPr>
          <w:color w:val="auto"/>
          <w:sz w:val="24"/>
          <w:highlight w:val="none"/>
        </w:rPr>
      </w:pPr>
      <w:r>
        <w:rPr>
          <w:color w:val="auto"/>
          <w:sz w:val="24"/>
          <w:highlight w:val="none"/>
        </w:rPr>
        <w:t>总监理工程师应及时向委托人及本监理单位提交有关质量事故的书面报告，并应将完整的质量事故处理记录整理归档。</w:t>
      </w:r>
    </w:p>
    <w:p>
      <w:pPr>
        <w:pStyle w:val="20"/>
        <w:numPr>
          <w:ilvl w:val="0"/>
          <w:numId w:val="27"/>
        </w:numPr>
        <w:tabs>
          <w:tab w:val="left" w:pos="1092"/>
        </w:tabs>
        <w:ind w:left="1092" w:hanging="372"/>
        <w:rPr>
          <w:color w:val="auto"/>
          <w:sz w:val="24"/>
          <w:highlight w:val="none"/>
        </w:rPr>
      </w:pPr>
      <w:r>
        <w:rPr>
          <w:color w:val="auto"/>
          <w:sz w:val="24"/>
          <w:highlight w:val="none"/>
        </w:rPr>
        <w:t>对承包人的试验室进行考核</w:t>
      </w:r>
    </w:p>
    <w:p>
      <w:pPr>
        <w:pStyle w:val="3"/>
        <w:spacing w:before="173"/>
        <w:ind w:left="720"/>
        <w:rPr>
          <w:color w:val="auto"/>
          <w:highlight w:val="none"/>
        </w:rPr>
      </w:pPr>
      <w:r>
        <w:rPr>
          <w:color w:val="auto"/>
          <w:highlight w:val="none"/>
        </w:rPr>
        <w:t>对承包人的试验室，专业监理工程师应从以下五个方面进行考核：</w:t>
      </w:r>
    </w:p>
    <w:p>
      <w:pPr>
        <w:pStyle w:val="3"/>
        <w:spacing w:before="132"/>
        <w:ind w:left="799"/>
        <w:rPr>
          <w:color w:val="auto"/>
          <w:highlight w:val="none"/>
        </w:rPr>
      </w:pPr>
      <w:r>
        <w:rPr>
          <w:color w:val="auto"/>
          <w:sz w:val="28"/>
          <w:highlight w:val="none"/>
        </w:rPr>
        <w:t xml:space="preserve">① </w:t>
      </w:r>
      <w:r>
        <w:rPr>
          <w:color w:val="auto"/>
          <w:highlight w:val="none"/>
        </w:rPr>
        <w:t>试验室的资质等级及其试验范围；</w:t>
      </w:r>
    </w:p>
    <w:p>
      <w:pPr>
        <w:pStyle w:val="3"/>
        <w:spacing w:before="122"/>
        <w:ind w:left="799"/>
        <w:rPr>
          <w:color w:val="auto"/>
          <w:highlight w:val="none"/>
        </w:rPr>
      </w:pPr>
      <w:r>
        <w:rPr>
          <w:color w:val="auto"/>
          <w:sz w:val="28"/>
          <w:highlight w:val="none"/>
        </w:rPr>
        <w:t xml:space="preserve">② </w:t>
      </w:r>
      <w:r>
        <w:rPr>
          <w:color w:val="auto"/>
          <w:highlight w:val="none"/>
        </w:rPr>
        <w:t>法定计量部门对试验设备出具的计量检定证明；</w:t>
      </w:r>
    </w:p>
    <w:p>
      <w:pPr>
        <w:pStyle w:val="3"/>
        <w:spacing w:before="121"/>
        <w:ind w:left="799"/>
        <w:rPr>
          <w:color w:val="auto"/>
          <w:highlight w:val="none"/>
        </w:rPr>
      </w:pPr>
      <w:r>
        <w:rPr>
          <w:color w:val="auto"/>
          <w:sz w:val="28"/>
          <w:highlight w:val="none"/>
        </w:rPr>
        <w:t xml:space="preserve">③ </w:t>
      </w:r>
      <w:r>
        <w:rPr>
          <w:color w:val="auto"/>
          <w:highlight w:val="none"/>
        </w:rPr>
        <w:t>试验室的管理制度；</w:t>
      </w:r>
    </w:p>
    <w:p>
      <w:pPr>
        <w:pStyle w:val="3"/>
        <w:spacing w:before="121"/>
        <w:ind w:left="799"/>
        <w:rPr>
          <w:color w:val="auto"/>
          <w:highlight w:val="none"/>
        </w:rPr>
      </w:pPr>
      <w:r>
        <w:rPr>
          <w:color w:val="auto"/>
          <w:sz w:val="28"/>
          <w:highlight w:val="none"/>
        </w:rPr>
        <w:t xml:space="preserve">④ </w:t>
      </w:r>
      <w:r>
        <w:rPr>
          <w:color w:val="auto"/>
          <w:highlight w:val="none"/>
        </w:rPr>
        <w:t>试验人员的资格证书；</w:t>
      </w:r>
    </w:p>
    <w:p>
      <w:pPr>
        <w:pStyle w:val="3"/>
        <w:spacing w:before="122"/>
        <w:ind w:left="799"/>
        <w:rPr>
          <w:color w:val="auto"/>
          <w:highlight w:val="none"/>
        </w:rPr>
      </w:pPr>
      <w:r>
        <w:rPr>
          <w:color w:val="auto"/>
          <w:sz w:val="28"/>
          <w:highlight w:val="none"/>
        </w:rPr>
        <w:t xml:space="preserve">⑤ </w:t>
      </w:r>
      <w:r>
        <w:rPr>
          <w:color w:val="auto"/>
          <w:highlight w:val="none"/>
        </w:rPr>
        <w:t>本工程的试验项目及其要求。</w:t>
      </w:r>
    </w:p>
    <w:p>
      <w:pPr>
        <w:pStyle w:val="12"/>
        <w:numPr>
          <w:ilvl w:val="3"/>
          <w:numId w:val="16"/>
        </w:numPr>
        <w:tabs>
          <w:tab w:val="left" w:pos="1665"/>
          <w:tab w:val="left" w:pos="1666"/>
        </w:tabs>
        <w:spacing w:before="161"/>
        <w:rPr>
          <w:color w:val="auto"/>
          <w:highlight w:val="none"/>
        </w:rPr>
      </w:pPr>
      <w:r>
        <w:rPr>
          <w:color w:val="auto"/>
          <w:highlight w:val="none"/>
        </w:rPr>
        <w:t>工程造价控制工作</w:t>
      </w:r>
    </w:p>
    <w:p>
      <w:pPr>
        <w:pStyle w:val="20"/>
        <w:numPr>
          <w:ilvl w:val="0"/>
          <w:numId w:val="28"/>
        </w:numPr>
        <w:tabs>
          <w:tab w:val="left" w:pos="1220"/>
        </w:tabs>
        <w:spacing w:before="172" w:line="374" w:lineRule="auto"/>
        <w:ind w:right="227" w:firstLine="372"/>
        <w:rPr>
          <w:color w:val="auto"/>
          <w:sz w:val="24"/>
          <w:highlight w:val="none"/>
        </w:rPr>
      </w:pPr>
      <w:r>
        <w:rPr>
          <w:color w:val="auto"/>
          <w:sz w:val="24"/>
          <w:highlight w:val="none"/>
        </w:rPr>
        <w:t>项目监理机构应组织施工单位、造价单位、造价咨询单位、设计单位在限定时间完成清标工作；</w:t>
      </w:r>
    </w:p>
    <w:p>
      <w:pPr>
        <w:pStyle w:val="20"/>
        <w:numPr>
          <w:ilvl w:val="0"/>
          <w:numId w:val="28"/>
        </w:numPr>
        <w:tabs>
          <w:tab w:val="left" w:pos="1217"/>
        </w:tabs>
        <w:spacing w:before="1"/>
        <w:ind w:left="1216" w:hanging="622"/>
        <w:rPr>
          <w:color w:val="auto"/>
          <w:sz w:val="24"/>
          <w:highlight w:val="none"/>
        </w:rPr>
      </w:pPr>
      <w:r>
        <w:rPr>
          <w:color w:val="auto"/>
          <w:sz w:val="24"/>
          <w:highlight w:val="none"/>
        </w:rPr>
        <w:t>项目监理机构应按下列程序进行工程计量和工程款支付工作：</w:t>
      </w:r>
    </w:p>
    <w:p>
      <w:pPr>
        <w:pStyle w:val="20"/>
        <w:numPr>
          <w:ilvl w:val="1"/>
          <w:numId w:val="28"/>
        </w:numPr>
        <w:tabs>
          <w:tab w:val="left" w:pos="1092"/>
        </w:tabs>
        <w:spacing w:before="172"/>
        <w:rPr>
          <w:color w:val="auto"/>
          <w:sz w:val="24"/>
          <w:highlight w:val="none"/>
        </w:rPr>
      </w:pPr>
      <w:r>
        <w:rPr>
          <w:color w:val="auto"/>
          <w:sz w:val="24"/>
          <w:highlight w:val="none"/>
        </w:rPr>
        <w:t>监理人应每日统计承包人实际完成的工程量，并记录于监理日志中；</w:t>
      </w:r>
    </w:p>
    <w:p>
      <w:pPr>
        <w:pStyle w:val="20"/>
        <w:numPr>
          <w:ilvl w:val="1"/>
          <w:numId w:val="28"/>
        </w:numPr>
        <w:tabs>
          <w:tab w:val="left" w:pos="1086"/>
        </w:tabs>
        <w:spacing w:before="173" w:line="374" w:lineRule="auto"/>
        <w:ind w:left="223" w:right="233" w:firstLine="496"/>
        <w:rPr>
          <w:color w:val="auto"/>
          <w:sz w:val="24"/>
          <w:highlight w:val="none"/>
        </w:rPr>
      </w:pPr>
      <w:r>
        <w:rPr>
          <w:color w:val="auto"/>
          <w:sz w:val="24"/>
          <w:highlight w:val="none"/>
        </w:rPr>
        <w:t>专业监理工程师进行现场计量，复核当期验收合格的工程量，按施工合同的约定审核承包人提交的工程量清单和工程款支付申请表，并报总监理工程师审定；</w:t>
      </w:r>
    </w:p>
    <w:p>
      <w:pPr>
        <w:pStyle w:val="20"/>
        <w:numPr>
          <w:ilvl w:val="1"/>
          <w:numId w:val="28"/>
        </w:numPr>
        <w:tabs>
          <w:tab w:val="left" w:pos="1092"/>
        </w:tabs>
        <w:rPr>
          <w:color w:val="auto"/>
          <w:sz w:val="24"/>
          <w:highlight w:val="none"/>
        </w:rPr>
      </w:pPr>
      <w:r>
        <w:rPr>
          <w:color w:val="auto"/>
          <w:sz w:val="24"/>
          <w:highlight w:val="none"/>
        </w:rPr>
        <w:t>总监理工程师对工程量清单和工程款支付申请表进行复核，并报委托人；</w:t>
      </w:r>
    </w:p>
    <w:p>
      <w:pPr>
        <w:pStyle w:val="20"/>
        <w:numPr>
          <w:ilvl w:val="1"/>
          <w:numId w:val="28"/>
        </w:numPr>
        <w:tabs>
          <w:tab w:val="left" w:pos="1092"/>
        </w:tabs>
        <w:spacing w:before="173"/>
        <w:rPr>
          <w:color w:val="auto"/>
          <w:sz w:val="24"/>
          <w:highlight w:val="none"/>
        </w:rPr>
      </w:pPr>
      <w:r>
        <w:rPr>
          <w:color w:val="auto"/>
          <w:sz w:val="24"/>
          <w:highlight w:val="none"/>
        </w:rPr>
        <w:t>提交月度分包工程支付建议书给委托人。</w:t>
      </w:r>
    </w:p>
    <w:p>
      <w:pPr>
        <w:pStyle w:val="20"/>
        <w:numPr>
          <w:ilvl w:val="0"/>
          <w:numId w:val="28"/>
        </w:numPr>
        <w:tabs>
          <w:tab w:val="left" w:pos="1220"/>
        </w:tabs>
        <w:spacing w:before="172" w:line="374" w:lineRule="auto"/>
        <w:ind w:right="227" w:firstLine="372"/>
        <w:rPr>
          <w:color w:val="auto"/>
          <w:sz w:val="24"/>
          <w:highlight w:val="none"/>
        </w:rPr>
      </w:pPr>
      <w:r>
        <w:rPr>
          <w:color w:val="auto"/>
          <w:sz w:val="24"/>
          <w:highlight w:val="none"/>
        </w:rPr>
        <w:t>项目监理机构应依据施工合同有关条款、施工图，对工程项目造价目标进行风险分析，并应制定防范性对策。</w:t>
      </w:r>
    </w:p>
    <w:p>
      <w:pPr>
        <w:pStyle w:val="20"/>
        <w:numPr>
          <w:ilvl w:val="0"/>
          <w:numId w:val="28"/>
        </w:numPr>
        <w:tabs>
          <w:tab w:val="left" w:pos="1220"/>
        </w:tabs>
        <w:spacing w:before="1" w:line="374" w:lineRule="auto"/>
        <w:ind w:right="227" w:firstLine="372"/>
        <w:rPr>
          <w:color w:val="auto"/>
          <w:sz w:val="24"/>
          <w:highlight w:val="none"/>
        </w:rPr>
      </w:pPr>
      <w:r>
        <w:rPr>
          <w:color w:val="auto"/>
          <w:sz w:val="24"/>
          <w:highlight w:val="none"/>
        </w:rPr>
        <w:t>项目监理机构应按施工合同约定的工程量计算规则和支付条款进行工程量计量和工程款支付。</w:t>
      </w:r>
    </w:p>
    <w:p>
      <w:pPr>
        <w:pStyle w:val="20"/>
        <w:numPr>
          <w:ilvl w:val="0"/>
          <w:numId w:val="28"/>
        </w:numPr>
        <w:tabs>
          <w:tab w:val="left" w:pos="1220"/>
        </w:tabs>
        <w:spacing w:before="1" w:line="374" w:lineRule="auto"/>
        <w:ind w:right="227" w:firstLine="372"/>
        <w:rPr>
          <w:color w:val="auto"/>
          <w:sz w:val="24"/>
          <w:highlight w:val="none"/>
        </w:rPr>
      </w:pPr>
      <w:r>
        <w:rPr>
          <w:color w:val="auto"/>
          <w:sz w:val="24"/>
          <w:highlight w:val="none"/>
        </w:rPr>
        <w:t>专业监理工程师应及时建立月完成工程量和工作量统计表，对实际完成量与计划完成量进行比较、分析，制定调整措施，并应在监理月报中向委托人报告。</w:t>
      </w:r>
    </w:p>
    <w:p>
      <w:pPr>
        <w:pStyle w:val="20"/>
        <w:numPr>
          <w:ilvl w:val="0"/>
          <w:numId w:val="28"/>
        </w:numPr>
        <w:tabs>
          <w:tab w:val="left" w:pos="1220"/>
        </w:tabs>
        <w:spacing w:before="58" w:line="374" w:lineRule="auto"/>
        <w:ind w:right="235" w:firstLine="372"/>
        <w:rPr>
          <w:color w:val="auto"/>
          <w:sz w:val="24"/>
          <w:highlight w:val="none"/>
        </w:rPr>
      </w:pPr>
      <w:r>
        <w:rPr>
          <w:color w:val="auto"/>
          <w:sz w:val="24"/>
          <w:highlight w:val="none"/>
        </w:rPr>
        <w:t>未经监理人员质量验收合格的工程量，或不符合施工合同规定的工程量，监理人员应拒绝计量和该部分的工程款支付申请。</w:t>
      </w:r>
    </w:p>
    <w:p>
      <w:pPr>
        <w:pStyle w:val="20"/>
        <w:numPr>
          <w:ilvl w:val="0"/>
          <w:numId w:val="28"/>
        </w:numPr>
        <w:tabs>
          <w:tab w:val="left" w:pos="1217"/>
        </w:tabs>
        <w:spacing w:before="1"/>
        <w:ind w:left="1216" w:hanging="622"/>
        <w:rPr>
          <w:color w:val="auto"/>
          <w:sz w:val="24"/>
          <w:highlight w:val="none"/>
        </w:rPr>
      </w:pPr>
      <w:r>
        <w:rPr>
          <w:color w:val="auto"/>
          <w:sz w:val="24"/>
          <w:highlight w:val="none"/>
        </w:rPr>
        <w:t>工程变更的管理</w:t>
      </w:r>
    </w:p>
    <w:p>
      <w:pPr>
        <w:pStyle w:val="3"/>
        <w:spacing w:before="172" w:line="374" w:lineRule="auto"/>
        <w:ind w:right="108" w:firstLine="496"/>
        <w:rPr>
          <w:color w:val="auto"/>
          <w:highlight w:val="none"/>
        </w:rPr>
      </w:pPr>
      <w:r>
        <w:rPr>
          <w:color w:val="auto"/>
          <w:highlight w:val="none"/>
        </w:rPr>
        <w:t>总监理工程师应从造价、项目的功能要求、质量和工期等方面审查工程变更的方案， 并在工程变更实施前与委托人、承包人协商确定工程变更的价款。</w:t>
      </w:r>
    </w:p>
    <w:p>
      <w:pPr>
        <w:pStyle w:val="20"/>
        <w:numPr>
          <w:ilvl w:val="0"/>
          <w:numId w:val="29"/>
        </w:numPr>
        <w:tabs>
          <w:tab w:val="left" w:pos="1092"/>
        </w:tabs>
        <w:spacing w:before="1"/>
        <w:rPr>
          <w:color w:val="auto"/>
          <w:sz w:val="24"/>
          <w:highlight w:val="none"/>
        </w:rPr>
      </w:pPr>
      <w:r>
        <w:rPr>
          <w:color w:val="auto"/>
          <w:sz w:val="24"/>
          <w:highlight w:val="none"/>
        </w:rPr>
        <w:t>项目监理机构应按下列程序处理工程变更：</w:t>
      </w:r>
    </w:p>
    <w:p>
      <w:pPr>
        <w:pStyle w:val="3"/>
        <w:spacing w:before="132" w:line="362" w:lineRule="auto"/>
        <w:ind w:right="228" w:firstLine="576"/>
        <w:jc w:val="both"/>
        <w:rPr>
          <w:color w:val="auto"/>
          <w:highlight w:val="none"/>
        </w:rPr>
      </w:pPr>
      <w:r>
        <w:rPr>
          <w:color w:val="auto"/>
          <w:sz w:val="28"/>
          <w:highlight w:val="none"/>
        </w:rPr>
        <w:t xml:space="preserve">① </w:t>
      </w:r>
      <w:r>
        <w:rPr>
          <w:color w:val="auto"/>
          <w:highlight w:val="none"/>
        </w:rPr>
        <w:t>对承包人提出的工程变更，应提交总监理工程师，由总监理工程师组织专业监理工程师审查。审查同意后，应由委托人转交原设计单位编制设计变更文件。当工程变更涉及安全、环保等内容时，应按规定经有关部门审定。</w:t>
      </w:r>
    </w:p>
    <w:p>
      <w:pPr>
        <w:pStyle w:val="3"/>
        <w:spacing w:line="328" w:lineRule="exact"/>
        <w:ind w:left="799"/>
        <w:jc w:val="both"/>
        <w:rPr>
          <w:color w:val="auto"/>
          <w:highlight w:val="none"/>
        </w:rPr>
      </w:pPr>
      <w:r>
        <w:rPr>
          <w:color w:val="auto"/>
          <w:sz w:val="28"/>
          <w:highlight w:val="none"/>
        </w:rPr>
        <w:t xml:space="preserve">② </w:t>
      </w:r>
      <w:r>
        <w:rPr>
          <w:color w:val="auto"/>
          <w:highlight w:val="none"/>
        </w:rPr>
        <w:t>项目监理机构应了解实际情况和收集与工程变更有关的资料。</w:t>
      </w:r>
    </w:p>
    <w:p>
      <w:pPr>
        <w:pStyle w:val="3"/>
        <w:spacing w:before="122" w:line="362" w:lineRule="auto"/>
        <w:ind w:right="230" w:firstLine="559"/>
        <w:jc w:val="both"/>
        <w:rPr>
          <w:color w:val="auto"/>
          <w:highlight w:val="none"/>
        </w:rPr>
      </w:pPr>
      <w:r>
        <w:rPr>
          <w:color w:val="auto"/>
          <w:sz w:val="28"/>
          <w:highlight w:val="none"/>
        </w:rPr>
        <w:t xml:space="preserve">③ </w:t>
      </w:r>
      <w:r>
        <w:rPr>
          <w:color w:val="auto"/>
          <w:highlight w:val="none"/>
        </w:rPr>
        <w:t>总监理工程师必须根据实际情况、设计变更文件和其他有关资料，按照施工合同的有关条款，在指定专业监理工程师完成下列各项工作后，对工程变更的费用和工期作出评估：</w:t>
      </w:r>
    </w:p>
    <w:p>
      <w:pPr>
        <w:pStyle w:val="20"/>
        <w:numPr>
          <w:ilvl w:val="0"/>
          <w:numId w:val="30"/>
        </w:numPr>
        <w:tabs>
          <w:tab w:val="left" w:pos="1145"/>
        </w:tabs>
        <w:spacing w:before="9"/>
        <w:jc w:val="both"/>
        <w:rPr>
          <w:color w:val="auto"/>
          <w:sz w:val="24"/>
          <w:highlight w:val="none"/>
        </w:rPr>
      </w:pPr>
      <w:r>
        <w:rPr>
          <w:color w:val="auto"/>
          <w:sz w:val="24"/>
          <w:highlight w:val="none"/>
        </w:rPr>
        <w:t>审核工程变更项目与原工程项目之间的类似程度和难易程度；</w:t>
      </w:r>
    </w:p>
    <w:p>
      <w:pPr>
        <w:pStyle w:val="20"/>
        <w:numPr>
          <w:ilvl w:val="0"/>
          <w:numId w:val="30"/>
        </w:numPr>
        <w:tabs>
          <w:tab w:val="left" w:pos="1160"/>
        </w:tabs>
        <w:spacing w:before="173"/>
        <w:ind w:left="1159" w:hanging="318"/>
        <w:jc w:val="both"/>
        <w:rPr>
          <w:color w:val="auto"/>
          <w:sz w:val="24"/>
          <w:highlight w:val="none"/>
        </w:rPr>
      </w:pPr>
      <w:r>
        <w:rPr>
          <w:color w:val="auto"/>
          <w:sz w:val="24"/>
          <w:highlight w:val="none"/>
        </w:rPr>
        <w:t>审核工程变更项目的工程量；</w:t>
      </w:r>
    </w:p>
    <w:p>
      <w:pPr>
        <w:pStyle w:val="20"/>
        <w:numPr>
          <w:ilvl w:val="0"/>
          <w:numId w:val="30"/>
        </w:numPr>
        <w:tabs>
          <w:tab w:val="left" w:pos="1205"/>
        </w:tabs>
        <w:spacing w:before="172"/>
        <w:ind w:left="1204" w:hanging="363"/>
        <w:jc w:val="both"/>
        <w:rPr>
          <w:color w:val="auto"/>
          <w:sz w:val="24"/>
          <w:highlight w:val="none"/>
        </w:rPr>
      </w:pPr>
      <w:r>
        <w:rPr>
          <w:color w:val="auto"/>
          <w:sz w:val="24"/>
          <w:highlight w:val="none"/>
        </w:rPr>
        <w:t>审核工程变更的单价和总价；</w:t>
      </w:r>
    </w:p>
    <w:p>
      <w:pPr>
        <w:pStyle w:val="20"/>
        <w:numPr>
          <w:ilvl w:val="0"/>
          <w:numId w:val="30"/>
        </w:numPr>
        <w:tabs>
          <w:tab w:val="left" w:pos="1220"/>
        </w:tabs>
        <w:spacing w:before="173"/>
        <w:ind w:left="1219" w:hanging="378"/>
        <w:jc w:val="both"/>
        <w:rPr>
          <w:color w:val="auto"/>
          <w:sz w:val="24"/>
          <w:highlight w:val="none"/>
        </w:rPr>
      </w:pPr>
      <w:r>
        <w:rPr>
          <w:color w:val="auto"/>
          <w:sz w:val="24"/>
          <w:highlight w:val="none"/>
        </w:rPr>
        <w:t>审核工程变更所引起的工期变化。</w:t>
      </w:r>
    </w:p>
    <w:p>
      <w:pPr>
        <w:pStyle w:val="3"/>
        <w:spacing w:before="132"/>
        <w:ind w:left="799"/>
        <w:jc w:val="both"/>
        <w:rPr>
          <w:color w:val="auto"/>
          <w:highlight w:val="none"/>
        </w:rPr>
      </w:pPr>
      <w:r>
        <w:rPr>
          <w:color w:val="auto"/>
          <w:sz w:val="28"/>
          <w:highlight w:val="none"/>
        </w:rPr>
        <w:t xml:space="preserve">④ </w:t>
      </w:r>
      <w:r>
        <w:rPr>
          <w:color w:val="auto"/>
          <w:highlight w:val="none"/>
        </w:rPr>
        <w:t>总监理工程师应就工程变更费用及工期的评估情况与承包人和委托人进行协</w:t>
      </w:r>
    </w:p>
    <w:p>
      <w:pPr>
        <w:pStyle w:val="3"/>
        <w:spacing w:before="161"/>
        <w:rPr>
          <w:color w:val="auto"/>
          <w:highlight w:val="none"/>
        </w:rPr>
      </w:pPr>
      <w:r>
        <w:rPr>
          <w:color w:val="auto"/>
          <w:highlight w:val="none"/>
        </w:rPr>
        <w:t>调。</w:t>
      </w:r>
    </w:p>
    <w:p>
      <w:pPr>
        <w:pStyle w:val="3"/>
        <w:spacing w:before="133"/>
        <w:ind w:left="799"/>
        <w:rPr>
          <w:color w:val="auto"/>
          <w:highlight w:val="none"/>
        </w:rPr>
      </w:pPr>
      <w:r>
        <w:rPr>
          <w:color w:val="auto"/>
          <w:sz w:val="28"/>
          <w:highlight w:val="none"/>
        </w:rPr>
        <w:t xml:space="preserve">⑤ </w:t>
      </w:r>
      <w:r>
        <w:rPr>
          <w:color w:val="auto"/>
          <w:highlight w:val="none"/>
        </w:rPr>
        <w:t>总监理工程师签发工程变更单。工程变更单应包括工程变更要求、工程变更说</w:t>
      </w:r>
    </w:p>
    <w:p>
      <w:pPr>
        <w:pStyle w:val="3"/>
        <w:spacing w:before="161" w:line="374" w:lineRule="auto"/>
        <w:ind w:right="239"/>
        <w:rPr>
          <w:color w:val="auto"/>
          <w:highlight w:val="none"/>
        </w:rPr>
      </w:pPr>
      <w:r>
        <w:rPr>
          <w:color w:val="auto"/>
          <w:highlight w:val="none"/>
        </w:rPr>
        <w:t>明、工程变更费用和工期、必要的附件等内容，有设计变更文件的工程变更应附设计变更文件。</w:t>
      </w:r>
    </w:p>
    <w:p>
      <w:pPr>
        <w:pStyle w:val="3"/>
        <w:spacing w:line="319" w:lineRule="exact"/>
        <w:ind w:left="799"/>
        <w:rPr>
          <w:color w:val="auto"/>
          <w:highlight w:val="none"/>
        </w:rPr>
      </w:pPr>
      <w:r>
        <w:rPr>
          <w:color w:val="auto"/>
          <w:sz w:val="28"/>
          <w:highlight w:val="none"/>
        </w:rPr>
        <w:t xml:space="preserve">⑥ </w:t>
      </w:r>
      <w:r>
        <w:rPr>
          <w:color w:val="auto"/>
          <w:highlight w:val="none"/>
        </w:rPr>
        <w:t>项目监理机构应根据工程变更单监督承包人实施。</w:t>
      </w:r>
    </w:p>
    <w:p>
      <w:pPr>
        <w:pStyle w:val="20"/>
        <w:numPr>
          <w:ilvl w:val="0"/>
          <w:numId w:val="29"/>
        </w:numPr>
        <w:tabs>
          <w:tab w:val="left" w:pos="1092"/>
        </w:tabs>
        <w:spacing w:before="161"/>
        <w:rPr>
          <w:color w:val="auto"/>
          <w:sz w:val="24"/>
          <w:highlight w:val="none"/>
        </w:rPr>
      </w:pPr>
      <w:r>
        <w:rPr>
          <w:color w:val="auto"/>
          <w:sz w:val="24"/>
          <w:highlight w:val="none"/>
        </w:rPr>
        <w:t>项目监理机构处理工程变更应符合下列要求：</w:t>
      </w:r>
    </w:p>
    <w:p>
      <w:pPr>
        <w:pStyle w:val="3"/>
        <w:spacing w:before="133" w:line="362" w:lineRule="auto"/>
        <w:ind w:right="228" w:firstLine="576"/>
        <w:jc w:val="both"/>
        <w:rPr>
          <w:color w:val="auto"/>
          <w:highlight w:val="none"/>
        </w:rPr>
      </w:pPr>
      <w:r>
        <w:rPr>
          <w:color w:val="auto"/>
          <w:sz w:val="28"/>
          <w:highlight w:val="none"/>
        </w:rPr>
        <w:t xml:space="preserve">① </w:t>
      </w:r>
      <w:r>
        <w:rPr>
          <w:color w:val="auto"/>
          <w:highlight w:val="none"/>
        </w:rPr>
        <w:t>项目监理机构在工程变更的质量、费用和工期方面取得委托人授权后，应按施工合同规定与承包人进行协商，经协商达成一致后，总监理工程师应将协商结果向委托人通报，并由委托人与承包人在变更文件上签字；</w:t>
      </w:r>
    </w:p>
    <w:p>
      <w:pPr>
        <w:pStyle w:val="3"/>
        <w:spacing w:line="328" w:lineRule="exact"/>
        <w:ind w:left="799"/>
        <w:jc w:val="both"/>
        <w:rPr>
          <w:color w:val="auto"/>
          <w:highlight w:val="none"/>
        </w:rPr>
      </w:pPr>
      <w:r>
        <w:rPr>
          <w:color w:val="auto"/>
          <w:sz w:val="28"/>
          <w:highlight w:val="none"/>
        </w:rPr>
        <w:t xml:space="preserve">② </w:t>
      </w:r>
      <w:r>
        <w:rPr>
          <w:color w:val="auto"/>
          <w:highlight w:val="none"/>
        </w:rPr>
        <w:t>在项目监理机构未能就工程变更的质量、费用和工期方面取得委托人授权时，</w:t>
      </w:r>
    </w:p>
    <w:p>
      <w:pPr>
        <w:pStyle w:val="3"/>
        <w:spacing w:before="161"/>
        <w:rPr>
          <w:color w:val="auto"/>
          <w:highlight w:val="none"/>
        </w:rPr>
      </w:pPr>
      <w:r>
        <w:rPr>
          <w:color w:val="auto"/>
          <w:highlight w:val="none"/>
        </w:rPr>
        <w:t>总监理工程师应协助委托人和承包人进行协商，并达成一致；</w:t>
      </w:r>
    </w:p>
    <w:p>
      <w:pPr>
        <w:pStyle w:val="20"/>
        <w:numPr>
          <w:ilvl w:val="0"/>
          <w:numId w:val="29"/>
        </w:numPr>
        <w:tabs>
          <w:tab w:val="left" w:pos="1092"/>
        </w:tabs>
        <w:spacing w:before="173"/>
        <w:rPr>
          <w:color w:val="auto"/>
          <w:sz w:val="24"/>
          <w:highlight w:val="none"/>
        </w:rPr>
      </w:pPr>
      <w:r>
        <w:rPr>
          <w:color w:val="auto"/>
          <w:sz w:val="24"/>
          <w:highlight w:val="none"/>
        </w:rPr>
        <w:t>在总监理工程师签发工程变更单之前，承包人不得实施工程变更。</w:t>
      </w:r>
    </w:p>
    <w:p>
      <w:pPr>
        <w:pStyle w:val="20"/>
        <w:numPr>
          <w:ilvl w:val="0"/>
          <w:numId w:val="29"/>
        </w:numPr>
        <w:tabs>
          <w:tab w:val="left" w:pos="1092"/>
        </w:tabs>
        <w:spacing w:before="58"/>
        <w:rPr>
          <w:color w:val="auto"/>
          <w:sz w:val="24"/>
          <w:highlight w:val="none"/>
        </w:rPr>
      </w:pPr>
      <w:r>
        <w:rPr>
          <w:color w:val="auto"/>
          <w:sz w:val="24"/>
          <w:highlight w:val="none"/>
        </w:rPr>
        <w:t>未经总监理工程师审查同意而实施的工程变更，项目监理机构不得予以计量。</w:t>
      </w:r>
    </w:p>
    <w:p>
      <w:pPr>
        <w:pStyle w:val="20"/>
        <w:numPr>
          <w:ilvl w:val="0"/>
          <w:numId w:val="29"/>
        </w:numPr>
        <w:tabs>
          <w:tab w:val="left" w:pos="1222"/>
        </w:tabs>
        <w:spacing w:before="173"/>
        <w:ind w:left="1221" w:hanging="502"/>
        <w:rPr>
          <w:color w:val="auto"/>
          <w:sz w:val="24"/>
          <w:highlight w:val="none"/>
        </w:rPr>
      </w:pPr>
      <w:r>
        <w:rPr>
          <w:color w:val="auto"/>
          <w:sz w:val="24"/>
          <w:highlight w:val="none"/>
        </w:rPr>
        <w:t>监理人必须按月度提交项目造价变更统计表给委托人。</w:t>
      </w:r>
    </w:p>
    <w:p>
      <w:pPr>
        <w:pStyle w:val="20"/>
        <w:numPr>
          <w:ilvl w:val="0"/>
          <w:numId w:val="28"/>
        </w:numPr>
        <w:tabs>
          <w:tab w:val="left" w:pos="1217"/>
        </w:tabs>
        <w:spacing w:before="172"/>
        <w:ind w:left="1216" w:hanging="622"/>
        <w:rPr>
          <w:color w:val="auto"/>
          <w:sz w:val="24"/>
          <w:highlight w:val="none"/>
        </w:rPr>
      </w:pPr>
      <w:r>
        <w:rPr>
          <w:color w:val="auto"/>
          <w:sz w:val="24"/>
          <w:highlight w:val="none"/>
        </w:rPr>
        <w:t>工程签证的管理</w:t>
      </w:r>
    </w:p>
    <w:p>
      <w:pPr>
        <w:pStyle w:val="3"/>
        <w:spacing w:before="173" w:line="374" w:lineRule="auto"/>
        <w:ind w:right="108" w:firstLine="496"/>
        <w:rPr>
          <w:color w:val="auto"/>
          <w:highlight w:val="none"/>
        </w:rPr>
      </w:pPr>
      <w:r>
        <w:rPr>
          <w:color w:val="auto"/>
          <w:highlight w:val="none"/>
        </w:rPr>
        <w:t>按委托人工程签证管理的相关规定对工程的现场签证进行管理，因监理人把关不严， 致使该部分工程签证所发生的费用超过合理费用的（以政府结算终审部门审定价对照为准），由监理人按本合同专用条款第四条的有关约定承担违约责任。</w:t>
      </w:r>
    </w:p>
    <w:p>
      <w:pPr>
        <w:pStyle w:val="20"/>
        <w:numPr>
          <w:ilvl w:val="0"/>
          <w:numId w:val="28"/>
        </w:numPr>
        <w:tabs>
          <w:tab w:val="left" w:pos="1217"/>
        </w:tabs>
        <w:ind w:left="1216" w:hanging="622"/>
        <w:rPr>
          <w:color w:val="auto"/>
          <w:sz w:val="24"/>
          <w:highlight w:val="none"/>
        </w:rPr>
      </w:pPr>
      <w:r>
        <w:rPr>
          <w:color w:val="auto"/>
          <w:sz w:val="24"/>
          <w:highlight w:val="none"/>
        </w:rPr>
        <w:t>分段结算工作的管理</w:t>
      </w:r>
    </w:p>
    <w:p>
      <w:pPr>
        <w:pStyle w:val="20"/>
        <w:numPr>
          <w:ilvl w:val="0"/>
          <w:numId w:val="31"/>
        </w:numPr>
        <w:tabs>
          <w:tab w:val="left" w:pos="1086"/>
        </w:tabs>
        <w:spacing w:before="173" w:line="374" w:lineRule="auto"/>
        <w:ind w:right="239" w:firstLine="496"/>
        <w:jc w:val="both"/>
        <w:rPr>
          <w:color w:val="auto"/>
          <w:sz w:val="24"/>
          <w:highlight w:val="none"/>
        </w:rPr>
      </w:pPr>
      <w:r>
        <w:rPr>
          <w:color w:val="auto"/>
          <w:sz w:val="24"/>
          <w:highlight w:val="none"/>
        </w:rPr>
        <w:t>为确保本合同工程结算的顺利进行，甲方可能对本合同工程按分部分项或单位工程进行分段结算（单位工程、分部工程或分项工程），乙方在接到甲方关于分段结算配合工作的指令后 7 天内向甲方提交相关的分段结算配合服务工作计划，乙方应根据经过甲方批准的分段结算配合服务工作计划积极配合相关的分段结算工作。</w:t>
      </w:r>
    </w:p>
    <w:p>
      <w:pPr>
        <w:pStyle w:val="20"/>
        <w:numPr>
          <w:ilvl w:val="0"/>
          <w:numId w:val="31"/>
        </w:numPr>
        <w:tabs>
          <w:tab w:val="left" w:pos="1086"/>
        </w:tabs>
        <w:spacing w:before="1"/>
        <w:ind w:left="1085" w:hanging="367"/>
        <w:rPr>
          <w:color w:val="auto"/>
          <w:sz w:val="24"/>
          <w:highlight w:val="none"/>
        </w:rPr>
      </w:pPr>
      <w:r>
        <w:rPr>
          <w:color w:val="auto"/>
          <w:sz w:val="24"/>
          <w:highlight w:val="none"/>
        </w:rPr>
        <w:t>监理人应在承包人提交所完成的分部工程的结算文件（包括相关的结算资料）后</w:t>
      </w:r>
    </w:p>
    <w:p>
      <w:pPr>
        <w:pStyle w:val="3"/>
        <w:spacing w:before="173" w:line="374" w:lineRule="auto"/>
        <w:ind w:right="193"/>
        <w:rPr>
          <w:color w:val="auto"/>
          <w:highlight w:val="none"/>
        </w:rPr>
      </w:pPr>
      <w:r>
        <w:rPr>
          <w:color w:val="auto"/>
          <w:highlight w:val="none"/>
        </w:rPr>
        <w:t>15 天内完成分段结算的审核工作并将向委托人提交审核报告。如承包人未能在施工合同规定的期限内提交相关结算文件，监理人应立即报告委托人裁处。</w:t>
      </w:r>
    </w:p>
    <w:p>
      <w:pPr>
        <w:pStyle w:val="20"/>
        <w:numPr>
          <w:ilvl w:val="0"/>
          <w:numId w:val="31"/>
        </w:numPr>
        <w:tabs>
          <w:tab w:val="left" w:pos="1086"/>
        </w:tabs>
        <w:spacing w:line="374" w:lineRule="auto"/>
        <w:ind w:right="239" w:firstLine="496"/>
        <w:jc w:val="both"/>
        <w:rPr>
          <w:color w:val="auto"/>
          <w:sz w:val="24"/>
          <w:highlight w:val="none"/>
        </w:rPr>
      </w:pPr>
      <w:r>
        <w:rPr>
          <w:color w:val="auto"/>
          <w:sz w:val="24"/>
          <w:highlight w:val="none"/>
        </w:rPr>
        <w:t>如在施工过程中发生设计变更、新增工程等情况导致已经审定的分段结算的单位工程（分部或分项工程）发生变化的，监理人应在原审定的分段结算的基础上对变更、新增部分按本条约定的程序和要求进行结算审核，形成分段结算补充报告报送委托人。</w:t>
      </w:r>
    </w:p>
    <w:p>
      <w:pPr>
        <w:pStyle w:val="20"/>
        <w:numPr>
          <w:ilvl w:val="0"/>
          <w:numId w:val="31"/>
        </w:numPr>
        <w:tabs>
          <w:tab w:val="left" w:pos="1092"/>
        </w:tabs>
        <w:spacing w:before="1"/>
        <w:ind w:left="1092" w:hanging="373"/>
        <w:rPr>
          <w:color w:val="auto"/>
          <w:sz w:val="24"/>
          <w:highlight w:val="none"/>
        </w:rPr>
      </w:pPr>
      <w:r>
        <w:rPr>
          <w:color w:val="auto"/>
          <w:sz w:val="24"/>
          <w:highlight w:val="none"/>
        </w:rPr>
        <w:t>分段结算涉及到的资料（但不限于以下）：</w:t>
      </w:r>
    </w:p>
    <w:p>
      <w:pPr>
        <w:spacing w:before="133"/>
        <w:ind w:left="799"/>
        <w:rPr>
          <w:color w:val="auto"/>
          <w:sz w:val="24"/>
          <w:highlight w:val="none"/>
        </w:rPr>
      </w:pPr>
      <w:r>
        <w:rPr>
          <w:color w:val="auto"/>
          <w:sz w:val="28"/>
          <w:highlight w:val="none"/>
        </w:rPr>
        <w:t xml:space="preserve">① </w:t>
      </w:r>
      <w:r>
        <w:rPr>
          <w:color w:val="auto"/>
          <w:sz w:val="24"/>
          <w:highlight w:val="none"/>
        </w:rPr>
        <w:t>结算书；</w:t>
      </w:r>
    </w:p>
    <w:p>
      <w:pPr>
        <w:pStyle w:val="3"/>
        <w:spacing w:before="121"/>
        <w:ind w:left="799"/>
        <w:rPr>
          <w:color w:val="auto"/>
          <w:highlight w:val="none"/>
        </w:rPr>
      </w:pPr>
      <w:r>
        <w:rPr>
          <w:color w:val="auto"/>
          <w:sz w:val="28"/>
          <w:highlight w:val="none"/>
        </w:rPr>
        <w:t xml:space="preserve">② </w:t>
      </w:r>
      <w:r>
        <w:rPr>
          <w:color w:val="auto"/>
          <w:highlight w:val="none"/>
        </w:rPr>
        <w:t>工程量计算书（即计算底稿）；</w:t>
      </w:r>
    </w:p>
    <w:p>
      <w:pPr>
        <w:pStyle w:val="3"/>
        <w:spacing w:before="121"/>
        <w:ind w:left="799"/>
        <w:rPr>
          <w:color w:val="auto"/>
          <w:highlight w:val="none"/>
        </w:rPr>
      </w:pPr>
      <w:r>
        <w:rPr>
          <w:color w:val="auto"/>
          <w:sz w:val="28"/>
          <w:highlight w:val="none"/>
        </w:rPr>
        <w:t xml:space="preserve">③ </w:t>
      </w:r>
      <w:r>
        <w:rPr>
          <w:color w:val="auto"/>
          <w:highlight w:val="none"/>
        </w:rPr>
        <w:t>钢筋抽料表（建筑、市政、园林景观等工程适用）；</w:t>
      </w:r>
    </w:p>
    <w:p>
      <w:pPr>
        <w:spacing w:before="121"/>
        <w:ind w:left="799"/>
        <w:rPr>
          <w:color w:val="auto"/>
          <w:sz w:val="24"/>
          <w:highlight w:val="none"/>
        </w:rPr>
      </w:pPr>
      <w:r>
        <w:rPr>
          <w:color w:val="auto"/>
          <w:sz w:val="28"/>
          <w:highlight w:val="none"/>
        </w:rPr>
        <w:t xml:space="preserve">④ </w:t>
      </w:r>
      <w:r>
        <w:rPr>
          <w:color w:val="auto"/>
          <w:sz w:val="24"/>
          <w:highlight w:val="none"/>
        </w:rPr>
        <w:t>图纸会审记录；</w:t>
      </w:r>
    </w:p>
    <w:p>
      <w:pPr>
        <w:spacing w:before="122"/>
        <w:ind w:left="799"/>
        <w:rPr>
          <w:color w:val="auto"/>
          <w:sz w:val="24"/>
          <w:highlight w:val="none"/>
        </w:rPr>
      </w:pPr>
      <w:r>
        <w:rPr>
          <w:color w:val="auto"/>
          <w:sz w:val="28"/>
          <w:highlight w:val="none"/>
        </w:rPr>
        <w:t xml:space="preserve">⑤ </w:t>
      </w:r>
      <w:r>
        <w:rPr>
          <w:color w:val="auto"/>
          <w:sz w:val="24"/>
          <w:highlight w:val="none"/>
        </w:rPr>
        <w:t>设计变更单；</w:t>
      </w:r>
    </w:p>
    <w:p>
      <w:pPr>
        <w:spacing w:before="121"/>
        <w:ind w:left="799"/>
        <w:rPr>
          <w:color w:val="auto"/>
          <w:sz w:val="24"/>
          <w:highlight w:val="none"/>
        </w:rPr>
      </w:pPr>
      <w:r>
        <w:rPr>
          <w:color w:val="auto"/>
          <w:sz w:val="28"/>
          <w:highlight w:val="none"/>
        </w:rPr>
        <w:t xml:space="preserve">⑥ </w:t>
      </w:r>
      <w:r>
        <w:rPr>
          <w:color w:val="auto"/>
          <w:sz w:val="24"/>
          <w:highlight w:val="none"/>
        </w:rPr>
        <w:t>工程洽商记录；</w:t>
      </w:r>
    </w:p>
    <w:p>
      <w:pPr>
        <w:pStyle w:val="3"/>
        <w:spacing w:before="121"/>
        <w:ind w:left="799"/>
        <w:rPr>
          <w:color w:val="auto"/>
          <w:highlight w:val="none"/>
        </w:rPr>
      </w:pPr>
      <w:r>
        <w:rPr>
          <w:color w:val="auto"/>
          <w:sz w:val="28"/>
          <w:highlight w:val="none"/>
        </w:rPr>
        <w:t xml:space="preserve">⑦ </w:t>
      </w:r>
      <w:r>
        <w:rPr>
          <w:color w:val="auto"/>
          <w:highlight w:val="none"/>
        </w:rPr>
        <w:t>总监理工程师通知或委托人施工指令；</w:t>
      </w:r>
    </w:p>
    <w:p>
      <w:pPr>
        <w:spacing w:before="121"/>
        <w:ind w:left="799"/>
        <w:rPr>
          <w:color w:val="auto"/>
          <w:sz w:val="24"/>
          <w:highlight w:val="none"/>
        </w:rPr>
      </w:pPr>
      <w:r>
        <w:rPr>
          <w:color w:val="auto"/>
          <w:sz w:val="28"/>
          <w:highlight w:val="none"/>
        </w:rPr>
        <w:t xml:space="preserve">⑧ </w:t>
      </w:r>
      <w:r>
        <w:rPr>
          <w:color w:val="auto"/>
          <w:sz w:val="24"/>
          <w:highlight w:val="none"/>
        </w:rPr>
        <w:t>会议纪要；</w:t>
      </w:r>
    </w:p>
    <w:p>
      <w:pPr>
        <w:spacing w:before="122"/>
        <w:ind w:left="799"/>
        <w:rPr>
          <w:color w:val="auto"/>
          <w:sz w:val="24"/>
          <w:highlight w:val="none"/>
        </w:rPr>
      </w:pPr>
      <w:r>
        <w:rPr>
          <w:color w:val="auto"/>
          <w:sz w:val="28"/>
          <w:highlight w:val="none"/>
        </w:rPr>
        <w:t xml:space="preserve">⑨ </w:t>
      </w:r>
      <w:r>
        <w:rPr>
          <w:color w:val="auto"/>
          <w:sz w:val="24"/>
          <w:highlight w:val="none"/>
        </w:rPr>
        <w:t>工程签证；</w:t>
      </w:r>
    </w:p>
    <w:p>
      <w:pPr>
        <w:pStyle w:val="3"/>
        <w:spacing w:before="121"/>
        <w:ind w:left="799"/>
        <w:rPr>
          <w:color w:val="auto"/>
          <w:sz w:val="28"/>
          <w:highlight w:val="none"/>
        </w:rPr>
      </w:pPr>
      <w:r>
        <w:rPr>
          <w:color w:val="auto"/>
          <w:sz w:val="28"/>
          <w:highlight w:val="none"/>
        </w:rPr>
        <w:t>⑩ 材料设备单价呈批审核单；</w:t>
      </w:r>
    </w:p>
    <w:p>
      <w:pPr>
        <w:pStyle w:val="3"/>
        <w:spacing w:before="121"/>
        <w:ind w:left="799"/>
        <w:rPr>
          <w:color w:val="auto"/>
          <w:sz w:val="28"/>
          <w:highlight w:val="none"/>
        </w:rPr>
      </w:pPr>
      <w:r>
        <w:rPr>
          <w:rFonts w:hint="eastAsia"/>
          <w:color w:val="auto"/>
          <w:sz w:val="28"/>
          <w:highlight w:val="none"/>
        </w:rPr>
        <w:t>⑪</w:t>
      </w:r>
      <w:r>
        <w:rPr>
          <w:color w:val="auto"/>
          <w:sz w:val="28"/>
          <w:highlight w:val="none"/>
        </w:rPr>
        <w:t xml:space="preserve"> 综合单价呈批审核单；</w:t>
      </w:r>
    </w:p>
    <w:p>
      <w:pPr>
        <w:pStyle w:val="3"/>
        <w:spacing w:before="121"/>
        <w:ind w:left="799"/>
        <w:rPr>
          <w:color w:val="auto"/>
          <w:sz w:val="28"/>
          <w:highlight w:val="none"/>
        </w:rPr>
      </w:pPr>
      <w:r>
        <w:rPr>
          <w:rFonts w:hint="eastAsia"/>
          <w:color w:val="auto"/>
          <w:sz w:val="28"/>
          <w:highlight w:val="none"/>
        </w:rPr>
        <w:t>⑫</w:t>
      </w:r>
      <w:r>
        <w:rPr>
          <w:color w:val="auto"/>
          <w:sz w:val="28"/>
          <w:highlight w:val="none"/>
        </w:rPr>
        <w:t xml:space="preserve"> 委托人供应材料收货验收签收单；</w:t>
      </w:r>
    </w:p>
    <w:p>
      <w:pPr>
        <w:pStyle w:val="3"/>
        <w:spacing w:before="121"/>
        <w:ind w:left="799"/>
        <w:rPr>
          <w:color w:val="auto"/>
          <w:sz w:val="28"/>
          <w:highlight w:val="none"/>
        </w:rPr>
      </w:pPr>
      <w:r>
        <w:rPr>
          <w:rFonts w:hint="eastAsia"/>
          <w:color w:val="auto"/>
          <w:sz w:val="28"/>
          <w:highlight w:val="none"/>
        </w:rPr>
        <w:t>⑬</w:t>
      </w:r>
      <w:r>
        <w:rPr>
          <w:color w:val="auto"/>
          <w:sz w:val="28"/>
          <w:highlight w:val="none"/>
        </w:rPr>
        <w:t xml:space="preserve"> 验收记录或验收报告；</w:t>
      </w:r>
    </w:p>
    <w:p>
      <w:pPr>
        <w:pStyle w:val="3"/>
        <w:spacing w:before="121"/>
        <w:ind w:left="799"/>
        <w:rPr>
          <w:color w:val="auto"/>
          <w:sz w:val="28"/>
          <w:highlight w:val="none"/>
        </w:rPr>
      </w:pPr>
      <w:r>
        <w:rPr>
          <w:rFonts w:hint="eastAsia"/>
          <w:color w:val="auto"/>
          <w:sz w:val="28"/>
          <w:highlight w:val="none"/>
        </w:rPr>
        <w:t>⑭</w:t>
      </w:r>
      <w:r>
        <w:rPr>
          <w:color w:val="auto"/>
          <w:sz w:val="28"/>
          <w:highlight w:val="none"/>
        </w:rPr>
        <w:t xml:space="preserve"> 其他分段结算资料；</w:t>
      </w:r>
    </w:p>
    <w:p>
      <w:pPr>
        <w:pStyle w:val="3"/>
        <w:spacing w:before="121"/>
        <w:ind w:left="799"/>
        <w:rPr>
          <w:color w:val="auto"/>
          <w:sz w:val="28"/>
          <w:highlight w:val="none"/>
        </w:rPr>
      </w:pPr>
      <w:r>
        <w:rPr>
          <w:rFonts w:hint="eastAsia"/>
          <w:color w:val="auto"/>
          <w:sz w:val="28"/>
          <w:highlight w:val="none"/>
        </w:rPr>
        <w:t>⑮</w:t>
      </w:r>
      <w:r>
        <w:rPr>
          <w:color w:val="auto"/>
          <w:sz w:val="28"/>
          <w:highlight w:val="none"/>
        </w:rPr>
        <w:t xml:space="preserve"> 移交资料签收表。</w:t>
      </w:r>
    </w:p>
    <w:p>
      <w:pPr>
        <w:pStyle w:val="12"/>
        <w:numPr>
          <w:ilvl w:val="3"/>
          <w:numId w:val="16"/>
        </w:numPr>
        <w:tabs>
          <w:tab w:val="left" w:pos="1665"/>
          <w:tab w:val="left" w:pos="1666"/>
        </w:tabs>
        <w:spacing w:before="98"/>
        <w:rPr>
          <w:color w:val="auto"/>
          <w:highlight w:val="none"/>
        </w:rPr>
      </w:pPr>
      <w:r>
        <w:rPr>
          <w:color w:val="auto"/>
          <w:highlight w:val="none"/>
        </w:rPr>
        <w:t>工程进度控制工作</w:t>
      </w:r>
    </w:p>
    <w:p>
      <w:pPr>
        <w:pStyle w:val="20"/>
        <w:numPr>
          <w:ilvl w:val="0"/>
          <w:numId w:val="32"/>
        </w:numPr>
        <w:tabs>
          <w:tab w:val="left" w:pos="1217"/>
        </w:tabs>
        <w:spacing w:before="173"/>
        <w:rPr>
          <w:color w:val="auto"/>
          <w:sz w:val="24"/>
          <w:highlight w:val="none"/>
        </w:rPr>
      </w:pPr>
      <w:r>
        <w:rPr>
          <w:color w:val="auto"/>
          <w:sz w:val="24"/>
          <w:highlight w:val="none"/>
        </w:rPr>
        <w:t>项目监理机构应按下列程序进行工程进度控制：</w:t>
      </w:r>
    </w:p>
    <w:p>
      <w:pPr>
        <w:pStyle w:val="20"/>
        <w:numPr>
          <w:ilvl w:val="1"/>
          <w:numId w:val="32"/>
        </w:numPr>
        <w:tabs>
          <w:tab w:val="left" w:pos="1092"/>
        </w:tabs>
        <w:spacing w:before="172"/>
        <w:rPr>
          <w:color w:val="auto"/>
          <w:sz w:val="24"/>
          <w:highlight w:val="none"/>
        </w:rPr>
      </w:pPr>
      <w:r>
        <w:rPr>
          <w:color w:val="auto"/>
          <w:sz w:val="24"/>
          <w:highlight w:val="none"/>
        </w:rPr>
        <w:t>总监理工程师审批承包人报送的施工总进度计划；</w:t>
      </w:r>
    </w:p>
    <w:p>
      <w:pPr>
        <w:pStyle w:val="20"/>
        <w:numPr>
          <w:ilvl w:val="1"/>
          <w:numId w:val="32"/>
        </w:numPr>
        <w:tabs>
          <w:tab w:val="left" w:pos="1092"/>
        </w:tabs>
        <w:spacing w:before="173"/>
        <w:rPr>
          <w:color w:val="auto"/>
          <w:sz w:val="24"/>
          <w:highlight w:val="none"/>
        </w:rPr>
      </w:pPr>
      <w:r>
        <w:rPr>
          <w:color w:val="auto"/>
          <w:sz w:val="24"/>
          <w:highlight w:val="none"/>
        </w:rPr>
        <w:t>总监理工程师审批承包人编制的年、季、月度施工进度计划；</w:t>
      </w:r>
    </w:p>
    <w:p>
      <w:pPr>
        <w:pStyle w:val="20"/>
        <w:numPr>
          <w:ilvl w:val="1"/>
          <w:numId w:val="32"/>
        </w:numPr>
        <w:tabs>
          <w:tab w:val="left" w:pos="1092"/>
        </w:tabs>
        <w:spacing w:before="172"/>
        <w:rPr>
          <w:color w:val="auto"/>
          <w:sz w:val="24"/>
          <w:highlight w:val="none"/>
        </w:rPr>
      </w:pPr>
      <w:r>
        <w:rPr>
          <w:color w:val="auto"/>
          <w:sz w:val="24"/>
          <w:highlight w:val="none"/>
        </w:rPr>
        <w:t>专业监理工程师对进度计划实施情况检查、分析；</w:t>
      </w:r>
    </w:p>
    <w:p>
      <w:pPr>
        <w:pStyle w:val="20"/>
        <w:numPr>
          <w:ilvl w:val="1"/>
          <w:numId w:val="32"/>
        </w:numPr>
        <w:tabs>
          <w:tab w:val="left" w:pos="1086"/>
        </w:tabs>
        <w:spacing w:before="173" w:line="374" w:lineRule="auto"/>
        <w:ind w:left="223" w:right="238" w:firstLine="496"/>
        <w:rPr>
          <w:color w:val="auto"/>
          <w:sz w:val="24"/>
          <w:highlight w:val="none"/>
        </w:rPr>
      </w:pPr>
      <w:r>
        <w:rPr>
          <w:color w:val="auto"/>
          <w:sz w:val="24"/>
          <w:highlight w:val="none"/>
        </w:rPr>
        <w:t>当实际进度符合计划进度时，应要求承包人编制下一期进度计划；当实际进度滞后于计划进度时，专业监理工程师应书面通知承包人采取纠偏措施并监督实施。</w:t>
      </w:r>
    </w:p>
    <w:p>
      <w:pPr>
        <w:pStyle w:val="20"/>
        <w:numPr>
          <w:ilvl w:val="0"/>
          <w:numId w:val="32"/>
        </w:numPr>
        <w:tabs>
          <w:tab w:val="left" w:pos="1220"/>
        </w:tabs>
        <w:spacing w:line="374" w:lineRule="auto"/>
        <w:ind w:left="223" w:right="227" w:firstLine="372"/>
        <w:jc w:val="both"/>
        <w:rPr>
          <w:color w:val="auto"/>
          <w:sz w:val="24"/>
          <w:highlight w:val="none"/>
        </w:rPr>
      </w:pPr>
      <w:r>
        <w:rPr>
          <w:color w:val="auto"/>
          <w:sz w:val="24"/>
          <w:highlight w:val="none"/>
        </w:rPr>
        <w:t>专业监理工程师应依据施工合同有关条款、施工图及经过批准的施工组织设计制定进度控制方案，对进度目标进行风险分析，制定防范性对策，经总监理工程师审定后报送委托人。</w:t>
      </w:r>
    </w:p>
    <w:p>
      <w:pPr>
        <w:pStyle w:val="20"/>
        <w:numPr>
          <w:ilvl w:val="0"/>
          <w:numId w:val="32"/>
        </w:numPr>
        <w:tabs>
          <w:tab w:val="left" w:pos="1217"/>
        </w:tabs>
        <w:spacing w:before="1"/>
        <w:rPr>
          <w:color w:val="auto"/>
          <w:sz w:val="24"/>
          <w:highlight w:val="none"/>
        </w:rPr>
      </w:pPr>
      <w:r>
        <w:rPr>
          <w:color w:val="auto"/>
          <w:sz w:val="24"/>
          <w:highlight w:val="none"/>
        </w:rPr>
        <w:t>专业监理工程师应检查进度计划的实施，并记录实际进度及其相关情况。</w:t>
      </w:r>
    </w:p>
    <w:p>
      <w:pPr>
        <w:pStyle w:val="20"/>
        <w:numPr>
          <w:ilvl w:val="0"/>
          <w:numId w:val="32"/>
        </w:numPr>
        <w:tabs>
          <w:tab w:val="left" w:pos="1217"/>
        </w:tabs>
        <w:spacing w:before="173"/>
        <w:rPr>
          <w:color w:val="auto"/>
          <w:sz w:val="24"/>
          <w:highlight w:val="none"/>
        </w:rPr>
      </w:pPr>
      <w:r>
        <w:rPr>
          <w:color w:val="auto"/>
          <w:sz w:val="24"/>
          <w:highlight w:val="none"/>
        </w:rPr>
        <w:t>施工阶段的工程进度控制中的其他监理工作</w:t>
      </w:r>
    </w:p>
    <w:p>
      <w:pPr>
        <w:pStyle w:val="3"/>
        <w:spacing w:before="172" w:line="374" w:lineRule="auto"/>
        <w:ind w:right="227" w:firstLine="496"/>
        <w:jc w:val="both"/>
        <w:rPr>
          <w:color w:val="auto"/>
          <w:highlight w:val="none"/>
        </w:rPr>
      </w:pPr>
      <w:r>
        <w:rPr>
          <w:color w:val="auto"/>
          <w:highlight w:val="none"/>
        </w:rPr>
        <w:t>当发现实际进度滞后于计划进度时，应签发监理工程师通知单指令承包人采取调整措施。当实际进度严重滞后于计划进度时应及时报总监理工程师，由总监理工程师与委托人商定采取进一步措施。</w:t>
      </w:r>
    </w:p>
    <w:p>
      <w:pPr>
        <w:pStyle w:val="3"/>
        <w:spacing w:before="1" w:line="374" w:lineRule="auto"/>
        <w:ind w:right="227" w:firstLine="496"/>
        <w:rPr>
          <w:color w:val="auto"/>
          <w:highlight w:val="none"/>
        </w:rPr>
      </w:pPr>
      <w:r>
        <w:rPr>
          <w:color w:val="auto"/>
          <w:highlight w:val="none"/>
        </w:rPr>
        <w:t>总监理工程师应在监理月报中向委托人报告工程进度和所采取进度控制措施的执行情况，并提出合理预防由于委托人原因导致的工程延期及其相关费用索赔的建议。</w:t>
      </w:r>
    </w:p>
    <w:p>
      <w:pPr>
        <w:pStyle w:val="12"/>
        <w:numPr>
          <w:ilvl w:val="3"/>
          <w:numId w:val="16"/>
        </w:numPr>
        <w:tabs>
          <w:tab w:val="left" w:pos="1665"/>
          <w:tab w:val="left" w:pos="1666"/>
        </w:tabs>
        <w:spacing w:before="1"/>
        <w:rPr>
          <w:color w:val="auto"/>
          <w:highlight w:val="none"/>
        </w:rPr>
      </w:pPr>
      <w:r>
        <w:rPr>
          <w:color w:val="auto"/>
          <w:highlight w:val="none"/>
        </w:rPr>
        <w:t>工程职业健康安全控制工作</w:t>
      </w:r>
    </w:p>
    <w:p>
      <w:pPr>
        <w:pStyle w:val="20"/>
        <w:numPr>
          <w:ilvl w:val="0"/>
          <w:numId w:val="33"/>
        </w:numPr>
        <w:tabs>
          <w:tab w:val="left" w:pos="1217"/>
        </w:tabs>
        <w:spacing w:before="172"/>
        <w:rPr>
          <w:color w:val="auto"/>
          <w:sz w:val="24"/>
          <w:highlight w:val="none"/>
        </w:rPr>
      </w:pPr>
      <w:r>
        <w:rPr>
          <w:color w:val="auto"/>
          <w:sz w:val="24"/>
          <w:highlight w:val="none"/>
        </w:rPr>
        <w:t>工程职业健康安全控制应遵循下列程序：</w:t>
      </w:r>
    </w:p>
    <w:p>
      <w:pPr>
        <w:pStyle w:val="20"/>
        <w:numPr>
          <w:ilvl w:val="1"/>
          <w:numId w:val="33"/>
        </w:numPr>
        <w:tabs>
          <w:tab w:val="left" w:pos="1092"/>
        </w:tabs>
        <w:spacing w:before="173"/>
        <w:rPr>
          <w:color w:val="auto"/>
          <w:sz w:val="24"/>
          <w:highlight w:val="none"/>
        </w:rPr>
      </w:pPr>
      <w:r>
        <w:rPr>
          <w:color w:val="auto"/>
          <w:sz w:val="24"/>
          <w:highlight w:val="none"/>
        </w:rPr>
        <w:t>确定施工职业健康安全目标；</w:t>
      </w:r>
    </w:p>
    <w:p>
      <w:pPr>
        <w:pStyle w:val="20"/>
        <w:numPr>
          <w:ilvl w:val="1"/>
          <w:numId w:val="33"/>
        </w:numPr>
        <w:tabs>
          <w:tab w:val="left" w:pos="1092"/>
        </w:tabs>
        <w:spacing w:before="172"/>
        <w:rPr>
          <w:color w:val="auto"/>
          <w:sz w:val="24"/>
          <w:highlight w:val="none"/>
        </w:rPr>
      </w:pPr>
      <w:r>
        <w:rPr>
          <w:color w:val="auto"/>
          <w:sz w:val="24"/>
          <w:highlight w:val="none"/>
        </w:rPr>
        <w:t>编制工程职业健康安全保证计划；</w:t>
      </w:r>
    </w:p>
    <w:p>
      <w:pPr>
        <w:pStyle w:val="20"/>
        <w:numPr>
          <w:ilvl w:val="1"/>
          <w:numId w:val="33"/>
        </w:numPr>
        <w:tabs>
          <w:tab w:val="left" w:pos="1092"/>
        </w:tabs>
        <w:spacing w:before="173"/>
        <w:rPr>
          <w:color w:val="auto"/>
          <w:sz w:val="24"/>
          <w:highlight w:val="none"/>
        </w:rPr>
      </w:pPr>
      <w:r>
        <w:rPr>
          <w:color w:val="auto"/>
          <w:sz w:val="24"/>
          <w:highlight w:val="none"/>
        </w:rPr>
        <w:t>实施工程职业健康安全计划；</w:t>
      </w:r>
    </w:p>
    <w:p>
      <w:pPr>
        <w:pStyle w:val="20"/>
        <w:numPr>
          <w:ilvl w:val="1"/>
          <w:numId w:val="33"/>
        </w:numPr>
        <w:tabs>
          <w:tab w:val="left" w:pos="1092"/>
        </w:tabs>
        <w:spacing w:before="172"/>
        <w:rPr>
          <w:color w:val="auto"/>
          <w:sz w:val="24"/>
          <w:highlight w:val="none"/>
        </w:rPr>
      </w:pPr>
      <w:r>
        <w:rPr>
          <w:color w:val="auto"/>
          <w:sz w:val="24"/>
          <w:highlight w:val="none"/>
        </w:rPr>
        <w:t>工程职业健康安全保证计划验证；</w:t>
      </w:r>
    </w:p>
    <w:p>
      <w:pPr>
        <w:pStyle w:val="20"/>
        <w:numPr>
          <w:ilvl w:val="1"/>
          <w:numId w:val="33"/>
        </w:numPr>
        <w:tabs>
          <w:tab w:val="left" w:pos="1092"/>
        </w:tabs>
        <w:spacing w:before="173"/>
        <w:rPr>
          <w:color w:val="auto"/>
          <w:sz w:val="24"/>
          <w:highlight w:val="none"/>
        </w:rPr>
      </w:pPr>
      <w:r>
        <w:rPr>
          <w:color w:val="auto"/>
          <w:sz w:val="24"/>
          <w:highlight w:val="none"/>
        </w:rPr>
        <w:t>持续改进。</w:t>
      </w:r>
    </w:p>
    <w:p>
      <w:pPr>
        <w:pStyle w:val="20"/>
        <w:numPr>
          <w:ilvl w:val="0"/>
          <w:numId w:val="33"/>
        </w:numPr>
        <w:tabs>
          <w:tab w:val="left" w:pos="1220"/>
        </w:tabs>
        <w:spacing w:before="172" w:line="374" w:lineRule="auto"/>
        <w:ind w:left="223" w:right="227" w:firstLine="372"/>
        <w:rPr>
          <w:color w:val="auto"/>
          <w:sz w:val="24"/>
          <w:highlight w:val="none"/>
        </w:rPr>
      </w:pPr>
      <w:r>
        <w:rPr>
          <w:color w:val="auto"/>
          <w:sz w:val="24"/>
          <w:highlight w:val="none"/>
        </w:rPr>
        <w:t>编制安全监理实施细则，对施工中人的不安全行为、物的不安全状态、作业环境的不安全因素和管理缺陷进行相应的安全控制。</w:t>
      </w:r>
    </w:p>
    <w:p>
      <w:pPr>
        <w:pStyle w:val="20"/>
        <w:numPr>
          <w:ilvl w:val="0"/>
          <w:numId w:val="33"/>
        </w:numPr>
        <w:tabs>
          <w:tab w:val="left" w:pos="1217"/>
        </w:tabs>
        <w:spacing w:before="1"/>
        <w:rPr>
          <w:color w:val="auto"/>
          <w:sz w:val="24"/>
          <w:highlight w:val="none"/>
        </w:rPr>
      </w:pPr>
      <w:r>
        <w:rPr>
          <w:color w:val="auto"/>
          <w:sz w:val="24"/>
          <w:highlight w:val="none"/>
        </w:rPr>
        <w:t>检查项目施工安全目标的要求配置的资源是否满足需要。</w:t>
      </w:r>
    </w:p>
    <w:p>
      <w:pPr>
        <w:pStyle w:val="20"/>
        <w:numPr>
          <w:ilvl w:val="0"/>
          <w:numId w:val="33"/>
        </w:numPr>
        <w:tabs>
          <w:tab w:val="left" w:pos="1220"/>
        </w:tabs>
        <w:spacing w:before="58" w:line="374" w:lineRule="auto"/>
        <w:ind w:left="223" w:right="227" w:firstLine="372"/>
        <w:rPr>
          <w:color w:val="auto"/>
          <w:sz w:val="24"/>
          <w:highlight w:val="none"/>
        </w:rPr>
      </w:pPr>
      <w:r>
        <w:rPr>
          <w:color w:val="auto"/>
          <w:sz w:val="24"/>
          <w:highlight w:val="none"/>
        </w:rPr>
        <w:t>要求承包人对结构复杂、施工难度大、专业性强的项目和达到一定规模的危险性较大的分部分项工程编制专项施工方案，必要时，组织专家进行论证、审查：</w:t>
      </w:r>
    </w:p>
    <w:p>
      <w:pPr>
        <w:pStyle w:val="20"/>
        <w:numPr>
          <w:ilvl w:val="0"/>
          <w:numId w:val="34"/>
        </w:numPr>
        <w:tabs>
          <w:tab w:val="left" w:pos="1092"/>
        </w:tabs>
        <w:spacing w:before="1"/>
        <w:rPr>
          <w:color w:val="auto"/>
          <w:sz w:val="24"/>
          <w:highlight w:val="none"/>
        </w:rPr>
      </w:pPr>
      <w:r>
        <w:rPr>
          <w:color w:val="auto"/>
          <w:sz w:val="24"/>
          <w:highlight w:val="none"/>
        </w:rPr>
        <w:t>基坑支护及降水工程；</w:t>
      </w:r>
    </w:p>
    <w:p>
      <w:pPr>
        <w:pStyle w:val="20"/>
        <w:numPr>
          <w:ilvl w:val="0"/>
          <w:numId w:val="34"/>
        </w:numPr>
        <w:tabs>
          <w:tab w:val="left" w:pos="1092"/>
        </w:tabs>
        <w:spacing w:before="172"/>
        <w:rPr>
          <w:color w:val="auto"/>
          <w:sz w:val="24"/>
          <w:highlight w:val="none"/>
        </w:rPr>
      </w:pPr>
      <w:r>
        <w:rPr>
          <w:color w:val="auto"/>
          <w:sz w:val="24"/>
          <w:highlight w:val="none"/>
        </w:rPr>
        <w:t>土方开挖工程；</w:t>
      </w:r>
    </w:p>
    <w:p>
      <w:pPr>
        <w:pStyle w:val="20"/>
        <w:numPr>
          <w:ilvl w:val="0"/>
          <w:numId w:val="34"/>
        </w:numPr>
        <w:tabs>
          <w:tab w:val="left" w:pos="1092"/>
        </w:tabs>
        <w:spacing w:before="173"/>
        <w:rPr>
          <w:color w:val="auto"/>
          <w:sz w:val="24"/>
          <w:highlight w:val="none"/>
        </w:rPr>
      </w:pPr>
      <w:r>
        <w:rPr>
          <w:color w:val="auto"/>
          <w:sz w:val="24"/>
          <w:highlight w:val="none"/>
        </w:rPr>
        <w:t>模板工程；</w:t>
      </w:r>
    </w:p>
    <w:p>
      <w:pPr>
        <w:pStyle w:val="20"/>
        <w:numPr>
          <w:ilvl w:val="0"/>
          <w:numId w:val="34"/>
        </w:numPr>
        <w:tabs>
          <w:tab w:val="left" w:pos="1092"/>
        </w:tabs>
        <w:spacing w:before="172"/>
        <w:rPr>
          <w:color w:val="auto"/>
          <w:sz w:val="24"/>
          <w:highlight w:val="none"/>
        </w:rPr>
      </w:pPr>
      <w:r>
        <w:rPr>
          <w:color w:val="auto"/>
          <w:sz w:val="24"/>
          <w:highlight w:val="none"/>
        </w:rPr>
        <w:t>起重吊装工程；</w:t>
      </w:r>
    </w:p>
    <w:p>
      <w:pPr>
        <w:pStyle w:val="20"/>
        <w:numPr>
          <w:ilvl w:val="0"/>
          <w:numId w:val="34"/>
        </w:numPr>
        <w:tabs>
          <w:tab w:val="left" w:pos="1092"/>
        </w:tabs>
        <w:spacing w:before="173"/>
        <w:rPr>
          <w:color w:val="auto"/>
          <w:sz w:val="24"/>
          <w:highlight w:val="none"/>
        </w:rPr>
      </w:pPr>
      <w:r>
        <w:rPr>
          <w:color w:val="auto"/>
          <w:sz w:val="24"/>
          <w:highlight w:val="none"/>
        </w:rPr>
        <w:t>脚手架工程；</w:t>
      </w:r>
    </w:p>
    <w:p>
      <w:pPr>
        <w:pStyle w:val="20"/>
        <w:numPr>
          <w:ilvl w:val="0"/>
          <w:numId w:val="34"/>
        </w:numPr>
        <w:tabs>
          <w:tab w:val="left" w:pos="1092"/>
        </w:tabs>
        <w:spacing w:before="172"/>
        <w:rPr>
          <w:color w:val="auto"/>
          <w:sz w:val="24"/>
          <w:highlight w:val="none"/>
        </w:rPr>
      </w:pPr>
      <w:r>
        <w:rPr>
          <w:color w:val="auto"/>
          <w:sz w:val="24"/>
          <w:highlight w:val="none"/>
        </w:rPr>
        <w:t>拆除、爆破工程；</w:t>
      </w:r>
    </w:p>
    <w:p>
      <w:pPr>
        <w:pStyle w:val="20"/>
        <w:numPr>
          <w:ilvl w:val="0"/>
          <w:numId w:val="34"/>
        </w:numPr>
        <w:tabs>
          <w:tab w:val="left" w:pos="1092"/>
        </w:tabs>
        <w:spacing w:before="173"/>
        <w:rPr>
          <w:color w:val="auto"/>
          <w:sz w:val="24"/>
          <w:highlight w:val="none"/>
        </w:rPr>
      </w:pPr>
      <w:r>
        <w:rPr>
          <w:color w:val="auto"/>
          <w:sz w:val="24"/>
          <w:highlight w:val="none"/>
        </w:rPr>
        <w:t>其他危险性较大的工程。</w:t>
      </w:r>
    </w:p>
    <w:p>
      <w:pPr>
        <w:pStyle w:val="20"/>
        <w:numPr>
          <w:ilvl w:val="0"/>
          <w:numId w:val="33"/>
        </w:numPr>
        <w:tabs>
          <w:tab w:val="left" w:pos="1220"/>
        </w:tabs>
        <w:spacing w:before="172" w:line="374" w:lineRule="auto"/>
        <w:ind w:left="223" w:right="227" w:firstLine="372"/>
        <w:rPr>
          <w:color w:val="auto"/>
          <w:sz w:val="24"/>
          <w:highlight w:val="none"/>
        </w:rPr>
      </w:pPr>
      <w:r>
        <w:rPr>
          <w:color w:val="auto"/>
          <w:sz w:val="24"/>
          <w:highlight w:val="none"/>
        </w:rPr>
        <w:t>定期组织安全控制计划的执行情况并进行检查考核和评价，对施工中存在的不安全行为和隐患，分析原因并制定相应整改防范措施。</w:t>
      </w:r>
    </w:p>
    <w:p>
      <w:pPr>
        <w:pStyle w:val="20"/>
        <w:numPr>
          <w:ilvl w:val="0"/>
          <w:numId w:val="33"/>
        </w:numPr>
        <w:tabs>
          <w:tab w:val="left" w:pos="1220"/>
        </w:tabs>
        <w:spacing w:before="1" w:line="374" w:lineRule="auto"/>
        <w:ind w:left="223" w:right="227" w:firstLine="372"/>
        <w:rPr>
          <w:color w:val="auto"/>
          <w:sz w:val="24"/>
          <w:highlight w:val="none"/>
        </w:rPr>
      </w:pPr>
      <w:r>
        <w:rPr>
          <w:color w:val="auto"/>
          <w:sz w:val="24"/>
          <w:highlight w:val="none"/>
        </w:rPr>
        <w:t>采取随机抽样、现场观察、实地检测相结合的方法进行安全检查，并记录检测结果。对现场管理人员的违章指挥和操作人员的违章作业行为应进行纠正。</w:t>
      </w:r>
    </w:p>
    <w:p>
      <w:pPr>
        <w:pStyle w:val="20"/>
        <w:numPr>
          <w:ilvl w:val="0"/>
          <w:numId w:val="33"/>
        </w:numPr>
        <w:tabs>
          <w:tab w:val="left" w:pos="1217"/>
        </w:tabs>
        <w:rPr>
          <w:color w:val="auto"/>
          <w:sz w:val="24"/>
          <w:highlight w:val="none"/>
        </w:rPr>
      </w:pPr>
      <w:r>
        <w:rPr>
          <w:color w:val="auto"/>
          <w:sz w:val="24"/>
          <w:highlight w:val="none"/>
        </w:rPr>
        <w:t>对检查结果进行分析，找出安全隐患部位，确定危险程度。</w:t>
      </w:r>
    </w:p>
    <w:p>
      <w:pPr>
        <w:pStyle w:val="20"/>
        <w:numPr>
          <w:ilvl w:val="0"/>
          <w:numId w:val="33"/>
        </w:numPr>
        <w:tabs>
          <w:tab w:val="left" w:pos="1220"/>
        </w:tabs>
        <w:spacing w:before="173" w:line="374" w:lineRule="auto"/>
        <w:ind w:left="223" w:right="227" w:firstLine="372"/>
        <w:rPr>
          <w:color w:val="auto"/>
          <w:sz w:val="24"/>
          <w:highlight w:val="none"/>
        </w:rPr>
      </w:pPr>
      <w:r>
        <w:rPr>
          <w:color w:val="auto"/>
          <w:sz w:val="24"/>
          <w:highlight w:val="none"/>
        </w:rPr>
        <w:t>对检查出的隐患立即发出安全隐患整改通知单。受检单位应对安全隐患原因进行分析，制定和落实纠正和预防措施。</w:t>
      </w:r>
    </w:p>
    <w:p>
      <w:pPr>
        <w:pStyle w:val="20"/>
        <w:numPr>
          <w:ilvl w:val="0"/>
          <w:numId w:val="33"/>
        </w:numPr>
        <w:tabs>
          <w:tab w:val="left" w:pos="1217"/>
        </w:tabs>
        <w:spacing w:before="1"/>
        <w:rPr>
          <w:color w:val="auto"/>
          <w:sz w:val="24"/>
          <w:highlight w:val="none"/>
        </w:rPr>
      </w:pPr>
      <w:r>
        <w:rPr>
          <w:color w:val="auto"/>
          <w:sz w:val="24"/>
          <w:highlight w:val="none"/>
        </w:rPr>
        <w:t>对纠正预防措施的实施过程和实施效果应进行跟踪检查，保存验证记录。</w:t>
      </w:r>
    </w:p>
    <w:p>
      <w:pPr>
        <w:pStyle w:val="20"/>
        <w:numPr>
          <w:ilvl w:val="0"/>
          <w:numId w:val="33"/>
        </w:numPr>
        <w:tabs>
          <w:tab w:val="left" w:pos="1342"/>
        </w:tabs>
        <w:spacing w:before="172"/>
        <w:ind w:left="1341" w:hanging="747"/>
        <w:rPr>
          <w:color w:val="auto"/>
          <w:sz w:val="24"/>
          <w:highlight w:val="none"/>
        </w:rPr>
      </w:pPr>
      <w:r>
        <w:rPr>
          <w:color w:val="auto"/>
          <w:sz w:val="24"/>
          <w:highlight w:val="none"/>
        </w:rPr>
        <w:t>职业健康安全质量事故的处理</w:t>
      </w:r>
    </w:p>
    <w:p>
      <w:pPr>
        <w:pStyle w:val="3"/>
        <w:spacing w:before="173" w:line="374" w:lineRule="auto"/>
        <w:ind w:right="227" w:firstLine="496"/>
        <w:jc w:val="both"/>
        <w:rPr>
          <w:color w:val="auto"/>
          <w:highlight w:val="none"/>
        </w:rPr>
      </w:pPr>
      <w:r>
        <w:rPr>
          <w:color w:val="auto"/>
          <w:highlight w:val="none"/>
        </w:rPr>
        <w:t>对于发生的安全质量事故，监理人及时向委托人及政府相关部门报告，同时应积极保护事故现场，收集相关的原始资料。监理人在调查事故情况并分析原因、责任后，并将事故调查分析报告提交委托人及政府相关部门。监理人同时应提交相应的防范措施建议书以防止同类事故再次发生。</w:t>
      </w:r>
    </w:p>
    <w:p>
      <w:pPr>
        <w:pStyle w:val="12"/>
        <w:numPr>
          <w:ilvl w:val="3"/>
          <w:numId w:val="16"/>
        </w:numPr>
        <w:tabs>
          <w:tab w:val="left" w:pos="1666"/>
        </w:tabs>
        <w:spacing w:before="1"/>
        <w:jc w:val="both"/>
        <w:rPr>
          <w:color w:val="auto"/>
          <w:highlight w:val="none"/>
        </w:rPr>
      </w:pPr>
      <w:r>
        <w:rPr>
          <w:color w:val="auto"/>
          <w:highlight w:val="none"/>
        </w:rPr>
        <w:t>工程材料设备控制工作</w:t>
      </w:r>
    </w:p>
    <w:p>
      <w:pPr>
        <w:pStyle w:val="20"/>
        <w:numPr>
          <w:ilvl w:val="0"/>
          <w:numId w:val="35"/>
        </w:numPr>
        <w:tabs>
          <w:tab w:val="left" w:pos="1217"/>
        </w:tabs>
        <w:spacing w:before="172"/>
        <w:rPr>
          <w:color w:val="auto"/>
          <w:sz w:val="24"/>
          <w:highlight w:val="none"/>
        </w:rPr>
      </w:pPr>
      <w:r>
        <w:rPr>
          <w:color w:val="auto"/>
          <w:sz w:val="24"/>
          <w:highlight w:val="none"/>
        </w:rPr>
        <w:t>甲供材料设备的管理，包括：</w:t>
      </w:r>
    </w:p>
    <w:p>
      <w:pPr>
        <w:pStyle w:val="20"/>
        <w:numPr>
          <w:ilvl w:val="1"/>
          <w:numId w:val="35"/>
        </w:numPr>
        <w:tabs>
          <w:tab w:val="left" w:pos="1092"/>
        </w:tabs>
        <w:spacing w:before="173"/>
        <w:rPr>
          <w:color w:val="auto"/>
          <w:sz w:val="24"/>
          <w:highlight w:val="none"/>
        </w:rPr>
      </w:pPr>
      <w:r>
        <w:rPr>
          <w:color w:val="auto"/>
          <w:sz w:val="24"/>
          <w:highlight w:val="none"/>
        </w:rPr>
        <w:t>审核施工单位编制的机电设备安装、调试、验收计划；</w:t>
      </w:r>
    </w:p>
    <w:p>
      <w:pPr>
        <w:pStyle w:val="20"/>
        <w:numPr>
          <w:ilvl w:val="1"/>
          <w:numId w:val="35"/>
        </w:numPr>
        <w:tabs>
          <w:tab w:val="left" w:pos="1092"/>
        </w:tabs>
        <w:spacing w:before="172"/>
        <w:rPr>
          <w:color w:val="auto"/>
          <w:sz w:val="24"/>
          <w:highlight w:val="none"/>
        </w:rPr>
      </w:pPr>
      <w:r>
        <w:rPr>
          <w:color w:val="auto"/>
          <w:sz w:val="24"/>
          <w:highlight w:val="none"/>
        </w:rPr>
        <w:t>主持施工图交底审查会；</w:t>
      </w:r>
    </w:p>
    <w:p>
      <w:pPr>
        <w:pStyle w:val="20"/>
        <w:numPr>
          <w:ilvl w:val="1"/>
          <w:numId w:val="35"/>
        </w:numPr>
        <w:tabs>
          <w:tab w:val="left" w:pos="1086"/>
        </w:tabs>
        <w:spacing w:before="173" w:line="374" w:lineRule="auto"/>
        <w:ind w:left="223" w:right="233" w:firstLine="496"/>
        <w:rPr>
          <w:color w:val="auto"/>
          <w:sz w:val="24"/>
          <w:highlight w:val="none"/>
        </w:rPr>
      </w:pPr>
      <w:r>
        <w:rPr>
          <w:color w:val="auto"/>
          <w:sz w:val="24"/>
          <w:highlight w:val="none"/>
        </w:rPr>
        <w:t>检查施工单位为设备提供运输所需通道和卸货作业场地及设备仓库或符合要求的材料堆放场地的落实情况；</w:t>
      </w:r>
    </w:p>
    <w:p>
      <w:pPr>
        <w:pStyle w:val="20"/>
        <w:numPr>
          <w:ilvl w:val="1"/>
          <w:numId w:val="35"/>
        </w:numPr>
        <w:tabs>
          <w:tab w:val="left" w:pos="1092"/>
        </w:tabs>
        <w:ind w:hanging="373"/>
        <w:rPr>
          <w:color w:val="auto"/>
          <w:sz w:val="24"/>
          <w:highlight w:val="none"/>
        </w:rPr>
      </w:pPr>
      <w:r>
        <w:rPr>
          <w:color w:val="auto"/>
          <w:sz w:val="24"/>
          <w:highlight w:val="none"/>
        </w:rPr>
        <w:t>参加设备的到货验收、开箱检验，并签署相关文件；</w:t>
      </w:r>
    </w:p>
    <w:p>
      <w:pPr>
        <w:pStyle w:val="20"/>
        <w:numPr>
          <w:ilvl w:val="1"/>
          <w:numId w:val="35"/>
        </w:numPr>
        <w:tabs>
          <w:tab w:val="left" w:pos="1092"/>
        </w:tabs>
        <w:spacing w:before="173"/>
        <w:ind w:hanging="373"/>
        <w:rPr>
          <w:color w:val="auto"/>
          <w:sz w:val="24"/>
          <w:highlight w:val="none"/>
        </w:rPr>
      </w:pPr>
      <w:r>
        <w:rPr>
          <w:color w:val="auto"/>
          <w:sz w:val="24"/>
          <w:highlight w:val="none"/>
        </w:rPr>
        <w:t>负责机电设备安装、调试、验收过程中的质量、安全、进度控制。</w:t>
      </w:r>
    </w:p>
    <w:p>
      <w:pPr>
        <w:pStyle w:val="20"/>
        <w:numPr>
          <w:ilvl w:val="0"/>
          <w:numId w:val="35"/>
        </w:numPr>
        <w:tabs>
          <w:tab w:val="left" w:pos="1217"/>
        </w:tabs>
        <w:spacing w:before="58"/>
        <w:rPr>
          <w:color w:val="auto"/>
          <w:sz w:val="24"/>
          <w:highlight w:val="none"/>
        </w:rPr>
      </w:pPr>
      <w:r>
        <w:rPr>
          <w:color w:val="auto"/>
          <w:sz w:val="24"/>
          <w:highlight w:val="none"/>
        </w:rPr>
        <w:t>甲招乙供材料设备的管理，包括：</w:t>
      </w:r>
    </w:p>
    <w:p>
      <w:pPr>
        <w:pStyle w:val="20"/>
        <w:numPr>
          <w:ilvl w:val="0"/>
          <w:numId w:val="36"/>
        </w:numPr>
        <w:tabs>
          <w:tab w:val="left" w:pos="1092"/>
        </w:tabs>
        <w:spacing w:before="173"/>
        <w:rPr>
          <w:color w:val="auto"/>
          <w:sz w:val="24"/>
          <w:highlight w:val="none"/>
        </w:rPr>
      </w:pPr>
      <w:r>
        <w:rPr>
          <w:color w:val="auto"/>
          <w:sz w:val="24"/>
          <w:highlight w:val="none"/>
        </w:rPr>
        <w:t>协助委托人针对甲招乙供材料设备开展的公开招标活动；</w:t>
      </w:r>
    </w:p>
    <w:p>
      <w:pPr>
        <w:pStyle w:val="20"/>
        <w:numPr>
          <w:ilvl w:val="0"/>
          <w:numId w:val="36"/>
        </w:numPr>
        <w:tabs>
          <w:tab w:val="left" w:pos="1092"/>
        </w:tabs>
        <w:spacing w:before="172"/>
        <w:rPr>
          <w:color w:val="auto"/>
          <w:sz w:val="24"/>
          <w:highlight w:val="none"/>
        </w:rPr>
      </w:pPr>
      <w:r>
        <w:rPr>
          <w:color w:val="auto"/>
          <w:sz w:val="24"/>
          <w:highlight w:val="none"/>
        </w:rPr>
        <w:t>督促并审核施工单位签订材料设备供货合同及合同款的支付情况；</w:t>
      </w:r>
    </w:p>
    <w:p>
      <w:pPr>
        <w:pStyle w:val="20"/>
        <w:numPr>
          <w:ilvl w:val="0"/>
          <w:numId w:val="36"/>
        </w:numPr>
        <w:tabs>
          <w:tab w:val="left" w:pos="1092"/>
        </w:tabs>
        <w:spacing w:before="173"/>
        <w:rPr>
          <w:color w:val="auto"/>
          <w:sz w:val="24"/>
          <w:highlight w:val="none"/>
        </w:rPr>
      </w:pPr>
      <w:r>
        <w:rPr>
          <w:color w:val="auto"/>
          <w:sz w:val="24"/>
          <w:highlight w:val="none"/>
        </w:rPr>
        <w:t>审核并批准施工单位编制的材料设备生产和到货进度计划；</w:t>
      </w:r>
    </w:p>
    <w:p>
      <w:pPr>
        <w:pStyle w:val="20"/>
        <w:numPr>
          <w:ilvl w:val="0"/>
          <w:numId w:val="36"/>
        </w:numPr>
        <w:tabs>
          <w:tab w:val="left" w:pos="1092"/>
        </w:tabs>
        <w:spacing w:before="172"/>
        <w:rPr>
          <w:color w:val="auto"/>
          <w:sz w:val="24"/>
          <w:highlight w:val="none"/>
        </w:rPr>
      </w:pPr>
      <w:r>
        <w:rPr>
          <w:color w:val="auto"/>
          <w:sz w:val="24"/>
          <w:highlight w:val="none"/>
        </w:rPr>
        <w:t>审核施工单位编制的机电设备安装、调试、验收计划；</w:t>
      </w:r>
    </w:p>
    <w:p>
      <w:pPr>
        <w:pStyle w:val="20"/>
        <w:numPr>
          <w:ilvl w:val="0"/>
          <w:numId w:val="36"/>
        </w:numPr>
        <w:tabs>
          <w:tab w:val="left" w:pos="1086"/>
        </w:tabs>
        <w:spacing w:before="173" w:line="374" w:lineRule="auto"/>
        <w:ind w:left="223" w:right="233" w:firstLine="496"/>
        <w:rPr>
          <w:color w:val="auto"/>
          <w:sz w:val="24"/>
          <w:highlight w:val="none"/>
        </w:rPr>
      </w:pPr>
      <w:r>
        <w:rPr>
          <w:color w:val="auto"/>
          <w:sz w:val="24"/>
          <w:highlight w:val="none"/>
        </w:rPr>
        <w:t>检查施工单位为设备提供运输所需通道和卸货作业场地及设备仓库或符合要求的材料堆放场地的落实情况；</w:t>
      </w:r>
    </w:p>
    <w:p>
      <w:pPr>
        <w:pStyle w:val="20"/>
        <w:numPr>
          <w:ilvl w:val="0"/>
          <w:numId w:val="36"/>
        </w:numPr>
        <w:tabs>
          <w:tab w:val="left" w:pos="1092"/>
        </w:tabs>
        <w:ind w:hanging="373"/>
        <w:rPr>
          <w:color w:val="auto"/>
          <w:sz w:val="24"/>
          <w:highlight w:val="none"/>
        </w:rPr>
      </w:pPr>
      <w:r>
        <w:rPr>
          <w:color w:val="auto"/>
          <w:sz w:val="24"/>
          <w:highlight w:val="none"/>
        </w:rPr>
        <w:t>参加设备的到货验收、开箱检验，并签署相关文件；</w:t>
      </w:r>
    </w:p>
    <w:p>
      <w:pPr>
        <w:pStyle w:val="20"/>
        <w:numPr>
          <w:ilvl w:val="0"/>
          <w:numId w:val="36"/>
        </w:numPr>
        <w:tabs>
          <w:tab w:val="left" w:pos="1092"/>
        </w:tabs>
        <w:spacing w:before="173"/>
        <w:ind w:hanging="373"/>
        <w:rPr>
          <w:color w:val="auto"/>
          <w:sz w:val="24"/>
          <w:highlight w:val="none"/>
        </w:rPr>
      </w:pPr>
      <w:r>
        <w:rPr>
          <w:color w:val="auto"/>
          <w:sz w:val="24"/>
          <w:highlight w:val="none"/>
        </w:rPr>
        <w:t>负责机电设备安装、调试、验收过程中的投资、质量、进度控制；</w:t>
      </w:r>
    </w:p>
    <w:p>
      <w:pPr>
        <w:pStyle w:val="20"/>
        <w:numPr>
          <w:ilvl w:val="0"/>
          <w:numId w:val="36"/>
        </w:numPr>
        <w:tabs>
          <w:tab w:val="left" w:pos="1092"/>
        </w:tabs>
        <w:spacing w:before="172"/>
        <w:ind w:hanging="373"/>
        <w:rPr>
          <w:color w:val="auto"/>
          <w:sz w:val="24"/>
          <w:highlight w:val="none"/>
        </w:rPr>
      </w:pPr>
      <w:r>
        <w:rPr>
          <w:color w:val="auto"/>
          <w:sz w:val="24"/>
          <w:highlight w:val="none"/>
        </w:rPr>
        <w:t>审核施工单位提供的材料设备的结算资料。</w:t>
      </w:r>
    </w:p>
    <w:p>
      <w:pPr>
        <w:pStyle w:val="20"/>
        <w:numPr>
          <w:ilvl w:val="0"/>
          <w:numId w:val="35"/>
        </w:numPr>
        <w:tabs>
          <w:tab w:val="left" w:pos="1217"/>
        </w:tabs>
        <w:spacing w:before="173"/>
        <w:rPr>
          <w:color w:val="auto"/>
          <w:sz w:val="24"/>
          <w:highlight w:val="none"/>
        </w:rPr>
      </w:pPr>
      <w:r>
        <w:rPr>
          <w:color w:val="auto"/>
          <w:sz w:val="24"/>
          <w:highlight w:val="none"/>
        </w:rPr>
        <w:t>甲管乙供材料设备的管理，包括：</w:t>
      </w:r>
    </w:p>
    <w:p>
      <w:pPr>
        <w:pStyle w:val="20"/>
        <w:numPr>
          <w:ilvl w:val="0"/>
          <w:numId w:val="37"/>
        </w:numPr>
        <w:tabs>
          <w:tab w:val="left" w:pos="1092"/>
        </w:tabs>
        <w:spacing w:before="172"/>
        <w:ind w:hanging="373"/>
        <w:rPr>
          <w:color w:val="auto"/>
          <w:sz w:val="24"/>
          <w:highlight w:val="none"/>
        </w:rPr>
      </w:pPr>
      <w:r>
        <w:rPr>
          <w:color w:val="auto"/>
          <w:sz w:val="24"/>
          <w:highlight w:val="none"/>
        </w:rPr>
        <w:t>协助委托人针对甲管乙供材料设备的公开择优竞价活动；</w:t>
      </w:r>
    </w:p>
    <w:p>
      <w:pPr>
        <w:pStyle w:val="20"/>
        <w:numPr>
          <w:ilvl w:val="0"/>
          <w:numId w:val="37"/>
        </w:numPr>
        <w:tabs>
          <w:tab w:val="left" w:pos="1092"/>
        </w:tabs>
        <w:spacing w:before="173"/>
        <w:ind w:hanging="373"/>
        <w:rPr>
          <w:color w:val="auto"/>
          <w:sz w:val="24"/>
          <w:highlight w:val="none"/>
        </w:rPr>
      </w:pPr>
      <w:r>
        <w:rPr>
          <w:color w:val="auto"/>
          <w:sz w:val="24"/>
          <w:highlight w:val="none"/>
        </w:rPr>
        <w:t>督促并审核施工单位签订材料设备供货合同及合同款的支付情况；</w:t>
      </w:r>
    </w:p>
    <w:p>
      <w:pPr>
        <w:pStyle w:val="20"/>
        <w:numPr>
          <w:ilvl w:val="0"/>
          <w:numId w:val="37"/>
        </w:numPr>
        <w:tabs>
          <w:tab w:val="left" w:pos="1092"/>
        </w:tabs>
        <w:spacing w:before="172"/>
        <w:ind w:hanging="373"/>
        <w:rPr>
          <w:color w:val="auto"/>
          <w:sz w:val="24"/>
          <w:highlight w:val="none"/>
        </w:rPr>
      </w:pPr>
      <w:r>
        <w:rPr>
          <w:color w:val="auto"/>
          <w:sz w:val="24"/>
          <w:highlight w:val="none"/>
        </w:rPr>
        <w:t>审核施工单位提供的材料设备数量；</w:t>
      </w:r>
    </w:p>
    <w:p>
      <w:pPr>
        <w:pStyle w:val="20"/>
        <w:numPr>
          <w:ilvl w:val="0"/>
          <w:numId w:val="37"/>
        </w:numPr>
        <w:tabs>
          <w:tab w:val="left" w:pos="1092"/>
        </w:tabs>
        <w:spacing w:before="173"/>
        <w:ind w:hanging="373"/>
        <w:rPr>
          <w:color w:val="auto"/>
          <w:sz w:val="24"/>
          <w:highlight w:val="none"/>
        </w:rPr>
      </w:pPr>
      <w:r>
        <w:rPr>
          <w:color w:val="auto"/>
          <w:sz w:val="24"/>
          <w:highlight w:val="none"/>
        </w:rPr>
        <w:t>审核并批准施工单位编制的材料设备生产和到货进度计划；</w:t>
      </w:r>
    </w:p>
    <w:p>
      <w:pPr>
        <w:pStyle w:val="20"/>
        <w:numPr>
          <w:ilvl w:val="0"/>
          <w:numId w:val="37"/>
        </w:numPr>
        <w:tabs>
          <w:tab w:val="left" w:pos="1092"/>
        </w:tabs>
        <w:spacing w:before="172"/>
        <w:ind w:hanging="373"/>
        <w:rPr>
          <w:color w:val="auto"/>
          <w:sz w:val="24"/>
          <w:highlight w:val="none"/>
        </w:rPr>
      </w:pPr>
      <w:r>
        <w:rPr>
          <w:color w:val="auto"/>
          <w:sz w:val="24"/>
          <w:highlight w:val="none"/>
        </w:rPr>
        <w:t>监督检查施工单位对材料设备生产的质量控制；</w:t>
      </w:r>
    </w:p>
    <w:p>
      <w:pPr>
        <w:pStyle w:val="20"/>
        <w:numPr>
          <w:ilvl w:val="0"/>
          <w:numId w:val="37"/>
        </w:numPr>
        <w:tabs>
          <w:tab w:val="left" w:pos="1092"/>
        </w:tabs>
        <w:spacing w:before="173"/>
        <w:ind w:hanging="373"/>
        <w:rPr>
          <w:color w:val="auto"/>
          <w:sz w:val="24"/>
          <w:highlight w:val="none"/>
        </w:rPr>
      </w:pPr>
      <w:r>
        <w:rPr>
          <w:color w:val="auto"/>
          <w:sz w:val="24"/>
          <w:highlight w:val="none"/>
        </w:rPr>
        <w:t>参加出厂验收；</w:t>
      </w:r>
    </w:p>
    <w:p>
      <w:pPr>
        <w:pStyle w:val="20"/>
        <w:numPr>
          <w:ilvl w:val="0"/>
          <w:numId w:val="37"/>
        </w:numPr>
        <w:tabs>
          <w:tab w:val="left" w:pos="1092"/>
        </w:tabs>
        <w:spacing w:before="172"/>
        <w:ind w:hanging="373"/>
        <w:rPr>
          <w:color w:val="auto"/>
          <w:sz w:val="24"/>
          <w:highlight w:val="none"/>
        </w:rPr>
      </w:pPr>
      <w:r>
        <w:rPr>
          <w:color w:val="auto"/>
          <w:sz w:val="24"/>
          <w:highlight w:val="none"/>
        </w:rPr>
        <w:t>审核施工单位编制的材料设备安装、调试、验收计划；</w:t>
      </w:r>
    </w:p>
    <w:p>
      <w:pPr>
        <w:pStyle w:val="20"/>
        <w:numPr>
          <w:ilvl w:val="0"/>
          <w:numId w:val="37"/>
        </w:numPr>
        <w:tabs>
          <w:tab w:val="left" w:pos="1092"/>
        </w:tabs>
        <w:spacing w:before="173"/>
        <w:ind w:hanging="373"/>
        <w:rPr>
          <w:color w:val="auto"/>
          <w:sz w:val="24"/>
          <w:highlight w:val="none"/>
        </w:rPr>
      </w:pPr>
      <w:r>
        <w:rPr>
          <w:color w:val="auto"/>
          <w:sz w:val="24"/>
          <w:highlight w:val="none"/>
        </w:rPr>
        <w:t>主持施工图交底审查会；</w:t>
      </w:r>
    </w:p>
    <w:p>
      <w:pPr>
        <w:pStyle w:val="20"/>
        <w:numPr>
          <w:ilvl w:val="0"/>
          <w:numId w:val="37"/>
        </w:numPr>
        <w:tabs>
          <w:tab w:val="left" w:pos="1086"/>
        </w:tabs>
        <w:spacing w:before="172" w:line="374" w:lineRule="auto"/>
        <w:ind w:left="223" w:right="233" w:firstLine="496"/>
        <w:rPr>
          <w:color w:val="auto"/>
          <w:sz w:val="24"/>
          <w:highlight w:val="none"/>
        </w:rPr>
      </w:pPr>
      <w:r>
        <w:rPr>
          <w:color w:val="auto"/>
          <w:sz w:val="24"/>
          <w:highlight w:val="none"/>
        </w:rPr>
        <w:t>检查施工单位为材料设备提供运输所需通道和卸货作业场地及材料设备仓库或符合要求的材料堆放场地的落实情况；</w:t>
      </w:r>
    </w:p>
    <w:p>
      <w:pPr>
        <w:pStyle w:val="20"/>
        <w:numPr>
          <w:ilvl w:val="0"/>
          <w:numId w:val="37"/>
        </w:numPr>
        <w:tabs>
          <w:tab w:val="left" w:pos="1217"/>
        </w:tabs>
        <w:spacing w:before="1"/>
        <w:ind w:left="1216" w:hanging="498"/>
        <w:rPr>
          <w:color w:val="auto"/>
          <w:sz w:val="24"/>
          <w:highlight w:val="none"/>
        </w:rPr>
      </w:pPr>
      <w:r>
        <w:rPr>
          <w:color w:val="auto"/>
          <w:sz w:val="24"/>
          <w:highlight w:val="none"/>
        </w:rPr>
        <w:t>参加材料设备的到货验收、开箱检验，并签署相关文件；</w:t>
      </w:r>
    </w:p>
    <w:p>
      <w:pPr>
        <w:pStyle w:val="20"/>
        <w:numPr>
          <w:ilvl w:val="0"/>
          <w:numId w:val="37"/>
        </w:numPr>
        <w:tabs>
          <w:tab w:val="left" w:pos="1217"/>
        </w:tabs>
        <w:spacing w:before="172"/>
        <w:ind w:left="1216" w:hanging="498"/>
        <w:rPr>
          <w:color w:val="auto"/>
          <w:sz w:val="24"/>
          <w:highlight w:val="none"/>
        </w:rPr>
      </w:pPr>
      <w:r>
        <w:rPr>
          <w:color w:val="auto"/>
          <w:sz w:val="24"/>
          <w:highlight w:val="none"/>
        </w:rPr>
        <w:t>负责材料设备安装、调试、验收过程中的投资、质量、进度控制；</w:t>
      </w:r>
    </w:p>
    <w:p>
      <w:pPr>
        <w:pStyle w:val="20"/>
        <w:numPr>
          <w:ilvl w:val="0"/>
          <w:numId w:val="37"/>
        </w:numPr>
        <w:tabs>
          <w:tab w:val="left" w:pos="1217"/>
        </w:tabs>
        <w:spacing w:before="173"/>
        <w:ind w:left="1216" w:hanging="498"/>
        <w:rPr>
          <w:color w:val="auto"/>
          <w:sz w:val="24"/>
          <w:highlight w:val="none"/>
        </w:rPr>
      </w:pPr>
      <w:r>
        <w:rPr>
          <w:color w:val="auto"/>
          <w:sz w:val="24"/>
          <w:highlight w:val="none"/>
        </w:rPr>
        <w:t>审核施工单位提供的材料设备的结算资料；</w:t>
      </w:r>
    </w:p>
    <w:p>
      <w:pPr>
        <w:pStyle w:val="20"/>
        <w:numPr>
          <w:ilvl w:val="0"/>
          <w:numId w:val="37"/>
        </w:numPr>
        <w:tabs>
          <w:tab w:val="left" w:pos="1217"/>
        </w:tabs>
        <w:spacing w:before="172"/>
        <w:ind w:left="1216" w:hanging="498"/>
        <w:rPr>
          <w:color w:val="auto"/>
          <w:sz w:val="24"/>
          <w:highlight w:val="none"/>
        </w:rPr>
      </w:pPr>
      <w:r>
        <w:rPr>
          <w:color w:val="auto"/>
          <w:sz w:val="24"/>
          <w:highlight w:val="none"/>
        </w:rPr>
        <w:t>检查质量保证期工作。</w:t>
      </w:r>
    </w:p>
    <w:p>
      <w:pPr>
        <w:pStyle w:val="20"/>
        <w:numPr>
          <w:ilvl w:val="0"/>
          <w:numId w:val="35"/>
        </w:numPr>
        <w:tabs>
          <w:tab w:val="left" w:pos="1217"/>
        </w:tabs>
        <w:spacing w:before="173"/>
        <w:rPr>
          <w:color w:val="auto"/>
          <w:sz w:val="24"/>
          <w:highlight w:val="none"/>
        </w:rPr>
      </w:pPr>
      <w:r>
        <w:rPr>
          <w:color w:val="auto"/>
          <w:sz w:val="24"/>
          <w:highlight w:val="none"/>
        </w:rPr>
        <w:t>乙供材料设备的管理，包括：</w:t>
      </w:r>
    </w:p>
    <w:p>
      <w:pPr>
        <w:pStyle w:val="20"/>
        <w:numPr>
          <w:ilvl w:val="0"/>
          <w:numId w:val="38"/>
        </w:numPr>
        <w:tabs>
          <w:tab w:val="left" w:pos="1092"/>
        </w:tabs>
        <w:spacing w:before="172"/>
        <w:ind w:hanging="373"/>
        <w:rPr>
          <w:color w:val="auto"/>
          <w:sz w:val="24"/>
          <w:highlight w:val="none"/>
        </w:rPr>
      </w:pPr>
      <w:r>
        <w:rPr>
          <w:color w:val="auto"/>
          <w:sz w:val="24"/>
          <w:highlight w:val="none"/>
        </w:rPr>
        <w:t>审核工程总体材料设备使用计划和月度材料设备分批使用计划；</w:t>
      </w:r>
    </w:p>
    <w:p>
      <w:pPr>
        <w:pStyle w:val="20"/>
        <w:numPr>
          <w:ilvl w:val="0"/>
          <w:numId w:val="38"/>
        </w:numPr>
        <w:tabs>
          <w:tab w:val="left" w:pos="1092"/>
        </w:tabs>
        <w:spacing w:before="173"/>
        <w:ind w:hanging="373"/>
        <w:rPr>
          <w:color w:val="auto"/>
          <w:sz w:val="24"/>
          <w:highlight w:val="none"/>
        </w:rPr>
      </w:pPr>
      <w:r>
        <w:rPr>
          <w:color w:val="auto"/>
          <w:sz w:val="24"/>
          <w:highlight w:val="none"/>
        </w:rPr>
        <w:t>审核施工单位选定的材料设备合格供货商并对样品进行封存；</w:t>
      </w:r>
    </w:p>
    <w:p>
      <w:pPr>
        <w:pStyle w:val="20"/>
        <w:numPr>
          <w:ilvl w:val="0"/>
          <w:numId w:val="38"/>
        </w:numPr>
        <w:tabs>
          <w:tab w:val="left" w:pos="1092"/>
        </w:tabs>
        <w:spacing w:before="172"/>
        <w:ind w:hanging="373"/>
        <w:rPr>
          <w:color w:val="auto"/>
          <w:sz w:val="24"/>
          <w:highlight w:val="none"/>
        </w:rPr>
      </w:pPr>
      <w:r>
        <w:rPr>
          <w:color w:val="auto"/>
          <w:sz w:val="24"/>
          <w:highlight w:val="none"/>
        </w:rPr>
        <w:t>督促并审核施工单位签订材料设备供货合同；</w:t>
      </w:r>
    </w:p>
    <w:p>
      <w:pPr>
        <w:pStyle w:val="20"/>
        <w:numPr>
          <w:ilvl w:val="0"/>
          <w:numId w:val="38"/>
        </w:numPr>
        <w:tabs>
          <w:tab w:val="left" w:pos="1092"/>
        </w:tabs>
        <w:spacing w:before="173"/>
        <w:ind w:hanging="373"/>
        <w:rPr>
          <w:color w:val="auto"/>
          <w:sz w:val="24"/>
          <w:highlight w:val="none"/>
        </w:rPr>
      </w:pPr>
      <w:r>
        <w:rPr>
          <w:color w:val="auto"/>
          <w:sz w:val="24"/>
          <w:highlight w:val="none"/>
        </w:rPr>
        <w:t>组织施工单位拟定准确的材料设备进场计划，及时进行材料设备的采购及供货；</w:t>
      </w:r>
    </w:p>
    <w:p>
      <w:pPr>
        <w:pStyle w:val="20"/>
        <w:numPr>
          <w:ilvl w:val="0"/>
          <w:numId w:val="38"/>
        </w:numPr>
        <w:tabs>
          <w:tab w:val="left" w:pos="1086"/>
        </w:tabs>
        <w:spacing w:before="58" w:line="374" w:lineRule="auto"/>
        <w:ind w:left="223" w:right="239" w:firstLine="496"/>
        <w:rPr>
          <w:color w:val="auto"/>
          <w:sz w:val="24"/>
          <w:highlight w:val="none"/>
        </w:rPr>
      </w:pPr>
      <w:r>
        <w:rPr>
          <w:color w:val="auto"/>
          <w:sz w:val="24"/>
          <w:highlight w:val="none"/>
        </w:rPr>
        <w:t>组织施工单位认真清点到货材料设备，在安装材料设备过程中及安装后应进行监督、检验，把好质量关；</w:t>
      </w:r>
    </w:p>
    <w:p>
      <w:pPr>
        <w:pStyle w:val="20"/>
        <w:numPr>
          <w:ilvl w:val="0"/>
          <w:numId w:val="38"/>
        </w:numPr>
        <w:tabs>
          <w:tab w:val="left" w:pos="1086"/>
        </w:tabs>
        <w:spacing w:before="1" w:line="374" w:lineRule="auto"/>
        <w:ind w:left="223" w:right="233" w:firstLine="496"/>
        <w:rPr>
          <w:color w:val="auto"/>
          <w:sz w:val="24"/>
          <w:highlight w:val="none"/>
        </w:rPr>
      </w:pPr>
      <w:r>
        <w:rPr>
          <w:color w:val="auto"/>
          <w:sz w:val="24"/>
          <w:highlight w:val="none"/>
        </w:rPr>
        <w:t>对施工单位所定材料设备规格、型号、数量、质量必须严格把关，发现货不对板情况应及时向委托人汇报；</w:t>
      </w:r>
    </w:p>
    <w:p>
      <w:pPr>
        <w:pStyle w:val="20"/>
        <w:numPr>
          <w:ilvl w:val="0"/>
          <w:numId w:val="38"/>
        </w:numPr>
        <w:tabs>
          <w:tab w:val="left" w:pos="1092"/>
        </w:tabs>
        <w:ind w:hanging="373"/>
        <w:rPr>
          <w:color w:val="auto"/>
          <w:sz w:val="24"/>
          <w:highlight w:val="none"/>
        </w:rPr>
      </w:pPr>
      <w:r>
        <w:rPr>
          <w:color w:val="auto"/>
          <w:sz w:val="24"/>
          <w:highlight w:val="none"/>
        </w:rPr>
        <w:t>负责材料设备安装、调试、验收过程中的投资、质量、进度控制；</w:t>
      </w:r>
    </w:p>
    <w:p>
      <w:pPr>
        <w:pStyle w:val="20"/>
        <w:numPr>
          <w:ilvl w:val="0"/>
          <w:numId w:val="38"/>
        </w:numPr>
        <w:tabs>
          <w:tab w:val="left" w:pos="1092"/>
        </w:tabs>
        <w:spacing w:before="173"/>
        <w:ind w:hanging="373"/>
        <w:rPr>
          <w:color w:val="auto"/>
          <w:sz w:val="24"/>
          <w:highlight w:val="none"/>
        </w:rPr>
      </w:pPr>
      <w:r>
        <w:rPr>
          <w:color w:val="auto"/>
          <w:sz w:val="24"/>
          <w:highlight w:val="none"/>
        </w:rPr>
        <w:t>审核施工单位提供的材料设备的结算资料；</w:t>
      </w:r>
    </w:p>
    <w:p>
      <w:pPr>
        <w:pStyle w:val="20"/>
        <w:numPr>
          <w:ilvl w:val="0"/>
          <w:numId w:val="38"/>
        </w:numPr>
        <w:tabs>
          <w:tab w:val="left" w:pos="1092"/>
        </w:tabs>
        <w:spacing w:before="172"/>
        <w:ind w:hanging="373"/>
        <w:rPr>
          <w:color w:val="auto"/>
          <w:sz w:val="24"/>
          <w:highlight w:val="none"/>
        </w:rPr>
      </w:pPr>
      <w:r>
        <w:rPr>
          <w:color w:val="auto"/>
          <w:sz w:val="24"/>
          <w:highlight w:val="none"/>
        </w:rPr>
        <w:t>检查质量保证期工作。</w:t>
      </w:r>
    </w:p>
    <w:p>
      <w:pPr>
        <w:pStyle w:val="20"/>
        <w:numPr>
          <w:ilvl w:val="0"/>
          <w:numId w:val="35"/>
        </w:numPr>
        <w:tabs>
          <w:tab w:val="left" w:pos="1217"/>
        </w:tabs>
        <w:spacing w:before="173"/>
        <w:rPr>
          <w:color w:val="auto"/>
          <w:sz w:val="24"/>
          <w:highlight w:val="none"/>
        </w:rPr>
      </w:pPr>
      <w:r>
        <w:rPr>
          <w:color w:val="auto"/>
          <w:sz w:val="24"/>
          <w:highlight w:val="none"/>
        </w:rPr>
        <w:t>建筑装饰材料的管理，包括：</w:t>
      </w:r>
    </w:p>
    <w:p>
      <w:pPr>
        <w:pStyle w:val="20"/>
        <w:numPr>
          <w:ilvl w:val="0"/>
          <w:numId w:val="39"/>
        </w:numPr>
        <w:tabs>
          <w:tab w:val="left" w:pos="1092"/>
        </w:tabs>
        <w:spacing w:before="172"/>
        <w:ind w:hanging="373"/>
        <w:rPr>
          <w:color w:val="auto"/>
          <w:sz w:val="24"/>
          <w:highlight w:val="none"/>
        </w:rPr>
      </w:pPr>
      <w:r>
        <w:rPr>
          <w:color w:val="auto"/>
          <w:sz w:val="24"/>
          <w:highlight w:val="none"/>
        </w:rPr>
        <w:t>协助委托人进行材料管理及采购策划；</w:t>
      </w:r>
    </w:p>
    <w:p>
      <w:pPr>
        <w:pStyle w:val="20"/>
        <w:numPr>
          <w:ilvl w:val="0"/>
          <w:numId w:val="39"/>
        </w:numPr>
        <w:tabs>
          <w:tab w:val="left" w:pos="1092"/>
        </w:tabs>
        <w:spacing w:before="173"/>
        <w:ind w:hanging="373"/>
        <w:rPr>
          <w:color w:val="auto"/>
          <w:sz w:val="24"/>
          <w:highlight w:val="none"/>
        </w:rPr>
      </w:pPr>
      <w:r>
        <w:rPr>
          <w:color w:val="auto"/>
          <w:sz w:val="24"/>
          <w:highlight w:val="none"/>
        </w:rPr>
        <w:t>协助委托人选定合格材料供货商；</w:t>
      </w:r>
    </w:p>
    <w:p>
      <w:pPr>
        <w:pStyle w:val="20"/>
        <w:numPr>
          <w:ilvl w:val="0"/>
          <w:numId w:val="39"/>
        </w:numPr>
        <w:tabs>
          <w:tab w:val="left" w:pos="1092"/>
        </w:tabs>
        <w:spacing w:before="172"/>
        <w:ind w:hanging="373"/>
        <w:rPr>
          <w:color w:val="auto"/>
          <w:sz w:val="24"/>
          <w:highlight w:val="none"/>
        </w:rPr>
      </w:pPr>
      <w:r>
        <w:rPr>
          <w:color w:val="auto"/>
          <w:sz w:val="24"/>
          <w:highlight w:val="none"/>
        </w:rPr>
        <w:t>协助并督促施工单位签订材料供货合同；</w:t>
      </w:r>
    </w:p>
    <w:p>
      <w:pPr>
        <w:pStyle w:val="20"/>
        <w:numPr>
          <w:ilvl w:val="0"/>
          <w:numId w:val="39"/>
        </w:numPr>
        <w:tabs>
          <w:tab w:val="left" w:pos="1092"/>
        </w:tabs>
        <w:spacing w:before="173"/>
        <w:ind w:hanging="373"/>
        <w:rPr>
          <w:color w:val="auto"/>
          <w:sz w:val="24"/>
          <w:highlight w:val="none"/>
        </w:rPr>
      </w:pPr>
      <w:r>
        <w:rPr>
          <w:color w:val="auto"/>
          <w:sz w:val="24"/>
          <w:highlight w:val="none"/>
        </w:rPr>
        <w:t>督促施工单位拟定准确的分批次订货计划，及时进行材料的采购及供货；</w:t>
      </w:r>
    </w:p>
    <w:p>
      <w:pPr>
        <w:pStyle w:val="20"/>
        <w:numPr>
          <w:ilvl w:val="0"/>
          <w:numId w:val="39"/>
        </w:numPr>
        <w:tabs>
          <w:tab w:val="left" w:pos="1092"/>
        </w:tabs>
        <w:spacing w:before="172"/>
        <w:ind w:hanging="373"/>
        <w:rPr>
          <w:color w:val="auto"/>
          <w:sz w:val="24"/>
          <w:highlight w:val="none"/>
        </w:rPr>
      </w:pPr>
      <w:r>
        <w:rPr>
          <w:color w:val="auto"/>
          <w:sz w:val="24"/>
          <w:highlight w:val="none"/>
        </w:rPr>
        <w:t>对材料到货、施工过程中及施工后进行监督、检验，把好材料质量关；</w:t>
      </w:r>
    </w:p>
    <w:p>
      <w:pPr>
        <w:pStyle w:val="20"/>
        <w:numPr>
          <w:ilvl w:val="0"/>
          <w:numId w:val="39"/>
        </w:numPr>
        <w:tabs>
          <w:tab w:val="left" w:pos="1092"/>
        </w:tabs>
        <w:spacing w:before="173"/>
        <w:ind w:hanging="373"/>
        <w:rPr>
          <w:color w:val="auto"/>
          <w:sz w:val="24"/>
          <w:highlight w:val="none"/>
        </w:rPr>
      </w:pPr>
      <w:r>
        <w:rPr>
          <w:color w:val="auto"/>
          <w:sz w:val="24"/>
          <w:highlight w:val="none"/>
        </w:rPr>
        <w:t>对材料变更费用进行预测及审核，提出专业意见及建议；</w:t>
      </w:r>
    </w:p>
    <w:p>
      <w:pPr>
        <w:pStyle w:val="20"/>
        <w:numPr>
          <w:ilvl w:val="0"/>
          <w:numId w:val="39"/>
        </w:numPr>
        <w:tabs>
          <w:tab w:val="left" w:pos="1092"/>
        </w:tabs>
        <w:spacing w:before="172"/>
        <w:ind w:hanging="373"/>
        <w:rPr>
          <w:color w:val="auto"/>
          <w:sz w:val="24"/>
          <w:highlight w:val="none"/>
        </w:rPr>
      </w:pPr>
      <w:r>
        <w:rPr>
          <w:color w:val="auto"/>
          <w:sz w:val="24"/>
          <w:highlight w:val="none"/>
        </w:rPr>
        <w:t>负责供货单位与施工单位的协调。</w:t>
      </w:r>
    </w:p>
    <w:p>
      <w:pPr>
        <w:pStyle w:val="20"/>
        <w:numPr>
          <w:ilvl w:val="0"/>
          <w:numId w:val="35"/>
        </w:numPr>
        <w:tabs>
          <w:tab w:val="left" w:pos="1217"/>
        </w:tabs>
        <w:spacing w:before="173"/>
        <w:rPr>
          <w:color w:val="auto"/>
          <w:sz w:val="24"/>
          <w:highlight w:val="none"/>
        </w:rPr>
      </w:pPr>
      <w:r>
        <w:rPr>
          <w:color w:val="auto"/>
          <w:sz w:val="24"/>
          <w:highlight w:val="none"/>
        </w:rPr>
        <w:t>材料设备采购监理，包括：</w:t>
      </w:r>
    </w:p>
    <w:p>
      <w:pPr>
        <w:spacing w:before="132"/>
        <w:ind w:left="799"/>
        <w:rPr>
          <w:color w:val="auto"/>
          <w:sz w:val="24"/>
          <w:highlight w:val="none"/>
        </w:rPr>
      </w:pPr>
      <w:r>
        <w:rPr>
          <w:color w:val="auto"/>
          <w:sz w:val="28"/>
          <w:highlight w:val="none"/>
        </w:rPr>
        <w:t xml:space="preserve">① </w:t>
      </w:r>
      <w:r>
        <w:rPr>
          <w:color w:val="auto"/>
          <w:sz w:val="24"/>
          <w:highlight w:val="none"/>
        </w:rPr>
        <w:t>委托监理合同；</w:t>
      </w:r>
    </w:p>
    <w:p>
      <w:pPr>
        <w:pStyle w:val="3"/>
        <w:spacing w:before="122"/>
        <w:ind w:left="799"/>
        <w:rPr>
          <w:color w:val="auto"/>
          <w:highlight w:val="none"/>
        </w:rPr>
      </w:pPr>
      <w:r>
        <w:rPr>
          <w:color w:val="auto"/>
          <w:sz w:val="28"/>
          <w:highlight w:val="none"/>
        </w:rPr>
        <w:t xml:space="preserve">② </w:t>
      </w:r>
      <w:r>
        <w:rPr>
          <w:color w:val="auto"/>
          <w:highlight w:val="none"/>
        </w:rPr>
        <w:t>设备采购方案计划；</w:t>
      </w:r>
    </w:p>
    <w:p>
      <w:pPr>
        <w:pStyle w:val="3"/>
        <w:spacing w:before="121"/>
        <w:ind w:left="799"/>
        <w:rPr>
          <w:color w:val="auto"/>
          <w:highlight w:val="none"/>
        </w:rPr>
      </w:pPr>
      <w:r>
        <w:rPr>
          <w:color w:val="auto"/>
          <w:sz w:val="28"/>
          <w:highlight w:val="none"/>
        </w:rPr>
        <w:t xml:space="preserve">③ </w:t>
      </w:r>
      <w:r>
        <w:rPr>
          <w:color w:val="auto"/>
          <w:highlight w:val="none"/>
        </w:rPr>
        <w:t>设计图纸和文件；</w:t>
      </w:r>
    </w:p>
    <w:p>
      <w:pPr>
        <w:pStyle w:val="3"/>
        <w:spacing w:before="121"/>
        <w:ind w:left="799"/>
        <w:rPr>
          <w:color w:val="auto"/>
          <w:highlight w:val="none"/>
        </w:rPr>
      </w:pPr>
      <w:r>
        <w:rPr>
          <w:color w:val="auto"/>
          <w:sz w:val="28"/>
          <w:highlight w:val="none"/>
        </w:rPr>
        <w:t xml:space="preserve">④ </w:t>
      </w:r>
      <w:r>
        <w:rPr>
          <w:color w:val="auto"/>
          <w:highlight w:val="none"/>
        </w:rPr>
        <w:t>市场调查、考察报告；</w:t>
      </w:r>
    </w:p>
    <w:p>
      <w:pPr>
        <w:pStyle w:val="3"/>
        <w:spacing w:before="121"/>
        <w:ind w:left="799"/>
        <w:rPr>
          <w:color w:val="auto"/>
          <w:highlight w:val="none"/>
        </w:rPr>
      </w:pPr>
      <w:r>
        <w:rPr>
          <w:color w:val="auto"/>
          <w:sz w:val="28"/>
          <w:highlight w:val="none"/>
        </w:rPr>
        <w:t xml:space="preserve">⑤ </w:t>
      </w:r>
      <w:r>
        <w:rPr>
          <w:color w:val="auto"/>
          <w:highlight w:val="none"/>
        </w:rPr>
        <w:t>设备采购招投标文件；</w:t>
      </w:r>
    </w:p>
    <w:p>
      <w:pPr>
        <w:pStyle w:val="3"/>
        <w:spacing w:before="122"/>
        <w:ind w:left="799"/>
        <w:rPr>
          <w:color w:val="auto"/>
          <w:highlight w:val="none"/>
        </w:rPr>
      </w:pPr>
      <w:r>
        <w:rPr>
          <w:color w:val="auto"/>
          <w:sz w:val="28"/>
          <w:highlight w:val="none"/>
        </w:rPr>
        <w:t xml:space="preserve">⑥ </w:t>
      </w:r>
      <w:r>
        <w:rPr>
          <w:color w:val="auto"/>
          <w:highlight w:val="none"/>
        </w:rPr>
        <w:t>设备采购订货合同；</w:t>
      </w:r>
    </w:p>
    <w:p>
      <w:pPr>
        <w:pStyle w:val="3"/>
        <w:spacing w:before="121"/>
        <w:ind w:left="799"/>
        <w:rPr>
          <w:color w:val="auto"/>
          <w:highlight w:val="none"/>
        </w:rPr>
      </w:pPr>
      <w:r>
        <w:rPr>
          <w:color w:val="auto"/>
          <w:sz w:val="28"/>
          <w:highlight w:val="none"/>
        </w:rPr>
        <w:t xml:space="preserve">⑦ </w:t>
      </w:r>
      <w:r>
        <w:rPr>
          <w:color w:val="auto"/>
          <w:highlight w:val="none"/>
        </w:rPr>
        <w:t>设备采购监理工作总结。</w:t>
      </w:r>
    </w:p>
    <w:p>
      <w:pPr>
        <w:pStyle w:val="20"/>
        <w:numPr>
          <w:ilvl w:val="0"/>
          <w:numId w:val="35"/>
        </w:numPr>
        <w:tabs>
          <w:tab w:val="left" w:pos="1217"/>
        </w:tabs>
        <w:spacing w:before="161"/>
        <w:rPr>
          <w:color w:val="auto"/>
          <w:sz w:val="24"/>
          <w:highlight w:val="none"/>
        </w:rPr>
      </w:pPr>
      <w:r>
        <w:rPr>
          <w:color w:val="auto"/>
          <w:sz w:val="24"/>
          <w:highlight w:val="none"/>
        </w:rPr>
        <w:t>施工阶段材料设备控制中的其它监理工作，包括：</w:t>
      </w:r>
    </w:p>
    <w:p>
      <w:pPr>
        <w:pStyle w:val="20"/>
        <w:numPr>
          <w:ilvl w:val="0"/>
          <w:numId w:val="40"/>
        </w:numPr>
        <w:tabs>
          <w:tab w:val="left" w:pos="1092"/>
        </w:tabs>
        <w:spacing w:before="173" w:line="374" w:lineRule="auto"/>
        <w:ind w:right="158" w:firstLine="496"/>
        <w:rPr>
          <w:color w:val="auto"/>
          <w:sz w:val="24"/>
          <w:highlight w:val="none"/>
        </w:rPr>
      </w:pPr>
      <w:r>
        <w:rPr>
          <w:color w:val="auto"/>
          <w:sz w:val="24"/>
          <w:highlight w:val="none"/>
        </w:rPr>
        <w:t>根据委托人的委托实施设备监造工作（相关费用包含在本次监理服务费范围内， 委托人不再另行支付），具体工作如下：</w:t>
      </w:r>
    </w:p>
    <w:p>
      <w:pPr>
        <w:pStyle w:val="3"/>
        <w:spacing w:line="319" w:lineRule="exact"/>
        <w:ind w:left="799"/>
        <w:rPr>
          <w:color w:val="auto"/>
          <w:highlight w:val="none"/>
        </w:rPr>
      </w:pPr>
      <w:r>
        <w:rPr>
          <w:color w:val="auto"/>
          <w:sz w:val="28"/>
          <w:highlight w:val="none"/>
        </w:rPr>
        <w:t xml:space="preserve">① </w:t>
      </w:r>
      <w:r>
        <w:rPr>
          <w:color w:val="auto"/>
          <w:highlight w:val="none"/>
        </w:rPr>
        <w:t>监理人应根据设备监造阶段的监理工作内容，成立由总监理工程师和专业监理</w:t>
      </w:r>
    </w:p>
    <w:p>
      <w:pPr>
        <w:pStyle w:val="3"/>
        <w:spacing w:before="161"/>
        <w:rPr>
          <w:color w:val="auto"/>
          <w:highlight w:val="none"/>
        </w:rPr>
      </w:pPr>
      <w:r>
        <w:rPr>
          <w:color w:val="auto"/>
          <w:highlight w:val="none"/>
        </w:rPr>
        <w:t>工程师组成的项目监理机构。项目监理机构应进驻设备制造现场。</w:t>
      </w:r>
    </w:p>
    <w:p>
      <w:pPr>
        <w:pStyle w:val="3"/>
        <w:spacing w:before="132" w:line="348" w:lineRule="auto"/>
        <w:ind w:right="223" w:firstLine="576"/>
        <w:rPr>
          <w:color w:val="auto"/>
          <w:highlight w:val="none"/>
        </w:rPr>
      </w:pPr>
      <w:r>
        <w:rPr>
          <w:color w:val="auto"/>
          <w:sz w:val="28"/>
          <w:highlight w:val="none"/>
        </w:rPr>
        <w:t xml:space="preserve">② </w:t>
      </w:r>
      <w:r>
        <w:rPr>
          <w:color w:val="auto"/>
          <w:highlight w:val="none"/>
        </w:rPr>
        <w:t>总监理工程师应组织专业监理工程师熟悉设备制造图纸及有关技术说明和标准，掌握设计意图和各项设备制造的工艺规程以及设备采购订货合同中的各项规定，并</w:t>
      </w:r>
    </w:p>
    <w:p>
      <w:pPr>
        <w:pStyle w:val="3"/>
        <w:spacing w:before="38"/>
        <w:rPr>
          <w:color w:val="auto"/>
          <w:highlight w:val="none"/>
        </w:rPr>
      </w:pPr>
      <w:r>
        <w:rPr>
          <w:color w:val="auto"/>
          <w:highlight w:val="none"/>
        </w:rPr>
        <w:t>应组织或参加委托人组织的设备制造图纸的设计交底。</w:t>
      </w:r>
    </w:p>
    <w:p>
      <w:pPr>
        <w:pStyle w:val="3"/>
        <w:spacing w:before="133" w:line="348" w:lineRule="auto"/>
        <w:ind w:right="228" w:firstLine="576"/>
        <w:jc w:val="both"/>
        <w:rPr>
          <w:color w:val="auto"/>
          <w:highlight w:val="none"/>
        </w:rPr>
      </w:pPr>
      <w:r>
        <w:rPr>
          <w:color w:val="auto"/>
          <w:sz w:val="28"/>
          <w:highlight w:val="none"/>
        </w:rPr>
        <w:t xml:space="preserve">③ </w:t>
      </w:r>
      <w:r>
        <w:rPr>
          <w:color w:val="auto"/>
          <w:highlight w:val="none"/>
        </w:rPr>
        <w:t>总监理工程师应组织专业监理工程师编制设备监造规划，经监理人技术负责人审核批准后，在设备制造开始前十天内报送委托人。</w:t>
      </w:r>
    </w:p>
    <w:p>
      <w:pPr>
        <w:pStyle w:val="3"/>
        <w:spacing w:line="348" w:lineRule="auto"/>
        <w:ind w:right="228" w:firstLine="576"/>
        <w:jc w:val="both"/>
        <w:rPr>
          <w:color w:val="auto"/>
          <w:highlight w:val="none"/>
        </w:rPr>
      </w:pPr>
      <w:r>
        <w:rPr>
          <w:color w:val="auto"/>
          <w:sz w:val="28"/>
          <w:highlight w:val="none"/>
        </w:rPr>
        <w:t xml:space="preserve">④ </w:t>
      </w:r>
      <w:r>
        <w:rPr>
          <w:color w:val="auto"/>
          <w:highlight w:val="none"/>
        </w:rPr>
        <w:t>总监理工程师应审查设备制造单位报送的设备制造生产计划和工艺方案，提出审查意见，符合要求后予以批准，并报委托人。</w:t>
      </w:r>
    </w:p>
    <w:p>
      <w:pPr>
        <w:pStyle w:val="3"/>
        <w:spacing w:line="348" w:lineRule="auto"/>
        <w:ind w:right="228" w:firstLine="576"/>
        <w:jc w:val="both"/>
        <w:rPr>
          <w:color w:val="auto"/>
          <w:highlight w:val="none"/>
        </w:rPr>
      </w:pPr>
      <w:r>
        <w:rPr>
          <w:color w:val="auto"/>
          <w:sz w:val="28"/>
          <w:highlight w:val="none"/>
        </w:rPr>
        <w:t xml:space="preserve">⑤ </w:t>
      </w:r>
      <w:r>
        <w:rPr>
          <w:color w:val="auto"/>
          <w:highlight w:val="none"/>
        </w:rPr>
        <w:t>总监理工程师应审核设备制造分包单位的资质情况、实际生产能力和质量保证体系，符合要求后予以确认。</w:t>
      </w:r>
    </w:p>
    <w:p>
      <w:pPr>
        <w:pStyle w:val="3"/>
        <w:spacing w:line="348" w:lineRule="auto"/>
        <w:ind w:right="228" w:firstLine="576"/>
        <w:jc w:val="both"/>
        <w:rPr>
          <w:color w:val="auto"/>
          <w:highlight w:val="none"/>
        </w:rPr>
      </w:pPr>
      <w:r>
        <w:rPr>
          <w:color w:val="auto"/>
          <w:sz w:val="28"/>
          <w:highlight w:val="none"/>
        </w:rPr>
        <w:t xml:space="preserve">⑥ </w:t>
      </w:r>
      <w:r>
        <w:rPr>
          <w:color w:val="auto"/>
          <w:highlight w:val="none"/>
        </w:rPr>
        <w:t>专业监理工程师应审查设备制造的检验计划和检验要求，确认各阶段的检验时间、内容、方法、标准以及检测手段、检测设备和仪器。</w:t>
      </w:r>
    </w:p>
    <w:p>
      <w:pPr>
        <w:pStyle w:val="3"/>
        <w:spacing w:line="348" w:lineRule="auto"/>
        <w:ind w:right="228" w:firstLine="576"/>
        <w:jc w:val="both"/>
        <w:rPr>
          <w:color w:val="auto"/>
          <w:highlight w:val="none"/>
        </w:rPr>
      </w:pPr>
      <w:r>
        <w:rPr>
          <w:color w:val="auto"/>
          <w:sz w:val="28"/>
          <w:highlight w:val="none"/>
        </w:rPr>
        <w:t xml:space="preserve">⑦ </w:t>
      </w:r>
      <w:r>
        <w:rPr>
          <w:color w:val="auto"/>
          <w:highlight w:val="none"/>
        </w:rPr>
        <w:t>专业监理工程师必须对设备制造过程中拟采用的新技术、新材料、新工艺的鉴定书和试验报告进行审核，并签署意见。</w:t>
      </w:r>
    </w:p>
    <w:p>
      <w:pPr>
        <w:pStyle w:val="3"/>
        <w:spacing w:line="348" w:lineRule="auto"/>
        <w:ind w:right="228" w:firstLine="576"/>
        <w:jc w:val="both"/>
        <w:rPr>
          <w:color w:val="auto"/>
          <w:highlight w:val="none"/>
        </w:rPr>
      </w:pPr>
      <w:r>
        <w:rPr>
          <w:color w:val="auto"/>
          <w:sz w:val="28"/>
          <w:highlight w:val="none"/>
        </w:rPr>
        <w:t xml:space="preserve">⑧ </w:t>
      </w:r>
      <w:r>
        <w:rPr>
          <w:color w:val="auto"/>
          <w:highlight w:val="none"/>
        </w:rPr>
        <w:t>专业监理工程师应审查主要及关键零件的生产工艺设备、操作规程和相关生产人员的上岗资格，并对设备制造和装配场所的环境进行检查。</w:t>
      </w:r>
    </w:p>
    <w:p>
      <w:pPr>
        <w:pStyle w:val="3"/>
        <w:spacing w:line="364" w:lineRule="auto"/>
        <w:ind w:right="228" w:firstLine="576"/>
        <w:jc w:val="both"/>
        <w:rPr>
          <w:color w:val="auto"/>
          <w:highlight w:val="none"/>
        </w:rPr>
      </w:pPr>
      <w:r>
        <w:rPr>
          <w:color w:val="auto"/>
          <w:sz w:val="28"/>
          <w:highlight w:val="none"/>
        </w:rPr>
        <w:t xml:space="preserve">⑨ </w:t>
      </w:r>
      <w:r>
        <w:rPr>
          <w:color w:val="auto"/>
          <w:highlight w:val="none"/>
        </w:rPr>
        <w:t>专业监理工程师应审查设备制造的原材料、外购配套件、元器件、标准件以及坯料的质量证明文件及检验报告，检查设备制造单位对外购器件、外协作加工件和材料的质量验收，并由专业监理工程师审查设备制造单位提交的报验资料，符合规定要求时予以签认。</w:t>
      </w:r>
    </w:p>
    <w:p>
      <w:pPr>
        <w:pStyle w:val="3"/>
        <w:spacing w:line="364" w:lineRule="auto"/>
        <w:ind w:right="228" w:firstLine="576"/>
        <w:jc w:val="both"/>
        <w:rPr>
          <w:color w:val="auto"/>
          <w:highlight w:val="none"/>
        </w:rPr>
      </w:pPr>
      <w:r>
        <w:rPr>
          <w:color w:val="auto"/>
          <w:sz w:val="28"/>
          <w:highlight w:val="none"/>
        </w:rPr>
        <w:t xml:space="preserve">⑩ </w:t>
      </w:r>
      <w:r>
        <w:rPr>
          <w:color w:val="auto"/>
          <w:highlight w:val="none"/>
        </w:rPr>
        <w:t>专业监理工程师应对设备制造过程进行监督和检查，对主要及关键零部件的制造工序应进行抽检或检验。</w:t>
      </w:r>
    </w:p>
    <w:p>
      <w:pPr>
        <w:pStyle w:val="3"/>
        <w:spacing w:line="364" w:lineRule="auto"/>
        <w:ind w:right="228" w:firstLine="576"/>
        <w:jc w:val="both"/>
        <w:rPr>
          <w:color w:val="auto"/>
          <w:highlight w:val="none"/>
        </w:rPr>
      </w:pPr>
      <w:r>
        <w:rPr>
          <w:rFonts w:hint="eastAsia"/>
          <w:color w:val="auto"/>
          <w:sz w:val="28"/>
          <w:highlight w:val="none"/>
        </w:rPr>
        <w:t>⑪</w:t>
      </w:r>
      <w:r>
        <w:rPr>
          <w:color w:val="auto"/>
          <w:sz w:val="28"/>
          <w:highlight w:val="none"/>
        </w:rPr>
        <w:t xml:space="preserve"> </w:t>
      </w:r>
      <w:r>
        <w:rPr>
          <w:color w:val="auto"/>
          <w:highlight w:val="none"/>
        </w:rPr>
        <w:t>专业监理工程师应要求设备制造单位按批准的检验计划和检验要求进行设备制造过程的检验工作，做好检验记录，并对检验结果进行审核。专业监理工程师认为不符合质量要求时，指令设备制造单位进行整改、返修或返工。当发生质量失控或重大质量事故时，必须由总监理工程师下达暂停制造指令，提出处理意见，并及时报告委托人。</w:t>
      </w:r>
    </w:p>
    <w:p>
      <w:pPr>
        <w:pStyle w:val="3"/>
        <w:spacing w:line="364" w:lineRule="auto"/>
        <w:ind w:right="228" w:firstLine="576"/>
        <w:jc w:val="both"/>
        <w:rPr>
          <w:color w:val="auto"/>
          <w:highlight w:val="none"/>
        </w:rPr>
      </w:pPr>
      <w:r>
        <w:rPr>
          <w:rFonts w:hint="eastAsia"/>
          <w:color w:val="auto"/>
          <w:sz w:val="28"/>
          <w:highlight w:val="none"/>
        </w:rPr>
        <w:t>⑫</w:t>
      </w:r>
      <w:r>
        <w:rPr>
          <w:color w:val="auto"/>
          <w:sz w:val="28"/>
          <w:highlight w:val="none"/>
        </w:rPr>
        <w:t xml:space="preserve"> </w:t>
      </w:r>
      <w:r>
        <w:rPr>
          <w:color w:val="auto"/>
          <w:highlight w:val="none"/>
        </w:rPr>
        <w:t>专业监理工程师应检查和监督设备的装配过程，符合要求后予以签认。</w:t>
      </w:r>
    </w:p>
    <w:p>
      <w:pPr>
        <w:pStyle w:val="3"/>
        <w:spacing w:line="364" w:lineRule="auto"/>
        <w:ind w:right="228" w:firstLine="576"/>
        <w:jc w:val="both"/>
        <w:rPr>
          <w:color w:val="auto"/>
          <w:highlight w:val="none"/>
        </w:rPr>
      </w:pPr>
      <w:r>
        <w:rPr>
          <w:rFonts w:hint="eastAsia"/>
          <w:color w:val="auto"/>
          <w:sz w:val="28"/>
          <w:highlight w:val="none"/>
        </w:rPr>
        <w:t>⑬</w:t>
      </w:r>
      <w:r>
        <w:rPr>
          <w:color w:val="auto"/>
          <w:sz w:val="28"/>
          <w:highlight w:val="none"/>
        </w:rPr>
        <w:t xml:space="preserve"> </w:t>
      </w:r>
      <w:r>
        <w:rPr>
          <w:color w:val="auto"/>
          <w:highlight w:val="none"/>
        </w:rPr>
        <w:t>在设备制造过程中如需要对设备的原设计进行变更，专业监理工程师应审核设计变更，并审查因变更引起的费用增减和制造工期的变化。</w:t>
      </w:r>
    </w:p>
    <w:p>
      <w:pPr>
        <w:pStyle w:val="3"/>
        <w:spacing w:line="364" w:lineRule="auto"/>
        <w:ind w:right="228" w:firstLine="576"/>
        <w:jc w:val="both"/>
        <w:rPr>
          <w:color w:val="auto"/>
          <w:highlight w:val="none"/>
        </w:rPr>
      </w:pPr>
      <w:r>
        <w:rPr>
          <w:rFonts w:hint="eastAsia"/>
          <w:color w:val="auto"/>
          <w:sz w:val="28"/>
          <w:highlight w:val="none"/>
        </w:rPr>
        <w:t>⑭</w:t>
      </w:r>
      <w:r>
        <w:rPr>
          <w:color w:val="auto"/>
          <w:sz w:val="28"/>
          <w:highlight w:val="none"/>
        </w:rPr>
        <w:t xml:space="preserve"> </w:t>
      </w:r>
      <w:r>
        <w:rPr>
          <w:color w:val="auto"/>
          <w:highlight w:val="none"/>
        </w:rPr>
        <w:t>总监理工程师应组织专业监理工程师参加设备制造过程中的调试、整机性能检测和验证，符合要求后予以签认。</w:t>
      </w:r>
    </w:p>
    <w:p>
      <w:pPr>
        <w:pStyle w:val="3"/>
        <w:spacing w:line="364" w:lineRule="auto"/>
        <w:ind w:right="228" w:firstLine="576"/>
        <w:jc w:val="both"/>
        <w:rPr>
          <w:color w:val="auto"/>
          <w:highlight w:val="none"/>
        </w:rPr>
      </w:pPr>
      <w:r>
        <w:rPr>
          <w:rFonts w:hint="eastAsia"/>
          <w:color w:val="auto"/>
          <w:sz w:val="28"/>
          <w:highlight w:val="none"/>
        </w:rPr>
        <w:t>⑮</w:t>
      </w:r>
      <w:r>
        <w:rPr>
          <w:color w:val="auto"/>
          <w:sz w:val="28"/>
          <w:highlight w:val="none"/>
        </w:rPr>
        <w:t xml:space="preserve"> </w:t>
      </w:r>
      <w:r>
        <w:rPr>
          <w:color w:val="auto"/>
          <w:highlight w:val="none"/>
        </w:rPr>
        <w:t>在设备运往现场前，专业监理工程师应检查设备制造单位对待运设备采取的防护和包装措施，并应检查是否符合运输、装卸、储存、安装的要求，以及相关的随机文件、装箱单和附件是否齐全。</w:t>
      </w:r>
    </w:p>
    <w:p>
      <w:pPr>
        <w:pStyle w:val="3"/>
        <w:spacing w:line="364" w:lineRule="auto"/>
        <w:ind w:right="228" w:firstLine="576"/>
        <w:jc w:val="both"/>
        <w:rPr>
          <w:color w:val="auto"/>
          <w:highlight w:val="none"/>
        </w:rPr>
      </w:pPr>
      <w:r>
        <w:rPr>
          <w:rFonts w:hint="eastAsia"/>
          <w:color w:val="auto"/>
          <w:sz w:val="28"/>
          <w:highlight w:val="none"/>
        </w:rPr>
        <w:t>⑯</w:t>
      </w:r>
      <w:r>
        <w:rPr>
          <w:color w:val="auto"/>
          <w:sz w:val="28"/>
          <w:highlight w:val="none"/>
        </w:rPr>
        <w:t xml:space="preserve"> </w:t>
      </w:r>
      <w:r>
        <w:rPr>
          <w:color w:val="auto"/>
          <w:highlight w:val="none"/>
        </w:rPr>
        <w:t>设备全部运到现场后，总监理工程师应组织专业监理工程师参加由设备制造单位按合同规定与安装单位的交接工作，开箱清点、检查、验收、移交。</w:t>
      </w:r>
    </w:p>
    <w:p>
      <w:pPr>
        <w:pStyle w:val="3"/>
        <w:spacing w:line="364" w:lineRule="auto"/>
        <w:ind w:right="228" w:firstLine="576"/>
        <w:jc w:val="both"/>
        <w:rPr>
          <w:color w:val="auto"/>
          <w:highlight w:val="none"/>
        </w:rPr>
      </w:pPr>
      <w:r>
        <w:rPr>
          <w:rFonts w:hint="eastAsia"/>
          <w:color w:val="auto"/>
          <w:sz w:val="28"/>
          <w:highlight w:val="none"/>
        </w:rPr>
        <w:t>⑰</w:t>
      </w:r>
      <w:r>
        <w:rPr>
          <w:color w:val="auto"/>
          <w:highlight w:val="none"/>
        </w:rPr>
        <w:t>专业监理工程师应按设备采购合同的规定审核设备制造单位提交的进度付款单，提出审核意见，由总监理工程师复核后报委托人。</w:t>
      </w:r>
    </w:p>
    <w:p>
      <w:pPr>
        <w:pStyle w:val="3"/>
        <w:spacing w:line="364" w:lineRule="auto"/>
        <w:ind w:right="228" w:firstLine="576"/>
        <w:jc w:val="both"/>
        <w:rPr>
          <w:color w:val="auto"/>
          <w:highlight w:val="none"/>
        </w:rPr>
      </w:pPr>
      <w:r>
        <w:rPr>
          <w:rFonts w:hint="eastAsia"/>
          <w:color w:val="auto"/>
          <w:sz w:val="28"/>
          <w:highlight w:val="none"/>
        </w:rPr>
        <w:t>⑱</w:t>
      </w:r>
      <w:r>
        <w:rPr>
          <w:color w:val="auto"/>
          <w:sz w:val="28"/>
          <w:highlight w:val="none"/>
        </w:rPr>
        <w:t xml:space="preserve"> </w:t>
      </w:r>
      <w:r>
        <w:rPr>
          <w:color w:val="auto"/>
          <w:highlight w:val="none"/>
        </w:rPr>
        <w:t>专业监理工程师应审查委托人或设备制造单位提出的索赔文件，提出意见后报总监理工程师，由总监理工程师与委托人、设备制造单位进行协商，并提出审核报告。</w:t>
      </w:r>
    </w:p>
    <w:p>
      <w:pPr>
        <w:pStyle w:val="3"/>
        <w:spacing w:line="364" w:lineRule="auto"/>
        <w:ind w:right="228" w:firstLine="576"/>
        <w:jc w:val="both"/>
        <w:rPr>
          <w:color w:val="auto"/>
          <w:highlight w:val="none"/>
        </w:rPr>
      </w:pPr>
      <w:r>
        <w:rPr>
          <w:rFonts w:hint="eastAsia"/>
          <w:color w:val="auto"/>
          <w:sz w:val="28"/>
          <w:highlight w:val="none"/>
        </w:rPr>
        <w:t>⑲</w:t>
      </w:r>
      <w:r>
        <w:rPr>
          <w:color w:val="auto"/>
          <w:sz w:val="28"/>
          <w:highlight w:val="none"/>
        </w:rPr>
        <w:t xml:space="preserve"> </w:t>
      </w:r>
      <w:r>
        <w:rPr>
          <w:color w:val="auto"/>
          <w:highlight w:val="none"/>
        </w:rPr>
        <w:t>专业监理工程师应审核设备制造单位报送的设备制造结算文件，并提出审核意见，报总监理工程师审核，由总监理工程师与委托人、设备制造单位进行协商，并提出审核报告。</w:t>
      </w:r>
    </w:p>
    <w:p>
      <w:pPr>
        <w:pStyle w:val="3"/>
        <w:spacing w:line="364" w:lineRule="auto"/>
        <w:ind w:right="228" w:firstLine="576"/>
        <w:jc w:val="both"/>
        <w:rPr>
          <w:color w:val="auto"/>
          <w:highlight w:val="none"/>
        </w:rPr>
      </w:pPr>
      <w:r>
        <w:rPr>
          <w:rFonts w:hint="eastAsia"/>
          <w:color w:val="auto"/>
          <w:sz w:val="28"/>
          <w:highlight w:val="none"/>
        </w:rPr>
        <w:t>⑳</w:t>
      </w:r>
      <w:r>
        <w:rPr>
          <w:color w:val="auto"/>
          <w:sz w:val="28"/>
          <w:highlight w:val="none"/>
        </w:rPr>
        <w:t xml:space="preserve"> </w:t>
      </w:r>
      <w:r>
        <w:rPr>
          <w:color w:val="auto"/>
          <w:highlight w:val="none"/>
        </w:rPr>
        <w:t>在设备监造工作结束后，总监理工程师应组织编写设备监造工作总结。</w:t>
      </w:r>
    </w:p>
    <w:p>
      <w:pPr>
        <w:pStyle w:val="20"/>
        <w:numPr>
          <w:ilvl w:val="0"/>
          <w:numId w:val="40"/>
        </w:numPr>
        <w:tabs>
          <w:tab w:val="left" w:pos="1086"/>
        </w:tabs>
        <w:spacing w:before="99" w:line="374" w:lineRule="auto"/>
        <w:ind w:right="239" w:firstLine="496"/>
        <w:rPr>
          <w:color w:val="auto"/>
          <w:sz w:val="24"/>
          <w:highlight w:val="none"/>
        </w:rPr>
      </w:pPr>
      <w:r>
        <w:rPr>
          <w:color w:val="auto"/>
          <w:sz w:val="24"/>
          <w:highlight w:val="none"/>
        </w:rPr>
        <w:t>根据委托人委托的设备监造工作提交相关的监理资料（相关费用已包含在本工程监理服务费之内，委托人不再另行支付），包括：</w:t>
      </w:r>
    </w:p>
    <w:p>
      <w:pPr>
        <w:pStyle w:val="3"/>
        <w:spacing w:line="319" w:lineRule="exact"/>
        <w:ind w:left="799"/>
        <w:rPr>
          <w:color w:val="auto"/>
          <w:highlight w:val="none"/>
        </w:rPr>
      </w:pPr>
      <w:r>
        <w:rPr>
          <w:color w:val="auto"/>
          <w:sz w:val="28"/>
          <w:highlight w:val="none"/>
        </w:rPr>
        <w:t xml:space="preserve">① </w:t>
      </w:r>
      <w:r>
        <w:rPr>
          <w:color w:val="auto"/>
          <w:highlight w:val="none"/>
        </w:rPr>
        <w:t>设备采购合同及委托监理合同；</w:t>
      </w:r>
    </w:p>
    <w:p>
      <w:pPr>
        <w:spacing w:before="121"/>
        <w:ind w:left="799"/>
        <w:rPr>
          <w:color w:val="auto"/>
          <w:sz w:val="24"/>
          <w:highlight w:val="none"/>
        </w:rPr>
      </w:pPr>
      <w:r>
        <w:rPr>
          <w:color w:val="auto"/>
          <w:sz w:val="28"/>
          <w:highlight w:val="none"/>
        </w:rPr>
        <w:t xml:space="preserve">② </w:t>
      </w:r>
      <w:r>
        <w:rPr>
          <w:color w:val="auto"/>
          <w:sz w:val="24"/>
          <w:highlight w:val="none"/>
        </w:rPr>
        <w:t>设备监造规划；</w:t>
      </w:r>
    </w:p>
    <w:p>
      <w:pPr>
        <w:pStyle w:val="3"/>
        <w:spacing w:before="122"/>
        <w:ind w:left="799"/>
        <w:rPr>
          <w:color w:val="auto"/>
          <w:highlight w:val="none"/>
        </w:rPr>
      </w:pPr>
      <w:r>
        <w:rPr>
          <w:color w:val="auto"/>
          <w:sz w:val="28"/>
          <w:highlight w:val="none"/>
        </w:rPr>
        <w:t xml:space="preserve">③ </w:t>
      </w:r>
      <w:r>
        <w:rPr>
          <w:color w:val="auto"/>
          <w:highlight w:val="none"/>
        </w:rPr>
        <w:t>设备制造的生产计划和工艺方案；</w:t>
      </w:r>
    </w:p>
    <w:p>
      <w:pPr>
        <w:pStyle w:val="3"/>
        <w:spacing w:before="121"/>
        <w:ind w:left="799"/>
        <w:rPr>
          <w:color w:val="auto"/>
          <w:highlight w:val="none"/>
        </w:rPr>
      </w:pPr>
      <w:r>
        <w:rPr>
          <w:color w:val="auto"/>
          <w:sz w:val="28"/>
          <w:highlight w:val="none"/>
        </w:rPr>
        <w:t xml:space="preserve">④ </w:t>
      </w:r>
      <w:r>
        <w:rPr>
          <w:color w:val="auto"/>
          <w:highlight w:val="none"/>
        </w:rPr>
        <w:t>设备制造的检验计划和检验要求；</w:t>
      </w:r>
    </w:p>
    <w:p>
      <w:pPr>
        <w:pStyle w:val="3"/>
        <w:spacing w:before="121"/>
        <w:ind w:left="799"/>
        <w:rPr>
          <w:color w:val="auto"/>
          <w:highlight w:val="none"/>
        </w:rPr>
      </w:pPr>
      <w:r>
        <w:rPr>
          <w:color w:val="auto"/>
          <w:sz w:val="28"/>
          <w:highlight w:val="none"/>
        </w:rPr>
        <w:t xml:space="preserve">⑤ </w:t>
      </w:r>
      <w:r>
        <w:rPr>
          <w:color w:val="auto"/>
          <w:highlight w:val="none"/>
        </w:rPr>
        <w:t>分包单位资格报审表；</w:t>
      </w:r>
    </w:p>
    <w:p>
      <w:pPr>
        <w:pStyle w:val="3"/>
        <w:spacing w:before="121"/>
        <w:ind w:left="799"/>
        <w:rPr>
          <w:color w:val="auto"/>
          <w:highlight w:val="none"/>
        </w:rPr>
      </w:pPr>
      <w:r>
        <w:rPr>
          <w:color w:val="auto"/>
          <w:sz w:val="28"/>
          <w:highlight w:val="none"/>
        </w:rPr>
        <w:t xml:space="preserve">⑥ </w:t>
      </w:r>
      <w:r>
        <w:rPr>
          <w:color w:val="auto"/>
          <w:highlight w:val="none"/>
        </w:rPr>
        <w:t>原材料、零配件等的质量证明文件和检验报告；</w:t>
      </w:r>
    </w:p>
    <w:p>
      <w:pPr>
        <w:pStyle w:val="3"/>
        <w:spacing w:before="122"/>
        <w:ind w:left="799"/>
        <w:rPr>
          <w:color w:val="auto"/>
          <w:highlight w:val="none"/>
        </w:rPr>
      </w:pPr>
      <w:r>
        <w:rPr>
          <w:color w:val="auto"/>
          <w:sz w:val="28"/>
          <w:highlight w:val="none"/>
        </w:rPr>
        <w:t xml:space="preserve">⑦ </w:t>
      </w:r>
      <w:r>
        <w:rPr>
          <w:color w:val="auto"/>
          <w:highlight w:val="none"/>
        </w:rPr>
        <w:t>开工／复工报审表、暂停令；</w:t>
      </w:r>
    </w:p>
    <w:p>
      <w:pPr>
        <w:pStyle w:val="3"/>
        <w:spacing w:before="121"/>
        <w:ind w:left="799"/>
        <w:rPr>
          <w:color w:val="auto"/>
          <w:highlight w:val="none"/>
        </w:rPr>
      </w:pPr>
      <w:r>
        <w:rPr>
          <w:color w:val="auto"/>
          <w:sz w:val="28"/>
          <w:highlight w:val="none"/>
        </w:rPr>
        <w:t xml:space="preserve">⑧ </w:t>
      </w:r>
      <w:r>
        <w:rPr>
          <w:color w:val="auto"/>
          <w:highlight w:val="none"/>
        </w:rPr>
        <w:t>检验记录及试验报告；</w:t>
      </w:r>
    </w:p>
    <w:p>
      <w:pPr>
        <w:spacing w:before="121"/>
        <w:ind w:left="799"/>
        <w:rPr>
          <w:color w:val="auto"/>
          <w:sz w:val="24"/>
          <w:highlight w:val="none"/>
        </w:rPr>
      </w:pPr>
      <w:r>
        <w:rPr>
          <w:color w:val="auto"/>
          <w:sz w:val="28"/>
          <w:highlight w:val="none"/>
        </w:rPr>
        <w:t xml:space="preserve">⑨ </w:t>
      </w:r>
      <w:r>
        <w:rPr>
          <w:color w:val="auto"/>
          <w:sz w:val="24"/>
          <w:highlight w:val="none"/>
        </w:rPr>
        <w:t>报验申请表；</w:t>
      </w:r>
    </w:p>
    <w:p>
      <w:pPr>
        <w:spacing w:before="121"/>
        <w:ind w:left="799"/>
        <w:rPr>
          <w:color w:val="auto"/>
          <w:sz w:val="24"/>
          <w:highlight w:val="none"/>
        </w:rPr>
      </w:pPr>
      <w:r>
        <w:rPr>
          <w:color w:val="auto"/>
          <w:sz w:val="28"/>
          <w:highlight w:val="none"/>
        </w:rPr>
        <w:t xml:space="preserve">⑩ </w:t>
      </w:r>
      <w:r>
        <w:rPr>
          <w:color w:val="auto"/>
          <w:sz w:val="24"/>
          <w:highlight w:val="none"/>
        </w:rPr>
        <w:t>设计变更文件；</w:t>
      </w:r>
    </w:p>
    <w:p>
      <w:pPr>
        <w:pStyle w:val="3"/>
        <w:spacing w:before="82" w:line="360" w:lineRule="auto"/>
        <w:ind w:left="763"/>
        <w:rPr>
          <w:color w:val="auto"/>
          <w:highlight w:val="none"/>
        </w:rPr>
      </w:pPr>
      <w:r>
        <w:rPr>
          <w:rFonts w:hint="eastAsia"/>
          <w:color w:val="auto"/>
          <w:sz w:val="28"/>
          <w:szCs w:val="22"/>
          <w:highlight w:val="none"/>
        </w:rPr>
        <w:t>⑪</w:t>
      </w:r>
      <w:r>
        <w:rPr>
          <w:color w:val="auto"/>
          <w:highlight w:val="none"/>
        </w:rPr>
        <w:t xml:space="preserve"> 会议纪要；</w:t>
      </w:r>
    </w:p>
    <w:p>
      <w:pPr>
        <w:pStyle w:val="3"/>
        <w:spacing w:before="18" w:line="360" w:lineRule="auto"/>
        <w:ind w:left="763"/>
        <w:rPr>
          <w:color w:val="auto"/>
          <w:highlight w:val="none"/>
        </w:rPr>
      </w:pPr>
      <w:r>
        <w:rPr>
          <w:rFonts w:hint="eastAsia"/>
          <w:color w:val="auto"/>
          <w:sz w:val="28"/>
          <w:szCs w:val="22"/>
          <w:highlight w:val="none"/>
        </w:rPr>
        <w:t>⑫</w:t>
      </w:r>
      <w:r>
        <w:rPr>
          <w:color w:val="auto"/>
          <w:highlight w:val="none"/>
        </w:rPr>
        <w:t xml:space="preserve"> 来往文件；</w:t>
      </w:r>
    </w:p>
    <w:p>
      <w:pPr>
        <w:pStyle w:val="3"/>
        <w:spacing w:before="19" w:line="360" w:lineRule="auto"/>
        <w:ind w:left="763"/>
        <w:rPr>
          <w:color w:val="auto"/>
          <w:highlight w:val="none"/>
        </w:rPr>
      </w:pPr>
      <w:r>
        <w:rPr>
          <w:rFonts w:hint="eastAsia"/>
          <w:color w:val="auto"/>
          <w:sz w:val="28"/>
          <w:szCs w:val="22"/>
          <w:highlight w:val="none"/>
        </w:rPr>
        <w:t>⑬</w:t>
      </w:r>
      <w:r>
        <w:rPr>
          <w:color w:val="auto"/>
          <w:sz w:val="28"/>
          <w:szCs w:val="22"/>
          <w:highlight w:val="none"/>
        </w:rPr>
        <w:t xml:space="preserve"> </w:t>
      </w:r>
      <w:r>
        <w:rPr>
          <w:color w:val="auto"/>
          <w:highlight w:val="none"/>
        </w:rPr>
        <w:t>监理日记；</w:t>
      </w:r>
    </w:p>
    <w:p>
      <w:pPr>
        <w:pStyle w:val="3"/>
        <w:spacing w:before="19" w:line="360" w:lineRule="auto"/>
        <w:ind w:left="763"/>
        <w:rPr>
          <w:color w:val="auto"/>
          <w:highlight w:val="none"/>
        </w:rPr>
      </w:pPr>
      <w:r>
        <w:rPr>
          <w:rFonts w:hint="eastAsia"/>
          <w:color w:val="auto"/>
          <w:sz w:val="28"/>
          <w:szCs w:val="22"/>
          <w:highlight w:val="none"/>
        </w:rPr>
        <w:t>⑭</w:t>
      </w:r>
      <w:r>
        <w:rPr>
          <w:color w:val="auto"/>
          <w:sz w:val="28"/>
          <w:szCs w:val="22"/>
          <w:highlight w:val="none"/>
        </w:rPr>
        <w:t xml:space="preserve"> </w:t>
      </w:r>
      <w:r>
        <w:rPr>
          <w:color w:val="auto"/>
          <w:highlight w:val="none"/>
        </w:rPr>
        <w:t>监理工程师通知单；</w:t>
      </w:r>
    </w:p>
    <w:p>
      <w:pPr>
        <w:pStyle w:val="3"/>
        <w:spacing w:before="19" w:line="360" w:lineRule="auto"/>
        <w:ind w:left="763"/>
        <w:rPr>
          <w:color w:val="auto"/>
          <w:highlight w:val="none"/>
        </w:rPr>
      </w:pPr>
      <w:r>
        <w:rPr>
          <w:rFonts w:hint="eastAsia"/>
          <w:color w:val="auto"/>
          <w:sz w:val="28"/>
          <w:szCs w:val="22"/>
          <w:highlight w:val="none"/>
        </w:rPr>
        <w:t>⑮</w:t>
      </w:r>
      <w:r>
        <w:rPr>
          <w:color w:val="auto"/>
          <w:sz w:val="28"/>
          <w:szCs w:val="22"/>
          <w:highlight w:val="none"/>
        </w:rPr>
        <w:t xml:space="preserve"> </w:t>
      </w:r>
      <w:r>
        <w:rPr>
          <w:color w:val="auto"/>
          <w:highlight w:val="none"/>
        </w:rPr>
        <w:t>监理工作联系单；</w:t>
      </w:r>
    </w:p>
    <w:p>
      <w:pPr>
        <w:pStyle w:val="3"/>
        <w:spacing w:before="18" w:line="360" w:lineRule="auto"/>
        <w:ind w:left="763"/>
        <w:rPr>
          <w:color w:val="auto"/>
          <w:highlight w:val="none"/>
        </w:rPr>
      </w:pPr>
      <w:r>
        <w:rPr>
          <w:rFonts w:hint="eastAsia"/>
          <w:color w:val="auto"/>
          <w:sz w:val="28"/>
          <w:szCs w:val="22"/>
          <w:highlight w:val="none"/>
        </w:rPr>
        <w:t>⑯</w:t>
      </w:r>
      <w:r>
        <w:rPr>
          <w:color w:val="auto"/>
          <w:highlight w:val="none"/>
        </w:rPr>
        <w:t xml:space="preserve"> 监理月报；</w:t>
      </w:r>
    </w:p>
    <w:p>
      <w:pPr>
        <w:pStyle w:val="3"/>
        <w:spacing w:before="19" w:line="360" w:lineRule="auto"/>
        <w:ind w:left="763"/>
        <w:rPr>
          <w:color w:val="auto"/>
          <w:highlight w:val="none"/>
        </w:rPr>
      </w:pPr>
      <w:r>
        <w:rPr>
          <w:rFonts w:hint="eastAsia"/>
          <w:color w:val="auto"/>
          <w:sz w:val="28"/>
          <w:szCs w:val="22"/>
          <w:highlight w:val="none"/>
        </w:rPr>
        <w:t>⑰</w:t>
      </w:r>
      <w:r>
        <w:rPr>
          <w:color w:val="auto"/>
          <w:sz w:val="28"/>
          <w:szCs w:val="22"/>
          <w:highlight w:val="none"/>
        </w:rPr>
        <w:t xml:space="preserve"> </w:t>
      </w:r>
      <w:r>
        <w:rPr>
          <w:color w:val="auto"/>
          <w:highlight w:val="none"/>
        </w:rPr>
        <w:t>质量事故处理文件；</w:t>
      </w:r>
    </w:p>
    <w:p>
      <w:pPr>
        <w:pStyle w:val="3"/>
        <w:spacing w:before="38" w:line="360" w:lineRule="auto"/>
        <w:ind w:left="763"/>
        <w:rPr>
          <w:color w:val="auto"/>
          <w:highlight w:val="none"/>
        </w:rPr>
      </w:pPr>
      <w:r>
        <w:rPr>
          <w:rFonts w:hint="eastAsia"/>
          <w:color w:val="auto"/>
          <w:sz w:val="28"/>
          <w:szCs w:val="22"/>
          <w:highlight w:val="none"/>
        </w:rPr>
        <w:t>⑱</w:t>
      </w:r>
      <w:r>
        <w:rPr>
          <w:color w:val="auto"/>
          <w:highlight w:val="none"/>
        </w:rPr>
        <w:t xml:space="preserve"> 设备制造索赔文件；</w:t>
      </w:r>
    </w:p>
    <w:p>
      <w:pPr>
        <w:pStyle w:val="3"/>
        <w:spacing w:before="19" w:line="360" w:lineRule="auto"/>
        <w:ind w:left="763"/>
        <w:rPr>
          <w:color w:val="auto"/>
          <w:highlight w:val="none"/>
        </w:rPr>
      </w:pPr>
      <w:r>
        <w:rPr>
          <w:rFonts w:hint="eastAsia"/>
          <w:color w:val="auto"/>
          <w:sz w:val="28"/>
          <w:szCs w:val="22"/>
          <w:highlight w:val="none"/>
        </w:rPr>
        <w:t>⑲</w:t>
      </w:r>
      <w:r>
        <w:rPr>
          <w:color w:val="auto"/>
          <w:highlight w:val="none"/>
        </w:rPr>
        <w:t xml:space="preserve"> 设备验收文件；</w:t>
      </w:r>
    </w:p>
    <w:p>
      <w:pPr>
        <w:pStyle w:val="3"/>
        <w:spacing w:before="19" w:line="360" w:lineRule="auto"/>
        <w:ind w:left="763"/>
        <w:rPr>
          <w:color w:val="auto"/>
          <w:highlight w:val="none"/>
        </w:rPr>
      </w:pPr>
      <w:r>
        <w:rPr>
          <w:rFonts w:hint="eastAsia"/>
          <w:color w:val="auto"/>
          <w:sz w:val="28"/>
          <w:szCs w:val="22"/>
          <w:highlight w:val="none"/>
        </w:rPr>
        <w:t>⑳</w:t>
      </w:r>
      <w:r>
        <w:rPr>
          <w:color w:val="auto"/>
          <w:highlight w:val="none"/>
        </w:rPr>
        <w:t xml:space="preserve"> 设备交接文件；</w:t>
      </w:r>
    </w:p>
    <w:p>
      <w:pPr>
        <w:pStyle w:val="3"/>
        <w:spacing w:before="18" w:line="360" w:lineRule="auto"/>
        <w:ind w:left="763"/>
        <w:rPr>
          <w:color w:val="auto"/>
          <w:highlight w:val="none"/>
        </w:rPr>
      </w:pPr>
      <w:r>
        <w:rPr>
          <w:rFonts w:hint="eastAsia"/>
          <w:color w:val="auto"/>
          <w:sz w:val="28"/>
          <w:szCs w:val="22"/>
          <w:highlight w:val="none"/>
        </w:rPr>
        <w:t>㉑</w:t>
      </w:r>
      <w:r>
        <w:rPr>
          <w:color w:val="auto"/>
          <w:highlight w:val="none"/>
        </w:rPr>
        <w:t xml:space="preserve"> 支付证书和设备制造结算审核文件；</w:t>
      </w:r>
    </w:p>
    <w:p>
      <w:pPr>
        <w:pStyle w:val="3"/>
        <w:spacing w:before="19" w:line="360" w:lineRule="auto"/>
        <w:ind w:left="763"/>
        <w:rPr>
          <w:color w:val="auto"/>
          <w:highlight w:val="none"/>
        </w:rPr>
      </w:pPr>
      <w:r>
        <w:rPr>
          <w:rFonts w:hint="eastAsia"/>
          <w:color w:val="auto"/>
          <w:sz w:val="28"/>
          <w:szCs w:val="22"/>
          <w:highlight w:val="none"/>
        </w:rPr>
        <w:t>㉒</w:t>
      </w:r>
      <w:r>
        <w:rPr>
          <w:color w:val="auto"/>
          <w:highlight w:val="none"/>
        </w:rPr>
        <w:t xml:space="preserve"> 设备监造工作总结。</w:t>
      </w:r>
    </w:p>
    <w:p>
      <w:pPr>
        <w:pStyle w:val="12"/>
        <w:numPr>
          <w:ilvl w:val="3"/>
          <w:numId w:val="16"/>
        </w:numPr>
        <w:tabs>
          <w:tab w:val="left" w:pos="1665"/>
          <w:tab w:val="left" w:pos="1666"/>
        </w:tabs>
        <w:spacing w:before="99"/>
        <w:rPr>
          <w:color w:val="auto"/>
          <w:highlight w:val="none"/>
        </w:rPr>
      </w:pPr>
      <w:r>
        <w:rPr>
          <w:color w:val="auto"/>
          <w:highlight w:val="none"/>
        </w:rPr>
        <w:t>工程合同管理工作</w:t>
      </w:r>
    </w:p>
    <w:p>
      <w:pPr>
        <w:pStyle w:val="20"/>
        <w:numPr>
          <w:ilvl w:val="0"/>
          <w:numId w:val="41"/>
        </w:numPr>
        <w:tabs>
          <w:tab w:val="left" w:pos="1220"/>
        </w:tabs>
        <w:spacing w:before="172" w:line="374" w:lineRule="auto"/>
        <w:ind w:right="227" w:firstLine="372"/>
        <w:rPr>
          <w:color w:val="auto"/>
          <w:sz w:val="24"/>
          <w:highlight w:val="none"/>
        </w:rPr>
      </w:pPr>
      <w:r>
        <w:rPr>
          <w:color w:val="auto"/>
          <w:sz w:val="24"/>
          <w:highlight w:val="none"/>
        </w:rPr>
        <w:t>建立合同实施的保证体系，使工程项目的全部合同事件处于控制中，保证合同目标的实现。</w:t>
      </w:r>
    </w:p>
    <w:p>
      <w:pPr>
        <w:pStyle w:val="20"/>
        <w:numPr>
          <w:ilvl w:val="0"/>
          <w:numId w:val="41"/>
        </w:numPr>
        <w:tabs>
          <w:tab w:val="left" w:pos="1220"/>
        </w:tabs>
        <w:spacing w:before="1" w:line="374" w:lineRule="auto"/>
        <w:ind w:right="227" w:firstLine="372"/>
        <w:rPr>
          <w:color w:val="auto"/>
          <w:sz w:val="24"/>
          <w:highlight w:val="none"/>
        </w:rPr>
      </w:pPr>
      <w:r>
        <w:rPr>
          <w:color w:val="auto"/>
          <w:sz w:val="24"/>
          <w:highlight w:val="none"/>
        </w:rPr>
        <w:t>建立合同管理文档系统。应建立与相适应的编码系统和文档系统，便于各种合同资料的保存与查询。</w:t>
      </w:r>
    </w:p>
    <w:p>
      <w:pPr>
        <w:pStyle w:val="20"/>
        <w:numPr>
          <w:ilvl w:val="0"/>
          <w:numId w:val="41"/>
        </w:numPr>
        <w:tabs>
          <w:tab w:val="left" w:pos="1220"/>
        </w:tabs>
        <w:spacing w:before="1" w:line="374" w:lineRule="auto"/>
        <w:ind w:right="227" w:firstLine="372"/>
        <w:rPr>
          <w:color w:val="auto"/>
          <w:sz w:val="24"/>
          <w:highlight w:val="none"/>
        </w:rPr>
      </w:pPr>
      <w:r>
        <w:rPr>
          <w:color w:val="auto"/>
          <w:sz w:val="24"/>
          <w:highlight w:val="none"/>
        </w:rPr>
        <w:t>建立合同文件沟通方式。承包人和委托人、监理工程师、分包人之间的有关合同的文件沟通都应以书面形式进行。</w:t>
      </w:r>
    </w:p>
    <w:p>
      <w:pPr>
        <w:pStyle w:val="20"/>
        <w:numPr>
          <w:ilvl w:val="0"/>
          <w:numId w:val="41"/>
        </w:numPr>
        <w:tabs>
          <w:tab w:val="left" w:pos="1220"/>
        </w:tabs>
        <w:spacing w:line="374" w:lineRule="auto"/>
        <w:ind w:right="227" w:firstLine="372"/>
        <w:rPr>
          <w:color w:val="auto"/>
          <w:sz w:val="24"/>
          <w:highlight w:val="none"/>
        </w:rPr>
      </w:pPr>
      <w:r>
        <w:rPr>
          <w:color w:val="auto"/>
          <w:sz w:val="24"/>
          <w:highlight w:val="none"/>
        </w:rPr>
        <w:t>合同实施监督。包括：监督总承包人、分包人严格执行合同，并做好各分包人的协调和管理工作。同时也应督促委托人执行其合同责任，以保证工程顺利进行。</w:t>
      </w:r>
    </w:p>
    <w:p>
      <w:pPr>
        <w:pStyle w:val="20"/>
        <w:numPr>
          <w:ilvl w:val="0"/>
          <w:numId w:val="41"/>
        </w:numPr>
        <w:tabs>
          <w:tab w:val="left" w:pos="1217"/>
        </w:tabs>
        <w:spacing w:before="1"/>
        <w:ind w:left="1216" w:hanging="622"/>
        <w:rPr>
          <w:color w:val="auto"/>
          <w:sz w:val="24"/>
          <w:highlight w:val="none"/>
        </w:rPr>
      </w:pPr>
      <w:r>
        <w:rPr>
          <w:color w:val="auto"/>
          <w:sz w:val="24"/>
          <w:highlight w:val="none"/>
        </w:rPr>
        <w:t>合同跟踪和诊断。包括：</w:t>
      </w:r>
    </w:p>
    <w:p>
      <w:pPr>
        <w:pStyle w:val="20"/>
        <w:numPr>
          <w:ilvl w:val="1"/>
          <w:numId w:val="41"/>
        </w:numPr>
        <w:tabs>
          <w:tab w:val="left" w:pos="1086"/>
        </w:tabs>
        <w:spacing w:before="172" w:line="374" w:lineRule="auto"/>
        <w:ind w:right="239" w:firstLine="496"/>
        <w:rPr>
          <w:color w:val="auto"/>
          <w:sz w:val="24"/>
          <w:highlight w:val="none"/>
        </w:rPr>
      </w:pPr>
      <w:r>
        <w:rPr>
          <w:color w:val="auto"/>
          <w:sz w:val="24"/>
          <w:highlight w:val="none"/>
        </w:rPr>
        <w:t>全面收集并分析合同实施的信息与工程资料，将合同实施情况与合同分析资料进行对比分析，找出其中的偏离。</w:t>
      </w:r>
    </w:p>
    <w:p>
      <w:pPr>
        <w:pStyle w:val="20"/>
        <w:numPr>
          <w:ilvl w:val="1"/>
          <w:numId w:val="41"/>
        </w:numPr>
        <w:tabs>
          <w:tab w:val="left" w:pos="1086"/>
        </w:tabs>
        <w:spacing w:before="1" w:line="374" w:lineRule="auto"/>
        <w:ind w:right="239" w:firstLine="496"/>
        <w:jc w:val="both"/>
        <w:rPr>
          <w:color w:val="auto"/>
          <w:sz w:val="24"/>
          <w:highlight w:val="none"/>
        </w:rPr>
      </w:pPr>
      <w:r>
        <w:rPr>
          <w:color w:val="auto"/>
          <w:sz w:val="24"/>
          <w:highlight w:val="none"/>
        </w:rPr>
        <w:t>对合同履行情况做出诊断。合同诊断包括：合同执行差异的原因分析、合同差异责任分析、合同实施趋向预测。及时通报合同实施情况及问题，提出合同实施方面的意见、建议、甚至警告。</w:t>
      </w:r>
    </w:p>
    <w:p>
      <w:pPr>
        <w:pStyle w:val="20"/>
        <w:numPr>
          <w:ilvl w:val="1"/>
          <w:numId w:val="41"/>
        </w:numPr>
        <w:tabs>
          <w:tab w:val="left" w:pos="1092"/>
        </w:tabs>
        <w:spacing w:before="1"/>
        <w:ind w:left="1092" w:hanging="373"/>
        <w:rPr>
          <w:color w:val="auto"/>
          <w:sz w:val="24"/>
          <w:highlight w:val="none"/>
        </w:rPr>
      </w:pPr>
      <w:r>
        <w:rPr>
          <w:color w:val="auto"/>
          <w:sz w:val="24"/>
          <w:highlight w:val="none"/>
        </w:rPr>
        <w:t>对于发现的问题，及时采取对应的管理措施，防止问题的扩大和重复发生。</w:t>
      </w:r>
    </w:p>
    <w:p>
      <w:pPr>
        <w:pStyle w:val="20"/>
        <w:numPr>
          <w:ilvl w:val="0"/>
          <w:numId w:val="41"/>
        </w:numPr>
        <w:tabs>
          <w:tab w:val="left" w:pos="1220"/>
        </w:tabs>
        <w:spacing w:before="172" w:line="374" w:lineRule="auto"/>
        <w:ind w:right="235" w:firstLine="372"/>
        <w:rPr>
          <w:color w:val="auto"/>
          <w:sz w:val="24"/>
          <w:highlight w:val="none"/>
        </w:rPr>
      </w:pPr>
      <w:r>
        <w:rPr>
          <w:color w:val="auto"/>
          <w:sz w:val="24"/>
          <w:highlight w:val="none"/>
        </w:rPr>
        <w:t>严格合同变更管理。包括：变更谈判、变更的处理程序，落实变更的措施，修改变更相关的资料，检查变更措施的落实情况。</w:t>
      </w:r>
    </w:p>
    <w:p>
      <w:pPr>
        <w:pStyle w:val="20"/>
        <w:numPr>
          <w:ilvl w:val="0"/>
          <w:numId w:val="41"/>
        </w:numPr>
        <w:tabs>
          <w:tab w:val="left" w:pos="1220"/>
        </w:tabs>
        <w:spacing w:before="1" w:line="374" w:lineRule="auto"/>
        <w:ind w:right="227" w:firstLine="372"/>
        <w:jc w:val="both"/>
        <w:rPr>
          <w:color w:val="auto"/>
          <w:sz w:val="24"/>
          <w:highlight w:val="none"/>
        </w:rPr>
      </w:pPr>
      <w:r>
        <w:rPr>
          <w:color w:val="auto"/>
          <w:sz w:val="24"/>
          <w:highlight w:val="none"/>
        </w:rPr>
        <w:t>监理人应按委托人的要求参与本合同工程施工、采购等招投标文件（含招投标修改、澄清等文件）的审查工作，对相关合同及施工组织设计等文件进行审核，确定可能引起争议的合同条款等内容，向委托人提交关于合同执行过程的可能存在的索赔风险的报告。对收到的承包人的索赔报告应进行审查分析，收集反驳理由和证据，复核索赔值；如具备反索赔条件，应及时提出反索赔报告并附上相关证据。</w:t>
      </w:r>
    </w:p>
    <w:p>
      <w:pPr>
        <w:pStyle w:val="20"/>
        <w:numPr>
          <w:ilvl w:val="0"/>
          <w:numId w:val="41"/>
        </w:numPr>
        <w:tabs>
          <w:tab w:val="left" w:pos="1220"/>
        </w:tabs>
        <w:spacing w:before="1" w:line="374" w:lineRule="auto"/>
        <w:ind w:right="227" w:firstLine="372"/>
        <w:jc w:val="both"/>
        <w:rPr>
          <w:color w:val="auto"/>
          <w:sz w:val="24"/>
          <w:highlight w:val="none"/>
        </w:rPr>
      </w:pPr>
      <w:r>
        <w:rPr>
          <w:color w:val="auto"/>
          <w:sz w:val="24"/>
          <w:highlight w:val="none"/>
        </w:rPr>
        <w:t>合同终止和后评价工作，包括：合同按约定履行结束后，合同即告终止。监理人应及时进行合同后评价，总结合同签订和执行过程中的利弊得失、经验教训，作为改进以后工程合同管理工作的借鉴。</w:t>
      </w:r>
    </w:p>
    <w:p>
      <w:pPr>
        <w:pStyle w:val="20"/>
        <w:numPr>
          <w:ilvl w:val="0"/>
          <w:numId w:val="41"/>
        </w:numPr>
        <w:tabs>
          <w:tab w:val="left" w:pos="1217"/>
        </w:tabs>
        <w:spacing w:before="173"/>
        <w:ind w:left="1216" w:hanging="622"/>
        <w:rPr>
          <w:color w:val="auto"/>
          <w:sz w:val="24"/>
          <w:highlight w:val="none"/>
        </w:rPr>
      </w:pPr>
      <w:r>
        <w:rPr>
          <w:color w:val="auto"/>
          <w:sz w:val="24"/>
          <w:highlight w:val="none"/>
        </w:rPr>
        <w:t>合同后评估应包括如下内容：</w:t>
      </w:r>
    </w:p>
    <w:p>
      <w:pPr>
        <w:pStyle w:val="20"/>
        <w:numPr>
          <w:ilvl w:val="0"/>
          <w:numId w:val="42"/>
        </w:numPr>
        <w:tabs>
          <w:tab w:val="left" w:pos="1092"/>
        </w:tabs>
        <w:spacing w:before="172"/>
        <w:rPr>
          <w:color w:val="auto"/>
          <w:sz w:val="24"/>
          <w:highlight w:val="none"/>
        </w:rPr>
      </w:pPr>
      <w:r>
        <w:rPr>
          <w:color w:val="auto"/>
          <w:sz w:val="24"/>
          <w:highlight w:val="none"/>
        </w:rPr>
        <w:t>合同签订情况评价；</w:t>
      </w:r>
    </w:p>
    <w:p>
      <w:pPr>
        <w:pStyle w:val="20"/>
        <w:numPr>
          <w:ilvl w:val="0"/>
          <w:numId w:val="42"/>
        </w:numPr>
        <w:tabs>
          <w:tab w:val="left" w:pos="1092"/>
        </w:tabs>
        <w:spacing w:before="173"/>
        <w:rPr>
          <w:color w:val="auto"/>
          <w:sz w:val="24"/>
          <w:highlight w:val="none"/>
        </w:rPr>
      </w:pPr>
      <w:r>
        <w:rPr>
          <w:color w:val="auto"/>
          <w:sz w:val="24"/>
          <w:highlight w:val="none"/>
        </w:rPr>
        <w:t>合同执行情况评价；</w:t>
      </w:r>
    </w:p>
    <w:p>
      <w:pPr>
        <w:pStyle w:val="20"/>
        <w:numPr>
          <w:ilvl w:val="0"/>
          <w:numId w:val="42"/>
        </w:numPr>
        <w:tabs>
          <w:tab w:val="left" w:pos="1092"/>
        </w:tabs>
        <w:spacing w:before="172"/>
        <w:rPr>
          <w:color w:val="auto"/>
          <w:sz w:val="24"/>
          <w:highlight w:val="none"/>
        </w:rPr>
      </w:pPr>
      <w:r>
        <w:rPr>
          <w:color w:val="auto"/>
          <w:sz w:val="24"/>
          <w:highlight w:val="none"/>
        </w:rPr>
        <w:t>合同管理工作评价；</w:t>
      </w:r>
    </w:p>
    <w:p>
      <w:pPr>
        <w:pStyle w:val="20"/>
        <w:numPr>
          <w:ilvl w:val="0"/>
          <w:numId w:val="42"/>
        </w:numPr>
        <w:tabs>
          <w:tab w:val="left" w:pos="1092"/>
        </w:tabs>
        <w:spacing w:before="173"/>
        <w:rPr>
          <w:color w:val="auto"/>
          <w:sz w:val="24"/>
          <w:highlight w:val="none"/>
        </w:rPr>
      </w:pPr>
      <w:r>
        <w:rPr>
          <w:color w:val="auto"/>
          <w:sz w:val="24"/>
          <w:highlight w:val="none"/>
        </w:rPr>
        <w:t>对本项目有重大影响的合同条款的评价。</w:t>
      </w:r>
    </w:p>
    <w:p>
      <w:pPr>
        <w:pStyle w:val="20"/>
        <w:numPr>
          <w:ilvl w:val="0"/>
          <w:numId w:val="41"/>
        </w:numPr>
        <w:tabs>
          <w:tab w:val="left" w:pos="1342"/>
        </w:tabs>
        <w:spacing w:before="172"/>
        <w:ind w:left="1341" w:hanging="747"/>
        <w:rPr>
          <w:color w:val="auto"/>
          <w:sz w:val="24"/>
          <w:highlight w:val="none"/>
        </w:rPr>
      </w:pPr>
      <w:r>
        <w:rPr>
          <w:color w:val="auto"/>
          <w:sz w:val="24"/>
          <w:highlight w:val="none"/>
        </w:rPr>
        <w:t>合同管理中的其他监理工作，包括：</w:t>
      </w:r>
    </w:p>
    <w:p>
      <w:pPr>
        <w:pStyle w:val="20"/>
        <w:numPr>
          <w:ilvl w:val="0"/>
          <w:numId w:val="43"/>
        </w:numPr>
        <w:tabs>
          <w:tab w:val="left" w:pos="1092"/>
        </w:tabs>
        <w:spacing w:before="173"/>
        <w:rPr>
          <w:color w:val="auto"/>
          <w:sz w:val="24"/>
          <w:highlight w:val="none"/>
        </w:rPr>
      </w:pPr>
      <w:r>
        <w:rPr>
          <w:color w:val="auto"/>
          <w:sz w:val="24"/>
          <w:highlight w:val="none"/>
        </w:rPr>
        <w:t>费用索赔的处理</w:t>
      </w:r>
    </w:p>
    <w:p>
      <w:pPr>
        <w:pStyle w:val="3"/>
        <w:spacing w:before="172" w:line="374" w:lineRule="auto"/>
        <w:ind w:right="227" w:firstLine="496"/>
        <w:rPr>
          <w:color w:val="auto"/>
          <w:highlight w:val="none"/>
        </w:rPr>
      </w:pPr>
      <w:r>
        <w:rPr>
          <w:color w:val="auto"/>
          <w:highlight w:val="none"/>
        </w:rPr>
        <w:t>专业监理工程师应及时收集、整理有关的施工和监理资料，为处理可能发生的费用索赔提供证据。</w:t>
      </w:r>
    </w:p>
    <w:p>
      <w:pPr>
        <w:pStyle w:val="3"/>
        <w:spacing w:line="319" w:lineRule="exact"/>
        <w:ind w:left="799"/>
        <w:rPr>
          <w:color w:val="auto"/>
          <w:highlight w:val="none"/>
        </w:rPr>
      </w:pPr>
      <w:r>
        <w:rPr>
          <w:color w:val="auto"/>
          <w:sz w:val="28"/>
          <w:highlight w:val="none"/>
        </w:rPr>
        <w:t xml:space="preserve">① </w:t>
      </w:r>
      <w:r>
        <w:rPr>
          <w:color w:val="auto"/>
          <w:highlight w:val="none"/>
        </w:rPr>
        <w:t>项目监理机构处理费用索赔应依据下列内容：</w:t>
      </w:r>
    </w:p>
    <w:p>
      <w:pPr>
        <w:pStyle w:val="20"/>
        <w:numPr>
          <w:ilvl w:val="0"/>
          <w:numId w:val="44"/>
        </w:numPr>
        <w:tabs>
          <w:tab w:val="left" w:pos="1145"/>
        </w:tabs>
        <w:spacing w:before="161"/>
        <w:rPr>
          <w:color w:val="auto"/>
          <w:sz w:val="24"/>
          <w:highlight w:val="none"/>
        </w:rPr>
      </w:pPr>
      <w:r>
        <w:rPr>
          <w:color w:val="auto"/>
          <w:sz w:val="24"/>
          <w:highlight w:val="none"/>
        </w:rPr>
        <w:t>国家有关的法律、法规和工程项目所在地的地方法规；</w:t>
      </w:r>
    </w:p>
    <w:p>
      <w:pPr>
        <w:pStyle w:val="20"/>
        <w:numPr>
          <w:ilvl w:val="0"/>
          <w:numId w:val="44"/>
        </w:numPr>
        <w:tabs>
          <w:tab w:val="left" w:pos="1160"/>
        </w:tabs>
        <w:spacing w:before="173"/>
        <w:ind w:left="1159" w:hanging="318"/>
        <w:rPr>
          <w:color w:val="auto"/>
          <w:sz w:val="24"/>
          <w:highlight w:val="none"/>
        </w:rPr>
      </w:pPr>
      <w:r>
        <w:rPr>
          <w:color w:val="auto"/>
          <w:sz w:val="24"/>
          <w:highlight w:val="none"/>
        </w:rPr>
        <w:t>本工程的施工合同文件；</w:t>
      </w:r>
    </w:p>
    <w:p>
      <w:pPr>
        <w:pStyle w:val="20"/>
        <w:numPr>
          <w:ilvl w:val="0"/>
          <w:numId w:val="44"/>
        </w:numPr>
        <w:tabs>
          <w:tab w:val="left" w:pos="1145"/>
        </w:tabs>
        <w:spacing w:before="172"/>
        <w:rPr>
          <w:color w:val="auto"/>
          <w:sz w:val="24"/>
          <w:highlight w:val="none"/>
        </w:rPr>
      </w:pPr>
      <w:r>
        <w:rPr>
          <w:color w:val="auto"/>
          <w:sz w:val="24"/>
          <w:highlight w:val="none"/>
        </w:rPr>
        <w:t>国家、部门和地方有关的标准、规范和定额；</w:t>
      </w:r>
    </w:p>
    <w:p>
      <w:pPr>
        <w:pStyle w:val="20"/>
        <w:numPr>
          <w:ilvl w:val="0"/>
          <w:numId w:val="44"/>
        </w:numPr>
        <w:tabs>
          <w:tab w:val="left" w:pos="1160"/>
        </w:tabs>
        <w:spacing w:before="173"/>
        <w:ind w:left="1159" w:hanging="318"/>
        <w:rPr>
          <w:color w:val="auto"/>
          <w:sz w:val="24"/>
          <w:highlight w:val="none"/>
        </w:rPr>
      </w:pPr>
      <w:r>
        <w:rPr>
          <w:color w:val="auto"/>
          <w:sz w:val="24"/>
          <w:highlight w:val="none"/>
        </w:rPr>
        <w:t>施工合同履行过程中与索赔事件有关的凭证。</w:t>
      </w:r>
    </w:p>
    <w:p>
      <w:pPr>
        <w:pStyle w:val="3"/>
        <w:spacing w:before="132"/>
        <w:ind w:left="799"/>
        <w:rPr>
          <w:color w:val="auto"/>
          <w:highlight w:val="none"/>
        </w:rPr>
      </w:pPr>
      <w:r>
        <w:rPr>
          <w:color w:val="auto"/>
          <w:sz w:val="28"/>
          <w:highlight w:val="none"/>
        </w:rPr>
        <w:t xml:space="preserve">② </w:t>
      </w:r>
      <w:r>
        <w:rPr>
          <w:color w:val="auto"/>
          <w:highlight w:val="none"/>
        </w:rPr>
        <w:t>当承包人提出费用索赔的理由同时满足以下条件时，项目监理机构应予以受理：</w:t>
      </w:r>
    </w:p>
    <w:p>
      <w:pPr>
        <w:pStyle w:val="20"/>
        <w:numPr>
          <w:ilvl w:val="0"/>
          <w:numId w:val="45"/>
        </w:numPr>
        <w:tabs>
          <w:tab w:val="left" w:pos="1145"/>
        </w:tabs>
        <w:spacing w:before="162"/>
        <w:rPr>
          <w:color w:val="auto"/>
          <w:sz w:val="24"/>
          <w:highlight w:val="none"/>
        </w:rPr>
      </w:pPr>
      <w:r>
        <w:rPr>
          <w:color w:val="auto"/>
          <w:sz w:val="24"/>
          <w:highlight w:val="none"/>
        </w:rPr>
        <w:t>索赔事件造成了承包人直接经济损失；</w:t>
      </w:r>
    </w:p>
    <w:p>
      <w:pPr>
        <w:pStyle w:val="20"/>
        <w:numPr>
          <w:ilvl w:val="0"/>
          <w:numId w:val="45"/>
        </w:numPr>
        <w:tabs>
          <w:tab w:val="left" w:pos="1220"/>
        </w:tabs>
        <w:spacing w:before="172"/>
        <w:ind w:left="1219" w:hanging="378"/>
        <w:rPr>
          <w:color w:val="auto"/>
          <w:sz w:val="24"/>
          <w:highlight w:val="none"/>
        </w:rPr>
      </w:pPr>
      <w:r>
        <w:rPr>
          <w:color w:val="auto"/>
          <w:sz w:val="24"/>
          <w:highlight w:val="none"/>
        </w:rPr>
        <w:t>索赔事件是由于非承包人的责任发生的；</w:t>
      </w:r>
    </w:p>
    <w:p>
      <w:pPr>
        <w:pStyle w:val="20"/>
        <w:numPr>
          <w:ilvl w:val="0"/>
          <w:numId w:val="45"/>
        </w:numPr>
        <w:tabs>
          <w:tab w:val="left" w:pos="1150"/>
        </w:tabs>
        <w:spacing w:before="173" w:line="374" w:lineRule="auto"/>
        <w:ind w:left="223" w:right="240" w:firstLine="619"/>
        <w:rPr>
          <w:color w:val="auto"/>
          <w:sz w:val="24"/>
          <w:highlight w:val="none"/>
        </w:rPr>
      </w:pPr>
      <w:r>
        <w:rPr>
          <w:color w:val="auto"/>
          <w:sz w:val="24"/>
          <w:highlight w:val="none"/>
        </w:rPr>
        <w:t>承包人已按照施工合同规定的期限和程序提出费用索赔申请表，并附有索赔凭证材料。</w:t>
      </w:r>
    </w:p>
    <w:p>
      <w:pPr>
        <w:pStyle w:val="3"/>
        <w:spacing w:line="319" w:lineRule="exact"/>
        <w:ind w:left="799"/>
        <w:rPr>
          <w:color w:val="auto"/>
          <w:highlight w:val="none"/>
        </w:rPr>
      </w:pPr>
      <w:r>
        <w:rPr>
          <w:color w:val="auto"/>
          <w:sz w:val="28"/>
          <w:highlight w:val="none"/>
        </w:rPr>
        <w:t xml:space="preserve">③ </w:t>
      </w:r>
      <w:r>
        <w:rPr>
          <w:color w:val="auto"/>
          <w:highlight w:val="none"/>
        </w:rPr>
        <w:t>承包人向委托人提出费用索赔，项目监理机构应按下列程序处理：</w:t>
      </w:r>
    </w:p>
    <w:p>
      <w:pPr>
        <w:pStyle w:val="20"/>
        <w:numPr>
          <w:ilvl w:val="0"/>
          <w:numId w:val="46"/>
        </w:numPr>
        <w:tabs>
          <w:tab w:val="left" w:pos="1150"/>
        </w:tabs>
        <w:spacing w:before="161" w:line="374" w:lineRule="auto"/>
        <w:ind w:right="240" w:firstLine="619"/>
        <w:rPr>
          <w:color w:val="auto"/>
          <w:sz w:val="24"/>
          <w:highlight w:val="none"/>
        </w:rPr>
      </w:pPr>
      <w:r>
        <w:rPr>
          <w:color w:val="auto"/>
          <w:sz w:val="24"/>
          <w:highlight w:val="none"/>
        </w:rPr>
        <w:t>承包人在施工合同规定的期限内向项目监理机构提交对委托人的费用索赔意向通知书；</w:t>
      </w:r>
    </w:p>
    <w:p>
      <w:pPr>
        <w:pStyle w:val="20"/>
        <w:numPr>
          <w:ilvl w:val="0"/>
          <w:numId w:val="46"/>
        </w:numPr>
        <w:tabs>
          <w:tab w:val="left" w:pos="1150"/>
        </w:tabs>
        <w:spacing w:before="161" w:line="374" w:lineRule="auto"/>
        <w:ind w:right="240" w:firstLine="619"/>
        <w:rPr>
          <w:color w:val="auto"/>
          <w:sz w:val="24"/>
          <w:highlight w:val="none"/>
        </w:rPr>
      </w:pPr>
      <w:r>
        <w:rPr>
          <w:color w:val="auto"/>
          <w:sz w:val="24"/>
          <w:highlight w:val="none"/>
        </w:rPr>
        <w:t>总监理工程师指定专业监理工程师收集与索赔有关的资料；</w:t>
      </w:r>
    </w:p>
    <w:p>
      <w:pPr>
        <w:pStyle w:val="20"/>
        <w:numPr>
          <w:ilvl w:val="0"/>
          <w:numId w:val="46"/>
        </w:numPr>
        <w:tabs>
          <w:tab w:val="left" w:pos="1150"/>
        </w:tabs>
        <w:spacing w:before="161" w:line="374" w:lineRule="auto"/>
        <w:ind w:right="240" w:firstLine="619"/>
        <w:rPr>
          <w:color w:val="auto"/>
          <w:sz w:val="24"/>
          <w:highlight w:val="none"/>
        </w:rPr>
      </w:pPr>
      <w:r>
        <w:rPr>
          <w:color w:val="auto"/>
          <w:sz w:val="24"/>
          <w:highlight w:val="none"/>
        </w:rPr>
        <w:t>承包人在承包合同规定的期限内向项目监理机构提交对委托人的费用索赔申请表；</w:t>
      </w:r>
    </w:p>
    <w:p>
      <w:pPr>
        <w:pStyle w:val="20"/>
        <w:numPr>
          <w:ilvl w:val="0"/>
          <w:numId w:val="46"/>
        </w:numPr>
        <w:tabs>
          <w:tab w:val="left" w:pos="1150"/>
        </w:tabs>
        <w:spacing w:before="161" w:line="374" w:lineRule="auto"/>
        <w:ind w:right="240" w:firstLine="619"/>
        <w:rPr>
          <w:color w:val="auto"/>
          <w:sz w:val="24"/>
          <w:highlight w:val="none"/>
        </w:rPr>
      </w:pPr>
      <w:r>
        <w:rPr>
          <w:color w:val="auto"/>
          <w:sz w:val="24"/>
          <w:highlight w:val="none"/>
        </w:rPr>
        <w:t>总监理工程师初步审查费用索赔申请表，符合上述②款规定的条件时予以受理；</w:t>
      </w:r>
    </w:p>
    <w:p>
      <w:pPr>
        <w:pStyle w:val="20"/>
        <w:numPr>
          <w:ilvl w:val="0"/>
          <w:numId w:val="46"/>
        </w:numPr>
        <w:tabs>
          <w:tab w:val="left" w:pos="1150"/>
        </w:tabs>
        <w:spacing w:before="161" w:line="374" w:lineRule="auto"/>
        <w:ind w:right="240" w:firstLine="619"/>
        <w:rPr>
          <w:color w:val="auto"/>
          <w:sz w:val="24"/>
          <w:highlight w:val="none"/>
        </w:rPr>
      </w:pPr>
      <w:r>
        <w:rPr>
          <w:color w:val="auto"/>
          <w:sz w:val="24"/>
          <w:highlight w:val="none"/>
        </w:rPr>
        <w:t>总监理工程师进行费用索赔审查，并在初步确定一个额度后，与承包人和委托人进行协商；</w:t>
      </w:r>
    </w:p>
    <w:p>
      <w:pPr>
        <w:pStyle w:val="20"/>
        <w:numPr>
          <w:ilvl w:val="0"/>
          <w:numId w:val="46"/>
        </w:numPr>
        <w:tabs>
          <w:tab w:val="left" w:pos="1150"/>
        </w:tabs>
        <w:spacing w:before="161" w:line="374" w:lineRule="auto"/>
        <w:ind w:right="240" w:firstLine="619"/>
        <w:rPr>
          <w:color w:val="auto"/>
          <w:sz w:val="24"/>
          <w:highlight w:val="none"/>
        </w:rPr>
      </w:pPr>
      <w:r>
        <w:rPr>
          <w:color w:val="auto"/>
          <w:sz w:val="24"/>
          <w:highlight w:val="none"/>
        </w:rPr>
        <w:t>总监理工程师应在施工合同规定的期限内签署费用索赔审批表，或在施工合同规定的期限内发出要求承包人提交有关索赔报告的进一步详细资料的通知，待收到承包人提交的详细资料后，按上述的第 d、e 项的程序进行。</w:t>
      </w:r>
    </w:p>
    <w:p>
      <w:pPr>
        <w:pStyle w:val="3"/>
        <w:spacing w:line="319" w:lineRule="exact"/>
        <w:ind w:left="943"/>
        <w:rPr>
          <w:color w:val="auto"/>
          <w:highlight w:val="none"/>
        </w:rPr>
      </w:pPr>
      <w:r>
        <w:rPr>
          <w:color w:val="auto"/>
          <w:sz w:val="28"/>
          <w:highlight w:val="none"/>
        </w:rPr>
        <w:t xml:space="preserve">④ </w:t>
      </w:r>
      <w:r>
        <w:rPr>
          <w:color w:val="auto"/>
          <w:highlight w:val="none"/>
        </w:rPr>
        <w:t>当承包人的费用索赔要求与工程延期要求相关联时，总监理工程师在作出费用</w:t>
      </w:r>
    </w:p>
    <w:p>
      <w:pPr>
        <w:pStyle w:val="3"/>
        <w:spacing w:before="161" w:line="374" w:lineRule="auto"/>
        <w:ind w:right="239"/>
        <w:rPr>
          <w:color w:val="auto"/>
          <w:highlight w:val="none"/>
        </w:rPr>
      </w:pPr>
      <w:r>
        <w:rPr>
          <w:color w:val="auto"/>
          <w:highlight w:val="none"/>
        </w:rPr>
        <w:t>索赔的批准决定时，应与工程延期的批准联系起来，综合作出费用索赔和工程延期的决定。</w:t>
      </w:r>
    </w:p>
    <w:p>
      <w:pPr>
        <w:pStyle w:val="3"/>
        <w:spacing w:line="320" w:lineRule="exact"/>
        <w:ind w:left="943"/>
        <w:rPr>
          <w:color w:val="auto"/>
          <w:highlight w:val="none"/>
        </w:rPr>
      </w:pPr>
      <w:r>
        <w:rPr>
          <w:color w:val="auto"/>
          <w:sz w:val="28"/>
          <w:highlight w:val="none"/>
        </w:rPr>
        <w:t xml:space="preserve">⑤ </w:t>
      </w:r>
      <w:r>
        <w:rPr>
          <w:color w:val="auto"/>
          <w:highlight w:val="none"/>
        </w:rPr>
        <w:t>由于承包人的原因造成委托人的额外损失，委托人向承包人提出费用索赔时，</w:t>
      </w:r>
    </w:p>
    <w:p>
      <w:pPr>
        <w:pStyle w:val="3"/>
        <w:spacing w:before="161" w:line="374" w:lineRule="auto"/>
        <w:ind w:right="239"/>
        <w:rPr>
          <w:color w:val="auto"/>
          <w:highlight w:val="none"/>
        </w:rPr>
      </w:pPr>
      <w:r>
        <w:rPr>
          <w:color w:val="auto"/>
          <w:highlight w:val="none"/>
        </w:rPr>
        <w:t>总监理工程师在审查索赔报告后，应公正地与委托人和承包人进行协商，并及时作出答复。</w:t>
      </w:r>
    </w:p>
    <w:p>
      <w:pPr>
        <w:pStyle w:val="20"/>
        <w:numPr>
          <w:ilvl w:val="0"/>
          <w:numId w:val="43"/>
        </w:numPr>
        <w:tabs>
          <w:tab w:val="left" w:pos="1092"/>
        </w:tabs>
        <w:spacing w:before="1"/>
        <w:rPr>
          <w:color w:val="auto"/>
          <w:sz w:val="24"/>
          <w:highlight w:val="none"/>
        </w:rPr>
      </w:pPr>
      <w:r>
        <w:rPr>
          <w:color w:val="auto"/>
          <w:sz w:val="24"/>
          <w:highlight w:val="none"/>
        </w:rPr>
        <w:t>合同争议的调解</w:t>
      </w:r>
    </w:p>
    <w:p>
      <w:pPr>
        <w:pStyle w:val="3"/>
        <w:spacing w:before="132"/>
        <w:ind w:left="799"/>
        <w:rPr>
          <w:color w:val="auto"/>
          <w:highlight w:val="none"/>
        </w:rPr>
      </w:pPr>
      <w:r>
        <w:rPr>
          <w:color w:val="auto"/>
          <w:sz w:val="28"/>
          <w:highlight w:val="none"/>
        </w:rPr>
        <w:t xml:space="preserve">① </w:t>
      </w:r>
      <w:r>
        <w:rPr>
          <w:color w:val="auto"/>
          <w:highlight w:val="none"/>
        </w:rPr>
        <w:t>项目监理机构接到合同争议的调解要求后应进行以下工作：</w:t>
      </w:r>
    </w:p>
    <w:p>
      <w:pPr>
        <w:pStyle w:val="20"/>
        <w:numPr>
          <w:ilvl w:val="0"/>
          <w:numId w:val="47"/>
        </w:numPr>
        <w:tabs>
          <w:tab w:val="left" w:pos="1145"/>
        </w:tabs>
        <w:spacing w:before="161"/>
        <w:rPr>
          <w:color w:val="auto"/>
          <w:sz w:val="24"/>
          <w:highlight w:val="none"/>
        </w:rPr>
      </w:pPr>
      <w:r>
        <w:rPr>
          <w:color w:val="auto"/>
          <w:sz w:val="24"/>
          <w:highlight w:val="none"/>
        </w:rPr>
        <w:t>及时了解合同争议的全部情况，包括进行调查和取证；</w:t>
      </w:r>
    </w:p>
    <w:p>
      <w:pPr>
        <w:pStyle w:val="20"/>
        <w:numPr>
          <w:ilvl w:val="0"/>
          <w:numId w:val="47"/>
        </w:numPr>
        <w:tabs>
          <w:tab w:val="left" w:pos="1160"/>
        </w:tabs>
        <w:spacing w:before="173"/>
        <w:ind w:left="1159" w:hanging="318"/>
        <w:rPr>
          <w:color w:val="auto"/>
          <w:sz w:val="24"/>
          <w:highlight w:val="none"/>
        </w:rPr>
      </w:pPr>
      <w:r>
        <w:rPr>
          <w:color w:val="auto"/>
          <w:sz w:val="24"/>
          <w:highlight w:val="none"/>
        </w:rPr>
        <w:t>及时与合同争议的双方进行磋商；</w:t>
      </w:r>
    </w:p>
    <w:p>
      <w:pPr>
        <w:pStyle w:val="20"/>
        <w:numPr>
          <w:ilvl w:val="0"/>
          <w:numId w:val="47"/>
        </w:numPr>
        <w:tabs>
          <w:tab w:val="left" w:pos="1145"/>
        </w:tabs>
        <w:spacing w:before="172"/>
        <w:rPr>
          <w:color w:val="auto"/>
          <w:sz w:val="24"/>
          <w:highlight w:val="none"/>
        </w:rPr>
      </w:pPr>
      <w:r>
        <w:rPr>
          <w:color w:val="auto"/>
          <w:sz w:val="24"/>
          <w:highlight w:val="none"/>
        </w:rPr>
        <w:t>在项目监理机构提出调解方案后，由总监理工程师进行争议调解；</w:t>
      </w:r>
    </w:p>
    <w:p>
      <w:pPr>
        <w:pStyle w:val="20"/>
        <w:numPr>
          <w:ilvl w:val="0"/>
          <w:numId w:val="47"/>
        </w:numPr>
        <w:tabs>
          <w:tab w:val="left" w:pos="1162"/>
        </w:tabs>
        <w:spacing w:before="173" w:line="374" w:lineRule="auto"/>
        <w:ind w:left="223" w:right="242" w:firstLine="619"/>
        <w:rPr>
          <w:color w:val="auto"/>
          <w:sz w:val="24"/>
          <w:highlight w:val="none"/>
        </w:rPr>
      </w:pPr>
      <w:r>
        <w:rPr>
          <w:color w:val="auto"/>
          <w:sz w:val="24"/>
          <w:highlight w:val="none"/>
        </w:rPr>
        <w:t>当调解未能达成一致时，总监理工程师应在施工合同规定的期限内提出处理该合同争议的意见；</w:t>
      </w:r>
    </w:p>
    <w:p>
      <w:pPr>
        <w:pStyle w:val="20"/>
        <w:numPr>
          <w:ilvl w:val="0"/>
          <w:numId w:val="47"/>
        </w:numPr>
        <w:tabs>
          <w:tab w:val="left" w:pos="1150"/>
        </w:tabs>
        <w:spacing w:line="374" w:lineRule="auto"/>
        <w:ind w:left="223" w:right="240" w:firstLine="619"/>
        <w:rPr>
          <w:color w:val="auto"/>
          <w:sz w:val="24"/>
          <w:highlight w:val="none"/>
        </w:rPr>
      </w:pPr>
      <w:r>
        <w:rPr>
          <w:color w:val="auto"/>
          <w:sz w:val="24"/>
          <w:highlight w:val="none"/>
        </w:rPr>
        <w:t>在争议调解过程中，除已达到了施工合同规定的暂停履行合同的条件之外，项目监理机构应要求施工合同的双方继续履行施工合同。</w:t>
      </w:r>
    </w:p>
    <w:p>
      <w:pPr>
        <w:pStyle w:val="3"/>
        <w:spacing w:line="319" w:lineRule="exact"/>
        <w:ind w:left="799"/>
        <w:rPr>
          <w:color w:val="auto"/>
          <w:highlight w:val="none"/>
        </w:rPr>
      </w:pPr>
      <w:r>
        <w:rPr>
          <w:color w:val="auto"/>
          <w:sz w:val="28"/>
          <w:highlight w:val="none"/>
        </w:rPr>
        <w:t xml:space="preserve">② </w:t>
      </w:r>
      <w:r>
        <w:rPr>
          <w:color w:val="auto"/>
          <w:highlight w:val="none"/>
        </w:rPr>
        <w:t>在总监理工程师签发合同争议处理意见后，委托人或承包人在施工合同规定的</w:t>
      </w:r>
    </w:p>
    <w:p>
      <w:pPr>
        <w:pStyle w:val="3"/>
        <w:spacing w:before="162" w:line="374" w:lineRule="auto"/>
        <w:ind w:right="239"/>
        <w:rPr>
          <w:color w:val="auto"/>
          <w:highlight w:val="none"/>
        </w:rPr>
      </w:pPr>
      <w:r>
        <w:rPr>
          <w:color w:val="auto"/>
          <w:highlight w:val="none"/>
        </w:rPr>
        <w:t>期限内未对合同争议处理决定提出异议，在符合施工合同的前提下，此意见应成为最后的决定，双方必须执行。</w:t>
      </w:r>
    </w:p>
    <w:p>
      <w:pPr>
        <w:pStyle w:val="3"/>
        <w:spacing w:line="319" w:lineRule="exact"/>
        <w:ind w:left="799"/>
        <w:rPr>
          <w:color w:val="auto"/>
          <w:highlight w:val="none"/>
        </w:rPr>
      </w:pPr>
      <w:r>
        <w:rPr>
          <w:color w:val="auto"/>
          <w:sz w:val="28"/>
          <w:highlight w:val="none"/>
        </w:rPr>
        <w:t xml:space="preserve">③ </w:t>
      </w:r>
      <w:r>
        <w:rPr>
          <w:color w:val="auto"/>
          <w:highlight w:val="none"/>
        </w:rPr>
        <w:t>在合同争议的仲裁或诉讼过程中，项目监理机构接到仲裁机关或法院要求提供</w:t>
      </w:r>
    </w:p>
    <w:p>
      <w:pPr>
        <w:pStyle w:val="3"/>
        <w:spacing w:before="161"/>
        <w:rPr>
          <w:color w:val="auto"/>
          <w:highlight w:val="none"/>
        </w:rPr>
      </w:pPr>
      <w:r>
        <w:rPr>
          <w:color w:val="auto"/>
          <w:highlight w:val="none"/>
        </w:rPr>
        <w:t>有关证据的通知后，应公正地向仲裁机关或法院提供与争议有关的证据。</w:t>
      </w:r>
    </w:p>
    <w:p>
      <w:pPr>
        <w:pStyle w:val="20"/>
        <w:numPr>
          <w:ilvl w:val="0"/>
          <w:numId w:val="43"/>
        </w:numPr>
        <w:tabs>
          <w:tab w:val="left" w:pos="1092"/>
        </w:tabs>
        <w:spacing w:before="172"/>
        <w:rPr>
          <w:color w:val="auto"/>
          <w:sz w:val="24"/>
          <w:highlight w:val="none"/>
        </w:rPr>
      </w:pPr>
      <w:r>
        <w:rPr>
          <w:color w:val="auto"/>
          <w:sz w:val="24"/>
          <w:highlight w:val="none"/>
        </w:rPr>
        <w:t>合同解除的相关工作</w:t>
      </w:r>
    </w:p>
    <w:p>
      <w:pPr>
        <w:pStyle w:val="3"/>
        <w:spacing w:before="133"/>
        <w:ind w:left="799"/>
        <w:rPr>
          <w:color w:val="auto"/>
          <w:highlight w:val="none"/>
        </w:rPr>
      </w:pPr>
      <w:r>
        <w:rPr>
          <w:color w:val="auto"/>
          <w:sz w:val="28"/>
          <w:highlight w:val="none"/>
        </w:rPr>
        <w:t xml:space="preserve">① </w:t>
      </w:r>
      <w:r>
        <w:rPr>
          <w:color w:val="auto"/>
          <w:highlight w:val="none"/>
        </w:rPr>
        <w:t>施工合同的解除必须符合法律程序。</w:t>
      </w:r>
    </w:p>
    <w:p>
      <w:pPr>
        <w:pStyle w:val="3"/>
        <w:spacing w:before="121" w:line="362" w:lineRule="auto"/>
        <w:ind w:right="228" w:firstLine="576"/>
        <w:jc w:val="both"/>
        <w:rPr>
          <w:color w:val="auto"/>
          <w:highlight w:val="none"/>
        </w:rPr>
      </w:pPr>
      <w:r>
        <w:rPr>
          <w:color w:val="auto"/>
          <w:sz w:val="28"/>
          <w:highlight w:val="none"/>
        </w:rPr>
        <w:t xml:space="preserve">② </w:t>
      </w:r>
      <w:r>
        <w:rPr>
          <w:color w:val="auto"/>
          <w:highlight w:val="none"/>
        </w:rPr>
        <w:t>当委托人违约导致施工合同最终解除时，项目监理机构应就承包人按施工合同规定应得到的款项与委托人和承包人进行协商，并应按施工合同的规定从下列应得的款项中确定承包人应得到的全部款项，并书面通知委托人和承包人：</w:t>
      </w:r>
    </w:p>
    <w:p>
      <w:pPr>
        <w:pStyle w:val="20"/>
        <w:numPr>
          <w:ilvl w:val="0"/>
          <w:numId w:val="48"/>
        </w:numPr>
        <w:tabs>
          <w:tab w:val="left" w:pos="1145"/>
        </w:tabs>
        <w:spacing w:before="10"/>
        <w:jc w:val="both"/>
        <w:rPr>
          <w:color w:val="auto"/>
          <w:sz w:val="24"/>
          <w:highlight w:val="none"/>
        </w:rPr>
      </w:pPr>
      <w:r>
        <w:rPr>
          <w:color w:val="auto"/>
          <w:sz w:val="24"/>
          <w:highlight w:val="none"/>
        </w:rPr>
        <w:t>承包人已完成的工程量表中所列的各项工作所应得的款项；</w:t>
      </w:r>
    </w:p>
    <w:p>
      <w:pPr>
        <w:pStyle w:val="20"/>
        <w:numPr>
          <w:ilvl w:val="0"/>
          <w:numId w:val="48"/>
        </w:numPr>
        <w:tabs>
          <w:tab w:val="left" w:pos="1160"/>
        </w:tabs>
        <w:spacing w:before="172"/>
        <w:ind w:left="1159" w:hanging="318"/>
        <w:jc w:val="both"/>
        <w:rPr>
          <w:color w:val="auto"/>
          <w:sz w:val="24"/>
          <w:highlight w:val="none"/>
        </w:rPr>
      </w:pPr>
      <w:r>
        <w:rPr>
          <w:color w:val="auto"/>
          <w:sz w:val="24"/>
          <w:highlight w:val="none"/>
        </w:rPr>
        <w:t>按批准的采购计划订购工程材料、设备、构配件的款项；</w:t>
      </w:r>
    </w:p>
    <w:p>
      <w:pPr>
        <w:pStyle w:val="20"/>
        <w:numPr>
          <w:ilvl w:val="0"/>
          <w:numId w:val="48"/>
        </w:numPr>
        <w:tabs>
          <w:tab w:val="left" w:pos="1145"/>
        </w:tabs>
        <w:spacing w:before="173"/>
        <w:jc w:val="both"/>
        <w:rPr>
          <w:color w:val="auto"/>
          <w:sz w:val="24"/>
          <w:highlight w:val="none"/>
        </w:rPr>
      </w:pPr>
      <w:r>
        <w:rPr>
          <w:color w:val="auto"/>
          <w:sz w:val="24"/>
          <w:highlight w:val="none"/>
        </w:rPr>
        <w:t>承包人撤离施工设备至原基地或其他目的地的合理费用；</w:t>
      </w:r>
    </w:p>
    <w:p>
      <w:pPr>
        <w:pStyle w:val="20"/>
        <w:numPr>
          <w:ilvl w:val="0"/>
          <w:numId w:val="48"/>
        </w:numPr>
        <w:tabs>
          <w:tab w:val="left" w:pos="1145"/>
        </w:tabs>
        <w:spacing w:before="173"/>
        <w:jc w:val="both"/>
        <w:rPr>
          <w:color w:val="auto"/>
          <w:sz w:val="24"/>
          <w:highlight w:val="none"/>
        </w:rPr>
      </w:pPr>
      <w:r>
        <w:rPr>
          <w:color w:val="auto"/>
          <w:sz w:val="24"/>
          <w:highlight w:val="none"/>
        </w:rPr>
        <w:t>承包人所有人员的合理遣返费用；</w:t>
      </w:r>
    </w:p>
    <w:p>
      <w:pPr>
        <w:pStyle w:val="20"/>
        <w:numPr>
          <w:ilvl w:val="0"/>
          <w:numId w:val="48"/>
        </w:numPr>
        <w:tabs>
          <w:tab w:val="left" w:pos="1145"/>
        </w:tabs>
        <w:spacing w:before="173"/>
        <w:rPr>
          <w:color w:val="auto"/>
          <w:sz w:val="24"/>
          <w:highlight w:val="none"/>
        </w:rPr>
      </w:pPr>
      <w:r>
        <w:rPr>
          <w:color w:val="auto"/>
          <w:sz w:val="24"/>
          <w:highlight w:val="none"/>
        </w:rPr>
        <w:t>合理的利润补偿；</w:t>
      </w:r>
    </w:p>
    <w:p>
      <w:pPr>
        <w:pStyle w:val="20"/>
        <w:numPr>
          <w:ilvl w:val="0"/>
          <w:numId w:val="48"/>
        </w:numPr>
        <w:tabs>
          <w:tab w:val="left" w:pos="1119"/>
        </w:tabs>
        <w:spacing w:before="172"/>
        <w:ind w:left="1118" w:hanging="277"/>
        <w:rPr>
          <w:color w:val="auto"/>
          <w:sz w:val="24"/>
          <w:highlight w:val="none"/>
        </w:rPr>
      </w:pPr>
      <w:r>
        <w:rPr>
          <w:color w:val="auto"/>
          <w:sz w:val="24"/>
          <w:highlight w:val="none"/>
        </w:rPr>
        <w:t>施工合同规定的委托人应支付的违约金。</w:t>
      </w:r>
    </w:p>
    <w:p>
      <w:pPr>
        <w:pStyle w:val="3"/>
        <w:spacing w:before="133" w:line="348" w:lineRule="auto"/>
        <w:ind w:right="228" w:firstLine="576"/>
        <w:rPr>
          <w:color w:val="auto"/>
          <w:highlight w:val="none"/>
        </w:rPr>
      </w:pPr>
      <w:r>
        <w:rPr>
          <w:color w:val="auto"/>
          <w:sz w:val="28"/>
          <w:highlight w:val="none"/>
        </w:rPr>
        <w:t xml:space="preserve">③ </w:t>
      </w:r>
      <w:r>
        <w:rPr>
          <w:color w:val="auto"/>
          <w:highlight w:val="none"/>
        </w:rPr>
        <w:t>由于承包人违约导致施工合同终止后，项目监理机构应按下列程序清理承包人的应得款项，或偿还委托人的相关款项，并书面通知委托人和承包人：</w:t>
      </w:r>
    </w:p>
    <w:p>
      <w:pPr>
        <w:pStyle w:val="20"/>
        <w:numPr>
          <w:ilvl w:val="0"/>
          <w:numId w:val="49"/>
        </w:numPr>
        <w:tabs>
          <w:tab w:val="left" w:pos="1150"/>
        </w:tabs>
        <w:spacing w:before="34" w:line="374" w:lineRule="auto"/>
        <w:ind w:right="240" w:firstLine="619"/>
        <w:rPr>
          <w:color w:val="auto"/>
          <w:sz w:val="24"/>
          <w:highlight w:val="none"/>
        </w:rPr>
      </w:pPr>
      <w:r>
        <w:rPr>
          <w:color w:val="auto"/>
          <w:sz w:val="24"/>
          <w:highlight w:val="none"/>
        </w:rPr>
        <w:t>施工合同终止时，清理承包人已按施工合同规定实际完成的工作所应得的款项和已经得到支付的款项；</w:t>
      </w:r>
    </w:p>
    <w:p>
      <w:pPr>
        <w:pStyle w:val="20"/>
        <w:numPr>
          <w:ilvl w:val="0"/>
          <w:numId w:val="49"/>
        </w:numPr>
        <w:tabs>
          <w:tab w:val="left" w:pos="1160"/>
        </w:tabs>
        <w:ind w:left="1159" w:hanging="318"/>
        <w:rPr>
          <w:color w:val="auto"/>
          <w:sz w:val="24"/>
          <w:highlight w:val="none"/>
        </w:rPr>
      </w:pPr>
      <w:r>
        <w:rPr>
          <w:color w:val="auto"/>
          <w:sz w:val="24"/>
          <w:highlight w:val="none"/>
        </w:rPr>
        <w:t>施工现场余留的材料、设备及临时工程的价值；</w:t>
      </w:r>
    </w:p>
    <w:p>
      <w:pPr>
        <w:pStyle w:val="20"/>
        <w:numPr>
          <w:ilvl w:val="0"/>
          <w:numId w:val="49"/>
        </w:numPr>
        <w:tabs>
          <w:tab w:val="left" w:pos="1150"/>
        </w:tabs>
        <w:spacing w:before="173" w:line="374" w:lineRule="auto"/>
        <w:ind w:right="240" w:firstLine="619"/>
        <w:rPr>
          <w:color w:val="auto"/>
          <w:sz w:val="24"/>
          <w:highlight w:val="none"/>
        </w:rPr>
      </w:pPr>
      <w:r>
        <w:rPr>
          <w:color w:val="auto"/>
          <w:sz w:val="24"/>
          <w:highlight w:val="none"/>
        </w:rPr>
        <w:t>检查和验收已完工工程，移交工程资料和对该部分工程的清理、质量缺陷修复等所需的费用；</w:t>
      </w:r>
    </w:p>
    <w:p>
      <w:pPr>
        <w:pStyle w:val="20"/>
        <w:numPr>
          <w:ilvl w:val="0"/>
          <w:numId w:val="49"/>
        </w:numPr>
        <w:tabs>
          <w:tab w:val="left" w:pos="1160"/>
        </w:tabs>
        <w:ind w:left="1159" w:hanging="318"/>
        <w:rPr>
          <w:color w:val="auto"/>
          <w:sz w:val="24"/>
          <w:highlight w:val="none"/>
        </w:rPr>
      </w:pPr>
      <w:r>
        <w:rPr>
          <w:color w:val="auto"/>
          <w:sz w:val="24"/>
          <w:highlight w:val="none"/>
        </w:rPr>
        <w:t>施工合同规定的承包人应支付的违约金；</w:t>
      </w:r>
    </w:p>
    <w:p>
      <w:pPr>
        <w:pStyle w:val="20"/>
        <w:numPr>
          <w:ilvl w:val="0"/>
          <w:numId w:val="49"/>
        </w:numPr>
        <w:tabs>
          <w:tab w:val="left" w:pos="1150"/>
        </w:tabs>
        <w:spacing w:before="173" w:line="374" w:lineRule="auto"/>
        <w:ind w:right="240" w:firstLine="619"/>
        <w:rPr>
          <w:color w:val="auto"/>
          <w:sz w:val="24"/>
          <w:highlight w:val="none"/>
        </w:rPr>
      </w:pPr>
      <w:r>
        <w:rPr>
          <w:color w:val="auto"/>
          <w:sz w:val="24"/>
          <w:highlight w:val="none"/>
        </w:rPr>
        <w:t>总监理工程师按照施工合同的规定，在与委托人和承包人协商后，书面提交承包人应得款项或偿还委托人款项的证明。</w:t>
      </w:r>
    </w:p>
    <w:p>
      <w:pPr>
        <w:pStyle w:val="3"/>
        <w:spacing w:line="319" w:lineRule="exact"/>
        <w:ind w:left="799"/>
        <w:rPr>
          <w:color w:val="auto"/>
          <w:highlight w:val="none"/>
        </w:rPr>
      </w:pPr>
      <w:r>
        <w:rPr>
          <w:color w:val="auto"/>
          <w:sz w:val="28"/>
          <w:highlight w:val="none"/>
        </w:rPr>
        <w:t xml:space="preserve">④ </w:t>
      </w:r>
      <w:r>
        <w:rPr>
          <w:color w:val="auto"/>
          <w:highlight w:val="none"/>
        </w:rPr>
        <w:t>由于不可抗力或非委托人、承包人原因导致施工合同终止时，项目监理机构应</w:t>
      </w:r>
    </w:p>
    <w:p>
      <w:pPr>
        <w:pStyle w:val="3"/>
        <w:spacing w:before="161"/>
        <w:rPr>
          <w:color w:val="auto"/>
          <w:highlight w:val="none"/>
        </w:rPr>
      </w:pPr>
      <w:r>
        <w:rPr>
          <w:color w:val="auto"/>
          <w:highlight w:val="none"/>
        </w:rPr>
        <w:t>按施工合同规定处理合同解除后的有关事宜。</w:t>
      </w:r>
    </w:p>
    <w:p>
      <w:pPr>
        <w:pStyle w:val="12"/>
        <w:numPr>
          <w:ilvl w:val="3"/>
          <w:numId w:val="16"/>
        </w:numPr>
        <w:tabs>
          <w:tab w:val="left" w:pos="1666"/>
        </w:tabs>
        <w:spacing w:before="172"/>
        <w:jc w:val="both"/>
        <w:rPr>
          <w:color w:val="auto"/>
          <w:highlight w:val="none"/>
        </w:rPr>
      </w:pPr>
      <w:r>
        <w:rPr>
          <w:color w:val="auto"/>
          <w:highlight w:val="none"/>
        </w:rPr>
        <w:t>工程信息管理工作</w:t>
      </w:r>
    </w:p>
    <w:p>
      <w:pPr>
        <w:pStyle w:val="20"/>
        <w:numPr>
          <w:ilvl w:val="0"/>
          <w:numId w:val="50"/>
        </w:numPr>
        <w:tabs>
          <w:tab w:val="left" w:pos="1220"/>
        </w:tabs>
        <w:spacing w:before="173" w:line="374" w:lineRule="auto"/>
        <w:ind w:right="227" w:firstLine="372"/>
        <w:jc w:val="both"/>
        <w:rPr>
          <w:color w:val="auto"/>
          <w:sz w:val="24"/>
          <w:highlight w:val="none"/>
        </w:rPr>
      </w:pPr>
      <w:r>
        <w:rPr>
          <w:color w:val="auto"/>
          <w:sz w:val="24"/>
          <w:highlight w:val="none"/>
        </w:rPr>
        <w:t>项目信息是预测项目未来、决策项目实施方案以及追溯项目实施过程的依据， 是项目管理的重要基础资源，监理人要全面掌握信息源，灵活运用信息处理工具，收集相关信息资料。监理人必须进行管理的工程信息资料包括但不限于：</w:t>
      </w:r>
    </w:p>
    <w:p>
      <w:pPr>
        <w:pStyle w:val="20"/>
        <w:numPr>
          <w:ilvl w:val="1"/>
          <w:numId w:val="50"/>
        </w:numPr>
        <w:tabs>
          <w:tab w:val="left" w:pos="1092"/>
        </w:tabs>
        <w:spacing w:before="1"/>
        <w:rPr>
          <w:color w:val="auto"/>
          <w:sz w:val="24"/>
          <w:highlight w:val="none"/>
        </w:rPr>
      </w:pPr>
      <w:r>
        <w:rPr>
          <w:color w:val="auto"/>
          <w:sz w:val="24"/>
          <w:highlight w:val="none"/>
        </w:rPr>
        <w:t>有关政策文件、法规、技术规范、质量标准等；</w:t>
      </w:r>
    </w:p>
    <w:p>
      <w:pPr>
        <w:pStyle w:val="20"/>
        <w:numPr>
          <w:ilvl w:val="1"/>
          <w:numId w:val="50"/>
        </w:numPr>
        <w:tabs>
          <w:tab w:val="left" w:pos="1092"/>
        </w:tabs>
        <w:spacing w:before="172"/>
        <w:rPr>
          <w:color w:val="auto"/>
          <w:sz w:val="24"/>
          <w:highlight w:val="none"/>
        </w:rPr>
      </w:pPr>
      <w:r>
        <w:rPr>
          <w:color w:val="auto"/>
          <w:sz w:val="24"/>
          <w:highlight w:val="none"/>
        </w:rPr>
        <w:t>设计及有关批准文件、图纸会审记录、设计变更设计文件等；</w:t>
      </w:r>
    </w:p>
    <w:p>
      <w:pPr>
        <w:pStyle w:val="20"/>
        <w:numPr>
          <w:ilvl w:val="1"/>
          <w:numId w:val="50"/>
        </w:numPr>
        <w:tabs>
          <w:tab w:val="left" w:pos="1092"/>
        </w:tabs>
        <w:spacing w:before="173"/>
        <w:rPr>
          <w:color w:val="auto"/>
          <w:sz w:val="24"/>
          <w:highlight w:val="none"/>
        </w:rPr>
      </w:pPr>
      <w:r>
        <w:rPr>
          <w:color w:val="auto"/>
          <w:sz w:val="24"/>
          <w:highlight w:val="none"/>
        </w:rPr>
        <w:t>招投标文件、工程建设合同、协议、补充协议等；</w:t>
      </w:r>
    </w:p>
    <w:p>
      <w:pPr>
        <w:pStyle w:val="20"/>
        <w:numPr>
          <w:ilvl w:val="1"/>
          <w:numId w:val="50"/>
        </w:numPr>
        <w:tabs>
          <w:tab w:val="left" w:pos="1092"/>
        </w:tabs>
        <w:spacing w:before="172"/>
        <w:rPr>
          <w:color w:val="auto"/>
          <w:sz w:val="24"/>
          <w:highlight w:val="none"/>
        </w:rPr>
      </w:pPr>
      <w:r>
        <w:rPr>
          <w:color w:val="auto"/>
          <w:sz w:val="24"/>
          <w:highlight w:val="none"/>
        </w:rPr>
        <w:t>与委托人、承包人及工程有关单位之间的往来文件；</w:t>
      </w:r>
    </w:p>
    <w:p>
      <w:pPr>
        <w:pStyle w:val="20"/>
        <w:numPr>
          <w:ilvl w:val="1"/>
          <w:numId w:val="50"/>
        </w:numPr>
        <w:tabs>
          <w:tab w:val="left" w:pos="1092"/>
        </w:tabs>
        <w:spacing w:before="173"/>
        <w:rPr>
          <w:color w:val="auto"/>
          <w:sz w:val="24"/>
          <w:highlight w:val="none"/>
        </w:rPr>
      </w:pPr>
      <w:r>
        <w:rPr>
          <w:color w:val="auto"/>
          <w:sz w:val="24"/>
          <w:highlight w:val="none"/>
        </w:rPr>
        <w:t>承包人施工组织设计、临时工程设计、方案等资料；</w:t>
      </w:r>
    </w:p>
    <w:p>
      <w:pPr>
        <w:pStyle w:val="20"/>
        <w:numPr>
          <w:ilvl w:val="1"/>
          <w:numId w:val="50"/>
        </w:numPr>
        <w:tabs>
          <w:tab w:val="left" w:pos="1092"/>
        </w:tabs>
        <w:spacing w:before="172"/>
        <w:rPr>
          <w:color w:val="auto"/>
          <w:sz w:val="24"/>
          <w:highlight w:val="none"/>
        </w:rPr>
      </w:pPr>
      <w:r>
        <w:rPr>
          <w:color w:val="auto"/>
          <w:sz w:val="24"/>
          <w:highlight w:val="none"/>
        </w:rPr>
        <w:t>各种材料报验、材料、构配件、机械设备的技术资料、检测、试验报告等资料；</w:t>
      </w:r>
    </w:p>
    <w:p>
      <w:pPr>
        <w:pStyle w:val="20"/>
        <w:numPr>
          <w:ilvl w:val="1"/>
          <w:numId w:val="50"/>
        </w:numPr>
        <w:tabs>
          <w:tab w:val="left" w:pos="1086"/>
        </w:tabs>
        <w:spacing w:before="173" w:line="374" w:lineRule="auto"/>
        <w:ind w:left="223" w:right="233" w:firstLine="496"/>
        <w:rPr>
          <w:color w:val="auto"/>
          <w:sz w:val="24"/>
          <w:highlight w:val="none"/>
        </w:rPr>
      </w:pPr>
      <w:r>
        <w:rPr>
          <w:color w:val="auto"/>
          <w:sz w:val="24"/>
          <w:highlight w:val="none"/>
        </w:rPr>
        <w:t>各种报验、验收、报告、报表、计量、支付、施工记录、现场签证、质量、进度状况记录等资料；</w:t>
      </w:r>
    </w:p>
    <w:p>
      <w:pPr>
        <w:pStyle w:val="20"/>
        <w:numPr>
          <w:ilvl w:val="1"/>
          <w:numId w:val="50"/>
        </w:numPr>
        <w:tabs>
          <w:tab w:val="left" w:pos="1092"/>
        </w:tabs>
        <w:ind w:hanging="373"/>
        <w:rPr>
          <w:color w:val="auto"/>
          <w:sz w:val="24"/>
          <w:highlight w:val="none"/>
        </w:rPr>
      </w:pPr>
      <w:r>
        <w:rPr>
          <w:color w:val="auto"/>
          <w:sz w:val="24"/>
          <w:highlight w:val="none"/>
        </w:rPr>
        <w:t>监理日记、巡查、旁站记录、工程照片、事故处理资料、关键的检查资料；</w:t>
      </w:r>
    </w:p>
    <w:p>
      <w:pPr>
        <w:pStyle w:val="20"/>
        <w:numPr>
          <w:ilvl w:val="1"/>
          <w:numId w:val="50"/>
        </w:numPr>
        <w:tabs>
          <w:tab w:val="left" w:pos="1086"/>
        </w:tabs>
        <w:spacing w:before="173" w:line="374" w:lineRule="auto"/>
        <w:ind w:left="223" w:right="239" w:firstLine="496"/>
        <w:rPr>
          <w:color w:val="auto"/>
          <w:sz w:val="24"/>
          <w:highlight w:val="none"/>
        </w:rPr>
      </w:pPr>
      <w:r>
        <w:rPr>
          <w:color w:val="auto"/>
          <w:sz w:val="24"/>
          <w:highlight w:val="none"/>
        </w:rPr>
        <w:t>监理通知、会议记要、备忘录、合同执行情况、监理月报、监理报告、总结、评估等；</w:t>
      </w:r>
    </w:p>
    <w:p>
      <w:pPr>
        <w:pStyle w:val="20"/>
        <w:numPr>
          <w:ilvl w:val="1"/>
          <w:numId w:val="50"/>
        </w:numPr>
        <w:tabs>
          <w:tab w:val="left" w:pos="1220"/>
        </w:tabs>
        <w:spacing w:before="58" w:line="374" w:lineRule="auto"/>
        <w:ind w:left="223" w:right="227" w:firstLine="496"/>
        <w:rPr>
          <w:color w:val="auto"/>
          <w:sz w:val="24"/>
          <w:highlight w:val="none"/>
        </w:rPr>
      </w:pPr>
      <w:r>
        <w:rPr>
          <w:color w:val="auto"/>
          <w:sz w:val="24"/>
          <w:highlight w:val="none"/>
        </w:rPr>
        <w:t>工序验收、检验批验收、分项验收、分部（或子分部）验收、中间验收、竣工验收资料；</w:t>
      </w:r>
    </w:p>
    <w:p>
      <w:pPr>
        <w:pStyle w:val="20"/>
        <w:numPr>
          <w:ilvl w:val="1"/>
          <w:numId w:val="50"/>
        </w:numPr>
        <w:tabs>
          <w:tab w:val="left" w:pos="1217"/>
        </w:tabs>
        <w:spacing w:before="1"/>
        <w:ind w:left="1216" w:hanging="497"/>
        <w:rPr>
          <w:color w:val="auto"/>
          <w:sz w:val="24"/>
          <w:highlight w:val="none"/>
        </w:rPr>
      </w:pPr>
      <w:r>
        <w:rPr>
          <w:color w:val="auto"/>
          <w:sz w:val="24"/>
          <w:highlight w:val="none"/>
        </w:rPr>
        <w:t>消防验收、防疫验收、环保验收、装修室内辐射/空气等专项验收资料；</w:t>
      </w:r>
    </w:p>
    <w:p>
      <w:pPr>
        <w:pStyle w:val="20"/>
        <w:numPr>
          <w:ilvl w:val="1"/>
          <w:numId w:val="50"/>
        </w:numPr>
        <w:tabs>
          <w:tab w:val="left" w:pos="1217"/>
        </w:tabs>
        <w:spacing w:before="172"/>
        <w:ind w:left="1216" w:hanging="497"/>
        <w:rPr>
          <w:color w:val="auto"/>
          <w:sz w:val="24"/>
          <w:highlight w:val="none"/>
        </w:rPr>
      </w:pPr>
      <w:r>
        <w:rPr>
          <w:color w:val="auto"/>
          <w:sz w:val="24"/>
          <w:highlight w:val="none"/>
        </w:rPr>
        <w:t>监理制度、规定与管理办法等内部文件；</w:t>
      </w:r>
    </w:p>
    <w:p>
      <w:pPr>
        <w:pStyle w:val="20"/>
        <w:numPr>
          <w:ilvl w:val="1"/>
          <w:numId w:val="50"/>
        </w:numPr>
        <w:tabs>
          <w:tab w:val="left" w:pos="1217"/>
        </w:tabs>
        <w:spacing w:before="173"/>
        <w:ind w:left="1216" w:hanging="497"/>
        <w:rPr>
          <w:color w:val="auto"/>
          <w:sz w:val="24"/>
          <w:highlight w:val="none"/>
        </w:rPr>
      </w:pPr>
      <w:r>
        <w:rPr>
          <w:color w:val="auto"/>
          <w:sz w:val="24"/>
          <w:highlight w:val="none"/>
        </w:rPr>
        <w:t>安全、文明生产控制资料等。</w:t>
      </w:r>
    </w:p>
    <w:p>
      <w:pPr>
        <w:pStyle w:val="20"/>
        <w:numPr>
          <w:ilvl w:val="0"/>
          <w:numId w:val="50"/>
        </w:numPr>
        <w:tabs>
          <w:tab w:val="left" w:pos="1220"/>
        </w:tabs>
        <w:spacing w:before="172" w:line="374" w:lineRule="auto"/>
        <w:ind w:right="227" w:firstLine="372"/>
        <w:rPr>
          <w:color w:val="auto"/>
          <w:sz w:val="24"/>
          <w:highlight w:val="none"/>
        </w:rPr>
      </w:pPr>
      <w:r>
        <w:rPr>
          <w:color w:val="auto"/>
          <w:sz w:val="24"/>
          <w:highlight w:val="none"/>
        </w:rPr>
        <w:t>建立信息管理制度，严格信息采集、编排、查阅、归档保存的管理办法，由专人实施。监理资料的管理必须满足以下要求：</w:t>
      </w:r>
    </w:p>
    <w:p>
      <w:pPr>
        <w:pStyle w:val="20"/>
        <w:numPr>
          <w:ilvl w:val="0"/>
          <w:numId w:val="51"/>
        </w:numPr>
        <w:tabs>
          <w:tab w:val="left" w:pos="1092"/>
        </w:tabs>
        <w:spacing w:before="1"/>
        <w:rPr>
          <w:color w:val="auto"/>
          <w:sz w:val="24"/>
          <w:highlight w:val="none"/>
        </w:rPr>
      </w:pPr>
      <w:r>
        <w:rPr>
          <w:color w:val="auto"/>
          <w:sz w:val="24"/>
          <w:highlight w:val="none"/>
        </w:rPr>
        <w:t>监理资料必须及时整理、真实完整、分类有序。</w:t>
      </w:r>
    </w:p>
    <w:p>
      <w:pPr>
        <w:pStyle w:val="20"/>
        <w:numPr>
          <w:ilvl w:val="0"/>
          <w:numId w:val="51"/>
        </w:numPr>
        <w:tabs>
          <w:tab w:val="left" w:pos="1092"/>
        </w:tabs>
        <w:spacing w:before="172"/>
        <w:rPr>
          <w:color w:val="auto"/>
          <w:sz w:val="24"/>
          <w:highlight w:val="none"/>
        </w:rPr>
      </w:pPr>
      <w:r>
        <w:rPr>
          <w:color w:val="auto"/>
          <w:sz w:val="24"/>
          <w:highlight w:val="none"/>
        </w:rPr>
        <w:t>监理资料的管理应由总监理工程师负责，并指定专人具体实施。</w:t>
      </w:r>
    </w:p>
    <w:p>
      <w:pPr>
        <w:pStyle w:val="20"/>
        <w:numPr>
          <w:ilvl w:val="0"/>
          <w:numId w:val="51"/>
        </w:numPr>
        <w:tabs>
          <w:tab w:val="left" w:pos="1092"/>
        </w:tabs>
        <w:spacing w:before="173"/>
        <w:rPr>
          <w:color w:val="auto"/>
          <w:sz w:val="24"/>
          <w:highlight w:val="none"/>
        </w:rPr>
      </w:pPr>
      <w:r>
        <w:rPr>
          <w:color w:val="auto"/>
          <w:sz w:val="24"/>
          <w:highlight w:val="none"/>
        </w:rPr>
        <w:t>监理资料应在各阶段监理工作结束后及时整理归档。</w:t>
      </w:r>
    </w:p>
    <w:p>
      <w:pPr>
        <w:pStyle w:val="20"/>
        <w:numPr>
          <w:ilvl w:val="0"/>
          <w:numId w:val="51"/>
        </w:numPr>
        <w:tabs>
          <w:tab w:val="left" w:pos="1092"/>
        </w:tabs>
        <w:spacing w:before="172"/>
        <w:rPr>
          <w:color w:val="auto"/>
          <w:sz w:val="24"/>
          <w:highlight w:val="none"/>
        </w:rPr>
      </w:pPr>
      <w:r>
        <w:rPr>
          <w:color w:val="auto"/>
          <w:sz w:val="24"/>
          <w:highlight w:val="none"/>
        </w:rPr>
        <w:t>监理档案的编制及保存应按有关规定执行。</w:t>
      </w:r>
    </w:p>
    <w:p>
      <w:pPr>
        <w:pStyle w:val="20"/>
        <w:numPr>
          <w:ilvl w:val="0"/>
          <w:numId w:val="50"/>
        </w:numPr>
        <w:tabs>
          <w:tab w:val="left" w:pos="1217"/>
        </w:tabs>
        <w:spacing w:before="173"/>
        <w:ind w:left="1216" w:hanging="622"/>
        <w:rPr>
          <w:color w:val="auto"/>
          <w:sz w:val="24"/>
          <w:highlight w:val="none"/>
        </w:rPr>
      </w:pPr>
      <w:r>
        <w:rPr>
          <w:color w:val="auto"/>
          <w:sz w:val="24"/>
          <w:highlight w:val="none"/>
        </w:rPr>
        <w:t>计算机信息管理</w:t>
      </w:r>
    </w:p>
    <w:p>
      <w:pPr>
        <w:pStyle w:val="20"/>
        <w:numPr>
          <w:ilvl w:val="0"/>
          <w:numId w:val="52"/>
        </w:numPr>
        <w:tabs>
          <w:tab w:val="left" w:pos="1092"/>
        </w:tabs>
        <w:spacing w:before="172"/>
        <w:ind w:hanging="373"/>
        <w:rPr>
          <w:color w:val="auto"/>
          <w:sz w:val="24"/>
          <w:highlight w:val="none"/>
        </w:rPr>
      </w:pPr>
      <w:r>
        <w:rPr>
          <w:color w:val="auto"/>
          <w:sz w:val="24"/>
          <w:highlight w:val="none"/>
        </w:rPr>
        <w:t>计算机信息管理的内容和基本要求</w:t>
      </w:r>
    </w:p>
    <w:p>
      <w:pPr>
        <w:pStyle w:val="3"/>
        <w:spacing w:before="173" w:line="374" w:lineRule="auto"/>
        <w:ind w:right="227" w:firstLine="496"/>
        <w:rPr>
          <w:color w:val="auto"/>
          <w:highlight w:val="none"/>
        </w:rPr>
      </w:pPr>
      <w:r>
        <w:rPr>
          <w:color w:val="auto"/>
          <w:highlight w:val="none"/>
        </w:rPr>
        <w:t>监理人应运用计算机技术对合同项目进行科学管理，全面提高合同工程施工管理水平。</w:t>
      </w:r>
    </w:p>
    <w:p>
      <w:pPr>
        <w:pStyle w:val="20"/>
        <w:numPr>
          <w:ilvl w:val="0"/>
          <w:numId w:val="52"/>
        </w:numPr>
        <w:tabs>
          <w:tab w:val="left" w:pos="1092"/>
        </w:tabs>
        <w:rPr>
          <w:color w:val="auto"/>
          <w:sz w:val="24"/>
          <w:highlight w:val="none"/>
        </w:rPr>
      </w:pPr>
      <w:r>
        <w:rPr>
          <w:color w:val="auto"/>
          <w:sz w:val="24"/>
          <w:highlight w:val="none"/>
        </w:rPr>
        <w:t>计算机硬件</w:t>
      </w:r>
    </w:p>
    <w:p>
      <w:pPr>
        <w:pStyle w:val="3"/>
        <w:spacing w:before="173" w:line="374" w:lineRule="auto"/>
        <w:ind w:right="223" w:firstLine="496"/>
        <w:rPr>
          <w:color w:val="auto"/>
          <w:highlight w:val="none"/>
        </w:rPr>
      </w:pPr>
      <w:r>
        <w:rPr>
          <w:color w:val="auto"/>
          <w:highlight w:val="none"/>
        </w:rPr>
        <w:t>监理人应配置满足运行要求的计算机和工作站来支持日常的合同项目施工管理工作。</w:t>
      </w:r>
    </w:p>
    <w:p>
      <w:pPr>
        <w:pStyle w:val="20"/>
        <w:numPr>
          <w:ilvl w:val="0"/>
          <w:numId w:val="52"/>
        </w:numPr>
        <w:tabs>
          <w:tab w:val="left" w:pos="1092"/>
        </w:tabs>
        <w:spacing w:before="1"/>
        <w:rPr>
          <w:color w:val="auto"/>
          <w:sz w:val="24"/>
          <w:highlight w:val="none"/>
        </w:rPr>
      </w:pPr>
      <w:r>
        <w:rPr>
          <w:color w:val="auto"/>
          <w:sz w:val="24"/>
          <w:highlight w:val="none"/>
        </w:rPr>
        <w:t>计算机软件</w:t>
      </w:r>
    </w:p>
    <w:p>
      <w:pPr>
        <w:pStyle w:val="3"/>
        <w:spacing w:before="172" w:line="374" w:lineRule="auto"/>
        <w:ind w:right="239" w:firstLine="496"/>
        <w:rPr>
          <w:color w:val="auto"/>
          <w:highlight w:val="none"/>
        </w:rPr>
      </w:pPr>
      <w:r>
        <w:rPr>
          <w:color w:val="auto"/>
          <w:highlight w:val="none"/>
        </w:rPr>
        <w:t>计算机工程信息管理系统运行在 Windows2000 或更高版本的操作系统上，这部分软件由监理人自己负责。</w:t>
      </w:r>
    </w:p>
    <w:p>
      <w:pPr>
        <w:pStyle w:val="20"/>
        <w:numPr>
          <w:ilvl w:val="0"/>
          <w:numId w:val="52"/>
        </w:numPr>
        <w:tabs>
          <w:tab w:val="left" w:pos="1092"/>
        </w:tabs>
        <w:spacing w:before="1"/>
        <w:rPr>
          <w:color w:val="auto"/>
          <w:sz w:val="24"/>
          <w:highlight w:val="none"/>
        </w:rPr>
      </w:pPr>
      <w:r>
        <w:rPr>
          <w:color w:val="auto"/>
          <w:sz w:val="24"/>
          <w:highlight w:val="none"/>
        </w:rPr>
        <w:t>信息内容、格式及信息传递要求</w:t>
      </w:r>
    </w:p>
    <w:p>
      <w:pPr>
        <w:pStyle w:val="3"/>
        <w:spacing w:before="172" w:line="374" w:lineRule="auto"/>
        <w:ind w:right="227" w:firstLine="496"/>
        <w:jc w:val="both"/>
        <w:rPr>
          <w:color w:val="auto"/>
          <w:highlight w:val="none"/>
        </w:rPr>
      </w:pPr>
      <w:r>
        <w:rPr>
          <w:color w:val="auto"/>
          <w:highlight w:val="none"/>
        </w:rPr>
        <w:t>监理人应及时准确地按委托人和监理工程师所要求的时限、内容和格式将相关工程信息录入并传递给委托人和监理工程师。监理人如未能按委托人的规定将信息录入或传递给委托人，可以成为委托人缓付或停付工程进度款的理由。</w:t>
      </w:r>
    </w:p>
    <w:p>
      <w:pPr>
        <w:pStyle w:val="20"/>
        <w:numPr>
          <w:ilvl w:val="0"/>
          <w:numId w:val="50"/>
        </w:numPr>
        <w:tabs>
          <w:tab w:val="left" w:pos="1220"/>
        </w:tabs>
        <w:spacing w:before="1" w:line="374" w:lineRule="auto"/>
        <w:ind w:right="227" w:firstLine="372"/>
        <w:rPr>
          <w:color w:val="auto"/>
          <w:sz w:val="24"/>
          <w:highlight w:val="none"/>
        </w:rPr>
      </w:pPr>
      <w:r>
        <w:rPr>
          <w:color w:val="auto"/>
          <w:sz w:val="24"/>
          <w:highlight w:val="none"/>
        </w:rPr>
        <w:t>对所收集的信息必须进行分析，确保其准确、全面、来源可靠，且要求为正式资料。</w:t>
      </w:r>
    </w:p>
    <w:p>
      <w:pPr>
        <w:pStyle w:val="20"/>
        <w:numPr>
          <w:ilvl w:val="0"/>
          <w:numId w:val="50"/>
        </w:numPr>
        <w:tabs>
          <w:tab w:val="left" w:pos="1220"/>
        </w:tabs>
        <w:spacing w:before="1" w:line="374" w:lineRule="auto"/>
        <w:ind w:right="227" w:firstLine="372"/>
        <w:rPr>
          <w:color w:val="auto"/>
          <w:sz w:val="24"/>
          <w:highlight w:val="none"/>
        </w:rPr>
      </w:pPr>
      <w:r>
        <w:rPr>
          <w:color w:val="auto"/>
          <w:sz w:val="24"/>
          <w:highlight w:val="none"/>
        </w:rPr>
        <w:t>及时将采集到的信息进行筛选分类，分别通报给有关领导、职能部门和有关人员审阅和签署意见。</w:t>
      </w:r>
    </w:p>
    <w:p>
      <w:pPr>
        <w:pStyle w:val="20"/>
        <w:numPr>
          <w:ilvl w:val="0"/>
          <w:numId w:val="50"/>
        </w:numPr>
        <w:tabs>
          <w:tab w:val="left" w:pos="1220"/>
        </w:tabs>
        <w:spacing w:before="1" w:line="374" w:lineRule="auto"/>
        <w:ind w:right="227" w:firstLine="372"/>
        <w:rPr>
          <w:color w:val="auto"/>
          <w:sz w:val="24"/>
          <w:highlight w:val="none"/>
        </w:rPr>
      </w:pPr>
      <w:r>
        <w:rPr>
          <w:color w:val="auto"/>
          <w:sz w:val="24"/>
          <w:highlight w:val="none"/>
        </w:rPr>
        <w:t>建立主体数据库系统结构，及时对信息分类保存、要求列名事件、题目、来源、概要、经办人或其他基本情况。</w:t>
      </w:r>
    </w:p>
    <w:p>
      <w:pPr>
        <w:pStyle w:val="20"/>
        <w:numPr>
          <w:ilvl w:val="0"/>
          <w:numId w:val="50"/>
        </w:numPr>
        <w:tabs>
          <w:tab w:val="left" w:pos="1217"/>
        </w:tabs>
        <w:spacing w:before="173"/>
        <w:ind w:left="1216" w:hanging="622"/>
        <w:rPr>
          <w:color w:val="auto"/>
          <w:sz w:val="24"/>
          <w:highlight w:val="none"/>
        </w:rPr>
      </w:pPr>
      <w:r>
        <w:rPr>
          <w:color w:val="auto"/>
          <w:sz w:val="24"/>
          <w:highlight w:val="none"/>
        </w:rPr>
        <w:t>对信息资料收集和反馈进行跟踪，对信息进行动态管理。</w:t>
      </w:r>
    </w:p>
    <w:p>
      <w:pPr>
        <w:pStyle w:val="20"/>
        <w:numPr>
          <w:ilvl w:val="0"/>
          <w:numId w:val="50"/>
        </w:numPr>
        <w:tabs>
          <w:tab w:val="left" w:pos="1220"/>
        </w:tabs>
        <w:spacing w:before="172" w:line="374" w:lineRule="auto"/>
        <w:ind w:right="227" w:firstLine="372"/>
        <w:rPr>
          <w:color w:val="auto"/>
          <w:sz w:val="24"/>
          <w:highlight w:val="none"/>
        </w:rPr>
      </w:pPr>
      <w:r>
        <w:rPr>
          <w:color w:val="auto"/>
          <w:sz w:val="24"/>
          <w:highlight w:val="none"/>
        </w:rPr>
        <w:t>涉及国家机密或各单位商业秘密的信息资料保管工作应制订保密管理细则，防止机密泄漏，避免造成经济损失和政治影响。</w:t>
      </w:r>
    </w:p>
    <w:p>
      <w:pPr>
        <w:pStyle w:val="20"/>
        <w:numPr>
          <w:ilvl w:val="0"/>
          <w:numId w:val="50"/>
        </w:numPr>
        <w:tabs>
          <w:tab w:val="left" w:pos="1217"/>
        </w:tabs>
        <w:spacing w:before="1"/>
        <w:ind w:left="1216" w:hanging="622"/>
        <w:rPr>
          <w:color w:val="auto"/>
          <w:sz w:val="24"/>
          <w:highlight w:val="none"/>
        </w:rPr>
      </w:pPr>
      <w:r>
        <w:rPr>
          <w:color w:val="auto"/>
          <w:sz w:val="24"/>
          <w:highlight w:val="none"/>
        </w:rPr>
        <w:t>有保留价值的信息，经请示有关领导后可以消除，但应做好登记。</w:t>
      </w:r>
    </w:p>
    <w:p>
      <w:pPr>
        <w:pStyle w:val="20"/>
        <w:numPr>
          <w:ilvl w:val="0"/>
          <w:numId w:val="50"/>
        </w:numPr>
        <w:tabs>
          <w:tab w:val="left" w:pos="1342"/>
        </w:tabs>
        <w:spacing w:before="172"/>
        <w:ind w:left="1341" w:hanging="747"/>
        <w:rPr>
          <w:color w:val="auto"/>
          <w:sz w:val="24"/>
          <w:highlight w:val="none"/>
        </w:rPr>
      </w:pPr>
      <w:r>
        <w:rPr>
          <w:color w:val="auto"/>
          <w:sz w:val="24"/>
          <w:highlight w:val="none"/>
        </w:rPr>
        <w:t>工程结束后，按有关规定进行信息整理存档、移交，并办理好移交签收手续。</w:t>
      </w:r>
    </w:p>
    <w:p>
      <w:pPr>
        <w:pStyle w:val="20"/>
        <w:numPr>
          <w:ilvl w:val="0"/>
          <w:numId w:val="50"/>
        </w:numPr>
        <w:tabs>
          <w:tab w:val="left" w:pos="1336"/>
        </w:tabs>
        <w:spacing w:before="173" w:line="374" w:lineRule="auto"/>
        <w:ind w:right="239" w:firstLine="372"/>
        <w:rPr>
          <w:color w:val="auto"/>
          <w:sz w:val="24"/>
          <w:highlight w:val="none"/>
        </w:rPr>
      </w:pPr>
      <w:r>
        <w:rPr>
          <w:color w:val="auto"/>
          <w:sz w:val="24"/>
          <w:highlight w:val="none"/>
        </w:rPr>
        <w:t>监理人在提交相关信息的纸质文件的同时，须根据委托人的要求提交电子原版和纸质文件扫描版。</w:t>
      </w:r>
    </w:p>
    <w:p>
      <w:pPr>
        <w:pStyle w:val="12"/>
        <w:numPr>
          <w:ilvl w:val="3"/>
          <w:numId w:val="16"/>
        </w:numPr>
        <w:tabs>
          <w:tab w:val="left" w:pos="1536"/>
        </w:tabs>
        <w:ind w:left="1536" w:hanging="816"/>
        <w:rPr>
          <w:color w:val="auto"/>
          <w:highlight w:val="none"/>
        </w:rPr>
      </w:pPr>
      <w:r>
        <w:rPr>
          <w:color w:val="auto"/>
          <w:highlight w:val="none"/>
        </w:rPr>
        <w:t>工程项目沟通与协调</w:t>
      </w:r>
    </w:p>
    <w:p>
      <w:pPr>
        <w:pStyle w:val="20"/>
        <w:numPr>
          <w:ilvl w:val="0"/>
          <w:numId w:val="53"/>
        </w:numPr>
        <w:tabs>
          <w:tab w:val="left" w:pos="1211"/>
        </w:tabs>
        <w:spacing w:before="173" w:line="374" w:lineRule="auto"/>
        <w:ind w:right="115" w:firstLine="372"/>
        <w:rPr>
          <w:color w:val="auto"/>
          <w:sz w:val="24"/>
          <w:highlight w:val="none"/>
        </w:rPr>
      </w:pPr>
      <w:r>
        <w:rPr>
          <w:color w:val="auto"/>
          <w:sz w:val="24"/>
          <w:highlight w:val="none"/>
        </w:rPr>
        <w:t>建立项目沟通与协调管理系统，健全各项制度，并本着“严格守法、遵守公德” 的原则，以维护各相关方的利益为前提，应用先进、实用的方法和手段，有效解决项目实施过程中的问题。</w:t>
      </w:r>
    </w:p>
    <w:p>
      <w:pPr>
        <w:pStyle w:val="20"/>
        <w:numPr>
          <w:ilvl w:val="0"/>
          <w:numId w:val="53"/>
        </w:numPr>
        <w:tabs>
          <w:tab w:val="left" w:pos="1220"/>
        </w:tabs>
        <w:spacing w:before="1" w:line="374" w:lineRule="auto"/>
        <w:ind w:right="227" w:firstLine="372"/>
        <w:jc w:val="both"/>
        <w:rPr>
          <w:color w:val="auto"/>
          <w:sz w:val="24"/>
          <w:highlight w:val="none"/>
        </w:rPr>
      </w:pPr>
      <w:r>
        <w:rPr>
          <w:color w:val="auto"/>
          <w:sz w:val="24"/>
          <w:highlight w:val="none"/>
        </w:rPr>
        <w:t>制定项目沟通管理计划，按内容划分主要有：施工进度、质量、安全、成本、资金、环保、设计变更、索赔、材料供应、设备使用、人力资源、文明工地建设等；按时间划分主要有：项目管理实施规划、年度计划、月计划、周计划等。</w:t>
      </w:r>
    </w:p>
    <w:p>
      <w:pPr>
        <w:pStyle w:val="20"/>
        <w:numPr>
          <w:ilvl w:val="0"/>
          <w:numId w:val="53"/>
        </w:numPr>
        <w:tabs>
          <w:tab w:val="left" w:pos="1220"/>
        </w:tabs>
        <w:spacing w:before="1" w:line="374" w:lineRule="auto"/>
        <w:ind w:right="227" w:firstLine="372"/>
        <w:rPr>
          <w:color w:val="auto"/>
          <w:sz w:val="24"/>
          <w:highlight w:val="none"/>
        </w:rPr>
      </w:pPr>
      <w:r>
        <w:rPr>
          <w:color w:val="auto"/>
          <w:sz w:val="24"/>
          <w:highlight w:val="none"/>
        </w:rPr>
        <w:t>项目沟通管理计划明确沟通的具体内容、对象、方式、目标、责任人、完成时间、奖罚措施等，并定期或不定期地进行检查、考核和评价，确保沟通计划落到实处。</w:t>
      </w:r>
    </w:p>
    <w:p>
      <w:pPr>
        <w:pStyle w:val="20"/>
        <w:numPr>
          <w:ilvl w:val="0"/>
          <w:numId w:val="53"/>
        </w:numPr>
        <w:tabs>
          <w:tab w:val="left" w:pos="1220"/>
        </w:tabs>
        <w:spacing w:line="374" w:lineRule="auto"/>
        <w:ind w:right="107" w:firstLine="372"/>
        <w:rPr>
          <w:color w:val="auto"/>
          <w:sz w:val="24"/>
          <w:highlight w:val="none"/>
        </w:rPr>
      </w:pPr>
      <w:r>
        <w:rPr>
          <w:color w:val="auto"/>
          <w:sz w:val="24"/>
          <w:highlight w:val="none"/>
        </w:rPr>
        <w:t>对项目实施各阶段出现的矛盾和问题，根据沟通与协调的进展情况和结果，按程序要求通过各种方式及时将信息反馈给各相关方，实现共享，提高沟通与协调的效果。通过有效地计划、组织和协调，监督相关各方履行各自的职责，协调参与工程建设各方关系，充分利用各方优势为本合同工程建设服务。</w:t>
      </w:r>
    </w:p>
    <w:p>
      <w:pPr>
        <w:pStyle w:val="20"/>
        <w:numPr>
          <w:ilvl w:val="0"/>
          <w:numId w:val="53"/>
        </w:numPr>
        <w:tabs>
          <w:tab w:val="left" w:pos="1220"/>
        </w:tabs>
        <w:spacing w:before="1" w:line="374" w:lineRule="auto"/>
        <w:ind w:right="108" w:firstLine="372"/>
        <w:rPr>
          <w:color w:val="auto"/>
          <w:sz w:val="24"/>
          <w:highlight w:val="none"/>
        </w:rPr>
      </w:pPr>
      <w:r>
        <w:rPr>
          <w:color w:val="auto"/>
          <w:sz w:val="24"/>
          <w:highlight w:val="none"/>
        </w:rPr>
        <w:t>定期组织召开建设单位、设计、监理、质监站、安监站、承包人参加的工地现场会，协调施工过程中出现的各种矛盾和问题，会前一天，就质量、安全、进度、资金、技术、材料等需要协调的问题等议题征求意见，分送有关单位，以便会前做好充分准备， 会后写出会议纪要发与会各单位，并督促执行。</w:t>
      </w:r>
    </w:p>
    <w:p>
      <w:pPr>
        <w:pStyle w:val="20"/>
        <w:numPr>
          <w:ilvl w:val="0"/>
          <w:numId w:val="53"/>
        </w:numPr>
        <w:tabs>
          <w:tab w:val="left" w:pos="1220"/>
        </w:tabs>
        <w:spacing w:before="2" w:line="374" w:lineRule="auto"/>
        <w:ind w:right="227" w:firstLine="372"/>
        <w:jc w:val="both"/>
        <w:rPr>
          <w:color w:val="auto"/>
          <w:sz w:val="24"/>
          <w:highlight w:val="none"/>
        </w:rPr>
      </w:pPr>
      <w:r>
        <w:rPr>
          <w:color w:val="auto"/>
          <w:sz w:val="24"/>
          <w:highlight w:val="none"/>
        </w:rPr>
        <w:t>妥善处理各分项工程之间的施工配合，要求各承包人提出需要配合的问题，如施工场地的要求、施工用水、用电、交叉作业的相互影响，施工收口处理、建筑成品保护要求及需要采取的配合措施等。</w:t>
      </w:r>
    </w:p>
    <w:p>
      <w:pPr>
        <w:pStyle w:val="12"/>
        <w:numPr>
          <w:ilvl w:val="3"/>
          <w:numId w:val="16"/>
        </w:numPr>
        <w:tabs>
          <w:tab w:val="left" w:pos="1665"/>
          <w:tab w:val="left" w:pos="1666"/>
        </w:tabs>
        <w:rPr>
          <w:color w:val="auto"/>
          <w:highlight w:val="none"/>
        </w:rPr>
      </w:pPr>
      <w:r>
        <w:rPr>
          <w:color w:val="auto"/>
          <w:highlight w:val="none"/>
        </w:rPr>
        <w:t>环境管理工作</w:t>
      </w:r>
    </w:p>
    <w:p>
      <w:pPr>
        <w:pStyle w:val="3"/>
        <w:spacing w:before="173" w:line="360" w:lineRule="auto"/>
        <w:ind w:firstLine="480" w:firstLineChars="200"/>
        <w:rPr>
          <w:color w:val="auto"/>
          <w:highlight w:val="none"/>
        </w:rPr>
      </w:pPr>
      <w:r>
        <w:rPr>
          <w:color w:val="auto"/>
          <w:highlight w:val="none"/>
        </w:rPr>
        <w:t>监理人应对施工过程中影响环境的活动进行监督管理，以满足相关的法律法规对环境保护的要求。监理人环境管理工作的主要工作内容如下：</w:t>
      </w:r>
    </w:p>
    <w:p>
      <w:pPr>
        <w:pStyle w:val="20"/>
        <w:numPr>
          <w:ilvl w:val="0"/>
          <w:numId w:val="54"/>
        </w:numPr>
        <w:tabs>
          <w:tab w:val="left" w:pos="1217"/>
        </w:tabs>
        <w:spacing w:before="173"/>
        <w:rPr>
          <w:color w:val="auto"/>
          <w:sz w:val="24"/>
          <w:highlight w:val="none"/>
        </w:rPr>
      </w:pPr>
      <w:r>
        <w:rPr>
          <w:color w:val="auto"/>
          <w:sz w:val="24"/>
          <w:highlight w:val="none"/>
        </w:rPr>
        <w:t>制定相关的监督检查工作的程序及制度提交委托人及政府相关部门核准；</w:t>
      </w:r>
    </w:p>
    <w:p>
      <w:pPr>
        <w:pStyle w:val="20"/>
        <w:numPr>
          <w:ilvl w:val="0"/>
          <w:numId w:val="54"/>
        </w:numPr>
        <w:tabs>
          <w:tab w:val="left" w:pos="1220"/>
        </w:tabs>
        <w:spacing w:before="172" w:line="374" w:lineRule="auto"/>
        <w:ind w:left="223" w:right="227" w:firstLine="372"/>
        <w:jc w:val="both"/>
        <w:rPr>
          <w:color w:val="auto"/>
          <w:sz w:val="24"/>
          <w:highlight w:val="none"/>
        </w:rPr>
      </w:pPr>
      <w:r>
        <w:rPr>
          <w:color w:val="auto"/>
          <w:sz w:val="24"/>
          <w:highlight w:val="none"/>
        </w:rPr>
        <w:t>根据相关的法律、法规、制度及程序等，对工程建设过程中污染环境、破坏生态的行为进行监督管理，如噪声、废气、污水等污染物排放应达标、粉尘控制达标、减少水土流失和生态环境破坏；</w:t>
      </w:r>
    </w:p>
    <w:p>
      <w:pPr>
        <w:pStyle w:val="20"/>
        <w:numPr>
          <w:ilvl w:val="0"/>
          <w:numId w:val="54"/>
        </w:numPr>
        <w:tabs>
          <w:tab w:val="left" w:pos="1220"/>
        </w:tabs>
        <w:spacing w:before="1" w:line="374" w:lineRule="auto"/>
        <w:ind w:left="223" w:right="227" w:firstLine="372"/>
        <w:rPr>
          <w:color w:val="auto"/>
          <w:sz w:val="24"/>
          <w:highlight w:val="none"/>
        </w:rPr>
      </w:pPr>
      <w:r>
        <w:rPr>
          <w:color w:val="auto"/>
          <w:sz w:val="24"/>
          <w:highlight w:val="none"/>
        </w:rPr>
        <w:t>对配套的环保工程进行施工监理，如对水处理设施、声屏障、绿化工程、水源保护区的保护等进行监理。</w:t>
      </w:r>
    </w:p>
    <w:p>
      <w:pPr>
        <w:pStyle w:val="12"/>
        <w:numPr>
          <w:ilvl w:val="3"/>
          <w:numId w:val="16"/>
        </w:numPr>
        <w:tabs>
          <w:tab w:val="left" w:pos="1661"/>
        </w:tabs>
        <w:spacing w:before="1"/>
        <w:ind w:left="1660" w:hanging="941"/>
        <w:rPr>
          <w:color w:val="auto"/>
          <w:highlight w:val="none"/>
        </w:rPr>
      </w:pPr>
      <w:r>
        <w:rPr>
          <w:color w:val="auto"/>
          <w:highlight w:val="none"/>
        </w:rPr>
        <w:t>提交监理月报</w:t>
      </w:r>
    </w:p>
    <w:p>
      <w:pPr>
        <w:pStyle w:val="3"/>
        <w:spacing w:before="172"/>
        <w:ind w:left="720"/>
        <w:rPr>
          <w:color w:val="auto"/>
          <w:highlight w:val="none"/>
        </w:rPr>
      </w:pPr>
      <w:r>
        <w:rPr>
          <w:color w:val="auto"/>
          <w:highlight w:val="none"/>
        </w:rPr>
        <w:t>监理月报应包括以下内容：</w:t>
      </w:r>
    </w:p>
    <w:p>
      <w:pPr>
        <w:pStyle w:val="20"/>
        <w:numPr>
          <w:ilvl w:val="0"/>
          <w:numId w:val="55"/>
        </w:numPr>
        <w:tabs>
          <w:tab w:val="left" w:pos="1217"/>
        </w:tabs>
        <w:spacing w:before="173"/>
        <w:rPr>
          <w:color w:val="auto"/>
          <w:sz w:val="24"/>
          <w:highlight w:val="none"/>
        </w:rPr>
      </w:pPr>
      <w:r>
        <w:rPr>
          <w:color w:val="auto"/>
          <w:sz w:val="24"/>
          <w:highlight w:val="none"/>
        </w:rPr>
        <w:t>本月工程概况；</w:t>
      </w:r>
    </w:p>
    <w:p>
      <w:pPr>
        <w:pStyle w:val="20"/>
        <w:numPr>
          <w:ilvl w:val="0"/>
          <w:numId w:val="55"/>
        </w:numPr>
        <w:tabs>
          <w:tab w:val="left" w:pos="1217"/>
        </w:tabs>
        <w:spacing w:before="172"/>
        <w:rPr>
          <w:color w:val="auto"/>
          <w:sz w:val="24"/>
          <w:highlight w:val="none"/>
        </w:rPr>
      </w:pPr>
      <w:r>
        <w:rPr>
          <w:color w:val="auto"/>
          <w:sz w:val="24"/>
          <w:highlight w:val="none"/>
        </w:rPr>
        <w:t>本月工程形象进度；</w:t>
      </w:r>
    </w:p>
    <w:p>
      <w:pPr>
        <w:pStyle w:val="20"/>
        <w:numPr>
          <w:ilvl w:val="0"/>
          <w:numId w:val="55"/>
        </w:numPr>
        <w:tabs>
          <w:tab w:val="left" w:pos="1217"/>
        </w:tabs>
        <w:spacing w:before="173"/>
        <w:rPr>
          <w:color w:val="auto"/>
          <w:sz w:val="24"/>
          <w:highlight w:val="none"/>
        </w:rPr>
      </w:pPr>
      <w:r>
        <w:rPr>
          <w:color w:val="auto"/>
          <w:sz w:val="24"/>
          <w:highlight w:val="none"/>
        </w:rPr>
        <w:t>工程进度，包括：</w:t>
      </w:r>
    </w:p>
    <w:p>
      <w:pPr>
        <w:pStyle w:val="20"/>
        <w:numPr>
          <w:ilvl w:val="1"/>
          <w:numId w:val="55"/>
        </w:numPr>
        <w:tabs>
          <w:tab w:val="left" w:pos="1092"/>
        </w:tabs>
        <w:spacing w:before="172"/>
        <w:rPr>
          <w:color w:val="auto"/>
          <w:sz w:val="24"/>
          <w:highlight w:val="none"/>
        </w:rPr>
      </w:pPr>
      <w:r>
        <w:rPr>
          <w:color w:val="auto"/>
          <w:sz w:val="24"/>
          <w:highlight w:val="none"/>
        </w:rPr>
        <w:t>本月实际完成情况与计划进度比较；</w:t>
      </w:r>
    </w:p>
    <w:p>
      <w:pPr>
        <w:pStyle w:val="20"/>
        <w:numPr>
          <w:ilvl w:val="1"/>
          <w:numId w:val="55"/>
        </w:numPr>
        <w:tabs>
          <w:tab w:val="left" w:pos="1092"/>
        </w:tabs>
        <w:spacing w:before="173"/>
        <w:rPr>
          <w:color w:val="auto"/>
          <w:sz w:val="24"/>
          <w:highlight w:val="none"/>
        </w:rPr>
      </w:pPr>
      <w:r>
        <w:rPr>
          <w:color w:val="auto"/>
          <w:sz w:val="24"/>
          <w:highlight w:val="none"/>
        </w:rPr>
        <w:t>对进度完成情况及采取措施效果的分析。</w:t>
      </w:r>
    </w:p>
    <w:p>
      <w:pPr>
        <w:pStyle w:val="20"/>
        <w:numPr>
          <w:ilvl w:val="0"/>
          <w:numId w:val="55"/>
        </w:numPr>
        <w:tabs>
          <w:tab w:val="left" w:pos="1217"/>
        </w:tabs>
        <w:spacing w:before="172"/>
        <w:rPr>
          <w:color w:val="auto"/>
          <w:sz w:val="24"/>
          <w:highlight w:val="none"/>
        </w:rPr>
      </w:pPr>
      <w:r>
        <w:rPr>
          <w:color w:val="auto"/>
          <w:sz w:val="24"/>
          <w:highlight w:val="none"/>
        </w:rPr>
        <w:t>工程质量，包括：</w:t>
      </w:r>
    </w:p>
    <w:p>
      <w:pPr>
        <w:pStyle w:val="20"/>
        <w:numPr>
          <w:ilvl w:val="0"/>
          <w:numId w:val="56"/>
        </w:numPr>
        <w:tabs>
          <w:tab w:val="left" w:pos="1092"/>
        </w:tabs>
        <w:spacing w:before="173"/>
        <w:ind w:hanging="373"/>
        <w:rPr>
          <w:color w:val="auto"/>
          <w:sz w:val="24"/>
          <w:highlight w:val="none"/>
        </w:rPr>
      </w:pPr>
      <w:r>
        <w:rPr>
          <w:color w:val="auto"/>
          <w:sz w:val="24"/>
          <w:highlight w:val="none"/>
        </w:rPr>
        <w:t>本月工程质量情况分析；</w:t>
      </w:r>
    </w:p>
    <w:p>
      <w:pPr>
        <w:pStyle w:val="20"/>
        <w:numPr>
          <w:ilvl w:val="0"/>
          <w:numId w:val="56"/>
        </w:numPr>
        <w:tabs>
          <w:tab w:val="left" w:pos="1092"/>
        </w:tabs>
        <w:spacing w:before="172"/>
        <w:ind w:hanging="373"/>
        <w:rPr>
          <w:color w:val="auto"/>
          <w:sz w:val="24"/>
          <w:highlight w:val="none"/>
        </w:rPr>
      </w:pPr>
      <w:r>
        <w:rPr>
          <w:color w:val="auto"/>
          <w:sz w:val="24"/>
          <w:highlight w:val="none"/>
        </w:rPr>
        <w:t>本月采取的工程质量措施及效果。</w:t>
      </w:r>
    </w:p>
    <w:p>
      <w:pPr>
        <w:pStyle w:val="20"/>
        <w:numPr>
          <w:ilvl w:val="0"/>
          <w:numId w:val="55"/>
        </w:numPr>
        <w:tabs>
          <w:tab w:val="left" w:pos="1217"/>
        </w:tabs>
        <w:spacing w:before="173"/>
        <w:rPr>
          <w:color w:val="auto"/>
          <w:sz w:val="24"/>
          <w:highlight w:val="none"/>
        </w:rPr>
      </w:pPr>
      <w:r>
        <w:rPr>
          <w:color w:val="auto"/>
          <w:sz w:val="24"/>
          <w:highlight w:val="none"/>
        </w:rPr>
        <w:t>工程计量与工程款支付，包括：</w:t>
      </w:r>
    </w:p>
    <w:p>
      <w:pPr>
        <w:pStyle w:val="20"/>
        <w:numPr>
          <w:ilvl w:val="0"/>
          <w:numId w:val="57"/>
        </w:numPr>
        <w:tabs>
          <w:tab w:val="left" w:pos="1092"/>
        </w:tabs>
        <w:spacing w:before="172"/>
        <w:ind w:hanging="373"/>
        <w:rPr>
          <w:color w:val="auto"/>
          <w:sz w:val="24"/>
          <w:highlight w:val="none"/>
        </w:rPr>
      </w:pPr>
      <w:r>
        <w:rPr>
          <w:color w:val="auto"/>
          <w:sz w:val="24"/>
          <w:highlight w:val="none"/>
        </w:rPr>
        <w:t>工程量审核情况；</w:t>
      </w:r>
    </w:p>
    <w:p>
      <w:pPr>
        <w:pStyle w:val="20"/>
        <w:numPr>
          <w:ilvl w:val="0"/>
          <w:numId w:val="57"/>
        </w:numPr>
        <w:tabs>
          <w:tab w:val="left" w:pos="1092"/>
        </w:tabs>
        <w:spacing w:before="173"/>
        <w:ind w:hanging="373"/>
        <w:rPr>
          <w:color w:val="auto"/>
          <w:sz w:val="24"/>
          <w:highlight w:val="none"/>
        </w:rPr>
      </w:pPr>
      <w:r>
        <w:rPr>
          <w:color w:val="auto"/>
          <w:sz w:val="24"/>
          <w:highlight w:val="none"/>
        </w:rPr>
        <w:t>工程款审批情况及月支付情况；</w:t>
      </w:r>
    </w:p>
    <w:p>
      <w:pPr>
        <w:pStyle w:val="20"/>
        <w:numPr>
          <w:ilvl w:val="0"/>
          <w:numId w:val="57"/>
        </w:numPr>
        <w:tabs>
          <w:tab w:val="left" w:pos="1092"/>
        </w:tabs>
        <w:spacing w:before="172"/>
        <w:ind w:hanging="373"/>
        <w:rPr>
          <w:color w:val="auto"/>
          <w:sz w:val="24"/>
          <w:highlight w:val="none"/>
        </w:rPr>
      </w:pPr>
      <w:r>
        <w:rPr>
          <w:color w:val="auto"/>
          <w:sz w:val="24"/>
          <w:highlight w:val="none"/>
        </w:rPr>
        <w:t>工程款支付情况分析；</w:t>
      </w:r>
    </w:p>
    <w:p>
      <w:pPr>
        <w:pStyle w:val="20"/>
        <w:numPr>
          <w:ilvl w:val="0"/>
          <w:numId w:val="57"/>
        </w:numPr>
        <w:tabs>
          <w:tab w:val="left" w:pos="1092"/>
        </w:tabs>
        <w:spacing w:before="173"/>
        <w:ind w:hanging="373"/>
        <w:rPr>
          <w:color w:val="auto"/>
          <w:sz w:val="24"/>
          <w:highlight w:val="none"/>
        </w:rPr>
      </w:pPr>
      <w:r>
        <w:rPr>
          <w:color w:val="auto"/>
          <w:sz w:val="24"/>
          <w:highlight w:val="none"/>
        </w:rPr>
        <w:t>本月采取的措施及效果。</w:t>
      </w:r>
    </w:p>
    <w:p>
      <w:pPr>
        <w:pStyle w:val="20"/>
        <w:numPr>
          <w:ilvl w:val="0"/>
          <w:numId w:val="55"/>
        </w:numPr>
        <w:tabs>
          <w:tab w:val="left" w:pos="1217"/>
        </w:tabs>
        <w:spacing w:before="172"/>
        <w:rPr>
          <w:color w:val="auto"/>
          <w:sz w:val="24"/>
          <w:highlight w:val="none"/>
        </w:rPr>
      </w:pPr>
      <w:r>
        <w:rPr>
          <w:color w:val="auto"/>
          <w:sz w:val="24"/>
          <w:highlight w:val="none"/>
        </w:rPr>
        <w:t>合同其他事项的处理情况，包括：</w:t>
      </w:r>
    </w:p>
    <w:p>
      <w:pPr>
        <w:pStyle w:val="20"/>
        <w:numPr>
          <w:ilvl w:val="0"/>
          <w:numId w:val="58"/>
        </w:numPr>
        <w:tabs>
          <w:tab w:val="left" w:pos="1092"/>
        </w:tabs>
        <w:spacing w:before="173"/>
        <w:ind w:hanging="373"/>
        <w:rPr>
          <w:color w:val="auto"/>
          <w:sz w:val="24"/>
          <w:highlight w:val="none"/>
        </w:rPr>
      </w:pPr>
      <w:r>
        <w:rPr>
          <w:color w:val="auto"/>
          <w:sz w:val="24"/>
          <w:highlight w:val="none"/>
        </w:rPr>
        <w:t>工程变更；</w:t>
      </w:r>
    </w:p>
    <w:p>
      <w:pPr>
        <w:pStyle w:val="20"/>
        <w:numPr>
          <w:ilvl w:val="0"/>
          <w:numId w:val="58"/>
        </w:numPr>
        <w:tabs>
          <w:tab w:val="left" w:pos="1092"/>
        </w:tabs>
        <w:spacing w:before="172"/>
        <w:ind w:hanging="373"/>
        <w:rPr>
          <w:color w:val="auto"/>
          <w:sz w:val="24"/>
          <w:highlight w:val="none"/>
        </w:rPr>
      </w:pPr>
      <w:r>
        <w:rPr>
          <w:color w:val="auto"/>
          <w:sz w:val="24"/>
          <w:highlight w:val="none"/>
        </w:rPr>
        <w:t>工程延期；</w:t>
      </w:r>
    </w:p>
    <w:p>
      <w:pPr>
        <w:pStyle w:val="20"/>
        <w:numPr>
          <w:ilvl w:val="0"/>
          <w:numId w:val="58"/>
        </w:numPr>
        <w:tabs>
          <w:tab w:val="left" w:pos="1092"/>
        </w:tabs>
        <w:spacing w:before="173"/>
        <w:ind w:hanging="373"/>
        <w:rPr>
          <w:color w:val="auto"/>
          <w:sz w:val="24"/>
          <w:highlight w:val="none"/>
        </w:rPr>
      </w:pPr>
      <w:r>
        <w:rPr>
          <w:color w:val="auto"/>
          <w:sz w:val="24"/>
          <w:highlight w:val="none"/>
        </w:rPr>
        <w:t>费用索赔。</w:t>
      </w:r>
    </w:p>
    <w:p>
      <w:pPr>
        <w:pStyle w:val="20"/>
        <w:numPr>
          <w:ilvl w:val="0"/>
          <w:numId w:val="55"/>
        </w:numPr>
        <w:tabs>
          <w:tab w:val="left" w:pos="1217"/>
        </w:tabs>
        <w:spacing w:before="172"/>
        <w:rPr>
          <w:color w:val="auto"/>
          <w:sz w:val="24"/>
          <w:highlight w:val="none"/>
        </w:rPr>
      </w:pPr>
      <w:r>
        <w:rPr>
          <w:color w:val="auto"/>
          <w:sz w:val="24"/>
          <w:highlight w:val="none"/>
        </w:rPr>
        <w:t>本月职业健康安全及环境等情况的综合评价及相关意见或建议。</w:t>
      </w:r>
    </w:p>
    <w:p>
      <w:pPr>
        <w:pStyle w:val="20"/>
        <w:numPr>
          <w:ilvl w:val="0"/>
          <w:numId w:val="55"/>
        </w:numPr>
        <w:tabs>
          <w:tab w:val="left" w:pos="1217"/>
        </w:tabs>
        <w:spacing w:before="173"/>
        <w:rPr>
          <w:color w:val="auto"/>
          <w:sz w:val="24"/>
          <w:highlight w:val="none"/>
        </w:rPr>
      </w:pPr>
      <w:r>
        <w:rPr>
          <w:color w:val="auto"/>
          <w:sz w:val="24"/>
          <w:highlight w:val="none"/>
        </w:rPr>
        <w:t>本月监理工作小结，包括：</w:t>
      </w:r>
    </w:p>
    <w:p>
      <w:pPr>
        <w:pStyle w:val="20"/>
        <w:numPr>
          <w:ilvl w:val="0"/>
          <w:numId w:val="59"/>
        </w:numPr>
        <w:tabs>
          <w:tab w:val="left" w:pos="1092"/>
        </w:tabs>
        <w:spacing w:before="172"/>
        <w:ind w:hanging="373"/>
        <w:rPr>
          <w:color w:val="auto"/>
          <w:sz w:val="24"/>
          <w:highlight w:val="none"/>
        </w:rPr>
      </w:pPr>
      <w:r>
        <w:rPr>
          <w:color w:val="auto"/>
          <w:sz w:val="24"/>
          <w:highlight w:val="none"/>
        </w:rPr>
        <w:t>对本月进度、质量、工程款支付、安全文明施工等方面情况的综合评价；</w:t>
      </w:r>
    </w:p>
    <w:p>
      <w:pPr>
        <w:pStyle w:val="20"/>
        <w:numPr>
          <w:ilvl w:val="0"/>
          <w:numId w:val="59"/>
        </w:numPr>
        <w:tabs>
          <w:tab w:val="left" w:pos="1092"/>
        </w:tabs>
        <w:spacing w:before="172"/>
        <w:ind w:hanging="373"/>
        <w:rPr>
          <w:color w:val="auto"/>
          <w:sz w:val="24"/>
          <w:highlight w:val="none"/>
        </w:rPr>
      </w:pPr>
      <w:r>
        <w:rPr>
          <w:color w:val="auto"/>
          <w:sz w:val="24"/>
          <w:highlight w:val="none"/>
        </w:rPr>
        <w:t>本月监理工作情况；</w:t>
      </w:r>
    </w:p>
    <w:p>
      <w:pPr>
        <w:pStyle w:val="20"/>
        <w:numPr>
          <w:ilvl w:val="0"/>
          <w:numId w:val="59"/>
        </w:numPr>
        <w:tabs>
          <w:tab w:val="left" w:pos="1092"/>
        </w:tabs>
        <w:spacing w:before="172"/>
        <w:ind w:hanging="373"/>
        <w:rPr>
          <w:color w:val="auto"/>
          <w:sz w:val="24"/>
          <w:highlight w:val="none"/>
        </w:rPr>
      </w:pPr>
      <w:r>
        <w:rPr>
          <w:color w:val="auto"/>
          <w:sz w:val="24"/>
          <w:highlight w:val="none"/>
        </w:rPr>
        <w:t>有关本工程的意见和建议；</w:t>
      </w:r>
    </w:p>
    <w:p>
      <w:pPr>
        <w:pStyle w:val="20"/>
        <w:numPr>
          <w:ilvl w:val="0"/>
          <w:numId w:val="59"/>
        </w:numPr>
        <w:tabs>
          <w:tab w:val="left" w:pos="1092"/>
        </w:tabs>
        <w:spacing w:before="172"/>
        <w:ind w:hanging="373"/>
        <w:rPr>
          <w:color w:val="auto"/>
          <w:sz w:val="24"/>
          <w:highlight w:val="none"/>
        </w:rPr>
      </w:pPr>
      <w:r>
        <w:rPr>
          <w:color w:val="auto"/>
          <w:sz w:val="24"/>
          <w:highlight w:val="none"/>
        </w:rPr>
        <w:t>下月监理工作的重点。</w:t>
      </w:r>
    </w:p>
    <w:p>
      <w:pPr>
        <w:pStyle w:val="3"/>
        <w:spacing w:before="172"/>
        <w:ind w:left="720"/>
        <w:rPr>
          <w:color w:val="auto"/>
          <w:highlight w:val="none"/>
        </w:rPr>
      </w:pPr>
      <w:r>
        <w:rPr>
          <w:color w:val="auto"/>
          <w:highlight w:val="none"/>
        </w:rPr>
        <w:t>监理月报应由总监理工程师组织编制及签认，签认后报委托人和本监理人总部。</w:t>
      </w:r>
    </w:p>
    <w:p>
      <w:pPr>
        <w:pStyle w:val="12"/>
        <w:numPr>
          <w:ilvl w:val="3"/>
          <w:numId w:val="16"/>
        </w:numPr>
        <w:tabs>
          <w:tab w:val="left" w:pos="1787"/>
          <w:tab w:val="left" w:pos="1788"/>
        </w:tabs>
        <w:spacing w:before="173"/>
        <w:ind w:left="1788" w:hanging="1068"/>
        <w:rPr>
          <w:color w:val="auto"/>
          <w:highlight w:val="none"/>
        </w:rPr>
      </w:pPr>
      <w:r>
        <w:rPr>
          <w:color w:val="auto"/>
          <w:highlight w:val="none"/>
        </w:rPr>
        <w:t>施工阶段的其他监理工作</w:t>
      </w:r>
    </w:p>
    <w:p>
      <w:pPr>
        <w:pStyle w:val="20"/>
        <w:numPr>
          <w:ilvl w:val="0"/>
          <w:numId w:val="60"/>
        </w:numPr>
        <w:tabs>
          <w:tab w:val="left" w:pos="1217"/>
        </w:tabs>
        <w:spacing w:before="172"/>
        <w:rPr>
          <w:color w:val="auto"/>
          <w:sz w:val="24"/>
          <w:highlight w:val="none"/>
        </w:rPr>
      </w:pPr>
      <w:r>
        <w:rPr>
          <w:color w:val="auto"/>
          <w:sz w:val="24"/>
          <w:highlight w:val="none"/>
        </w:rPr>
        <w:t>工地例会</w:t>
      </w:r>
    </w:p>
    <w:p>
      <w:pPr>
        <w:pStyle w:val="20"/>
        <w:numPr>
          <w:ilvl w:val="1"/>
          <w:numId w:val="60"/>
        </w:numPr>
        <w:tabs>
          <w:tab w:val="left" w:pos="1086"/>
        </w:tabs>
        <w:spacing w:before="173" w:line="374" w:lineRule="auto"/>
        <w:ind w:right="239" w:firstLine="496"/>
        <w:rPr>
          <w:color w:val="auto"/>
          <w:sz w:val="24"/>
          <w:highlight w:val="none"/>
        </w:rPr>
      </w:pPr>
      <w:r>
        <w:rPr>
          <w:color w:val="auto"/>
          <w:sz w:val="24"/>
          <w:highlight w:val="none"/>
        </w:rPr>
        <w:t>在施工过程中，总监理工程师应定期主持召开工地例会。工地例会应按委托人提供的例会细则执行。会议纪要应由项目监理机构负责起草，并经与会各方代表会签。</w:t>
      </w:r>
    </w:p>
    <w:p>
      <w:pPr>
        <w:pStyle w:val="20"/>
        <w:numPr>
          <w:ilvl w:val="1"/>
          <w:numId w:val="60"/>
        </w:numPr>
        <w:tabs>
          <w:tab w:val="left" w:pos="1092"/>
        </w:tabs>
        <w:ind w:left="1092" w:hanging="372"/>
        <w:rPr>
          <w:color w:val="auto"/>
          <w:sz w:val="24"/>
          <w:highlight w:val="none"/>
        </w:rPr>
      </w:pPr>
      <w:r>
        <w:rPr>
          <w:color w:val="auto"/>
          <w:sz w:val="24"/>
          <w:highlight w:val="none"/>
        </w:rPr>
        <w:t>工地例会应包括以下主要内容：</w:t>
      </w:r>
    </w:p>
    <w:p>
      <w:pPr>
        <w:pStyle w:val="3"/>
        <w:spacing w:before="173"/>
        <w:ind w:left="720"/>
        <w:rPr>
          <w:color w:val="auto"/>
          <w:highlight w:val="none"/>
        </w:rPr>
      </w:pPr>
      <w:r>
        <w:rPr>
          <w:color w:val="auto"/>
          <w:highlight w:val="none"/>
        </w:rPr>
        <w:t>① 检查上次例会议定事项的落实情况，分析未完事项原因；</w:t>
      </w:r>
    </w:p>
    <w:p>
      <w:pPr>
        <w:pStyle w:val="3"/>
        <w:spacing w:before="172"/>
        <w:ind w:left="720"/>
        <w:rPr>
          <w:color w:val="auto"/>
          <w:highlight w:val="none"/>
        </w:rPr>
      </w:pPr>
      <w:r>
        <w:rPr>
          <w:color w:val="auto"/>
          <w:highlight w:val="none"/>
        </w:rPr>
        <w:t>② 检查分析工程项目进度计划完成情况，提出下一阶段进度目标及其落实措施；</w:t>
      </w:r>
    </w:p>
    <w:p>
      <w:pPr>
        <w:pStyle w:val="3"/>
        <w:spacing w:before="173"/>
        <w:ind w:left="720"/>
        <w:rPr>
          <w:color w:val="auto"/>
          <w:highlight w:val="none"/>
        </w:rPr>
      </w:pPr>
      <w:r>
        <w:rPr>
          <w:color w:val="auto"/>
          <w:highlight w:val="none"/>
        </w:rPr>
        <w:t>③ 检查分析工程项目质量状况，针对存在的质量问题提出改进措施；</w:t>
      </w:r>
    </w:p>
    <w:p>
      <w:pPr>
        <w:pStyle w:val="3"/>
        <w:spacing w:before="172"/>
        <w:ind w:left="720"/>
        <w:rPr>
          <w:color w:val="auto"/>
          <w:highlight w:val="none"/>
        </w:rPr>
      </w:pPr>
      <w:r>
        <w:rPr>
          <w:color w:val="auto"/>
          <w:highlight w:val="none"/>
        </w:rPr>
        <w:t>④ 检查工程量核定及工程款支付情况；</w:t>
      </w:r>
    </w:p>
    <w:p>
      <w:pPr>
        <w:pStyle w:val="3"/>
        <w:spacing w:before="173"/>
        <w:ind w:left="720"/>
        <w:rPr>
          <w:color w:val="auto"/>
          <w:highlight w:val="none"/>
        </w:rPr>
      </w:pPr>
      <w:r>
        <w:rPr>
          <w:color w:val="auto"/>
          <w:highlight w:val="none"/>
        </w:rPr>
        <w:t>⑤ 检讨工作联系单的相关内容的执行情况，解决需要协调的有关事项；</w:t>
      </w:r>
    </w:p>
    <w:p>
      <w:pPr>
        <w:pStyle w:val="3"/>
        <w:spacing w:before="172" w:line="374" w:lineRule="auto"/>
        <w:ind w:right="233" w:firstLine="496"/>
        <w:rPr>
          <w:color w:val="auto"/>
          <w:highlight w:val="none"/>
        </w:rPr>
      </w:pPr>
      <w:r>
        <w:rPr>
          <w:color w:val="auto"/>
          <w:highlight w:val="none"/>
        </w:rPr>
        <w:t>⑥ 本月职业健康安全及环境、文明施工等方面的综合情况，解决需要协调的有关事项。</w:t>
      </w:r>
    </w:p>
    <w:p>
      <w:pPr>
        <w:pStyle w:val="3"/>
        <w:spacing w:before="1"/>
        <w:ind w:left="720"/>
        <w:rPr>
          <w:color w:val="auto"/>
          <w:highlight w:val="none"/>
        </w:rPr>
      </w:pPr>
      <w:r>
        <w:rPr>
          <w:color w:val="auto"/>
          <w:highlight w:val="none"/>
        </w:rPr>
        <w:t>⑦ 其他有关事宜。</w:t>
      </w:r>
    </w:p>
    <w:p>
      <w:pPr>
        <w:pStyle w:val="20"/>
        <w:numPr>
          <w:ilvl w:val="1"/>
          <w:numId w:val="60"/>
        </w:numPr>
        <w:tabs>
          <w:tab w:val="left" w:pos="1086"/>
        </w:tabs>
        <w:spacing w:before="172" w:line="374" w:lineRule="auto"/>
        <w:ind w:right="233" w:firstLine="496"/>
        <w:rPr>
          <w:color w:val="auto"/>
          <w:sz w:val="24"/>
          <w:highlight w:val="none"/>
        </w:rPr>
      </w:pPr>
      <w:r>
        <w:rPr>
          <w:color w:val="auto"/>
          <w:sz w:val="24"/>
          <w:highlight w:val="none"/>
        </w:rPr>
        <w:t>总监理工程师或专业监理工程师应根据需要及时组织专题会议，解决施工过程中的各种专项问题。</w:t>
      </w:r>
    </w:p>
    <w:p>
      <w:pPr>
        <w:pStyle w:val="20"/>
        <w:numPr>
          <w:ilvl w:val="1"/>
          <w:numId w:val="60"/>
        </w:numPr>
        <w:tabs>
          <w:tab w:val="left" w:pos="1086"/>
        </w:tabs>
        <w:spacing w:before="1" w:line="374" w:lineRule="auto"/>
        <w:ind w:right="233" w:firstLine="496"/>
        <w:rPr>
          <w:color w:val="auto"/>
          <w:sz w:val="24"/>
          <w:highlight w:val="none"/>
        </w:rPr>
      </w:pPr>
      <w:r>
        <w:rPr>
          <w:color w:val="auto"/>
          <w:sz w:val="24"/>
          <w:highlight w:val="none"/>
        </w:rPr>
        <w:t>对于工地例会上提出的有关设计问题，监理人应积极把关控制，不应随意对相关问题做出定论。工地例会上的相关结论必须以设计变更的方式确定后方可实施。</w:t>
      </w:r>
    </w:p>
    <w:p>
      <w:pPr>
        <w:pStyle w:val="20"/>
        <w:numPr>
          <w:ilvl w:val="0"/>
          <w:numId w:val="60"/>
        </w:numPr>
        <w:tabs>
          <w:tab w:val="left" w:pos="1217"/>
        </w:tabs>
        <w:spacing w:before="1"/>
        <w:rPr>
          <w:color w:val="auto"/>
          <w:sz w:val="24"/>
          <w:highlight w:val="none"/>
        </w:rPr>
      </w:pPr>
      <w:r>
        <w:rPr>
          <w:color w:val="auto"/>
          <w:sz w:val="24"/>
          <w:highlight w:val="none"/>
        </w:rPr>
        <w:t>工程暂停及复工的相关工作</w:t>
      </w:r>
    </w:p>
    <w:p>
      <w:pPr>
        <w:pStyle w:val="20"/>
        <w:numPr>
          <w:ilvl w:val="0"/>
          <w:numId w:val="61"/>
        </w:numPr>
        <w:tabs>
          <w:tab w:val="left" w:pos="1086"/>
        </w:tabs>
        <w:spacing w:before="172" w:line="374" w:lineRule="auto"/>
        <w:ind w:right="239" w:firstLine="496"/>
        <w:rPr>
          <w:color w:val="auto"/>
          <w:sz w:val="24"/>
          <w:highlight w:val="none"/>
        </w:rPr>
      </w:pPr>
      <w:r>
        <w:rPr>
          <w:color w:val="auto"/>
          <w:sz w:val="24"/>
          <w:highlight w:val="none"/>
        </w:rPr>
        <w:t>总监理工程师在签发工程暂停令时，应根据暂停工程的影响范围和影响程度， 按照施工合同和委托监理合同的约定签发。</w:t>
      </w:r>
    </w:p>
    <w:p>
      <w:pPr>
        <w:pStyle w:val="20"/>
        <w:numPr>
          <w:ilvl w:val="0"/>
          <w:numId w:val="61"/>
        </w:numPr>
        <w:tabs>
          <w:tab w:val="left" w:pos="1092"/>
        </w:tabs>
        <w:spacing w:before="1"/>
        <w:ind w:left="1092" w:hanging="373"/>
        <w:rPr>
          <w:color w:val="auto"/>
          <w:sz w:val="24"/>
          <w:highlight w:val="none"/>
        </w:rPr>
      </w:pPr>
      <w:r>
        <w:rPr>
          <w:color w:val="auto"/>
          <w:sz w:val="24"/>
          <w:highlight w:val="none"/>
        </w:rPr>
        <w:t>在发生下列情况之一时，总监理工程师可签发工程暂停令：</w:t>
      </w:r>
    </w:p>
    <w:p>
      <w:pPr>
        <w:pStyle w:val="3"/>
        <w:spacing w:before="172"/>
        <w:ind w:left="719"/>
        <w:rPr>
          <w:color w:val="auto"/>
          <w:highlight w:val="none"/>
        </w:rPr>
      </w:pPr>
      <w:r>
        <w:rPr>
          <w:color w:val="auto"/>
          <w:highlight w:val="none"/>
        </w:rPr>
        <w:t>① 委托人要求暂停施工且工程需要暂停施工；</w:t>
      </w:r>
    </w:p>
    <w:p>
      <w:pPr>
        <w:pStyle w:val="3"/>
        <w:spacing w:before="173"/>
        <w:ind w:left="719"/>
        <w:rPr>
          <w:color w:val="auto"/>
          <w:highlight w:val="none"/>
        </w:rPr>
      </w:pPr>
      <w:r>
        <w:rPr>
          <w:color w:val="auto"/>
          <w:highlight w:val="none"/>
        </w:rPr>
        <w:t>② 为了保证工程质量而需要进行停工处理；</w:t>
      </w:r>
    </w:p>
    <w:p>
      <w:pPr>
        <w:pStyle w:val="3"/>
        <w:spacing w:before="172"/>
        <w:ind w:left="719"/>
        <w:rPr>
          <w:color w:val="auto"/>
          <w:highlight w:val="none"/>
        </w:rPr>
      </w:pPr>
      <w:r>
        <w:rPr>
          <w:color w:val="auto"/>
          <w:highlight w:val="none"/>
        </w:rPr>
        <w:t>③ 施工出现了安全隐患，总监理工程师认为有必要停工以消除隐患；</w:t>
      </w:r>
    </w:p>
    <w:p>
      <w:pPr>
        <w:pStyle w:val="3"/>
        <w:spacing w:before="173"/>
        <w:ind w:left="719"/>
        <w:rPr>
          <w:color w:val="auto"/>
          <w:highlight w:val="none"/>
        </w:rPr>
      </w:pPr>
      <w:r>
        <w:rPr>
          <w:color w:val="auto"/>
          <w:highlight w:val="none"/>
        </w:rPr>
        <w:t>④ 发生了必须暂时停止施工的紧急事件；</w:t>
      </w:r>
    </w:p>
    <w:p>
      <w:pPr>
        <w:pStyle w:val="3"/>
        <w:spacing w:before="172"/>
        <w:ind w:left="719"/>
        <w:rPr>
          <w:color w:val="auto"/>
          <w:highlight w:val="none"/>
        </w:rPr>
      </w:pPr>
      <w:r>
        <w:rPr>
          <w:color w:val="auto"/>
          <w:highlight w:val="none"/>
        </w:rPr>
        <w:t>⑤ 承包人未经许可擅自施工或拒绝项目监理机构管理。</w:t>
      </w:r>
    </w:p>
    <w:p>
      <w:pPr>
        <w:pStyle w:val="20"/>
        <w:numPr>
          <w:ilvl w:val="0"/>
          <w:numId w:val="61"/>
        </w:numPr>
        <w:tabs>
          <w:tab w:val="left" w:pos="1086"/>
        </w:tabs>
        <w:spacing w:before="172" w:line="374" w:lineRule="auto"/>
        <w:ind w:right="239" w:firstLine="496"/>
        <w:rPr>
          <w:color w:val="auto"/>
          <w:sz w:val="24"/>
          <w:highlight w:val="none"/>
        </w:rPr>
      </w:pPr>
      <w:r>
        <w:rPr>
          <w:color w:val="auto"/>
          <w:sz w:val="24"/>
          <w:highlight w:val="none"/>
        </w:rPr>
        <w:t>总监理工程师在签发工程暂停令时，应根据停工原因的影响范围和影响程度，确定工程项目停工范围。</w:t>
      </w:r>
    </w:p>
    <w:p>
      <w:pPr>
        <w:pStyle w:val="20"/>
        <w:numPr>
          <w:ilvl w:val="0"/>
          <w:numId w:val="61"/>
        </w:numPr>
        <w:tabs>
          <w:tab w:val="left" w:pos="1095"/>
        </w:tabs>
        <w:spacing w:before="173" w:line="374" w:lineRule="auto"/>
        <w:ind w:right="227" w:firstLine="496"/>
        <w:jc w:val="both"/>
        <w:rPr>
          <w:color w:val="auto"/>
          <w:sz w:val="24"/>
          <w:highlight w:val="none"/>
        </w:rPr>
      </w:pPr>
      <w:r>
        <w:rPr>
          <w:color w:val="auto"/>
          <w:sz w:val="24"/>
          <w:highlight w:val="none"/>
        </w:rPr>
        <w:t xml:space="preserve">由于非承包人且非上述第 </w:t>
      </w:r>
      <w:r>
        <w:rPr>
          <w:rFonts w:ascii="Times New Roman" w:hAnsi="Times New Roman" w:eastAsia="Times New Roman"/>
          <w:color w:val="auto"/>
          <w:sz w:val="24"/>
          <w:highlight w:val="none"/>
        </w:rPr>
        <w:t>2</w:t>
      </w:r>
      <w:r>
        <w:rPr>
          <w:color w:val="auto"/>
          <w:sz w:val="24"/>
          <w:highlight w:val="none"/>
        </w:rPr>
        <w:t>）-②、③、④、⑤项原因时，总监理工程师在签发工程暂停令之前，应就有关工期和费用等事宜与承包人进行协商。</w:t>
      </w:r>
    </w:p>
    <w:p>
      <w:pPr>
        <w:pStyle w:val="20"/>
        <w:numPr>
          <w:ilvl w:val="0"/>
          <w:numId w:val="61"/>
        </w:numPr>
        <w:tabs>
          <w:tab w:val="left" w:pos="1086"/>
        </w:tabs>
        <w:spacing w:line="374" w:lineRule="auto"/>
        <w:ind w:right="239" w:firstLine="496"/>
        <w:jc w:val="both"/>
        <w:rPr>
          <w:color w:val="auto"/>
          <w:sz w:val="24"/>
          <w:highlight w:val="none"/>
        </w:rPr>
      </w:pPr>
      <w:r>
        <w:rPr>
          <w:color w:val="auto"/>
          <w:sz w:val="24"/>
          <w:highlight w:val="none"/>
        </w:rPr>
        <w:t>由于委托人原因或其他非承包人原因导致工程暂停时，项目监理机构应如实记录所发生的实际情况。总监理工程师应在施工暂停原因消失、具备复工条件时，及时签署工程复工报审表，指令承包人继续施工。</w:t>
      </w:r>
    </w:p>
    <w:p>
      <w:pPr>
        <w:pStyle w:val="20"/>
        <w:numPr>
          <w:ilvl w:val="0"/>
          <w:numId w:val="61"/>
        </w:numPr>
        <w:tabs>
          <w:tab w:val="left" w:pos="1086"/>
        </w:tabs>
        <w:spacing w:before="1" w:line="374" w:lineRule="auto"/>
        <w:ind w:right="233" w:firstLine="496"/>
        <w:jc w:val="both"/>
        <w:rPr>
          <w:color w:val="auto"/>
          <w:sz w:val="24"/>
          <w:highlight w:val="none"/>
        </w:rPr>
      </w:pPr>
      <w:r>
        <w:rPr>
          <w:color w:val="auto"/>
          <w:sz w:val="24"/>
          <w:highlight w:val="none"/>
        </w:rPr>
        <w:t>由于承包人原因导致工程暂停，在具备恢复施工条件时，项目监理机构应审查承包人报送的复工申请及有关材料，同意后由总监理工程师签署工程复工报审表，指令承包人继续施工。</w:t>
      </w:r>
    </w:p>
    <w:p>
      <w:pPr>
        <w:pStyle w:val="20"/>
        <w:numPr>
          <w:ilvl w:val="0"/>
          <w:numId w:val="61"/>
        </w:numPr>
        <w:tabs>
          <w:tab w:val="left" w:pos="1086"/>
        </w:tabs>
        <w:spacing w:before="1" w:line="374" w:lineRule="auto"/>
        <w:ind w:right="233" w:firstLine="496"/>
        <w:rPr>
          <w:color w:val="auto"/>
          <w:sz w:val="24"/>
          <w:highlight w:val="none"/>
        </w:rPr>
      </w:pPr>
      <w:r>
        <w:rPr>
          <w:color w:val="auto"/>
          <w:sz w:val="24"/>
          <w:highlight w:val="none"/>
        </w:rPr>
        <w:t>总监理工程师在签发工程暂停令到签发工程复工报审表之间的时间内，应会同有关各方按照施工合同的约定，处理因工程暂停引起的与工期、费用等有关的问题。</w:t>
      </w:r>
    </w:p>
    <w:p>
      <w:pPr>
        <w:pStyle w:val="20"/>
        <w:numPr>
          <w:ilvl w:val="0"/>
          <w:numId w:val="60"/>
        </w:numPr>
        <w:tabs>
          <w:tab w:val="left" w:pos="1217"/>
        </w:tabs>
        <w:spacing w:before="1"/>
        <w:rPr>
          <w:color w:val="auto"/>
          <w:sz w:val="24"/>
          <w:highlight w:val="none"/>
        </w:rPr>
      </w:pPr>
      <w:r>
        <w:rPr>
          <w:color w:val="auto"/>
          <w:sz w:val="24"/>
          <w:highlight w:val="none"/>
        </w:rPr>
        <w:t>工程延期及工程延误的处理工作</w:t>
      </w:r>
    </w:p>
    <w:p>
      <w:pPr>
        <w:pStyle w:val="20"/>
        <w:numPr>
          <w:ilvl w:val="0"/>
          <w:numId w:val="62"/>
        </w:numPr>
        <w:tabs>
          <w:tab w:val="left" w:pos="1086"/>
        </w:tabs>
        <w:spacing w:before="172" w:line="374" w:lineRule="auto"/>
        <w:ind w:right="238" w:firstLine="496"/>
        <w:rPr>
          <w:rFonts w:ascii="Times New Roman" w:eastAsia="Times New Roman"/>
          <w:color w:val="auto"/>
          <w:highlight w:val="none"/>
        </w:rPr>
      </w:pPr>
      <w:r>
        <w:rPr>
          <w:color w:val="auto"/>
          <w:sz w:val="24"/>
          <w:highlight w:val="none"/>
        </w:rPr>
        <w:t>当承包人提出工程延期要求符合施工合同文件的规定条件时，项目监理机构应予以受理。</w:t>
      </w:r>
    </w:p>
    <w:p>
      <w:pPr>
        <w:pStyle w:val="20"/>
        <w:numPr>
          <w:ilvl w:val="0"/>
          <w:numId w:val="62"/>
        </w:numPr>
        <w:tabs>
          <w:tab w:val="left" w:pos="1086"/>
        </w:tabs>
        <w:spacing w:before="1" w:line="374" w:lineRule="auto"/>
        <w:ind w:right="115" w:firstLine="496"/>
        <w:rPr>
          <w:rFonts w:ascii="Times New Roman" w:eastAsia="Times New Roman"/>
          <w:color w:val="auto"/>
          <w:highlight w:val="none"/>
        </w:rPr>
      </w:pPr>
      <w:r>
        <w:rPr>
          <w:color w:val="auto"/>
          <w:sz w:val="24"/>
          <w:highlight w:val="none"/>
        </w:rPr>
        <w:t>当影响工期事件具有持续性时，项目监理机构可在收到承包人提交的阶段性工程延期申请表并经过审查后，先由总监理工程师签署工程临时延期审批表并通报委托人。当承包人提交最终的工程延期申请表后，项目监理机构应复查工程延期及临时延期情况， 并由总监理工程师签署工程最终延期审批表。</w:t>
      </w:r>
    </w:p>
    <w:p>
      <w:pPr>
        <w:pStyle w:val="20"/>
        <w:numPr>
          <w:ilvl w:val="0"/>
          <w:numId w:val="62"/>
        </w:numPr>
        <w:tabs>
          <w:tab w:val="left" w:pos="1086"/>
        </w:tabs>
        <w:spacing w:before="1" w:line="374" w:lineRule="auto"/>
        <w:ind w:right="233" w:firstLine="496"/>
        <w:rPr>
          <w:rFonts w:ascii="Times New Roman" w:eastAsia="Times New Roman"/>
          <w:color w:val="auto"/>
          <w:highlight w:val="none"/>
        </w:rPr>
      </w:pPr>
      <w:r>
        <w:rPr>
          <w:color w:val="auto"/>
          <w:sz w:val="24"/>
          <w:highlight w:val="none"/>
        </w:rPr>
        <w:t>项目监理机构在作出临时工程延期批准或最终的工程延期批准之前，均应与委托人和承包人进行协商。</w:t>
      </w:r>
    </w:p>
    <w:p>
      <w:pPr>
        <w:pStyle w:val="20"/>
        <w:numPr>
          <w:ilvl w:val="0"/>
          <w:numId w:val="62"/>
        </w:numPr>
        <w:tabs>
          <w:tab w:val="left" w:pos="1092"/>
        </w:tabs>
        <w:spacing w:before="1"/>
        <w:ind w:left="1092" w:hanging="372"/>
        <w:rPr>
          <w:rFonts w:ascii="Times New Roman" w:eastAsia="Times New Roman"/>
          <w:color w:val="auto"/>
          <w:highlight w:val="none"/>
        </w:rPr>
      </w:pPr>
      <w:r>
        <w:rPr>
          <w:color w:val="auto"/>
          <w:sz w:val="24"/>
          <w:highlight w:val="none"/>
        </w:rPr>
        <w:t>项目监理机构在审查工程延期时，应依下列情况确定批准工程延期的时间：</w:t>
      </w:r>
    </w:p>
    <w:p>
      <w:pPr>
        <w:pStyle w:val="3"/>
        <w:spacing w:before="172"/>
        <w:ind w:left="720"/>
        <w:rPr>
          <w:color w:val="auto"/>
          <w:highlight w:val="none"/>
        </w:rPr>
      </w:pPr>
      <w:r>
        <w:rPr>
          <w:color w:val="auto"/>
          <w:highlight w:val="none"/>
        </w:rPr>
        <w:t>① 施工合同中有关工程延期的约定；</w:t>
      </w:r>
    </w:p>
    <w:p>
      <w:pPr>
        <w:pStyle w:val="3"/>
        <w:spacing w:before="172"/>
        <w:ind w:left="720"/>
        <w:rPr>
          <w:color w:val="auto"/>
          <w:highlight w:val="none"/>
        </w:rPr>
      </w:pPr>
      <w:r>
        <w:rPr>
          <w:color w:val="auto"/>
          <w:highlight w:val="none"/>
        </w:rPr>
        <w:t>② 工期拖延和影响工期事件的事实和程度；</w:t>
      </w:r>
    </w:p>
    <w:p>
      <w:pPr>
        <w:pStyle w:val="3"/>
        <w:spacing w:before="173"/>
        <w:ind w:left="720"/>
        <w:rPr>
          <w:color w:val="auto"/>
          <w:highlight w:val="none"/>
        </w:rPr>
      </w:pPr>
      <w:r>
        <w:rPr>
          <w:color w:val="auto"/>
          <w:highlight w:val="none"/>
        </w:rPr>
        <w:t>③ 影响工期事件对工期影响的量化程度。</w:t>
      </w:r>
    </w:p>
    <w:p>
      <w:pPr>
        <w:pStyle w:val="20"/>
        <w:numPr>
          <w:ilvl w:val="0"/>
          <w:numId w:val="62"/>
        </w:numPr>
        <w:tabs>
          <w:tab w:val="left" w:pos="1086"/>
        </w:tabs>
        <w:spacing w:before="172" w:line="374" w:lineRule="auto"/>
        <w:ind w:right="238" w:firstLine="496"/>
        <w:rPr>
          <w:rFonts w:ascii="Times New Roman" w:eastAsia="Times New Roman"/>
          <w:color w:val="auto"/>
          <w:highlight w:val="none"/>
        </w:rPr>
      </w:pPr>
      <w:r>
        <w:rPr>
          <w:color w:val="auto"/>
          <w:sz w:val="24"/>
          <w:highlight w:val="none"/>
        </w:rPr>
        <w:t xml:space="preserve">工程延期造成承包人提出费用索赔时，项目监理机构应按本条第 </w:t>
      </w:r>
      <w:r>
        <w:rPr>
          <w:rFonts w:ascii="Times New Roman" w:eastAsia="Times New Roman"/>
          <w:color w:val="auto"/>
          <w:sz w:val="24"/>
          <w:highlight w:val="none"/>
        </w:rPr>
        <w:t>2.1.3.6</w:t>
      </w:r>
      <w:r>
        <w:rPr>
          <w:color w:val="auto"/>
          <w:sz w:val="24"/>
          <w:highlight w:val="none"/>
        </w:rPr>
        <w:t>（</w:t>
      </w:r>
      <w:r>
        <w:rPr>
          <w:rFonts w:ascii="Times New Roman" w:eastAsia="Times New Roman"/>
          <w:color w:val="auto"/>
          <w:sz w:val="24"/>
          <w:highlight w:val="none"/>
        </w:rPr>
        <w:t>10</w:t>
      </w:r>
      <w:r>
        <w:rPr>
          <w:color w:val="auto"/>
          <w:sz w:val="24"/>
          <w:highlight w:val="none"/>
        </w:rPr>
        <w:t>）项的约定处理。</w:t>
      </w:r>
    </w:p>
    <w:p>
      <w:pPr>
        <w:pStyle w:val="20"/>
        <w:numPr>
          <w:ilvl w:val="0"/>
          <w:numId w:val="62"/>
        </w:numPr>
        <w:tabs>
          <w:tab w:val="left" w:pos="1086"/>
        </w:tabs>
        <w:spacing w:before="1" w:line="374" w:lineRule="auto"/>
        <w:ind w:right="233" w:firstLine="496"/>
        <w:rPr>
          <w:color w:val="auto"/>
          <w:highlight w:val="none"/>
        </w:rPr>
      </w:pPr>
      <w:r>
        <w:rPr>
          <w:color w:val="auto"/>
          <w:sz w:val="24"/>
          <w:highlight w:val="none"/>
        </w:rPr>
        <w:t>当承包人未能按照施工合同要求的工期竣工交付造成工期延误时，项目监理机构应按施工合同规定从承包人应得款项中扣除误期损害赔偿费。</w:t>
      </w:r>
    </w:p>
    <w:p>
      <w:pPr>
        <w:pStyle w:val="12"/>
        <w:numPr>
          <w:ilvl w:val="2"/>
          <w:numId w:val="16"/>
        </w:numPr>
        <w:tabs>
          <w:tab w:val="left" w:pos="1349"/>
        </w:tabs>
        <w:spacing w:before="1"/>
        <w:ind w:left="1348" w:hanging="629"/>
        <w:rPr>
          <w:rFonts w:ascii="Times New Roman" w:eastAsia="Times New Roman"/>
          <w:color w:val="auto"/>
          <w:highlight w:val="none"/>
        </w:rPr>
      </w:pPr>
      <w:r>
        <w:rPr>
          <w:color w:val="auto"/>
          <w:highlight w:val="none"/>
        </w:rPr>
        <w:t>工程收尾阶段的监理工作（包括但不限于以下内容）</w:t>
      </w:r>
    </w:p>
    <w:p>
      <w:pPr>
        <w:pStyle w:val="20"/>
        <w:numPr>
          <w:ilvl w:val="3"/>
          <w:numId w:val="16"/>
        </w:numPr>
        <w:tabs>
          <w:tab w:val="left" w:pos="0"/>
          <w:tab w:val="left" w:pos="1671"/>
        </w:tabs>
        <w:spacing w:before="172" w:line="360" w:lineRule="auto"/>
        <w:ind w:left="10" w:firstLine="709"/>
        <w:rPr>
          <w:color w:val="auto"/>
          <w:sz w:val="24"/>
          <w:szCs w:val="24"/>
          <w:highlight w:val="none"/>
        </w:rPr>
      </w:pPr>
      <w:r>
        <w:rPr>
          <w:color w:val="auto"/>
          <w:sz w:val="24"/>
          <w:szCs w:val="24"/>
          <w:highlight w:val="none"/>
        </w:rPr>
        <w:t>工程收尾阶段包括竣工扫尾、验收、整改、移交、结算、考核评价等方面的管理。监理人应制定工作计划，提出各项管理要求。工程收尾阶段管理应包括以下内容：</w:t>
      </w:r>
    </w:p>
    <w:p>
      <w:pPr>
        <w:pStyle w:val="20"/>
        <w:numPr>
          <w:ilvl w:val="0"/>
          <w:numId w:val="63"/>
        </w:numPr>
        <w:tabs>
          <w:tab w:val="left" w:pos="1217"/>
        </w:tabs>
        <w:spacing w:before="1"/>
        <w:rPr>
          <w:color w:val="auto"/>
          <w:sz w:val="24"/>
          <w:highlight w:val="none"/>
        </w:rPr>
      </w:pPr>
      <w:r>
        <w:rPr>
          <w:color w:val="auto"/>
          <w:sz w:val="24"/>
          <w:highlight w:val="none"/>
        </w:rPr>
        <w:t>项目的竣工扫尾；</w:t>
      </w:r>
    </w:p>
    <w:p>
      <w:pPr>
        <w:pStyle w:val="20"/>
        <w:numPr>
          <w:ilvl w:val="0"/>
          <w:numId w:val="63"/>
        </w:numPr>
        <w:tabs>
          <w:tab w:val="left" w:pos="1217"/>
        </w:tabs>
        <w:spacing w:before="172"/>
        <w:rPr>
          <w:color w:val="auto"/>
          <w:sz w:val="24"/>
          <w:highlight w:val="none"/>
        </w:rPr>
      </w:pPr>
      <w:r>
        <w:rPr>
          <w:color w:val="auto"/>
          <w:sz w:val="24"/>
          <w:highlight w:val="none"/>
        </w:rPr>
        <w:t>项目的竣工验收、整改及移交；</w:t>
      </w:r>
    </w:p>
    <w:p>
      <w:pPr>
        <w:pStyle w:val="20"/>
        <w:numPr>
          <w:ilvl w:val="0"/>
          <w:numId w:val="63"/>
        </w:numPr>
        <w:tabs>
          <w:tab w:val="left" w:pos="1217"/>
        </w:tabs>
        <w:spacing w:before="173"/>
        <w:rPr>
          <w:color w:val="auto"/>
          <w:sz w:val="24"/>
          <w:highlight w:val="none"/>
        </w:rPr>
      </w:pPr>
      <w:r>
        <w:rPr>
          <w:color w:val="auto"/>
          <w:sz w:val="24"/>
          <w:highlight w:val="none"/>
        </w:rPr>
        <w:t>项目的竣工结算；</w:t>
      </w:r>
    </w:p>
    <w:p>
      <w:pPr>
        <w:pStyle w:val="20"/>
        <w:numPr>
          <w:ilvl w:val="0"/>
          <w:numId w:val="63"/>
        </w:numPr>
        <w:tabs>
          <w:tab w:val="left" w:pos="1217"/>
        </w:tabs>
        <w:spacing w:before="172"/>
        <w:rPr>
          <w:color w:val="auto"/>
          <w:sz w:val="24"/>
          <w:highlight w:val="none"/>
        </w:rPr>
      </w:pPr>
      <w:r>
        <w:rPr>
          <w:color w:val="auto"/>
          <w:sz w:val="24"/>
          <w:highlight w:val="none"/>
        </w:rPr>
        <w:t>项目的回访维护；</w:t>
      </w:r>
    </w:p>
    <w:p>
      <w:pPr>
        <w:pStyle w:val="20"/>
        <w:numPr>
          <w:ilvl w:val="0"/>
          <w:numId w:val="63"/>
        </w:numPr>
        <w:tabs>
          <w:tab w:val="left" w:pos="1217"/>
        </w:tabs>
        <w:spacing w:before="173"/>
        <w:rPr>
          <w:color w:val="auto"/>
          <w:sz w:val="24"/>
          <w:highlight w:val="none"/>
        </w:rPr>
      </w:pPr>
      <w:r>
        <w:rPr>
          <w:color w:val="auto"/>
          <w:sz w:val="24"/>
          <w:highlight w:val="none"/>
        </w:rPr>
        <w:t>项目的考核评价。</w:t>
      </w:r>
    </w:p>
    <w:p>
      <w:pPr>
        <w:pStyle w:val="12"/>
        <w:numPr>
          <w:ilvl w:val="3"/>
          <w:numId w:val="16"/>
        </w:numPr>
        <w:tabs>
          <w:tab w:val="left" w:pos="1665"/>
          <w:tab w:val="left" w:pos="1666"/>
        </w:tabs>
        <w:spacing w:before="172"/>
        <w:rPr>
          <w:color w:val="auto"/>
          <w:highlight w:val="none"/>
        </w:rPr>
      </w:pPr>
      <w:r>
        <w:rPr>
          <w:color w:val="auto"/>
          <w:highlight w:val="none"/>
        </w:rPr>
        <w:t>竣工验收</w:t>
      </w:r>
    </w:p>
    <w:p>
      <w:pPr>
        <w:pStyle w:val="20"/>
        <w:numPr>
          <w:ilvl w:val="0"/>
          <w:numId w:val="64"/>
        </w:numPr>
        <w:tabs>
          <w:tab w:val="left" w:pos="1220"/>
        </w:tabs>
        <w:spacing w:before="173" w:line="374" w:lineRule="auto"/>
        <w:ind w:right="227" w:firstLine="372"/>
        <w:jc w:val="both"/>
        <w:rPr>
          <w:color w:val="auto"/>
          <w:sz w:val="24"/>
          <w:highlight w:val="none"/>
        </w:rPr>
      </w:pPr>
      <w:r>
        <w:rPr>
          <w:color w:val="auto"/>
          <w:sz w:val="24"/>
          <w:highlight w:val="none"/>
        </w:rPr>
        <w:t>总监理工程师应组织专业监理工程师，依据有关法律、法规、工程建设强制性标准、设计文件及施工合同，对承包人报送的竣工资料进行审查，并对工程质量进行竣工预验收。对存在的问题，应及时要求承包人整改。整改完毕由总监理工程师签署工程竣工报验单，并应在此基础上提出工程质量评估报告。工程质量评估报告应经总监理工程师和监理人技术负责人审核签字。</w:t>
      </w:r>
    </w:p>
    <w:p>
      <w:pPr>
        <w:pStyle w:val="20"/>
        <w:numPr>
          <w:ilvl w:val="0"/>
          <w:numId w:val="64"/>
        </w:numPr>
        <w:tabs>
          <w:tab w:val="left" w:pos="1220"/>
        </w:tabs>
        <w:spacing w:before="1" w:line="374" w:lineRule="auto"/>
        <w:ind w:right="227" w:firstLine="372"/>
        <w:jc w:val="both"/>
        <w:rPr>
          <w:color w:val="auto"/>
          <w:sz w:val="24"/>
          <w:highlight w:val="none"/>
        </w:rPr>
      </w:pPr>
      <w:r>
        <w:rPr>
          <w:color w:val="auto"/>
          <w:sz w:val="24"/>
          <w:highlight w:val="none"/>
        </w:rPr>
        <w:t>监理人应负责组织系统联动调试、试运行及各专项验收及检测。项目监理机构应参加由委托人组织的竣工验收，并提供相关监理资料。对验收中提出的整改问题，项目监理机构应要求承包人进行整改。工程质量符合要求，由总监理工程师会同参加验收的各方签署竣工验收报告。</w:t>
      </w:r>
    </w:p>
    <w:p>
      <w:pPr>
        <w:pStyle w:val="20"/>
        <w:numPr>
          <w:ilvl w:val="0"/>
          <w:numId w:val="64"/>
        </w:numPr>
        <w:tabs>
          <w:tab w:val="left" w:pos="1217"/>
        </w:tabs>
        <w:spacing w:before="1"/>
        <w:ind w:left="1216" w:hanging="622"/>
        <w:rPr>
          <w:color w:val="auto"/>
          <w:sz w:val="24"/>
          <w:highlight w:val="none"/>
        </w:rPr>
      </w:pPr>
      <w:r>
        <w:rPr>
          <w:color w:val="auto"/>
          <w:sz w:val="24"/>
          <w:highlight w:val="none"/>
        </w:rPr>
        <w:t>组织或协助委托人、承包人对项目进行移交。</w:t>
      </w:r>
    </w:p>
    <w:p>
      <w:pPr>
        <w:pStyle w:val="20"/>
        <w:numPr>
          <w:ilvl w:val="0"/>
          <w:numId w:val="64"/>
        </w:numPr>
        <w:tabs>
          <w:tab w:val="left" w:pos="1220"/>
        </w:tabs>
        <w:spacing w:before="173" w:line="374" w:lineRule="auto"/>
        <w:ind w:right="227" w:firstLine="372"/>
        <w:rPr>
          <w:color w:val="auto"/>
          <w:sz w:val="24"/>
          <w:highlight w:val="none"/>
        </w:rPr>
      </w:pPr>
      <w:r>
        <w:rPr>
          <w:color w:val="auto"/>
          <w:sz w:val="24"/>
          <w:highlight w:val="none"/>
        </w:rPr>
        <w:t>根据现场的实际竣工情况对承包人提交的竣工图纸（包括设备移交资料等）进行复核确认。</w:t>
      </w:r>
    </w:p>
    <w:p>
      <w:pPr>
        <w:pStyle w:val="12"/>
        <w:numPr>
          <w:ilvl w:val="3"/>
          <w:numId w:val="16"/>
        </w:numPr>
        <w:tabs>
          <w:tab w:val="left" w:pos="1665"/>
          <w:tab w:val="left" w:pos="1666"/>
        </w:tabs>
        <w:spacing w:before="1"/>
        <w:rPr>
          <w:color w:val="auto"/>
          <w:highlight w:val="none"/>
        </w:rPr>
      </w:pPr>
      <w:r>
        <w:rPr>
          <w:color w:val="auto"/>
          <w:highlight w:val="none"/>
        </w:rPr>
        <w:t>审核竣工结算</w:t>
      </w:r>
    </w:p>
    <w:p>
      <w:pPr>
        <w:pStyle w:val="20"/>
        <w:numPr>
          <w:ilvl w:val="0"/>
          <w:numId w:val="65"/>
        </w:numPr>
        <w:tabs>
          <w:tab w:val="left" w:pos="1217"/>
        </w:tabs>
        <w:spacing w:before="172"/>
        <w:rPr>
          <w:color w:val="auto"/>
          <w:sz w:val="24"/>
          <w:highlight w:val="none"/>
        </w:rPr>
      </w:pPr>
      <w:r>
        <w:rPr>
          <w:color w:val="auto"/>
          <w:sz w:val="24"/>
          <w:highlight w:val="none"/>
        </w:rPr>
        <w:t>结算的总体要求</w:t>
      </w:r>
    </w:p>
    <w:p>
      <w:pPr>
        <w:pStyle w:val="3"/>
        <w:spacing w:before="172" w:line="374" w:lineRule="auto"/>
        <w:ind w:right="115" w:firstLine="496"/>
        <w:rPr>
          <w:color w:val="auto"/>
          <w:highlight w:val="none"/>
        </w:rPr>
      </w:pPr>
      <w:r>
        <w:rPr>
          <w:color w:val="auto"/>
          <w:highlight w:val="none"/>
        </w:rPr>
        <w:t>监理人应根据有关合同约定及工程进展的实际情况，于竣工后 2 周内编制工程竣工结算计划报委托人批准后实施。监理人负责组织有关单位按核准的结算计划中的时间要求提交竣工结算书及竣工结算资料。监理人须根据委托人的要求审核承包人提交的工程结算书，确保工程结算资料的完整性，并对其提交给委托人的结算审核结果负责。工程结算以单个施工合同为结算对象，监理人应在完成全部合同结算的审核后形成结算汇总。总监理工程师应对监理人提交的《竣工结算审核意见书》进行签认并对由其审核的结算金额的准确性负责。</w:t>
      </w:r>
    </w:p>
    <w:p>
      <w:pPr>
        <w:pStyle w:val="20"/>
        <w:numPr>
          <w:ilvl w:val="0"/>
          <w:numId w:val="65"/>
        </w:numPr>
        <w:tabs>
          <w:tab w:val="left" w:pos="1217"/>
        </w:tabs>
        <w:spacing w:before="3" w:line="360" w:lineRule="auto"/>
        <w:rPr>
          <w:color w:val="auto"/>
          <w:sz w:val="24"/>
          <w:highlight w:val="none"/>
        </w:rPr>
      </w:pPr>
      <w:r>
        <w:rPr>
          <w:color w:val="auto"/>
          <w:sz w:val="24"/>
          <w:highlight w:val="none"/>
        </w:rPr>
        <w:t>工程结算资料必须实事求是、完整、真实准确，工程资料的主要内容包括：</w:t>
      </w:r>
    </w:p>
    <w:p>
      <w:pPr>
        <w:pStyle w:val="20"/>
        <w:numPr>
          <w:ilvl w:val="1"/>
          <w:numId w:val="65"/>
        </w:numPr>
        <w:tabs>
          <w:tab w:val="left" w:pos="1086"/>
        </w:tabs>
        <w:spacing w:before="58" w:line="374" w:lineRule="auto"/>
        <w:ind w:right="230" w:firstLine="496"/>
        <w:jc w:val="both"/>
        <w:rPr>
          <w:color w:val="auto"/>
          <w:sz w:val="24"/>
          <w:highlight w:val="none"/>
        </w:rPr>
      </w:pPr>
      <w:r>
        <w:rPr>
          <w:color w:val="auto"/>
          <w:sz w:val="24"/>
          <w:highlight w:val="none"/>
        </w:rPr>
        <w:t>合同（组成包括：协议书、中标通知书或委托书、投标文件澄清纪要、投标文件及其附件、合同专用条款、合同通用条款、招标文件及补遗书、本合同履行期间合同各方间签订的补充合同（协议）、其它）；</w:t>
      </w:r>
    </w:p>
    <w:p>
      <w:pPr>
        <w:pStyle w:val="20"/>
        <w:numPr>
          <w:ilvl w:val="1"/>
          <w:numId w:val="65"/>
        </w:numPr>
        <w:tabs>
          <w:tab w:val="left" w:pos="1092"/>
        </w:tabs>
        <w:spacing w:before="1"/>
        <w:ind w:left="1092" w:hanging="372"/>
        <w:rPr>
          <w:color w:val="auto"/>
          <w:sz w:val="24"/>
          <w:highlight w:val="none"/>
        </w:rPr>
      </w:pPr>
      <w:r>
        <w:rPr>
          <w:color w:val="auto"/>
          <w:sz w:val="24"/>
          <w:highlight w:val="none"/>
        </w:rPr>
        <w:t>结算书及电子文档；</w:t>
      </w:r>
    </w:p>
    <w:p>
      <w:pPr>
        <w:pStyle w:val="20"/>
        <w:numPr>
          <w:ilvl w:val="1"/>
          <w:numId w:val="65"/>
        </w:numPr>
        <w:tabs>
          <w:tab w:val="left" w:pos="1092"/>
        </w:tabs>
        <w:spacing w:before="172"/>
        <w:ind w:left="1092" w:hanging="372"/>
        <w:rPr>
          <w:color w:val="auto"/>
          <w:sz w:val="24"/>
          <w:highlight w:val="none"/>
        </w:rPr>
      </w:pPr>
      <w:r>
        <w:rPr>
          <w:color w:val="auto"/>
          <w:sz w:val="24"/>
          <w:highlight w:val="none"/>
        </w:rPr>
        <w:t>招标图纸及竣工图纸；</w:t>
      </w:r>
    </w:p>
    <w:p>
      <w:pPr>
        <w:pStyle w:val="20"/>
        <w:numPr>
          <w:ilvl w:val="1"/>
          <w:numId w:val="65"/>
        </w:numPr>
        <w:tabs>
          <w:tab w:val="left" w:pos="1092"/>
        </w:tabs>
        <w:spacing w:before="173"/>
        <w:ind w:left="1092" w:hanging="372"/>
        <w:rPr>
          <w:color w:val="auto"/>
          <w:sz w:val="24"/>
          <w:highlight w:val="none"/>
        </w:rPr>
      </w:pPr>
      <w:r>
        <w:rPr>
          <w:color w:val="auto"/>
          <w:sz w:val="24"/>
          <w:highlight w:val="none"/>
        </w:rPr>
        <w:t>图纸会审（交底）的会议纪要；</w:t>
      </w:r>
    </w:p>
    <w:p>
      <w:pPr>
        <w:pStyle w:val="20"/>
        <w:numPr>
          <w:ilvl w:val="1"/>
          <w:numId w:val="65"/>
        </w:numPr>
        <w:tabs>
          <w:tab w:val="left" w:pos="1092"/>
        </w:tabs>
        <w:spacing w:before="172"/>
        <w:ind w:left="1092" w:hanging="372"/>
        <w:rPr>
          <w:color w:val="auto"/>
          <w:sz w:val="24"/>
          <w:highlight w:val="none"/>
        </w:rPr>
      </w:pPr>
      <w:r>
        <w:rPr>
          <w:color w:val="auto"/>
          <w:sz w:val="24"/>
          <w:highlight w:val="none"/>
        </w:rPr>
        <w:t>工程量计算书（或钢筋抽料表）及电子文档；</w:t>
      </w:r>
    </w:p>
    <w:p>
      <w:pPr>
        <w:pStyle w:val="20"/>
        <w:numPr>
          <w:ilvl w:val="1"/>
          <w:numId w:val="65"/>
        </w:numPr>
        <w:tabs>
          <w:tab w:val="left" w:pos="1092"/>
        </w:tabs>
        <w:spacing w:before="173"/>
        <w:ind w:left="1092" w:hanging="372"/>
        <w:rPr>
          <w:color w:val="auto"/>
          <w:sz w:val="24"/>
          <w:highlight w:val="none"/>
        </w:rPr>
      </w:pPr>
      <w:r>
        <w:rPr>
          <w:color w:val="auto"/>
          <w:sz w:val="24"/>
          <w:highlight w:val="none"/>
        </w:rPr>
        <w:t>工程变更图纸、变更指令及工程变更申报审批表；</w:t>
      </w:r>
    </w:p>
    <w:p>
      <w:pPr>
        <w:pStyle w:val="20"/>
        <w:numPr>
          <w:ilvl w:val="1"/>
          <w:numId w:val="65"/>
        </w:numPr>
        <w:tabs>
          <w:tab w:val="left" w:pos="1092"/>
        </w:tabs>
        <w:spacing w:before="172"/>
        <w:ind w:left="1092" w:hanging="372"/>
        <w:rPr>
          <w:color w:val="auto"/>
          <w:sz w:val="24"/>
          <w:highlight w:val="none"/>
        </w:rPr>
      </w:pPr>
      <w:r>
        <w:rPr>
          <w:color w:val="auto"/>
          <w:sz w:val="24"/>
          <w:highlight w:val="none"/>
        </w:rPr>
        <w:t>施工现场变更签证及工程变更申报审批表；</w:t>
      </w:r>
    </w:p>
    <w:p>
      <w:pPr>
        <w:pStyle w:val="20"/>
        <w:numPr>
          <w:ilvl w:val="1"/>
          <w:numId w:val="65"/>
        </w:numPr>
        <w:tabs>
          <w:tab w:val="left" w:pos="1092"/>
        </w:tabs>
        <w:spacing w:before="173"/>
        <w:ind w:left="1092" w:hanging="372"/>
        <w:rPr>
          <w:color w:val="auto"/>
          <w:sz w:val="24"/>
          <w:highlight w:val="none"/>
        </w:rPr>
      </w:pPr>
      <w:r>
        <w:rPr>
          <w:color w:val="auto"/>
          <w:sz w:val="24"/>
          <w:highlight w:val="none"/>
        </w:rPr>
        <w:t>工程竣工验收证明；</w:t>
      </w:r>
    </w:p>
    <w:p>
      <w:pPr>
        <w:pStyle w:val="20"/>
        <w:numPr>
          <w:ilvl w:val="1"/>
          <w:numId w:val="65"/>
        </w:numPr>
        <w:tabs>
          <w:tab w:val="left" w:pos="1092"/>
        </w:tabs>
        <w:spacing w:before="172"/>
        <w:ind w:left="1092" w:hanging="372"/>
        <w:rPr>
          <w:color w:val="auto"/>
          <w:sz w:val="24"/>
          <w:highlight w:val="none"/>
        </w:rPr>
      </w:pPr>
      <w:r>
        <w:rPr>
          <w:color w:val="auto"/>
          <w:sz w:val="24"/>
          <w:highlight w:val="none"/>
        </w:rPr>
        <w:t>开、竣工报告；</w:t>
      </w:r>
    </w:p>
    <w:p>
      <w:pPr>
        <w:pStyle w:val="20"/>
        <w:numPr>
          <w:ilvl w:val="1"/>
          <w:numId w:val="65"/>
        </w:numPr>
        <w:tabs>
          <w:tab w:val="left" w:pos="1217"/>
        </w:tabs>
        <w:spacing w:before="173"/>
        <w:ind w:left="1216" w:hanging="497"/>
        <w:rPr>
          <w:color w:val="auto"/>
          <w:sz w:val="24"/>
          <w:highlight w:val="none"/>
        </w:rPr>
      </w:pPr>
      <w:r>
        <w:rPr>
          <w:color w:val="auto"/>
          <w:sz w:val="24"/>
          <w:highlight w:val="none"/>
        </w:rPr>
        <w:t>中间计量资料；</w:t>
      </w:r>
    </w:p>
    <w:p>
      <w:pPr>
        <w:pStyle w:val="20"/>
        <w:numPr>
          <w:ilvl w:val="1"/>
          <w:numId w:val="65"/>
        </w:numPr>
        <w:tabs>
          <w:tab w:val="left" w:pos="1217"/>
        </w:tabs>
        <w:spacing w:before="173"/>
        <w:ind w:left="1216" w:hanging="497"/>
        <w:rPr>
          <w:color w:val="auto"/>
          <w:sz w:val="24"/>
          <w:highlight w:val="none"/>
        </w:rPr>
      </w:pPr>
      <w:r>
        <w:rPr>
          <w:color w:val="auto"/>
          <w:sz w:val="24"/>
          <w:highlight w:val="none"/>
        </w:rPr>
        <w:t>其它竣工结算资料。</w:t>
      </w:r>
    </w:p>
    <w:p>
      <w:pPr>
        <w:pStyle w:val="20"/>
        <w:numPr>
          <w:ilvl w:val="0"/>
          <w:numId w:val="65"/>
        </w:numPr>
        <w:tabs>
          <w:tab w:val="left" w:pos="1217"/>
        </w:tabs>
        <w:spacing w:before="172"/>
        <w:rPr>
          <w:color w:val="auto"/>
          <w:sz w:val="24"/>
          <w:highlight w:val="none"/>
        </w:rPr>
      </w:pPr>
      <w:r>
        <w:rPr>
          <w:color w:val="auto"/>
          <w:sz w:val="24"/>
          <w:highlight w:val="none"/>
        </w:rPr>
        <w:t>政府有权审核部门结算审核过程中的相关工作</w:t>
      </w:r>
    </w:p>
    <w:p>
      <w:pPr>
        <w:pStyle w:val="20"/>
        <w:numPr>
          <w:ilvl w:val="0"/>
          <w:numId w:val="66"/>
        </w:numPr>
        <w:tabs>
          <w:tab w:val="left" w:pos="1086"/>
        </w:tabs>
        <w:spacing w:before="173" w:line="374" w:lineRule="auto"/>
        <w:ind w:right="233" w:firstLine="496"/>
        <w:rPr>
          <w:color w:val="auto"/>
          <w:sz w:val="24"/>
          <w:highlight w:val="none"/>
        </w:rPr>
      </w:pPr>
      <w:r>
        <w:rPr>
          <w:color w:val="auto"/>
          <w:sz w:val="24"/>
          <w:highlight w:val="none"/>
        </w:rPr>
        <w:t>监理人应积极组织并督促承包人配合政府主管部门对本合同工程结算书（结算资料）的审核工作，以推动结算工作的顺利进行。</w:t>
      </w:r>
    </w:p>
    <w:p>
      <w:pPr>
        <w:pStyle w:val="20"/>
        <w:numPr>
          <w:ilvl w:val="0"/>
          <w:numId w:val="66"/>
        </w:numPr>
        <w:tabs>
          <w:tab w:val="left" w:pos="1086"/>
        </w:tabs>
        <w:spacing w:line="374" w:lineRule="auto"/>
        <w:ind w:right="239" w:firstLine="496"/>
        <w:rPr>
          <w:color w:val="auto"/>
          <w:sz w:val="24"/>
          <w:highlight w:val="none"/>
        </w:rPr>
      </w:pPr>
      <w:r>
        <w:rPr>
          <w:color w:val="auto"/>
          <w:sz w:val="24"/>
          <w:highlight w:val="none"/>
        </w:rPr>
        <w:t>监理人应按委托人要求，派出相关人员参加政府主管部门组织的针对本合同工程结算审核工作的相关会议（如结算工作会议、结算工程量核对会议等）。</w:t>
      </w:r>
    </w:p>
    <w:p>
      <w:pPr>
        <w:pStyle w:val="20"/>
        <w:numPr>
          <w:ilvl w:val="0"/>
          <w:numId w:val="66"/>
        </w:numPr>
        <w:tabs>
          <w:tab w:val="left" w:pos="1086"/>
        </w:tabs>
        <w:spacing w:before="1" w:line="374" w:lineRule="auto"/>
        <w:ind w:right="239" w:firstLine="496"/>
        <w:rPr>
          <w:color w:val="auto"/>
          <w:sz w:val="24"/>
          <w:highlight w:val="none"/>
        </w:rPr>
      </w:pPr>
      <w:r>
        <w:rPr>
          <w:color w:val="auto"/>
          <w:sz w:val="24"/>
          <w:highlight w:val="none"/>
        </w:rPr>
        <w:t>监理人应根据政府主管部门对本合同工程结算提出的意见，向委托人提出解决本合同工程结算争议的合理建议。</w:t>
      </w:r>
    </w:p>
    <w:p>
      <w:pPr>
        <w:pStyle w:val="12"/>
        <w:numPr>
          <w:ilvl w:val="3"/>
          <w:numId w:val="16"/>
        </w:numPr>
        <w:tabs>
          <w:tab w:val="left" w:pos="1665"/>
          <w:tab w:val="left" w:pos="1666"/>
        </w:tabs>
        <w:rPr>
          <w:color w:val="auto"/>
          <w:highlight w:val="none"/>
        </w:rPr>
      </w:pPr>
      <w:r>
        <w:rPr>
          <w:color w:val="auto"/>
          <w:highlight w:val="none"/>
        </w:rPr>
        <w:t>提交监理工作总结</w:t>
      </w:r>
    </w:p>
    <w:p>
      <w:pPr>
        <w:pStyle w:val="3"/>
        <w:spacing w:before="173" w:line="374" w:lineRule="auto"/>
        <w:ind w:right="227" w:firstLine="496"/>
        <w:rPr>
          <w:color w:val="auto"/>
          <w:highlight w:val="none"/>
        </w:rPr>
      </w:pPr>
      <w:r>
        <w:rPr>
          <w:color w:val="auto"/>
          <w:highlight w:val="none"/>
        </w:rPr>
        <w:t>监理工作结束时，监理人应向委托人提交监理工作总结。监理工作总结包括但不限于以下内容：</w:t>
      </w:r>
    </w:p>
    <w:p>
      <w:pPr>
        <w:pStyle w:val="20"/>
        <w:numPr>
          <w:ilvl w:val="0"/>
          <w:numId w:val="67"/>
        </w:numPr>
        <w:tabs>
          <w:tab w:val="left" w:pos="1217"/>
        </w:tabs>
        <w:rPr>
          <w:color w:val="auto"/>
          <w:sz w:val="24"/>
          <w:highlight w:val="none"/>
        </w:rPr>
      </w:pPr>
      <w:r>
        <w:rPr>
          <w:color w:val="auto"/>
          <w:sz w:val="24"/>
          <w:highlight w:val="none"/>
        </w:rPr>
        <w:t>工程概况；</w:t>
      </w:r>
    </w:p>
    <w:p>
      <w:pPr>
        <w:pStyle w:val="20"/>
        <w:numPr>
          <w:ilvl w:val="0"/>
          <w:numId w:val="67"/>
        </w:numPr>
        <w:tabs>
          <w:tab w:val="left" w:pos="1217"/>
        </w:tabs>
        <w:spacing w:before="173"/>
        <w:rPr>
          <w:color w:val="auto"/>
          <w:sz w:val="24"/>
          <w:highlight w:val="none"/>
        </w:rPr>
      </w:pPr>
      <w:r>
        <w:rPr>
          <w:color w:val="auto"/>
          <w:sz w:val="24"/>
          <w:highlight w:val="none"/>
        </w:rPr>
        <w:t>监理组织机构、监理人员和投入的监理设施；</w:t>
      </w:r>
    </w:p>
    <w:p>
      <w:pPr>
        <w:pStyle w:val="20"/>
        <w:numPr>
          <w:ilvl w:val="0"/>
          <w:numId w:val="67"/>
        </w:numPr>
        <w:tabs>
          <w:tab w:val="left" w:pos="1217"/>
        </w:tabs>
        <w:spacing w:before="172"/>
        <w:rPr>
          <w:color w:val="auto"/>
          <w:sz w:val="24"/>
          <w:highlight w:val="none"/>
        </w:rPr>
      </w:pPr>
      <w:r>
        <w:rPr>
          <w:color w:val="auto"/>
          <w:sz w:val="24"/>
          <w:highlight w:val="none"/>
        </w:rPr>
        <w:t>监理合同履行情况；</w:t>
      </w:r>
    </w:p>
    <w:p>
      <w:pPr>
        <w:pStyle w:val="20"/>
        <w:numPr>
          <w:ilvl w:val="0"/>
          <w:numId w:val="67"/>
        </w:numPr>
        <w:tabs>
          <w:tab w:val="left" w:pos="1217"/>
        </w:tabs>
        <w:spacing w:before="173"/>
        <w:rPr>
          <w:color w:val="auto"/>
          <w:sz w:val="24"/>
          <w:highlight w:val="none"/>
        </w:rPr>
      </w:pPr>
      <w:r>
        <w:rPr>
          <w:color w:val="auto"/>
          <w:sz w:val="24"/>
          <w:highlight w:val="none"/>
        </w:rPr>
        <w:t>监理工作成效；</w:t>
      </w:r>
    </w:p>
    <w:p>
      <w:pPr>
        <w:pStyle w:val="20"/>
        <w:numPr>
          <w:ilvl w:val="0"/>
          <w:numId w:val="67"/>
        </w:numPr>
        <w:tabs>
          <w:tab w:val="left" w:pos="1217"/>
        </w:tabs>
        <w:spacing w:before="172"/>
        <w:rPr>
          <w:color w:val="auto"/>
          <w:sz w:val="24"/>
          <w:highlight w:val="none"/>
        </w:rPr>
      </w:pPr>
      <w:r>
        <w:rPr>
          <w:color w:val="auto"/>
          <w:sz w:val="24"/>
          <w:highlight w:val="none"/>
        </w:rPr>
        <w:t>施工过程中出现的问题及其处理情况和建议；</w:t>
      </w:r>
    </w:p>
    <w:p>
      <w:pPr>
        <w:pStyle w:val="20"/>
        <w:numPr>
          <w:ilvl w:val="0"/>
          <w:numId w:val="67"/>
        </w:numPr>
        <w:tabs>
          <w:tab w:val="left" w:pos="1217"/>
        </w:tabs>
        <w:spacing w:before="173"/>
        <w:rPr>
          <w:color w:val="auto"/>
          <w:sz w:val="24"/>
          <w:highlight w:val="none"/>
        </w:rPr>
      </w:pPr>
      <w:r>
        <w:rPr>
          <w:color w:val="auto"/>
          <w:sz w:val="24"/>
          <w:highlight w:val="none"/>
        </w:rPr>
        <w:t>工程照片（有必要时）。</w:t>
      </w:r>
    </w:p>
    <w:p>
      <w:pPr>
        <w:pStyle w:val="12"/>
        <w:numPr>
          <w:ilvl w:val="2"/>
          <w:numId w:val="16"/>
        </w:numPr>
        <w:tabs>
          <w:tab w:val="left" w:pos="1552"/>
          <w:tab w:val="left" w:pos="1553"/>
        </w:tabs>
        <w:spacing w:before="172" w:line="360" w:lineRule="auto"/>
        <w:ind w:left="1552" w:hanging="848"/>
        <w:rPr>
          <w:color w:val="auto"/>
          <w:highlight w:val="none"/>
        </w:rPr>
      </w:pPr>
      <w:r>
        <w:rPr>
          <w:color w:val="auto"/>
          <w:highlight w:val="none"/>
        </w:rPr>
        <w:t>工程质量保修期的监理工作</w:t>
      </w:r>
    </w:p>
    <w:p>
      <w:pPr>
        <w:pStyle w:val="20"/>
        <w:numPr>
          <w:ilvl w:val="0"/>
          <w:numId w:val="68"/>
        </w:numPr>
        <w:tabs>
          <w:tab w:val="left" w:pos="1305"/>
        </w:tabs>
        <w:spacing w:before="38" w:line="360" w:lineRule="auto"/>
        <w:ind w:right="233" w:firstLine="480"/>
        <w:jc w:val="left"/>
        <w:rPr>
          <w:color w:val="auto"/>
          <w:sz w:val="24"/>
          <w:highlight w:val="none"/>
        </w:rPr>
      </w:pPr>
      <w:r>
        <w:rPr>
          <w:color w:val="auto"/>
          <w:sz w:val="24"/>
          <w:highlight w:val="none"/>
        </w:rPr>
        <w:t>监理人应依据委托监理合同约定的工程质量保修期监理工作的时间、范围和内容开展工作。</w:t>
      </w:r>
    </w:p>
    <w:p>
      <w:pPr>
        <w:pStyle w:val="20"/>
        <w:numPr>
          <w:ilvl w:val="0"/>
          <w:numId w:val="68"/>
        </w:numPr>
        <w:tabs>
          <w:tab w:val="left" w:pos="1305"/>
        </w:tabs>
        <w:spacing w:before="1" w:line="360" w:lineRule="auto"/>
        <w:ind w:left="1304" w:hanging="602"/>
        <w:jc w:val="left"/>
        <w:rPr>
          <w:color w:val="auto"/>
          <w:sz w:val="24"/>
          <w:highlight w:val="none"/>
        </w:rPr>
      </w:pPr>
      <w:r>
        <w:rPr>
          <w:color w:val="auto"/>
          <w:sz w:val="24"/>
          <w:highlight w:val="none"/>
        </w:rPr>
        <w:t>承担质量保修期监理工作时，监理人应安排监理人员对委托人提出的工程质量缺</w:t>
      </w:r>
    </w:p>
    <w:p>
      <w:pPr>
        <w:pStyle w:val="3"/>
        <w:spacing w:before="172" w:line="360" w:lineRule="auto"/>
        <w:rPr>
          <w:color w:val="auto"/>
          <w:highlight w:val="none"/>
        </w:rPr>
      </w:pPr>
      <w:r>
        <w:rPr>
          <w:color w:val="auto"/>
          <w:highlight w:val="none"/>
        </w:rPr>
        <w:t>陷进行检查和记录，对承包人进行修复的工程质量进行验收，合格后予以签认。</w:t>
      </w:r>
    </w:p>
    <w:p>
      <w:pPr>
        <w:pStyle w:val="20"/>
        <w:numPr>
          <w:ilvl w:val="0"/>
          <w:numId w:val="68"/>
        </w:numPr>
        <w:tabs>
          <w:tab w:val="left" w:pos="1220"/>
        </w:tabs>
        <w:spacing w:before="29" w:line="360" w:lineRule="auto"/>
        <w:ind w:right="227" w:firstLine="372"/>
        <w:jc w:val="both"/>
        <w:rPr>
          <w:color w:val="auto"/>
          <w:sz w:val="24"/>
          <w:highlight w:val="none"/>
        </w:rPr>
      </w:pPr>
      <w:r>
        <w:rPr>
          <w:color w:val="auto"/>
          <w:sz w:val="24"/>
          <w:highlight w:val="none"/>
        </w:rPr>
        <w:t>监理人员应对工程质量缺陷原因进行调查分析并确定责任归属，对非承包人原因造成的工程质量缺陷，监理人员应核实修复工程的费用和签署工程款支付证书，并报委托人。</w:t>
      </w:r>
    </w:p>
    <w:p>
      <w:pPr>
        <w:pStyle w:val="12"/>
        <w:numPr>
          <w:ilvl w:val="1"/>
          <w:numId w:val="12"/>
        </w:numPr>
        <w:tabs>
          <w:tab w:val="left" w:pos="1131"/>
        </w:tabs>
        <w:spacing w:line="307" w:lineRule="exact"/>
        <w:ind w:hanging="426"/>
        <w:jc w:val="both"/>
        <w:rPr>
          <w:color w:val="auto"/>
          <w:highlight w:val="none"/>
        </w:rPr>
      </w:pPr>
      <w:r>
        <w:rPr>
          <w:color w:val="auto"/>
          <w:highlight w:val="none"/>
        </w:rPr>
        <w:t>监理与相关服务依据</w:t>
      </w:r>
    </w:p>
    <w:p>
      <w:pPr>
        <w:pStyle w:val="20"/>
        <w:numPr>
          <w:ilvl w:val="2"/>
          <w:numId w:val="12"/>
        </w:numPr>
        <w:tabs>
          <w:tab w:val="left" w:pos="1354"/>
        </w:tabs>
        <w:spacing w:before="160"/>
        <w:ind w:left="1353" w:hanging="661"/>
        <w:rPr>
          <w:color w:val="auto"/>
          <w:sz w:val="24"/>
          <w:highlight w:val="none"/>
        </w:rPr>
      </w:pPr>
      <w:r>
        <w:rPr>
          <w:color w:val="auto"/>
          <w:sz w:val="24"/>
          <w:highlight w:val="none"/>
        </w:rPr>
        <w:t>本合同适用的法律法规及监理依据</w:t>
      </w:r>
    </w:p>
    <w:p>
      <w:pPr>
        <w:pStyle w:val="3"/>
        <w:spacing w:before="158" w:line="364" w:lineRule="auto"/>
        <w:ind w:right="235" w:firstLine="360"/>
        <w:rPr>
          <w:color w:val="auto"/>
          <w:highlight w:val="none"/>
        </w:rPr>
      </w:pPr>
      <w:r>
        <w:rPr>
          <w:color w:val="auto"/>
          <w:highlight w:val="none"/>
        </w:rPr>
        <w:t>（1）中华人民共和国的法律、法规、本合同约定的部门规章及工程所在地的地方性法规和规章；</w:t>
      </w:r>
    </w:p>
    <w:p>
      <w:pPr>
        <w:pStyle w:val="3"/>
        <w:spacing w:line="306" w:lineRule="exact"/>
        <w:ind w:left="583"/>
        <w:rPr>
          <w:color w:val="auto"/>
          <w:highlight w:val="none"/>
        </w:rPr>
      </w:pPr>
      <w:r>
        <w:rPr>
          <w:color w:val="auto"/>
          <w:highlight w:val="none"/>
        </w:rPr>
        <w:t>（2）《建设工程监理规范》（GB/T50319—2013）；</w:t>
      </w:r>
    </w:p>
    <w:p>
      <w:pPr>
        <w:pStyle w:val="20"/>
        <w:numPr>
          <w:ilvl w:val="0"/>
          <w:numId w:val="69"/>
        </w:numPr>
        <w:tabs>
          <w:tab w:val="left" w:pos="1185"/>
        </w:tabs>
        <w:spacing w:before="161"/>
        <w:ind w:hanging="602"/>
        <w:rPr>
          <w:color w:val="auto"/>
          <w:sz w:val="24"/>
          <w:highlight w:val="none"/>
        </w:rPr>
      </w:pPr>
      <w:r>
        <w:rPr>
          <w:color w:val="auto"/>
          <w:sz w:val="24"/>
          <w:highlight w:val="none"/>
        </w:rPr>
        <w:t>国家和地方现行的建设工程质量评定标准、设计及施工验收规范；</w:t>
      </w:r>
    </w:p>
    <w:p>
      <w:pPr>
        <w:pStyle w:val="20"/>
        <w:numPr>
          <w:ilvl w:val="0"/>
          <w:numId w:val="69"/>
        </w:numPr>
        <w:tabs>
          <w:tab w:val="left" w:pos="1185"/>
        </w:tabs>
        <w:spacing w:before="158"/>
        <w:ind w:hanging="602"/>
        <w:rPr>
          <w:color w:val="auto"/>
          <w:sz w:val="24"/>
          <w:highlight w:val="none"/>
        </w:rPr>
      </w:pPr>
      <w:r>
        <w:rPr>
          <w:color w:val="auto"/>
          <w:sz w:val="24"/>
          <w:highlight w:val="none"/>
        </w:rPr>
        <w:t>经批准的施工图纸及说明，以及经图纸会审确定的修改设计通知书；</w:t>
      </w:r>
    </w:p>
    <w:p>
      <w:pPr>
        <w:pStyle w:val="20"/>
        <w:numPr>
          <w:ilvl w:val="0"/>
          <w:numId w:val="69"/>
        </w:numPr>
        <w:tabs>
          <w:tab w:val="left" w:pos="1185"/>
        </w:tabs>
        <w:spacing w:before="160"/>
        <w:ind w:hanging="602"/>
        <w:rPr>
          <w:color w:val="auto"/>
          <w:sz w:val="24"/>
          <w:highlight w:val="none"/>
        </w:rPr>
      </w:pPr>
      <w:r>
        <w:rPr>
          <w:color w:val="auto"/>
          <w:sz w:val="24"/>
          <w:highlight w:val="none"/>
        </w:rPr>
        <w:t>本合同工程的设计、施工、安装、招投标文件及合同；</w:t>
      </w:r>
    </w:p>
    <w:p>
      <w:pPr>
        <w:pStyle w:val="20"/>
        <w:numPr>
          <w:ilvl w:val="0"/>
          <w:numId w:val="69"/>
        </w:numPr>
        <w:tabs>
          <w:tab w:val="left" w:pos="1185"/>
        </w:tabs>
        <w:spacing w:before="158"/>
        <w:ind w:hanging="602"/>
        <w:rPr>
          <w:color w:val="auto"/>
          <w:sz w:val="24"/>
          <w:highlight w:val="none"/>
        </w:rPr>
      </w:pPr>
      <w:r>
        <w:rPr>
          <w:color w:val="auto"/>
          <w:sz w:val="24"/>
          <w:highlight w:val="none"/>
        </w:rPr>
        <w:t>委托人发出的有关本合同工程建设的指令；</w:t>
      </w:r>
    </w:p>
    <w:p>
      <w:pPr>
        <w:pStyle w:val="20"/>
        <w:numPr>
          <w:ilvl w:val="0"/>
          <w:numId w:val="69"/>
        </w:numPr>
        <w:tabs>
          <w:tab w:val="left" w:pos="1185"/>
        </w:tabs>
        <w:spacing w:before="161"/>
        <w:ind w:hanging="602"/>
        <w:rPr>
          <w:color w:val="auto"/>
          <w:sz w:val="24"/>
          <w:highlight w:val="none"/>
        </w:rPr>
      </w:pPr>
      <w:r>
        <w:rPr>
          <w:color w:val="auto"/>
          <w:sz w:val="24"/>
          <w:highlight w:val="none"/>
        </w:rPr>
        <w:t>委托人制定的有关本合同工程建设的管理制度。</w:t>
      </w:r>
    </w:p>
    <w:p>
      <w:pPr>
        <w:pStyle w:val="12"/>
        <w:numPr>
          <w:ilvl w:val="1"/>
          <w:numId w:val="12"/>
        </w:numPr>
        <w:tabs>
          <w:tab w:val="left" w:pos="1131"/>
        </w:tabs>
        <w:spacing w:before="158"/>
        <w:ind w:hanging="426"/>
        <w:rPr>
          <w:color w:val="auto"/>
          <w:highlight w:val="none"/>
        </w:rPr>
      </w:pPr>
      <w:r>
        <w:rPr>
          <w:color w:val="auto"/>
          <w:highlight w:val="none"/>
        </w:rPr>
        <w:t>项目监理机构和人员</w:t>
      </w:r>
    </w:p>
    <w:p>
      <w:pPr>
        <w:pStyle w:val="20"/>
        <w:numPr>
          <w:ilvl w:val="2"/>
          <w:numId w:val="12"/>
        </w:numPr>
        <w:tabs>
          <w:tab w:val="left" w:pos="1364"/>
        </w:tabs>
        <w:spacing w:before="161"/>
        <w:ind w:hanging="661"/>
        <w:rPr>
          <w:color w:val="auto"/>
          <w:sz w:val="24"/>
          <w:highlight w:val="none"/>
        </w:rPr>
      </w:pPr>
      <w:r>
        <w:rPr>
          <w:color w:val="auto"/>
          <w:sz w:val="24"/>
          <w:highlight w:val="none"/>
        </w:rPr>
        <w:t>项目监理机构</w:t>
      </w:r>
    </w:p>
    <w:p>
      <w:pPr>
        <w:pStyle w:val="20"/>
        <w:numPr>
          <w:ilvl w:val="0"/>
          <w:numId w:val="70"/>
        </w:numPr>
        <w:tabs>
          <w:tab w:val="left" w:pos="1191"/>
        </w:tabs>
        <w:spacing w:before="158" w:line="364" w:lineRule="auto"/>
        <w:ind w:right="235" w:firstLine="360"/>
        <w:jc w:val="left"/>
        <w:rPr>
          <w:color w:val="auto"/>
          <w:sz w:val="24"/>
          <w:highlight w:val="none"/>
        </w:rPr>
      </w:pPr>
      <w:r>
        <w:rPr>
          <w:color w:val="auto"/>
          <w:sz w:val="24"/>
          <w:highlight w:val="none"/>
        </w:rPr>
        <w:t>监理人必须在施工现场建立项目监理机构。项目监理机构在完成本合同约定的监理工作后方可撤离施工现场。</w:t>
      </w:r>
    </w:p>
    <w:p>
      <w:pPr>
        <w:pStyle w:val="20"/>
        <w:numPr>
          <w:ilvl w:val="0"/>
          <w:numId w:val="70"/>
        </w:numPr>
        <w:tabs>
          <w:tab w:val="left" w:pos="1191"/>
        </w:tabs>
        <w:spacing w:before="1" w:line="364" w:lineRule="auto"/>
        <w:ind w:right="230" w:firstLine="360"/>
        <w:jc w:val="both"/>
        <w:rPr>
          <w:color w:val="auto"/>
          <w:sz w:val="24"/>
          <w:highlight w:val="none"/>
        </w:rPr>
      </w:pPr>
      <w:r>
        <w:rPr>
          <w:color w:val="auto"/>
          <w:sz w:val="24"/>
          <w:highlight w:val="none"/>
        </w:rPr>
        <w:t>监理人必须在委托人发出进场通知后，按委托人具体的要求进场，并立即开始履行本合同约定的服务。监理人必须按照其投标文件和监理规划的承诺，足额、按时派驻监理人员和投入设备。</w:t>
      </w:r>
    </w:p>
    <w:p>
      <w:pPr>
        <w:pStyle w:val="20"/>
        <w:numPr>
          <w:ilvl w:val="0"/>
          <w:numId w:val="70"/>
        </w:numPr>
        <w:tabs>
          <w:tab w:val="left" w:pos="1191"/>
        </w:tabs>
        <w:spacing w:line="364" w:lineRule="auto"/>
        <w:ind w:right="230" w:firstLine="360"/>
        <w:jc w:val="both"/>
        <w:rPr>
          <w:color w:val="auto"/>
          <w:sz w:val="24"/>
          <w:highlight w:val="none"/>
          <w:u w:val="single"/>
        </w:rPr>
      </w:pPr>
      <w:r>
        <w:rPr>
          <w:color w:val="auto"/>
          <w:sz w:val="24"/>
          <w:highlight w:val="none"/>
        </w:rPr>
        <w:t>监理人员应包括总监理工程师、总监代表、相关专业人员及服务人员，他们的基本要求</w:t>
      </w:r>
      <w:r>
        <w:rPr>
          <w:rFonts w:hint="eastAsia"/>
          <w:color w:val="auto"/>
          <w:sz w:val="24"/>
          <w:highlight w:val="none"/>
        </w:rPr>
        <w:t>原则上不低于招标文件的要求。根据项目情况如需要增设总监代表的，应经委托人书面同意，且总监代表的资格条件需报委托人审核。</w:t>
      </w:r>
      <w:r>
        <w:rPr>
          <w:rFonts w:hint="eastAsia"/>
          <w:color w:val="auto"/>
          <w:sz w:val="24"/>
          <w:highlight w:val="none"/>
          <w:u w:val="single"/>
        </w:rPr>
        <w:t>上述人员</w:t>
      </w:r>
      <w:r>
        <w:rPr>
          <w:color w:val="auto"/>
          <w:sz w:val="24"/>
          <w:highlight w:val="none"/>
          <w:u w:val="single"/>
        </w:rPr>
        <w:t>没有被人民法院判决犯罪的记录（若不能开具证明， 监理人必须作出书面承诺）。</w:t>
      </w:r>
    </w:p>
    <w:p>
      <w:pPr>
        <w:pStyle w:val="20"/>
        <w:numPr>
          <w:ilvl w:val="0"/>
          <w:numId w:val="70"/>
        </w:numPr>
        <w:tabs>
          <w:tab w:val="left" w:pos="1191"/>
        </w:tabs>
        <w:spacing w:line="364" w:lineRule="auto"/>
        <w:ind w:right="230" w:firstLine="360"/>
        <w:jc w:val="both"/>
        <w:rPr>
          <w:color w:val="auto"/>
          <w:sz w:val="24"/>
          <w:highlight w:val="none"/>
        </w:rPr>
      </w:pPr>
      <w:r>
        <w:rPr>
          <w:color w:val="auto"/>
          <w:sz w:val="24"/>
          <w:highlight w:val="none"/>
        </w:rPr>
        <w:t>项目监理机构的监理人员应专业配套、数量满足工程项目监理工作的需要，保证足够的监理人员从事要求的施工准备期至工程收尾、工程整改、工程竣工、工程结算、工程竣工备案、工程质量保修期的监理工作。</w:t>
      </w:r>
    </w:p>
    <w:p>
      <w:pPr>
        <w:pStyle w:val="20"/>
        <w:numPr>
          <w:ilvl w:val="0"/>
          <w:numId w:val="70"/>
        </w:numPr>
        <w:tabs>
          <w:tab w:val="left" w:pos="1185"/>
        </w:tabs>
        <w:spacing w:line="304" w:lineRule="exact"/>
        <w:ind w:left="1184" w:hanging="602"/>
        <w:jc w:val="left"/>
        <w:rPr>
          <w:color w:val="auto"/>
          <w:sz w:val="24"/>
          <w:highlight w:val="none"/>
        </w:rPr>
      </w:pPr>
      <w:r>
        <w:rPr>
          <w:color w:val="auto"/>
          <w:sz w:val="24"/>
          <w:highlight w:val="none"/>
        </w:rPr>
        <w:t>监理人派驻到项目所在地履行监理服务的监理人员，必须常驻现场。</w:t>
      </w:r>
    </w:p>
    <w:p>
      <w:pPr>
        <w:pStyle w:val="20"/>
        <w:numPr>
          <w:ilvl w:val="0"/>
          <w:numId w:val="70"/>
        </w:numPr>
        <w:tabs>
          <w:tab w:val="left" w:pos="1191"/>
        </w:tabs>
        <w:spacing w:before="54" w:line="360" w:lineRule="auto"/>
        <w:ind w:right="113" w:firstLine="360"/>
        <w:jc w:val="left"/>
        <w:rPr>
          <w:color w:val="auto"/>
          <w:sz w:val="24"/>
          <w:szCs w:val="24"/>
          <w:highlight w:val="none"/>
        </w:rPr>
      </w:pPr>
      <w:r>
        <w:rPr>
          <w:color w:val="auto"/>
          <w:sz w:val="24"/>
          <w:szCs w:val="24"/>
          <w:highlight w:val="none"/>
        </w:rPr>
        <w:t>考虑到本合同项目的重要性、特殊性、复杂性，委托人将监理人的人员落实、驻场人员的到位作为监理管理工作考核的内容之一。如监理人的人员投入、驻场工作的安排、落实，未能达到合同要求，委托人将严格按本合同的相关约定作出处理。</w:t>
      </w:r>
    </w:p>
    <w:p>
      <w:pPr>
        <w:pStyle w:val="20"/>
        <w:numPr>
          <w:ilvl w:val="0"/>
          <w:numId w:val="70"/>
        </w:numPr>
        <w:tabs>
          <w:tab w:val="left" w:pos="1191"/>
        </w:tabs>
        <w:spacing w:line="360" w:lineRule="auto"/>
        <w:ind w:right="230" w:firstLine="360"/>
        <w:jc w:val="both"/>
        <w:rPr>
          <w:color w:val="auto"/>
          <w:sz w:val="24"/>
          <w:szCs w:val="24"/>
          <w:highlight w:val="none"/>
        </w:rPr>
      </w:pPr>
      <w:r>
        <w:rPr>
          <w:color w:val="auto"/>
          <w:sz w:val="24"/>
          <w:szCs w:val="24"/>
          <w:highlight w:val="none"/>
        </w:rPr>
        <w:t>监理人必须保证参与本项目监理人员的稳定性，未征得委托人同意不可撤换，否则必须承担相应责任。监理人因工作安排或其他原因，需要更换派驻到项目所在地履行监理服务的主要监理人员的，应事先得到委托人的同意。</w:t>
      </w:r>
    </w:p>
    <w:p>
      <w:pPr>
        <w:pStyle w:val="20"/>
        <w:numPr>
          <w:ilvl w:val="0"/>
          <w:numId w:val="70"/>
        </w:numPr>
        <w:tabs>
          <w:tab w:val="left" w:pos="1185"/>
        </w:tabs>
        <w:spacing w:line="360" w:lineRule="auto"/>
        <w:ind w:right="110" w:firstLine="360"/>
        <w:jc w:val="left"/>
        <w:rPr>
          <w:color w:val="auto"/>
          <w:sz w:val="24"/>
          <w:szCs w:val="24"/>
          <w:highlight w:val="none"/>
        </w:rPr>
      </w:pPr>
      <w:r>
        <w:rPr>
          <w:color w:val="auto"/>
          <w:sz w:val="24"/>
          <w:szCs w:val="24"/>
          <w:highlight w:val="none"/>
        </w:rPr>
        <w:t>委托人有权要求监理人更换不称职的管理人员。除因为死亡或严重疾病的原因外， 监理人更换主要管理人员（包括总监、总监代表）必须征得委托人的同意。委托人有权对监理人拟更换的总监进行考核。监理人拟更换的总监不能通过委托人考核的，不得任总监。</w:t>
      </w:r>
    </w:p>
    <w:p>
      <w:pPr>
        <w:pStyle w:val="20"/>
        <w:numPr>
          <w:ilvl w:val="0"/>
          <w:numId w:val="70"/>
        </w:numPr>
        <w:tabs>
          <w:tab w:val="left" w:pos="1191"/>
        </w:tabs>
        <w:spacing w:line="360" w:lineRule="auto"/>
        <w:ind w:right="230" w:firstLine="360"/>
        <w:jc w:val="both"/>
        <w:rPr>
          <w:color w:val="auto"/>
          <w:sz w:val="24"/>
          <w:szCs w:val="24"/>
          <w:highlight w:val="none"/>
        </w:rPr>
      </w:pPr>
      <w:r>
        <w:rPr>
          <w:color w:val="auto"/>
          <w:sz w:val="24"/>
          <w:szCs w:val="24"/>
          <w:highlight w:val="none"/>
        </w:rPr>
        <w:t>委托人有权以书面形式要求监理人更换不能按照本合同约定履行监理服务的派驻人员。即使是委托人要求或同意更换的监理人员，其替代人员的资质仍应得到委托人的认可。由于更换人员引起的费用由监理人承担。</w:t>
      </w:r>
    </w:p>
    <w:p>
      <w:pPr>
        <w:pStyle w:val="20"/>
        <w:numPr>
          <w:ilvl w:val="0"/>
          <w:numId w:val="70"/>
        </w:numPr>
        <w:tabs>
          <w:tab w:val="left" w:pos="1425"/>
        </w:tabs>
        <w:spacing w:line="360" w:lineRule="auto"/>
        <w:ind w:right="230" w:firstLine="480"/>
        <w:jc w:val="both"/>
        <w:rPr>
          <w:color w:val="auto"/>
          <w:sz w:val="24"/>
          <w:szCs w:val="24"/>
          <w:highlight w:val="none"/>
        </w:rPr>
      </w:pPr>
      <w:r>
        <w:rPr>
          <w:color w:val="auto"/>
          <w:sz w:val="24"/>
          <w:szCs w:val="24"/>
          <w:highlight w:val="none"/>
        </w:rPr>
        <w:t>如因监理人使用不称职管理人员给工程建设造成损失的，由监理人向委托人承担相应的赔偿责任。虽然征得委托人的同意，监理人如更换总监，委托人仍有权要求监理人按 30 万元/人/次承担违约赔偿，如更换总监代表，委托人仍有权要求监理人按 5 万元/人/次承担违约赔偿，如更换其他一般管理人员，委托人有权要求监理人按 1 万元/人/次承担违约赔偿。</w:t>
      </w:r>
    </w:p>
    <w:p>
      <w:pPr>
        <w:pStyle w:val="20"/>
        <w:numPr>
          <w:ilvl w:val="0"/>
          <w:numId w:val="70"/>
        </w:numPr>
        <w:tabs>
          <w:tab w:val="left" w:pos="1305"/>
        </w:tabs>
        <w:ind w:left="1304" w:hanging="722"/>
        <w:jc w:val="left"/>
        <w:rPr>
          <w:color w:val="auto"/>
          <w:sz w:val="24"/>
          <w:highlight w:val="none"/>
        </w:rPr>
      </w:pPr>
      <w:r>
        <w:rPr>
          <w:color w:val="auto"/>
          <w:sz w:val="24"/>
          <w:highlight w:val="none"/>
        </w:rPr>
        <w:t>总监理工程师在本合同授权范围内行使合同规定的权利，履行相应的职责。</w:t>
      </w:r>
    </w:p>
    <w:p>
      <w:pPr>
        <w:pStyle w:val="20"/>
        <w:numPr>
          <w:ilvl w:val="0"/>
          <w:numId w:val="70"/>
        </w:numPr>
        <w:tabs>
          <w:tab w:val="left" w:pos="1305"/>
        </w:tabs>
        <w:spacing w:before="152" w:line="364" w:lineRule="auto"/>
        <w:ind w:right="230" w:firstLine="360"/>
        <w:jc w:val="both"/>
        <w:rPr>
          <w:color w:val="auto"/>
          <w:sz w:val="24"/>
          <w:highlight w:val="none"/>
        </w:rPr>
      </w:pPr>
      <w:r>
        <w:rPr>
          <w:color w:val="auto"/>
          <w:sz w:val="24"/>
          <w:highlight w:val="none"/>
        </w:rPr>
        <w:t>如委托人认为监理人员的数量、监理人员的业务水平、监理人员的专业配置不能满足监理工作所需时，委托人有权另行聘请符合工作需要的监理人员；所聘请监理人员的工资已包括在本合同监理酬金内，此费用由监理人向所聘监理人员支付。必要时委托人有权直接从本合同监理酬金中扣取支付。</w:t>
      </w:r>
    </w:p>
    <w:p>
      <w:pPr>
        <w:pStyle w:val="20"/>
        <w:numPr>
          <w:ilvl w:val="0"/>
          <w:numId w:val="70"/>
        </w:numPr>
        <w:tabs>
          <w:tab w:val="left" w:pos="1305"/>
        </w:tabs>
        <w:spacing w:line="364" w:lineRule="auto"/>
        <w:ind w:right="230" w:firstLine="360"/>
        <w:jc w:val="left"/>
        <w:rPr>
          <w:color w:val="auto"/>
          <w:sz w:val="24"/>
          <w:highlight w:val="none"/>
        </w:rPr>
      </w:pPr>
      <w:r>
        <w:rPr>
          <w:color w:val="auto"/>
          <w:sz w:val="24"/>
          <w:highlight w:val="none"/>
        </w:rPr>
        <w:t>委托人根据工程推进实际情况，有权要求监理人的项目负责人必须调用其资源保证落实本项目监理工作。</w:t>
      </w:r>
    </w:p>
    <w:p>
      <w:pPr>
        <w:pStyle w:val="20"/>
        <w:numPr>
          <w:ilvl w:val="0"/>
          <w:numId w:val="70"/>
        </w:numPr>
        <w:tabs>
          <w:tab w:val="left" w:pos="1425"/>
        </w:tabs>
        <w:spacing w:line="306" w:lineRule="exact"/>
        <w:ind w:left="1424" w:hanging="722"/>
        <w:jc w:val="left"/>
        <w:rPr>
          <w:color w:val="auto"/>
          <w:sz w:val="24"/>
          <w:highlight w:val="none"/>
        </w:rPr>
      </w:pPr>
      <w:r>
        <w:rPr>
          <w:color w:val="auto"/>
          <w:sz w:val="24"/>
          <w:highlight w:val="none"/>
        </w:rPr>
        <w:t>监理人应对其驻地监理人员的人身安全承担责任。</w:t>
      </w:r>
    </w:p>
    <w:p>
      <w:pPr>
        <w:pStyle w:val="20"/>
        <w:numPr>
          <w:ilvl w:val="0"/>
          <w:numId w:val="70"/>
        </w:numPr>
        <w:tabs>
          <w:tab w:val="left" w:pos="1305"/>
        </w:tabs>
        <w:spacing w:before="158" w:line="364" w:lineRule="auto"/>
        <w:ind w:right="230" w:firstLine="360"/>
        <w:jc w:val="both"/>
        <w:rPr>
          <w:color w:val="auto"/>
          <w:sz w:val="24"/>
          <w:highlight w:val="none"/>
        </w:rPr>
      </w:pPr>
      <w:r>
        <w:rPr>
          <w:color w:val="auto"/>
          <w:sz w:val="24"/>
          <w:highlight w:val="none"/>
        </w:rPr>
        <w:t>监理人应于本合同签订后十天内将项目监理机构的组织形式、人员构成及对总监理工程师的任命书面通知委托人。当总监理工程师需要调整时，监理人应事先书面征得委托人的同意；当专业监理工程师需要调整时，总监理工程师应书面通知委托人和承包人。</w:t>
      </w:r>
    </w:p>
    <w:p>
      <w:pPr>
        <w:pStyle w:val="20"/>
        <w:numPr>
          <w:ilvl w:val="0"/>
          <w:numId w:val="70"/>
        </w:numPr>
        <w:tabs>
          <w:tab w:val="left" w:pos="1305"/>
        </w:tabs>
        <w:spacing w:line="364" w:lineRule="auto"/>
        <w:ind w:right="221" w:firstLine="360"/>
        <w:jc w:val="both"/>
        <w:rPr>
          <w:color w:val="auto"/>
          <w:sz w:val="24"/>
          <w:highlight w:val="none"/>
        </w:rPr>
      </w:pPr>
      <w:r>
        <w:rPr>
          <w:color w:val="auto"/>
          <w:sz w:val="24"/>
          <w:highlight w:val="none"/>
        </w:rPr>
        <w:t>为发挥委托人工程管理人员对监理工作的直接参与和对监理人项目管理的掌控， 委托人的项目工作小组将与监理人的项目监理机构集中办公，督促监理人履行职责，并对项目监理机构的下列工作进行检查：</w:t>
      </w:r>
    </w:p>
    <w:p>
      <w:pPr>
        <w:pStyle w:val="20"/>
        <w:numPr>
          <w:ilvl w:val="1"/>
          <w:numId w:val="70"/>
        </w:numPr>
        <w:tabs>
          <w:tab w:val="left" w:pos="1065"/>
        </w:tabs>
        <w:spacing w:before="54"/>
        <w:ind w:hanging="362"/>
        <w:rPr>
          <w:color w:val="auto"/>
          <w:sz w:val="24"/>
          <w:highlight w:val="none"/>
        </w:rPr>
      </w:pPr>
      <w:r>
        <w:rPr>
          <w:color w:val="auto"/>
          <w:sz w:val="24"/>
          <w:highlight w:val="none"/>
        </w:rPr>
        <w:t>监理人的日常监理工作；</w:t>
      </w:r>
    </w:p>
    <w:p>
      <w:pPr>
        <w:pStyle w:val="20"/>
        <w:numPr>
          <w:ilvl w:val="1"/>
          <w:numId w:val="70"/>
        </w:numPr>
        <w:tabs>
          <w:tab w:val="left" w:pos="1065"/>
        </w:tabs>
        <w:spacing w:before="161"/>
        <w:ind w:hanging="362"/>
        <w:rPr>
          <w:color w:val="auto"/>
          <w:sz w:val="24"/>
          <w:highlight w:val="none"/>
        </w:rPr>
      </w:pPr>
      <w:r>
        <w:rPr>
          <w:color w:val="auto"/>
          <w:sz w:val="24"/>
          <w:highlight w:val="none"/>
        </w:rPr>
        <w:t>监理人人员及仪器设备的投入；</w:t>
      </w:r>
    </w:p>
    <w:p>
      <w:pPr>
        <w:pStyle w:val="20"/>
        <w:numPr>
          <w:ilvl w:val="1"/>
          <w:numId w:val="70"/>
        </w:numPr>
        <w:tabs>
          <w:tab w:val="left" w:pos="1065"/>
        </w:tabs>
        <w:spacing w:before="160"/>
        <w:ind w:hanging="362"/>
        <w:rPr>
          <w:color w:val="auto"/>
          <w:sz w:val="24"/>
          <w:highlight w:val="none"/>
        </w:rPr>
      </w:pPr>
      <w:r>
        <w:rPr>
          <w:color w:val="auto"/>
          <w:sz w:val="24"/>
          <w:highlight w:val="none"/>
        </w:rPr>
        <w:t>监理人的旁站计划及旁站工作记录；</w:t>
      </w:r>
    </w:p>
    <w:p>
      <w:pPr>
        <w:pStyle w:val="20"/>
        <w:numPr>
          <w:ilvl w:val="1"/>
          <w:numId w:val="70"/>
        </w:numPr>
        <w:tabs>
          <w:tab w:val="left" w:pos="1065"/>
        </w:tabs>
        <w:spacing w:before="158"/>
        <w:ind w:hanging="362"/>
        <w:rPr>
          <w:color w:val="auto"/>
          <w:sz w:val="24"/>
          <w:highlight w:val="none"/>
        </w:rPr>
      </w:pPr>
      <w:r>
        <w:rPr>
          <w:color w:val="auto"/>
          <w:sz w:val="24"/>
          <w:highlight w:val="none"/>
        </w:rPr>
        <w:t>监理人的监理日志及隐蔽工程验收记录；</w:t>
      </w:r>
    </w:p>
    <w:p>
      <w:pPr>
        <w:pStyle w:val="20"/>
        <w:numPr>
          <w:ilvl w:val="1"/>
          <w:numId w:val="70"/>
        </w:numPr>
        <w:tabs>
          <w:tab w:val="left" w:pos="1065"/>
        </w:tabs>
        <w:spacing w:before="161"/>
        <w:ind w:hanging="362"/>
        <w:rPr>
          <w:color w:val="auto"/>
          <w:sz w:val="24"/>
          <w:highlight w:val="none"/>
        </w:rPr>
      </w:pPr>
      <w:r>
        <w:rPr>
          <w:color w:val="auto"/>
          <w:sz w:val="24"/>
          <w:highlight w:val="none"/>
        </w:rPr>
        <w:t>监理人编制的承包人人、材、机投入及实物工程量统计报表；</w:t>
      </w:r>
    </w:p>
    <w:p>
      <w:pPr>
        <w:pStyle w:val="20"/>
        <w:numPr>
          <w:ilvl w:val="0"/>
          <w:numId w:val="70"/>
        </w:numPr>
        <w:tabs>
          <w:tab w:val="left" w:pos="1305"/>
        </w:tabs>
        <w:spacing w:before="158" w:line="364" w:lineRule="auto"/>
        <w:ind w:right="233" w:firstLine="360"/>
        <w:jc w:val="left"/>
        <w:rPr>
          <w:color w:val="auto"/>
          <w:sz w:val="24"/>
          <w:highlight w:val="none"/>
        </w:rPr>
      </w:pPr>
      <w:r>
        <w:rPr>
          <w:color w:val="auto"/>
          <w:sz w:val="24"/>
          <w:highlight w:val="none"/>
        </w:rPr>
        <w:t>监理人应建立现场报到指纹打卡制度，对总监、总监代表及现场监理工程师到场情况进行考核。</w:t>
      </w:r>
    </w:p>
    <w:p>
      <w:pPr>
        <w:pStyle w:val="20"/>
        <w:numPr>
          <w:ilvl w:val="2"/>
          <w:numId w:val="12"/>
        </w:numPr>
        <w:tabs>
          <w:tab w:val="left" w:pos="1364"/>
        </w:tabs>
        <w:spacing w:line="306" w:lineRule="exact"/>
        <w:ind w:hanging="661"/>
        <w:rPr>
          <w:color w:val="auto"/>
          <w:sz w:val="24"/>
          <w:highlight w:val="none"/>
        </w:rPr>
      </w:pPr>
      <w:r>
        <w:rPr>
          <w:color w:val="auto"/>
          <w:sz w:val="24"/>
          <w:highlight w:val="none"/>
        </w:rPr>
        <w:t>总监理工程师的委派和指令</w:t>
      </w:r>
    </w:p>
    <w:p>
      <w:pPr>
        <w:pStyle w:val="20"/>
        <w:numPr>
          <w:ilvl w:val="0"/>
          <w:numId w:val="71"/>
        </w:numPr>
        <w:tabs>
          <w:tab w:val="left" w:pos="1191"/>
        </w:tabs>
        <w:spacing w:before="160" w:line="364" w:lineRule="auto"/>
        <w:ind w:right="113" w:firstLine="360"/>
        <w:rPr>
          <w:color w:val="auto"/>
          <w:sz w:val="24"/>
          <w:highlight w:val="none"/>
        </w:rPr>
      </w:pPr>
      <w:r>
        <w:rPr>
          <w:color w:val="auto"/>
          <w:sz w:val="24"/>
          <w:highlight w:val="none"/>
        </w:rPr>
        <w:t>总监理工程师可以授权监理人员负责执行其指派的一项或多项监管工作。总监理工程师应将这些监理人员的姓名及其授权范围通知承包人。被授权的监理人员在授权范围内发出的指令视为已得到总监理工程师的同意，与总监理工程师发出的指令具有同等效力。总监理工程师撤销对监理人员某项授权的，应将撤销授权的决定及时通知承包人。</w:t>
      </w:r>
    </w:p>
    <w:p>
      <w:pPr>
        <w:pStyle w:val="20"/>
        <w:numPr>
          <w:ilvl w:val="0"/>
          <w:numId w:val="71"/>
        </w:numPr>
        <w:tabs>
          <w:tab w:val="left" w:pos="1191"/>
        </w:tabs>
        <w:spacing w:line="364" w:lineRule="auto"/>
        <w:ind w:right="230" w:firstLine="360"/>
        <w:jc w:val="both"/>
        <w:rPr>
          <w:color w:val="auto"/>
          <w:sz w:val="24"/>
          <w:highlight w:val="none"/>
        </w:rPr>
      </w:pPr>
      <w:r>
        <w:rPr>
          <w:color w:val="auto"/>
          <w:sz w:val="24"/>
          <w:highlight w:val="none"/>
        </w:rPr>
        <w:t>除特别指明外，监理人员对承包人的任何工作、工程或其采用的材料和工程设备未提出否定意见的，不应视为已获批准，也不影响总监理工程师或监理人员在以后拒绝该项工作、工程、材料或工程设备的权利。</w:t>
      </w:r>
    </w:p>
    <w:p>
      <w:pPr>
        <w:pStyle w:val="20"/>
        <w:numPr>
          <w:ilvl w:val="0"/>
          <w:numId w:val="71"/>
        </w:numPr>
        <w:tabs>
          <w:tab w:val="left" w:pos="1191"/>
        </w:tabs>
        <w:spacing w:line="364" w:lineRule="auto"/>
        <w:ind w:right="221" w:firstLine="360"/>
        <w:jc w:val="both"/>
        <w:rPr>
          <w:color w:val="auto"/>
          <w:sz w:val="24"/>
          <w:highlight w:val="none"/>
        </w:rPr>
      </w:pPr>
      <w:r>
        <w:rPr>
          <w:color w:val="auto"/>
          <w:sz w:val="24"/>
          <w:highlight w:val="none"/>
        </w:rPr>
        <w:t>总监理工程师应按相关合同的约定向承包人发出指令，总监理工程师的指令应盖有监理人授权的施工场地项目监理机构章，并由总监理工程师或总监理工程师按上述（1） 项约定授权的监理人员签字。</w:t>
      </w:r>
    </w:p>
    <w:p>
      <w:pPr>
        <w:pStyle w:val="20"/>
        <w:numPr>
          <w:ilvl w:val="0"/>
          <w:numId w:val="71"/>
        </w:numPr>
        <w:tabs>
          <w:tab w:val="left" w:pos="1185"/>
        </w:tabs>
        <w:spacing w:line="364" w:lineRule="auto"/>
        <w:ind w:right="230" w:firstLine="360"/>
        <w:jc w:val="both"/>
        <w:rPr>
          <w:color w:val="auto"/>
          <w:sz w:val="24"/>
          <w:highlight w:val="none"/>
        </w:rPr>
      </w:pPr>
      <w:r>
        <w:rPr>
          <w:color w:val="auto"/>
          <w:sz w:val="24"/>
          <w:highlight w:val="none"/>
        </w:rPr>
        <w:t>承包人收到总监理工程师按上述（3）项约定作出的指令后应遵照执行。承包人对总监理工程师的指令有异议的，可向总监理工程师提出书面意见，但应先遵照执行。总监理工程师研究承包人的书面意见后，应在 48 小时内对该指令予以确认、更改或撤销，并通知承包人。若总监理工程师再次决定继续执行原指令，承包人应遵照执行，承包人如仍有异议，可报委托人裁决。</w:t>
      </w:r>
    </w:p>
    <w:p>
      <w:pPr>
        <w:pStyle w:val="20"/>
        <w:numPr>
          <w:ilvl w:val="0"/>
          <w:numId w:val="71"/>
        </w:numPr>
        <w:tabs>
          <w:tab w:val="left" w:pos="1191"/>
        </w:tabs>
        <w:spacing w:line="362" w:lineRule="auto"/>
        <w:ind w:right="235" w:firstLine="360"/>
        <w:jc w:val="both"/>
        <w:rPr>
          <w:color w:val="auto"/>
          <w:sz w:val="24"/>
          <w:highlight w:val="none"/>
        </w:rPr>
      </w:pPr>
      <w:r>
        <w:rPr>
          <w:color w:val="auto"/>
          <w:sz w:val="24"/>
          <w:highlight w:val="none"/>
        </w:rPr>
        <w:t>在紧急情况下，总监理工程师或被授权的监理人员可以当场发出口头指令，承包人应遵照执行。监理人应在发出口头指令后 24 小时内发出书面指令予以确认。</w:t>
      </w:r>
    </w:p>
    <w:p>
      <w:pPr>
        <w:pStyle w:val="20"/>
        <w:numPr>
          <w:ilvl w:val="0"/>
          <w:numId w:val="71"/>
        </w:numPr>
        <w:tabs>
          <w:tab w:val="left" w:pos="1185"/>
        </w:tabs>
        <w:spacing w:line="362" w:lineRule="auto"/>
        <w:ind w:right="230" w:firstLine="360"/>
        <w:rPr>
          <w:color w:val="auto"/>
          <w:sz w:val="24"/>
          <w:highlight w:val="none"/>
        </w:rPr>
      </w:pPr>
      <w:r>
        <w:rPr>
          <w:color w:val="auto"/>
          <w:sz w:val="24"/>
          <w:highlight w:val="none"/>
        </w:rPr>
        <w:t>除合同另有约定外，承包人只从总监理工程师或按上述（1）项被授权的监理人员处取得指令。</w:t>
      </w:r>
    </w:p>
    <w:p>
      <w:pPr>
        <w:pStyle w:val="20"/>
        <w:numPr>
          <w:ilvl w:val="0"/>
          <w:numId w:val="71"/>
        </w:numPr>
        <w:tabs>
          <w:tab w:val="left" w:pos="1191"/>
        </w:tabs>
        <w:spacing w:before="2" w:line="362" w:lineRule="auto"/>
        <w:ind w:right="235" w:firstLine="360"/>
        <w:rPr>
          <w:color w:val="auto"/>
          <w:sz w:val="24"/>
          <w:highlight w:val="none"/>
        </w:rPr>
      </w:pPr>
      <w:r>
        <w:rPr>
          <w:color w:val="auto"/>
          <w:sz w:val="24"/>
          <w:highlight w:val="none"/>
        </w:rPr>
        <w:t>由于总监理工程师未能按合同约定履行职责或总监理工程师指令错误而延误工期的，工期顺延情形只适用于一般节点工期。</w:t>
      </w:r>
    </w:p>
    <w:p>
      <w:pPr>
        <w:pStyle w:val="12"/>
        <w:numPr>
          <w:ilvl w:val="2"/>
          <w:numId w:val="12"/>
        </w:numPr>
        <w:tabs>
          <w:tab w:val="left" w:pos="1371"/>
        </w:tabs>
        <w:spacing w:before="5" w:line="362" w:lineRule="auto"/>
        <w:ind w:left="223" w:right="233" w:firstLine="482"/>
        <w:rPr>
          <w:color w:val="auto"/>
          <w:highlight w:val="none"/>
        </w:rPr>
      </w:pPr>
      <w:r>
        <w:rPr>
          <w:color w:val="auto"/>
          <w:highlight w:val="none"/>
        </w:rPr>
        <w:t>监理人可根据工程进展和工作需要调整项目监理机构人员，应提前 7 天向委托人书面报告，并经委托人同意后方可更换。</w:t>
      </w:r>
    </w:p>
    <w:p>
      <w:pPr>
        <w:pStyle w:val="12"/>
        <w:spacing w:before="54"/>
        <w:ind w:left="705" w:firstLine="0"/>
        <w:jc w:val="both"/>
        <w:rPr>
          <w:color w:val="auto"/>
          <w:highlight w:val="none"/>
        </w:rPr>
      </w:pPr>
      <w:r>
        <w:rPr>
          <w:color w:val="auto"/>
          <w:highlight w:val="none"/>
        </w:rPr>
        <w:t>2.5 提交报告</w:t>
      </w:r>
    </w:p>
    <w:p>
      <w:pPr>
        <w:pStyle w:val="3"/>
        <w:spacing w:before="9"/>
        <w:ind w:left="0"/>
        <w:rPr>
          <w:b/>
          <w:color w:val="auto"/>
          <w:sz w:val="18"/>
          <w:highlight w:val="none"/>
        </w:rPr>
      </w:pPr>
    </w:p>
    <w:p>
      <w:pPr>
        <w:pStyle w:val="3"/>
        <w:spacing w:line="364" w:lineRule="auto"/>
        <w:ind w:right="230" w:firstLine="480"/>
        <w:jc w:val="both"/>
        <w:rPr>
          <w:color w:val="auto"/>
          <w:highlight w:val="none"/>
        </w:rPr>
      </w:pPr>
      <w:r>
        <w:rPr>
          <w:color w:val="auto"/>
          <w:highlight w:val="none"/>
        </w:rPr>
        <w:t>监理人应向委托人提交的监理与相关服务报告的种类、时间和份数,由委托人的项目工作小组与监理人的项目监理机构在监理服务过程中协商确定并按委托人项目工作小组的意见执行。</w:t>
      </w:r>
    </w:p>
    <w:p>
      <w:pPr>
        <w:pStyle w:val="20"/>
        <w:numPr>
          <w:ilvl w:val="1"/>
          <w:numId w:val="72"/>
        </w:numPr>
        <w:tabs>
          <w:tab w:val="left" w:pos="1131"/>
        </w:tabs>
        <w:spacing w:before="158" w:line="364" w:lineRule="auto"/>
        <w:ind w:left="223" w:right="230" w:firstLine="482"/>
        <w:jc w:val="both"/>
        <w:rPr>
          <w:color w:val="auto"/>
          <w:sz w:val="24"/>
          <w:highlight w:val="none"/>
        </w:rPr>
      </w:pPr>
      <w:r>
        <w:rPr>
          <w:color w:val="auto"/>
          <w:sz w:val="24"/>
          <w:highlight w:val="none"/>
        </w:rPr>
        <w:t>监理人应对其派驻的项目监理机构在监理业务范围内的工作全面负责，并提供一切必要的支持。</w:t>
      </w:r>
    </w:p>
    <w:p>
      <w:pPr>
        <w:pStyle w:val="20"/>
        <w:numPr>
          <w:ilvl w:val="1"/>
          <w:numId w:val="72"/>
        </w:numPr>
        <w:tabs>
          <w:tab w:val="left" w:pos="1131"/>
        </w:tabs>
        <w:spacing w:before="158" w:line="364" w:lineRule="auto"/>
        <w:ind w:left="223" w:right="230" w:firstLine="482"/>
        <w:jc w:val="both"/>
        <w:rPr>
          <w:color w:val="auto"/>
          <w:sz w:val="24"/>
          <w:highlight w:val="none"/>
        </w:rPr>
      </w:pPr>
      <w:r>
        <w:rPr>
          <w:color w:val="auto"/>
          <w:sz w:val="24"/>
          <w:highlight w:val="none"/>
        </w:rPr>
        <w:t>监理人在本合同履行期内必须接受委托人有关项目管理机构职权规定的约束，监理人应对提供给本项目服务的人员经常进行检查、指导、管理及后方支持，对他们完成的服务承担责任。</w:t>
      </w:r>
    </w:p>
    <w:p>
      <w:pPr>
        <w:pStyle w:val="20"/>
        <w:numPr>
          <w:ilvl w:val="1"/>
          <w:numId w:val="72"/>
        </w:numPr>
        <w:tabs>
          <w:tab w:val="left" w:pos="1294"/>
        </w:tabs>
        <w:spacing w:line="362" w:lineRule="auto"/>
        <w:ind w:left="223" w:right="233" w:firstLine="482"/>
        <w:jc w:val="both"/>
        <w:rPr>
          <w:color w:val="auto"/>
          <w:sz w:val="24"/>
          <w:highlight w:val="none"/>
        </w:rPr>
      </w:pPr>
      <w:r>
        <w:rPr>
          <w:color w:val="auto"/>
          <w:sz w:val="24"/>
          <w:highlight w:val="none"/>
        </w:rPr>
        <w:t>监理工程师在本合同工程中，对工程质量、投资与进度进行控制，办理合同约定的各项手续。监理工程师在办理各种手续时，不得扣压和延误。</w:t>
      </w:r>
    </w:p>
    <w:p>
      <w:pPr>
        <w:pStyle w:val="20"/>
        <w:numPr>
          <w:ilvl w:val="1"/>
          <w:numId w:val="72"/>
        </w:numPr>
        <w:tabs>
          <w:tab w:val="left" w:pos="1294"/>
        </w:tabs>
        <w:spacing w:before="4" w:line="364" w:lineRule="auto"/>
        <w:ind w:left="223" w:right="230" w:firstLine="482"/>
        <w:jc w:val="both"/>
        <w:rPr>
          <w:color w:val="auto"/>
          <w:sz w:val="24"/>
          <w:highlight w:val="none"/>
        </w:rPr>
      </w:pPr>
      <w:r>
        <w:rPr>
          <w:color w:val="auto"/>
          <w:sz w:val="24"/>
          <w:highlight w:val="none"/>
        </w:rPr>
        <w:t>在任何情况下（包括合同另有约定的情况），凡涉及工程变更、工程量增减、议价、索赔、处理事故、改变工期、改变技术标准、改变重大施工方案等及一切有关费用的问题，均需与委托人共同商定，报委托人批准。</w:t>
      </w:r>
    </w:p>
    <w:p>
      <w:pPr>
        <w:pStyle w:val="20"/>
        <w:numPr>
          <w:ilvl w:val="1"/>
          <w:numId w:val="72"/>
        </w:numPr>
        <w:tabs>
          <w:tab w:val="left" w:pos="1294"/>
        </w:tabs>
        <w:spacing w:line="364" w:lineRule="auto"/>
        <w:ind w:left="223" w:right="230" w:firstLine="482"/>
        <w:jc w:val="both"/>
        <w:rPr>
          <w:color w:val="auto"/>
          <w:sz w:val="24"/>
          <w:highlight w:val="none"/>
        </w:rPr>
      </w:pPr>
      <w:r>
        <w:rPr>
          <w:color w:val="auto"/>
          <w:sz w:val="24"/>
          <w:highlight w:val="none"/>
        </w:rPr>
        <w:t>本合同工程质量实行承包人自检、监理人、委托人和政府监督的多级管理体制。对工程质量出现问题返工而造成的一切经济和工期损失，由承包人承担，并按合同约定承担相应的违约责任。监理人根据本合同约定承担相应的责任。监理人对某一分部或分项工程的认可不影响政府监督机构或委托人在事后的否定。</w:t>
      </w:r>
    </w:p>
    <w:p>
      <w:pPr>
        <w:pStyle w:val="20"/>
        <w:numPr>
          <w:ilvl w:val="1"/>
          <w:numId w:val="72"/>
        </w:numPr>
        <w:tabs>
          <w:tab w:val="left" w:pos="1294"/>
        </w:tabs>
        <w:spacing w:line="364" w:lineRule="auto"/>
        <w:ind w:left="223" w:right="115" w:firstLine="482"/>
        <w:rPr>
          <w:color w:val="auto"/>
          <w:sz w:val="24"/>
          <w:highlight w:val="none"/>
        </w:rPr>
      </w:pPr>
      <w:r>
        <w:rPr>
          <w:color w:val="auto"/>
          <w:sz w:val="24"/>
          <w:highlight w:val="none"/>
        </w:rPr>
        <w:t>监理人应尽一切努力，高效又经济地按照合同约定及行业通常接受的技术和惯例履行服务，遵守正确的管理和工程惯例，使用适当的先进技术和安全有效的设备、仪器、材料和方法，就与本合同约定服务有关的事宜，监理人始终作为委托人的忠实顾问，认真、充分履行其监理职责。在与承包人的交往中维护委托人的合法利益，力争使其服务达到委托人满意。</w:t>
      </w:r>
    </w:p>
    <w:p>
      <w:pPr>
        <w:pStyle w:val="20"/>
        <w:numPr>
          <w:ilvl w:val="1"/>
          <w:numId w:val="72"/>
        </w:numPr>
        <w:tabs>
          <w:tab w:val="left" w:pos="1294"/>
        </w:tabs>
        <w:spacing w:line="364" w:lineRule="auto"/>
        <w:ind w:left="223" w:right="233" w:firstLine="482"/>
        <w:rPr>
          <w:color w:val="auto"/>
          <w:sz w:val="24"/>
          <w:highlight w:val="none"/>
        </w:rPr>
      </w:pPr>
      <w:r>
        <w:rPr>
          <w:color w:val="auto"/>
          <w:sz w:val="24"/>
          <w:highlight w:val="none"/>
        </w:rPr>
        <w:t>监理人必须不折不扣地履行其工作职责，不得推托或耽误，不能有不履行或不完全履行职务的行为，否则，必须承担相应的违约责任。</w:t>
      </w:r>
    </w:p>
    <w:p>
      <w:pPr>
        <w:pStyle w:val="20"/>
        <w:numPr>
          <w:ilvl w:val="1"/>
          <w:numId w:val="72"/>
        </w:numPr>
        <w:tabs>
          <w:tab w:val="left" w:pos="1268"/>
        </w:tabs>
        <w:spacing w:line="364" w:lineRule="auto"/>
        <w:ind w:left="223" w:right="230" w:firstLine="482"/>
        <w:rPr>
          <w:color w:val="auto"/>
          <w:sz w:val="24"/>
          <w:highlight w:val="none"/>
        </w:rPr>
      </w:pPr>
      <w:r>
        <w:rPr>
          <w:color w:val="auto"/>
          <w:sz w:val="24"/>
          <w:highlight w:val="none"/>
        </w:rPr>
        <w:t>对于委托人及承包人书面提交并要求作出决定的事宜，监理人应在 3 日内作出书面答复，对影响施工现场进度的事项应在 24 小时内作出具有明确处理意见的书面答复。</w:t>
      </w:r>
    </w:p>
    <w:p>
      <w:pPr>
        <w:pStyle w:val="20"/>
        <w:numPr>
          <w:ilvl w:val="1"/>
          <w:numId w:val="72"/>
        </w:numPr>
        <w:tabs>
          <w:tab w:val="left" w:pos="1253"/>
          <w:tab w:val="left" w:pos="8565"/>
        </w:tabs>
        <w:spacing w:line="364" w:lineRule="auto"/>
        <w:ind w:left="223" w:right="238" w:firstLine="482"/>
        <w:jc w:val="both"/>
        <w:rPr>
          <w:color w:val="auto"/>
          <w:sz w:val="24"/>
          <w:highlight w:val="none"/>
        </w:rPr>
      </w:pPr>
      <w:r>
        <w:rPr>
          <w:color w:val="auto"/>
          <w:sz w:val="24"/>
          <w:highlight w:val="none"/>
        </w:rPr>
        <w:t>监理人应在发出中标通知书 20 日内，向委托人提交由在中国注册的银行开出的担保金额为合同价款的 10％（即人民币</w:t>
      </w:r>
      <w:r>
        <w:rPr>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lang w:val="en-US"/>
        </w:rPr>
        <w:t xml:space="preserve"> </w:t>
      </w:r>
      <w:r>
        <w:rPr>
          <w:color w:val="auto"/>
          <w:sz w:val="24"/>
          <w:highlight w:val="none"/>
        </w:rPr>
        <w:t>元）的《履约保函》原件。</w:t>
      </w:r>
    </w:p>
    <w:p>
      <w:pPr>
        <w:pStyle w:val="20"/>
        <w:numPr>
          <w:ilvl w:val="1"/>
          <w:numId w:val="72"/>
        </w:numPr>
        <w:tabs>
          <w:tab w:val="left" w:pos="1253"/>
          <w:tab w:val="left" w:pos="8565"/>
        </w:tabs>
        <w:spacing w:line="364" w:lineRule="auto"/>
        <w:ind w:left="223" w:right="238" w:firstLine="482"/>
        <w:jc w:val="both"/>
        <w:rPr>
          <w:color w:val="auto"/>
          <w:sz w:val="24"/>
          <w:highlight w:val="none"/>
        </w:rPr>
      </w:pPr>
      <w:r>
        <w:rPr>
          <w:color w:val="auto"/>
          <w:sz w:val="24"/>
          <w:highlight w:val="none"/>
        </w:rPr>
        <w:t>监理人如未能在上述约定的时间内提交履约保函的，视为自动放弃中标资格。</w:t>
      </w:r>
    </w:p>
    <w:p>
      <w:pPr>
        <w:pStyle w:val="20"/>
        <w:numPr>
          <w:ilvl w:val="1"/>
          <w:numId w:val="72"/>
        </w:numPr>
        <w:tabs>
          <w:tab w:val="left" w:pos="1253"/>
          <w:tab w:val="left" w:pos="8565"/>
        </w:tabs>
        <w:spacing w:line="364" w:lineRule="auto"/>
        <w:ind w:left="223" w:right="238" w:firstLine="482"/>
        <w:jc w:val="both"/>
        <w:rPr>
          <w:color w:val="auto"/>
          <w:sz w:val="24"/>
          <w:highlight w:val="none"/>
        </w:rPr>
      </w:pPr>
      <w:r>
        <w:rPr>
          <w:color w:val="auto"/>
          <w:sz w:val="24"/>
          <w:highlight w:val="none"/>
        </w:rPr>
        <w:t>监理人提交的履约保函是对本合同约定的监理人的全部义务（包括但不限于监理人违约后应支付的违约金和赔偿金）的担保，监理人的任何一次不履行或不完全履行合同义务的行为，委托人均有权向出函担保机构提出索赔。</w:t>
      </w:r>
    </w:p>
    <w:p>
      <w:pPr>
        <w:pStyle w:val="20"/>
        <w:numPr>
          <w:ilvl w:val="1"/>
          <w:numId w:val="72"/>
        </w:numPr>
        <w:tabs>
          <w:tab w:val="left" w:pos="1294"/>
        </w:tabs>
        <w:spacing w:line="364" w:lineRule="auto"/>
        <w:ind w:left="223" w:right="230" w:firstLine="482"/>
        <w:jc w:val="both"/>
        <w:rPr>
          <w:color w:val="auto"/>
          <w:sz w:val="24"/>
          <w:highlight w:val="none"/>
        </w:rPr>
      </w:pPr>
      <w:r>
        <w:rPr>
          <w:color w:val="auto"/>
          <w:sz w:val="24"/>
          <w:highlight w:val="none"/>
        </w:rPr>
        <w:t>监理人不履行或不完全履行合同义务的行为导致委托人依据履约保函向担保机构索赔履约保函金额的一部分或者全部的，监理人必须在委托人规定的时间内补充提交履约保函，使得本合同履行期间有效的履约保函金额等于监理人第一次提交的履约保函金额。</w:t>
      </w:r>
    </w:p>
    <w:p>
      <w:pPr>
        <w:pStyle w:val="20"/>
        <w:numPr>
          <w:ilvl w:val="1"/>
          <w:numId w:val="72"/>
        </w:numPr>
        <w:tabs>
          <w:tab w:val="left" w:pos="1294"/>
        </w:tabs>
        <w:spacing w:line="362" w:lineRule="auto"/>
        <w:ind w:left="223" w:right="233" w:firstLine="482"/>
        <w:jc w:val="both"/>
        <w:rPr>
          <w:color w:val="auto"/>
          <w:sz w:val="24"/>
          <w:highlight w:val="none"/>
        </w:rPr>
      </w:pPr>
      <w:r>
        <w:rPr>
          <w:color w:val="auto"/>
          <w:sz w:val="24"/>
          <w:highlight w:val="none"/>
        </w:rPr>
        <w:t>如果监理人不按委托人的要求及时补充提交履约保函，则委托人有权单方面部分解除或解除本合同，并按专用条款第 4.1.1.1（4）、（5）款的有关约定执行。</w:t>
      </w:r>
    </w:p>
    <w:p>
      <w:pPr>
        <w:pStyle w:val="20"/>
        <w:numPr>
          <w:ilvl w:val="1"/>
          <w:numId w:val="72"/>
        </w:numPr>
        <w:tabs>
          <w:tab w:val="left" w:pos="1294"/>
        </w:tabs>
        <w:spacing w:before="0" w:line="362" w:lineRule="auto"/>
        <w:ind w:left="223" w:right="233" w:firstLine="482"/>
        <w:jc w:val="both"/>
        <w:rPr>
          <w:color w:val="auto"/>
          <w:sz w:val="24"/>
          <w:highlight w:val="none"/>
        </w:rPr>
      </w:pPr>
      <w:r>
        <w:rPr>
          <w:rFonts w:hint="default" w:ascii="宋体" w:hAnsi="宋体" w:eastAsia="宋体" w:cs="宋体"/>
          <w:color w:val="auto"/>
          <w:sz w:val="24"/>
          <w:szCs w:val="22"/>
          <w:highlight w:val="none"/>
          <w:lang w:bidi="ar"/>
        </w:rPr>
        <w:t>履约保函到期但本项目未工程结算的，无论何种原因，投标人承诺无条件续保，如履约保函到期不提供续保则承担一般违约责任。</w:t>
      </w:r>
      <w:r>
        <w:rPr>
          <w:color w:val="auto"/>
          <w:sz w:val="24"/>
          <w:highlight w:val="none"/>
        </w:rPr>
        <w:t>工程完成结算和保修期服务后，监理人可以向委托人申请退还履约保函。</w:t>
      </w:r>
    </w:p>
    <w:p>
      <w:pPr>
        <w:pStyle w:val="20"/>
        <w:numPr>
          <w:ilvl w:val="1"/>
          <w:numId w:val="72"/>
        </w:numPr>
        <w:tabs>
          <w:tab w:val="left" w:pos="1294"/>
        </w:tabs>
        <w:spacing w:before="158" w:line="364" w:lineRule="auto"/>
        <w:ind w:left="223" w:right="230" w:firstLine="482"/>
        <w:jc w:val="both"/>
        <w:rPr>
          <w:color w:val="auto"/>
          <w:sz w:val="24"/>
          <w:highlight w:val="none"/>
        </w:rPr>
      </w:pPr>
      <w:r>
        <w:rPr>
          <w:color w:val="auto"/>
          <w:sz w:val="24"/>
          <w:highlight w:val="none"/>
        </w:rPr>
        <w:t>监理人应在监理服务期内，办理派驻到项目所在地人员人身和自备财产的有关保险，保险时间应随服务时间的延长而顺延，并在出险后自行办理索赔。如果监理人不办理上述保险，则应对有关风险及后果自负其责。同时，监理人应尽一切合理的努力，按委托人可接受的条件对监理人的责任、第三方的责任以及委托人为监理服务提供的财产等进行保险。上述有关费用由监理人承担。</w:t>
      </w:r>
    </w:p>
    <w:p>
      <w:pPr>
        <w:pStyle w:val="3"/>
        <w:spacing w:line="306" w:lineRule="exact"/>
        <w:ind w:left="703"/>
        <w:rPr>
          <w:color w:val="auto"/>
          <w:highlight w:val="none"/>
        </w:rPr>
      </w:pPr>
      <w:r>
        <w:rPr>
          <w:color w:val="auto"/>
          <w:highlight w:val="none"/>
        </w:rPr>
        <w:t>监理人不按上述约定购买保险所产生的后果，由监理人自行承担。</w:t>
      </w:r>
    </w:p>
    <w:p>
      <w:pPr>
        <w:pStyle w:val="3"/>
        <w:ind w:left="0"/>
        <w:rPr>
          <w:color w:val="auto"/>
          <w:highlight w:val="none"/>
        </w:rPr>
      </w:pPr>
    </w:p>
    <w:p>
      <w:pPr>
        <w:pStyle w:val="3"/>
        <w:spacing w:before="9"/>
        <w:ind w:left="0"/>
        <w:rPr>
          <w:color w:val="auto"/>
          <w:highlight w:val="none"/>
        </w:rPr>
      </w:pPr>
    </w:p>
    <w:p>
      <w:pPr>
        <w:pStyle w:val="11"/>
        <w:numPr>
          <w:ilvl w:val="0"/>
          <w:numId w:val="12"/>
        </w:numPr>
        <w:tabs>
          <w:tab w:val="left" w:pos="1209"/>
        </w:tabs>
        <w:ind w:hanging="425"/>
        <w:jc w:val="left"/>
        <w:rPr>
          <w:color w:val="auto"/>
          <w:highlight w:val="none"/>
        </w:rPr>
      </w:pPr>
      <w:r>
        <w:rPr>
          <w:color w:val="auto"/>
          <w:highlight w:val="none"/>
        </w:rPr>
        <w:t>委托人的义务</w:t>
      </w:r>
    </w:p>
    <w:p>
      <w:pPr>
        <w:pStyle w:val="12"/>
        <w:numPr>
          <w:ilvl w:val="1"/>
          <w:numId w:val="73"/>
        </w:numPr>
        <w:tabs>
          <w:tab w:val="left" w:pos="1131"/>
        </w:tabs>
        <w:spacing w:before="188"/>
        <w:ind w:hanging="426"/>
        <w:jc w:val="both"/>
        <w:rPr>
          <w:color w:val="auto"/>
          <w:highlight w:val="none"/>
        </w:rPr>
      </w:pPr>
      <w:r>
        <w:rPr>
          <w:color w:val="auto"/>
          <w:highlight w:val="none"/>
        </w:rPr>
        <w:t>提供资料</w:t>
      </w:r>
    </w:p>
    <w:p>
      <w:pPr>
        <w:pStyle w:val="3"/>
        <w:spacing w:before="158"/>
        <w:ind w:left="703"/>
        <w:rPr>
          <w:color w:val="auto"/>
          <w:highlight w:val="none"/>
        </w:rPr>
      </w:pPr>
      <w:r>
        <w:rPr>
          <w:color w:val="auto"/>
          <w:highlight w:val="none"/>
        </w:rPr>
        <w:t>委托人向监理人免费提供下列文件、资料：</w:t>
      </w:r>
    </w:p>
    <w:p>
      <w:pPr>
        <w:pStyle w:val="20"/>
        <w:numPr>
          <w:ilvl w:val="0"/>
          <w:numId w:val="74"/>
        </w:numPr>
        <w:tabs>
          <w:tab w:val="left" w:pos="1185"/>
        </w:tabs>
        <w:spacing w:before="161"/>
        <w:ind w:hanging="602"/>
        <w:rPr>
          <w:color w:val="auto"/>
          <w:sz w:val="24"/>
          <w:highlight w:val="none"/>
        </w:rPr>
      </w:pPr>
      <w:r>
        <w:rPr>
          <w:color w:val="auto"/>
          <w:sz w:val="24"/>
          <w:highlight w:val="none"/>
        </w:rPr>
        <w:t>委托人与承包人签订的施工合同文本 1 份；</w:t>
      </w:r>
    </w:p>
    <w:p>
      <w:pPr>
        <w:pStyle w:val="20"/>
        <w:numPr>
          <w:ilvl w:val="0"/>
          <w:numId w:val="74"/>
        </w:numPr>
        <w:tabs>
          <w:tab w:val="left" w:pos="1185"/>
        </w:tabs>
        <w:spacing w:before="160"/>
        <w:ind w:hanging="602"/>
        <w:rPr>
          <w:color w:val="auto"/>
          <w:sz w:val="24"/>
          <w:highlight w:val="none"/>
        </w:rPr>
      </w:pPr>
      <w:r>
        <w:rPr>
          <w:color w:val="auto"/>
          <w:sz w:val="24"/>
          <w:highlight w:val="none"/>
        </w:rPr>
        <w:t>合同图纸和相关的标准图纸及说明 3 套；</w:t>
      </w:r>
    </w:p>
    <w:p>
      <w:pPr>
        <w:pStyle w:val="20"/>
        <w:numPr>
          <w:ilvl w:val="0"/>
          <w:numId w:val="74"/>
        </w:numPr>
        <w:tabs>
          <w:tab w:val="left" w:pos="1185"/>
        </w:tabs>
        <w:spacing w:before="158"/>
        <w:ind w:hanging="602"/>
        <w:rPr>
          <w:color w:val="auto"/>
          <w:sz w:val="24"/>
          <w:highlight w:val="none"/>
        </w:rPr>
      </w:pPr>
      <w:r>
        <w:rPr>
          <w:color w:val="auto"/>
          <w:sz w:val="24"/>
          <w:highlight w:val="none"/>
        </w:rPr>
        <w:t>施工图纸及说明 3 套；</w:t>
      </w:r>
    </w:p>
    <w:p>
      <w:pPr>
        <w:pStyle w:val="20"/>
        <w:numPr>
          <w:ilvl w:val="0"/>
          <w:numId w:val="74"/>
        </w:numPr>
        <w:tabs>
          <w:tab w:val="left" w:pos="1185"/>
        </w:tabs>
        <w:spacing w:before="161"/>
        <w:ind w:hanging="602"/>
        <w:rPr>
          <w:color w:val="auto"/>
          <w:sz w:val="24"/>
          <w:highlight w:val="none"/>
        </w:rPr>
      </w:pPr>
      <w:r>
        <w:rPr>
          <w:color w:val="auto"/>
          <w:sz w:val="24"/>
          <w:highlight w:val="none"/>
        </w:rPr>
        <w:t>监理人完成本合同监理工作所必须的其他文件和资料。</w:t>
      </w:r>
    </w:p>
    <w:p>
      <w:pPr>
        <w:pStyle w:val="12"/>
        <w:numPr>
          <w:ilvl w:val="1"/>
          <w:numId w:val="73"/>
        </w:numPr>
        <w:tabs>
          <w:tab w:val="left" w:pos="1131"/>
        </w:tabs>
        <w:spacing w:before="158"/>
        <w:ind w:hanging="426"/>
        <w:rPr>
          <w:color w:val="auto"/>
          <w:highlight w:val="none"/>
        </w:rPr>
      </w:pPr>
      <w:r>
        <w:rPr>
          <w:color w:val="auto"/>
          <w:highlight w:val="none"/>
        </w:rPr>
        <w:t>提供工作条件</w:t>
      </w:r>
    </w:p>
    <w:p>
      <w:pPr>
        <w:pStyle w:val="20"/>
        <w:numPr>
          <w:ilvl w:val="2"/>
          <w:numId w:val="73"/>
        </w:numPr>
        <w:tabs>
          <w:tab w:val="left" w:pos="1364"/>
        </w:tabs>
        <w:spacing w:before="160" w:line="364" w:lineRule="auto"/>
        <w:ind w:right="110" w:firstLine="480"/>
        <w:rPr>
          <w:color w:val="auto"/>
          <w:sz w:val="24"/>
          <w:highlight w:val="none"/>
        </w:rPr>
      </w:pPr>
      <w:r>
        <w:rPr>
          <w:color w:val="auto"/>
          <w:sz w:val="24"/>
          <w:highlight w:val="none"/>
        </w:rPr>
        <w:t>在监理服务期间，委托人仅向监理人提供项目监理机构办公用房、住宿用房（不包括房内的设施）及接通水电，其他满足本合同约定监理工作需要的人员、办公、交通、通讯、生活等设施全部由监理人自行解决。监理人应在现场开办食堂（由委托人提供场地）， 解决驻场监理工作人员的饮食，不得与承包人同食同住；监理人应安排专人负责委托人和监理人现场办公用房、住宿用房的保洁工作。上述费用已包含在监理酬金中。</w:t>
      </w:r>
    </w:p>
    <w:p>
      <w:pPr>
        <w:pStyle w:val="20"/>
        <w:numPr>
          <w:ilvl w:val="-1"/>
          <w:numId w:val="0"/>
        </w:numPr>
        <w:tabs>
          <w:tab w:val="left" w:pos="1364"/>
        </w:tabs>
        <w:spacing w:before="160" w:line="364" w:lineRule="auto"/>
        <w:ind w:left="703" w:right="110" w:firstLine="0"/>
        <w:rPr>
          <w:color w:val="auto"/>
          <w:sz w:val="24"/>
          <w:highlight w:val="none"/>
        </w:rPr>
      </w:pPr>
      <w:r>
        <w:rPr>
          <w:color w:val="auto"/>
          <w:sz w:val="24"/>
          <w:highlight w:val="none"/>
        </w:rPr>
        <w:t>对监理人自备的设施，监理人不得向委托人索取任何经济补偿。</w:t>
      </w:r>
    </w:p>
    <w:p>
      <w:pPr>
        <w:pStyle w:val="20"/>
        <w:numPr>
          <w:ilvl w:val="-1"/>
          <w:numId w:val="0"/>
        </w:numPr>
        <w:tabs>
          <w:tab w:val="left" w:pos="1364"/>
        </w:tabs>
        <w:spacing w:before="160" w:line="364" w:lineRule="auto"/>
        <w:ind w:left="0" w:right="110" w:firstLine="720" w:firstLineChars="300"/>
        <w:rPr>
          <w:color w:val="auto"/>
          <w:sz w:val="24"/>
          <w:highlight w:val="none"/>
        </w:rPr>
      </w:pPr>
      <w:r>
        <w:rPr>
          <w:color w:val="auto"/>
          <w:sz w:val="24"/>
          <w:highlight w:val="none"/>
        </w:rPr>
        <w:t>项目监理机构应根据工程项目类别、规模、技术复杂程度、工程项目所在地的环境条件，按本合同的约定，配备满足监理工作需要的常规检测设备和工具。</w:t>
      </w:r>
    </w:p>
    <w:p>
      <w:pPr>
        <w:pStyle w:val="20"/>
        <w:numPr>
          <w:ilvl w:val="-1"/>
          <w:numId w:val="0"/>
        </w:numPr>
        <w:tabs>
          <w:tab w:val="left" w:pos="1364"/>
        </w:tabs>
        <w:spacing w:before="160" w:line="364" w:lineRule="auto"/>
        <w:ind w:left="0" w:right="110" w:firstLine="720" w:firstLineChars="300"/>
        <w:rPr>
          <w:color w:val="auto"/>
          <w:sz w:val="24"/>
          <w:highlight w:val="none"/>
        </w:rPr>
      </w:pPr>
      <w:r>
        <w:rPr>
          <w:color w:val="auto"/>
          <w:sz w:val="24"/>
          <w:highlight w:val="none"/>
        </w:rPr>
        <w:t>项目监理机构应配备足够实施监理工作的计算机辅助管理。</w:t>
      </w:r>
    </w:p>
    <w:p>
      <w:pPr>
        <w:pStyle w:val="20"/>
        <w:numPr>
          <w:ilvl w:val="2"/>
          <w:numId w:val="73"/>
        </w:numPr>
        <w:tabs>
          <w:tab w:val="left" w:pos="1364"/>
        </w:tabs>
        <w:spacing w:before="160" w:line="364" w:lineRule="auto"/>
        <w:ind w:right="110" w:firstLine="480"/>
        <w:rPr>
          <w:color w:val="auto"/>
          <w:sz w:val="24"/>
          <w:highlight w:val="none"/>
        </w:rPr>
      </w:pPr>
      <w:r>
        <w:rPr>
          <w:color w:val="auto"/>
          <w:sz w:val="24"/>
          <w:highlight w:val="none"/>
        </w:rPr>
        <w:t>委托人根据需要有权指令监理人协调部分外部关系，委托人对此无需支付任何酬金。</w:t>
      </w:r>
    </w:p>
    <w:p>
      <w:pPr>
        <w:pStyle w:val="12"/>
        <w:numPr>
          <w:ilvl w:val="1"/>
          <w:numId w:val="73"/>
        </w:numPr>
        <w:tabs>
          <w:tab w:val="left" w:pos="1131"/>
        </w:tabs>
        <w:spacing w:before="5"/>
        <w:ind w:hanging="426"/>
        <w:rPr>
          <w:color w:val="auto"/>
          <w:highlight w:val="none"/>
        </w:rPr>
      </w:pPr>
      <w:r>
        <w:rPr>
          <w:color w:val="auto"/>
          <w:highlight w:val="none"/>
        </w:rPr>
        <w:t>委托人代表</w:t>
      </w:r>
    </w:p>
    <w:p>
      <w:pPr>
        <w:pStyle w:val="3"/>
        <w:spacing w:before="158"/>
        <w:ind w:left="703"/>
        <w:rPr>
          <w:color w:val="auto"/>
          <w:highlight w:val="none"/>
        </w:rPr>
      </w:pPr>
      <w:r>
        <w:rPr>
          <w:color w:val="auto"/>
          <w:highlight w:val="none"/>
        </w:rPr>
        <w:t>委托人代表由委托人项目工作小组委派。</w:t>
      </w:r>
    </w:p>
    <w:p>
      <w:pPr>
        <w:pStyle w:val="12"/>
        <w:spacing w:before="161"/>
        <w:ind w:left="705" w:firstLine="0"/>
        <w:rPr>
          <w:color w:val="auto"/>
          <w:highlight w:val="none"/>
        </w:rPr>
      </w:pPr>
      <w:r>
        <w:rPr>
          <w:color w:val="auto"/>
          <w:highlight w:val="none"/>
        </w:rPr>
        <w:t>3.6 答复</w:t>
      </w:r>
    </w:p>
    <w:p>
      <w:pPr>
        <w:pStyle w:val="3"/>
        <w:spacing w:before="158"/>
        <w:ind w:left="703"/>
        <w:rPr>
          <w:color w:val="auto"/>
          <w:highlight w:val="none"/>
        </w:rPr>
      </w:pPr>
      <w:r>
        <w:rPr>
          <w:color w:val="auto"/>
          <w:highlight w:val="none"/>
        </w:rPr>
        <w:t>委托人应在 3 日内对监理人书面提交并要求作出决定的事宜作出书面答复。</w:t>
      </w:r>
    </w:p>
    <w:p>
      <w:pPr>
        <w:pStyle w:val="3"/>
        <w:ind w:left="0"/>
        <w:rPr>
          <w:color w:val="auto"/>
          <w:highlight w:val="none"/>
        </w:rPr>
      </w:pPr>
    </w:p>
    <w:p>
      <w:pPr>
        <w:pStyle w:val="3"/>
        <w:spacing w:before="9"/>
        <w:ind w:left="0"/>
        <w:rPr>
          <w:color w:val="auto"/>
          <w:highlight w:val="none"/>
        </w:rPr>
      </w:pPr>
    </w:p>
    <w:p>
      <w:pPr>
        <w:pStyle w:val="11"/>
        <w:numPr>
          <w:ilvl w:val="0"/>
          <w:numId w:val="12"/>
        </w:numPr>
        <w:tabs>
          <w:tab w:val="left" w:pos="1068"/>
        </w:tabs>
        <w:ind w:left="1068" w:hanging="284"/>
        <w:jc w:val="left"/>
        <w:rPr>
          <w:color w:val="auto"/>
          <w:highlight w:val="none"/>
        </w:rPr>
      </w:pPr>
      <w:r>
        <w:rPr>
          <w:color w:val="auto"/>
          <w:highlight w:val="none"/>
        </w:rPr>
        <w:t>违约责任</w:t>
      </w:r>
    </w:p>
    <w:p>
      <w:pPr>
        <w:pStyle w:val="12"/>
        <w:numPr>
          <w:ilvl w:val="1"/>
          <w:numId w:val="12"/>
        </w:numPr>
        <w:tabs>
          <w:tab w:val="left" w:pos="1131"/>
        </w:tabs>
        <w:spacing w:before="188"/>
        <w:ind w:hanging="426"/>
        <w:rPr>
          <w:color w:val="auto"/>
          <w:highlight w:val="none"/>
        </w:rPr>
      </w:pPr>
      <w:r>
        <w:rPr>
          <w:color w:val="auto"/>
          <w:highlight w:val="none"/>
        </w:rPr>
        <w:t>监理人的违约责任</w:t>
      </w:r>
    </w:p>
    <w:p>
      <w:pPr>
        <w:pStyle w:val="20"/>
        <w:numPr>
          <w:ilvl w:val="2"/>
          <w:numId w:val="12"/>
        </w:numPr>
        <w:tabs>
          <w:tab w:val="left" w:pos="1364"/>
        </w:tabs>
        <w:spacing w:before="161"/>
        <w:ind w:hanging="661"/>
        <w:rPr>
          <w:color w:val="auto"/>
          <w:sz w:val="24"/>
          <w:highlight w:val="none"/>
        </w:rPr>
      </w:pPr>
      <w:r>
        <w:rPr>
          <w:color w:val="auto"/>
          <w:sz w:val="24"/>
          <w:highlight w:val="none"/>
        </w:rPr>
        <w:t>监理人违反本合同的约定，应当按约定向委托人承担相应的违约责任。</w:t>
      </w:r>
    </w:p>
    <w:p>
      <w:pPr>
        <w:pStyle w:val="20"/>
        <w:numPr>
          <w:ilvl w:val="3"/>
          <w:numId w:val="12"/>
        </w:numPr>
        <w:tabs>
          <w:tab w:val="left" w:pos="1604"/>
        </w:tabs>
        <w:spacing w:before="158"/>
        <w:ind w:hanging="901"/>
        <w:jc w:val="both"/>
        <w:rPr>
          <w:color w:val="auto"/>
          <w:sz w:val="24"/>
          <w:highlight w:val="none"/>
        </w:rPr>
      </w:pPr>
      <w:r>
        <w:rPr>
          <w:color w:val="auto"/>
          <w:sz w:val="24"/>
          <w:highlight w:val="none"/>
        </w:rPr>
        <w:t>监理人承担违约责任的方式（包括但不限于）</w:t>
      </w:r>
    </w:p>
    <w:p>
      <w:pPr>
        <w:pStyle w:val="20"/>
        <w:numPr>
          <w:ilvl w:val="0"/>
          <w:numId w:val="75"/>
        </w:numPr>
        <w:tabs>
          <w:tab w:val="left" w:pos="1191"/>
        </w:tabs>
        <w:spacing w:before="160" w:line="364" w:lineRule="auto"/>
        <w:ind w:right="230" w:firstLine="360"/>
        <w:jc w:val="both"/>
        <w:rPr>
          <w:color w:val="auto"/>
          <w:sz w:val="24"/>
          <w:highlight w:val="none"/>
        </w:rPr>
      </w:pPr>
      <w:r>
        <w:rPr>
          <w:color w:val="auto"/>
          <w:sz w:val="24"/>
          <w:highlight w:val="none"/>
        </w:rPr>
        <w:t>书面警告。监理人未履行或未按时履行或未按质履行义务或不执行委托人（含主管人员）的指令时，委托人有权向监理人发出书面警告。监理人必须在书面警告限定的时间内履行义务，否则应承担 1 次一般违约责任。</w:t>
      </w:r>
    </w:p>
    <w:p>
      <w:pPr>
        <w:pStyle w:val="20"/>
        <w:numPr>
          <w:ilvl w:val="0"/>
          <w:numId w:val="75"/>
        </w:numPr>
        <w:tabs>
          <w:tab w:val="left" w:pos="1191"/>
        </w:tabs>
        <w:spacing w:line="364" w:lineRule="auto"/>
        <w:ind w:right="233" w:firstLine="360"/>
        <w:jc w:val="both"/>
        <w:rPr>
          <w:color w:val="auto"/>
          <w:sz w:val="24"/>
          <w:highlight w:val="none"/>
        </w:rPr>
      </w:pPr>
      <w:r>
        <w:rPr>
          <w:color w:val="auto"/>
          <w:sz w:val="24"/>
          <w:highlight w:val="none"/>
        </w:rPr>
        <w:t>一般违约责任。监理人按本合同约定应当承担一般违约责任时，第一次必须向委托人交纳违约金 2000 元/次；第二次承担同一违约性质的一般违约责任时，监理人应向委</w:t>
      </w:r>
    </w:p>
    <w:p>
      <w:pPr>
        <w:pStyle w:val="3"/>
        <w:spacing w:line="306" w:lineRule="exact"/>
        <w:jc w:val="both"/>
        <w:rPr>
          <w:color w:val="auto"/>
          <w:highlight w:val="none"/>
        </w:rPr>
      </w:pPr>
      <w:r>
        <w:rPr>
          <w:color w:val="auto"/>
          <w:highlight w:val="none"/>
        </w:rPr>
        <w:t>托人交纳的违约金为第一次交纳金额的 2 倍；第三次承担同一违约性质的一般违约责任时，</w:t>
      </w:r>
    </w:p>
    <w:p>
      <w:pPr>
        <w:pStyle w:val="3"/>
        <w:spacing w:before="158"/>
        <w:jc w:val="both"/>
        <w:rPr>
          <w:color w:val="auto"/>
          <w:highlight w:val="none"/>
        </w:rPr>
      </w:pPr>
      <w:r>
        <w:rPr>
          <w:color w:val="auto"/>
          <w:highlight w:val="none"/>
        </w:rPr>
        <w:t>监理人应向委托人交纳的违约金为第一次交纳金额的 3 倍；以此类推，但每次交纳的金额</w:t>
      </w:r>
    </w:p>
    <w:p>
      <w:pPr>
        <w:pStyle w:val="3"/>
        <w:spacing w:before="160"/>
        <w:jc w:val="both"/>
        <w:rPr>
          <w:color w:val="auto"/>
          <w:highlight w:val="none"/>
        </w:rPr>
      </w:pPr>
      <w:r>
        <w:rPr>
          <w:color w:val="auto"/>
          <w:highlight w:val="none"/>
        </w:rPr>
        <w:t>最高不超过第一次交纳金额的 5 倍。本合同另有约定的，从其约定。</w:t>
      </w:r>
    </w:p>
    <w:p>
      <w:pPr>
        <w:pStyle w:val="20"/>
        <w:numPr>
          <w:ilvl w:val="0"/>
          <w:numId w:val="75"/>
        </w:numPr>
        <w:tabs>
          <w:tab w:val="left" w:pos="1191"/>
        </w:tabs>
        <w:spacing w:before="158" w:line="364" w:lineRule="auto"/>
        <w:ind w:right="235" w:firstLine="360"/>
        <w:jc w:val="both"/>
        <w:rPr>
          <w:color w:val="auto"/>
          <w:sz w:val="24"/>
          <w:highlight w:val="none"/>
        </w:rPr>
      </w:pPr>
      <w:r>
        <w:rPr>
          <w:color w:val="auto"/>
          <w:sz w:val="24"/>
          <w:highlight w:val="none"/>
        </w:rPr>
        <w:t>严重违约责任。监理人按本合同约定应当承担严重违约责任时，必须向委托人交纳违约金 10000 元/次。</w:t>
      </w:r>
    </w:p>
    <w:p>
      <w:pPr>
        <w:pStyle w:val="20"/>
        <w:numPr>
          <w:ilvl w:val="0"/>
          <w:numId w:val="75"/>
        </w:numPr>
        <w:tabs>
          <w:tab w:val="left" w:pos="1191"/>
        </w:tabs>
        <w:spacing w:before="158" w:line="364" w:lineRule="auto"/>
        <w:ind w:right="235" w:firstLine="360"/>
        <w:jc w:val="both"/>
        <w:rPr>
          <w:color w:val="auto"/>
          <w:sz w:val="24"/>
          <w:highlight w:val="none"/>
        </w:rPr>
      </w:pPr>
      <w:r>
        <w:rPr>
          <w:color w:val="auto"/>
          <w:sz w:val="24"/>
          <w:highlight w:val="none"/>
        </w:rPr>
        <w:t>部分解除合同。委托人依本合同约定向监理人发出部分解除合同的通知后，本合同部分解除即生效。于此情形下，监理人必须在收到委托人部分解除合同通知之日起 3 日内停止被解除部分的工作，5 日内配合委托人完成现场工作和有关资料的移交，所交接资料必须完整。监理人无特殊原因未在要求期限内完成移交和撤出，或交接资料不完整的，委托人有权处理其留在现场的材料、设备和其他物件，处理费用由监理人承担，且委托人有权视情况全部解除合同。因监理人拒交或延误交接现场工作和有关资料而引致委托人工期延误及其他方面的损失，委托人有权要求监理人赔偿有关损失。委托人在发出部分解除合同的通知后，委托人即可委托新的监理单位承接该部分工程的监理，监理人不得影响或阻碍新的监理单位办理进场手续和相关工作。</w:t>
      </w:r>
    </w:p>
    <w:p>
      <w:pPr>
        <w:pStyle w:val="20"/>
        <w:numPr>
          <w:ilvl w:val="0"/>
          <w:numId w:val="75"/>
        </w:numPr>
        <w:tabs>
          <w:tab w:val="left" w:pos="1191"/>
        </w:tabs>
        <w:spacing w:before="161" w:line="364" w:lineRule="auto"/>
        <w:ind w:right="230" w:firstLine="360"/>
        <w:jc w:val="both"/>
        <w:rPr>
          <w:color w:val="auto"/>
          <w:sz w:val="24"/>
          <w:highlight w:val="none"/>
        </w:rPr>
      </w:pPr>
      <w:r>
        <w:rPr>
          <w:color w:val="auto"/>
          <w:sz w:val="24"/>
          <w:highlight w:val="none"/>
        </w:rPr>
        <w:t>解除合同。委托人依本合同约定向监理人发出解除合同的通知后，本合同即宣告解除。于此情形下，监理人必须在收到委托人解除合同通知之日起 3 日内停止全部工作，5 日内配合委托人完成现场工作和有关资料的移交，并于完成交接工作当日内离场。监理人应保证所移交的资料齐全完整，监理人无特殊原因未在要求期限内完成移交和离场或所移交的资料不完整的，委托人有权处理其留在现场的材料、设备和其他物件，处理费用由监理人承担，如果引致委托人工期延误和其他方面的损失，委托人将要求监理人赔偿有关损失。委托人在发出解除合同的通知后，委托人即可委托新的监理单位承接本合同工程的监理，监理人不得影响或阻碍新的监理单位办理进场手续和相关工作。</w:t>
      </w:r>
    </w:p>
    <w:p>
      <w:pPr>
        <w:pStyle w:val="20"/>
        <w:numPr>
          <w:ilvl w:val="0"/>
          <w:numId w:val="75"/>
        </w:numPr>
        <w:tabs>
          <w:tab w:val="left" w:pos="1191"/>
        </w:tabs>
        <w:spacing w:line="364" w:lineRule="auto"/>
        <w:ind w:right="230" w:firstLine="360"/>
        <w:jc w:val="both"/>
        <w:rPr>
          <w:color w:val="auto"/>
          <w:sz w:val="24"/>
          <w:highlight w:val="none"/>
        </w:rPr>
      </w:pPr>
      <w:r>
        <w:rPr>
          <w:color w:val="auto"/>
          <w:sz w:val="24"/>
          <w:highlight w:val="none"/>
        </w:rPr>
        <w:t>赔偿损失。因监理人违约或工作失误给委托人造成损失的，监理人应向委托人赔偿经济损失，赔偿总金额不应超过本合同监理酬金暂定金额；但如果损失是由于监理人故意或严重渎职造成的，监理人应承担全部赔偿责任。</w:t>
      </w:r>
    </w:p>
    <w:p>
      <w:pPr>
        <w:pStyle w:val="20"/>
        <w:numPr>
          <w:ilvl w:val="3"/>
          <w:numId w:val="12"/>
        </w:numPr>
        <w:tabs>
          <w:tab w:val="left" w:pos="1604"/>
        </w:tabs>
        <w:spacing w:line="364" w:lineRule="auto"/>
        <w:ind w:left="223" w:right="230" w:firstLine="480"/>
        <w:jc w:val="both"/>
        <w:rPr>
          <w:color w:val="auto"/>
          <w:sz w:val="24"/>
          <w:highlight w:val="none"/>
        </w:rPr>
      </w:pPr>
      <w:r>
        <w:rPr>
          <w:color w:val="auto"/>
          <w:sz w:val="24"/>
          <w:highlight w:val="none"/>
        </w:rPr>
        <w:t>监理人累计承担书面警告达 3 次的，则另行追加一般违约责任 1 次；监理人累计承担一般违约责任达 3 次的，则另行追加严重违约责任 1 次；监理人累计承担严重违约责任达 3 次或者工程进度严重滞后的，委托人有权要求监理人的法定代表人驻场办公，代行总监理工程师职责，直至委托人满意其监理工作时方可离场。</w:t>
      </w:r>
    </w:p>
    <w:p>
      <w:pPr>
        <w:pStyle w:val="20"/>
        <w:numPr>
          <w:ilvl w:val="3"/>
          <w:numId w:val="12"/>
        </w:numPr>
        <w:tabs>
          <w:tab w:val="left" w:pos="1604"/>
        </w:tabs>
        <w:spacing w:line="364" w:lineRule="auto"/>
        <w:ind w:left="223" w:right="230" w:firstLine="480"/>
        <w:jc w:val="both"/>
        <w:rPr>
          <w:color w:val="auto"/>
          <w:sz w:val="24"/>
          <w:highlight w:val="none"/>
        </w:rPr>
      </w:pPr>
      <w:r>
        <w:rPr>
          <w:color w:val="auto"/>
          <w:sz w:val="24"/>
          <w:highlight w:val="none"/>
        </w:rPr>
        <w:t>当监理人违约需向委托人支付违约金或赔偿金时，委托人有权从应支付给监理人的监理酬金中直接扣除，扣除款项计入累计监理酬金进度款，结算时不予退还，监理人不得有异议。同时，委托人保留进一步依法追究监理人及其保证人有关责任的权利。</w:t>
      </w:r>
    </w:p>
    <w:p>
      <w:pPr>
        <w:pStyle w:val="20"/>
        <w:numPr>
          <w:ilvl w:val="3"/>
          <w:numId w:val="12"/>
        </w:numPr>
        <w:tabs>
          <w:tab w:val="left" w:pos="1666"/>
        </w:tabs>
        <w:spacing w:line="364" w:lineRule="auto"/>
        <w:ind w:left="223" w:right="230" w:firstLine="480"/>
        <w:jc w:val="both"/>
        <w:rPr>
          <w:color w:val="auto"/>
          <w:sz w:val="24"/>
          <w:highlight w:val="none"/>
        </w:rPr>
      </w:pPr>
      <w:r>
        <w:rPr>
          <w:color w:val="auto"/>
          <w:sz w:val="24"/>
          <w:highlight w:val="none"/>
        </w:rPr>
        <w:t>当监理人无正当理由而不履行或没有全面且适当履行其相关承诺及监理义务时，委托人有权书面通知监理人，指明其未能履约的内容和委托人要求其承担违约责任的等级。</w:t>
      </w:r>
    </w:p>
    <w:p>
      <w:pPr>
        <w:pStyle w:val="20"/>
        <w:numPr>
          <w:ilvl w:val="4"/>
          <w:numId w:val="12"/>
        </w:numPr>
        <w:tabs>
          <w:tab w:val="left" w:pos="1844"/>
        </w:tabs>
        <w:spacing w:line="305" w:lineRule="exact"/>
        <w:ind w:hanging="1141"/>
        <w:jc w:val="both"/>
        <w:rPr>
          <w:color w:val="auto"/>
          <w:sz w:val="24"/>
          <w:highlight w:val="none"/>
        </w:rPr>
      </w:pPr>
      <w:r>
        <w:rPr>
          <w:color w:val="auto"/>
          <w:sz w:val="24"/>
          <w:highlight w:val="none"/>
        </w:rPr>
        <w:t>监理组织管理方面的违约责任</w:t>
      </w:r>
    </w:p>
    <w:p>
      <w:pPr>
        <w:pStyle w:val="20"/>
        <w:numPr>
          <w:ilvl w:val="0"/>
          <w:numId w:val="76"/>
        </w:numPr>
        <w:tabs>
          <w:tab w:val="left" w:pos="1191"/>
        </w:tabs>
        <w:spacing w:before="152" w:line="364" w:lineRule="auto"/>
        <w:ind w:right="230" w:firstLine="360"/>
        <w:jc w:val="both"/>
        <w:rPr>
          <w:color w:val="auto"/>
          <w:sz w:val="24"/>
          <w:highlight w:val="none"/>
        </w:rPr>
      </w:pPr>
      <w:r>
        <w:rPr>
          <w:color w:val="auto"/>
          <w:sz w:val="24"/>
          <w:highlight w:val="none"/>
        </w:rPr>
        <w:t>监理人承诺主动支持委托人的工作，若无正当理由又未提前向委托人报告且未得到委托人同意的，而对委托人的指令和书面通知，公开或变相拒不执行的，属于违约，监理人承担一般违约责任 1 次；监理人因此而再次违约的，每违约一次，监理人承担严重违</w:t>
      </w:r>
    </w:p>
    <w:p>
      <w:pPr>
        <w:pStyle w:val="3"/>
        <w:spacing w:line="364" w:lineRule="auto"/>
        <w:ind w:right="233"/>
        <w:jc w:val="both"/>
        <w:rPr>
          <w:color w:val="auto"/>
          <w:highlight w:val="none"/>
        </w:rPr>
      </w:pPr>
      <w:r>
        <w:rPr>
          <w:color w:val="auto"/>
          <w:highlight w:val="none"/>
        </w:rPr>
        <w:t>约责任 1 次；情节特别严重的，委托人有权单方面部分解除合同或解除合同。同时，监理人还须承担由此造成的经济损失。</w:t>
      </w:r>
    </w:p>
    <w:p>
      <w:pPr>
        <w:pStyle w:val="20"/>
        <w:numPr>
          <w:ilvl w:val="0"/>
          <w:numId w:val="76"/>
        </w:numPr>
        <w:tabs>
          <w:tab w:val="left" w:pos="1191"/>
        </w:tabs>
        <w:spacing w:line="364" w:lineRule="auto"/>
        <w:ind w:right="113" w:firstLine="360"/>
        <w:rPr>
          <w:color w:val="auto"/>
          <w:sz w:val="24"/>
          <w:highlight w:val="none"/>
        </w:rPr>
      </w:pPr>
      <w:r>
        <w:rPr>
          <w:color w:val="auto"/>
          <w:sz w:val="24"/>
          <w:highlight w:val="none"/>
        </w:rPr>
        <w:t>监理人不遵守委托人依据专用条款总则第六条约定所制订的各项制度、规定的， 由监理人按所违反制度、规定的有关规定承担违约责任。相应制度、规定没有明确规定的， 由委托人参照专用条款第 4.1.1.4.1（1）款的约定处理。</w:t>
      </w:r>
    </w:p>
    <w:p>
      <w:pPr>
        <w:pStyle w:val="20"/>
        <w:numPr>
          <w:ilvl w:val="0"/>
          <w:numId w:val="76"/>
        </w:numPr>
        <w:tabs>
          <w:tab w:val="left" w:pos="1191"/>
        </w:tabs>
        <w:spacing w:before="54" w:line="364" w:lineRule="auto"/>
        <w:ind w:right="235" w:firstLine="360"/>
        <w:rPr>
          <w:color w:val="auto"/>
          <w:sz w:val="24"/>
          <w:highlight w:val="none"/>
        </w:rPr>
      </w:pPr>
      <w:r>
        <w:rPr>
          <w:color w:val="auto"/>
          <w:sz w:val="24"/>
          <w:highlight w:val="none"/>
        </w:rPr>
        <w:t>监理人未按承诺建立组织架构、派驻监理人员和投入设备，监理人必须按委托人要求限期整改，并承担相应违约责任，具体约定为：</w:t>
      </w:r>
    </w:p>
    <w:p>
      <w:pPr>
        <w:pStyle w:val="3"/>
        <w:spacing w:before="1" w:line="364" w:lineRule="auto"/>
        <w:ind w:right="110" w:firstLine="480"/>
        <w:rPr>
          <w:color w:val="auto"/>
          <w:highlight w:val="none"/>
        </w:rPr>
      </w:pPr>
      <w:r>
        <w:rPr>
          <w:color w:val="auto"/>
          <w:highlight w:val="none"/>
        </w:rPr>
        <w:t>在委托人书面通知监理人进场后 3 日内，监理人在投标文件中承诺的主要监理人员未能足额到位，或到位后又离开，造成该岗位空缺，或未按承诺依时、足额投入有关设备的， 监理人应向委托人书面解释并保证人员、设备限期到位；如果监理人拒不配合，未在委托人提出限期改正的期限内进行整改的，监理人承担严重违约责任 1 次。于此情形下，委托人有权单方面解除合同，并要求监理人承担由此造成的损失。</w:t>
      </w:r>
    </w:p>
    <w:p>
      <w:pPr>
        <w:pStyle w:val="20"/>
        <w:numPr>
          <w:ilvl w:val="0"/>
          <w:numId w:val="76"/>
        </w:numPr>
        <w:tabs>
          <w:tab w:val="left" w:pos="1191"/>
        </w:tabs>
        <w:spacing w:line="364" w:lineRule="auto"/>
        <w:ind w:right="230" w:firstLine="360"/>
        <w:jc w:val="both"/>
        <w:rPr>
          <w:color w:val="auto"/>
          <w:sz w:val="24"/>
          <w:highlight w:val="none"/>
        </w:rPr>
      </w:pPr>
      <w:r>
        <w:rPr>
          <w:color w:val="auto"/>
          <w:sz w:val="24"/>
          <w:highlight w:val="none"/>
        </w:rPr>
        <w:t>监理人必须严格按照投标承诺投入监理人员，调换监理人员必须提出书面报告并附上替代人员的所有证明资料，经委托人审核书面同意后才能调换。委托人要求监理人更换监理人员时，监理人在接到委托人通知后三天内安排更换到位，否则，委托人有权延期支付监理酬金，并由委托人直接另行聘请监理人员，聘请人员所需费用按专用条款第 2.3.1</w:t>
      </w:r>
    </w:p>
    <w:p>
      <w:pPr>
        <w:pStyle w:val="20"/>
        <w:numPr>
          <w:ilvl w:val="0"/>
          <w:numId w:val="77"/>
        </w:numPr>
        <w:tabs>
          <w:tab w:val="left" w:pos="825"/>
        </w:tabs>
        <w:spacing w:line="364" w:lineRule="auto"/>
        <w:ind w:right="233" w:hanging="120"/>
        <w:rPr>
          <w:color w:val="auto"/>
          <w:sz w:val="24"/>
          <w:highlight w:val="none"/>
        </w:rPr>
      </w:pPr>
      <w:r>
        <w:rPr>
          <w:color w:val="auto"/>
          <w:sz w:val="24"/>
          <w:highlight w:val="none"/>
        </w:rPr>
        <w:t>款的约定执行。同时，监理人按下表的约定承担违约责任；情节严重的，委托人有权单方面解除合同。</w:t>
      </w:r>
    </w:p>
    <w:tbl>
      <w:tblPr>
        <w:tblStyle w:val="17"/>
        <w:tblW w:w="0" w:type="auto"/>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4500"/>
        <w:gridCol w:w="4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20" w:type="dxa"/>
            <w:vAlign w:val="center"/>
          </w:tcPr>
          <w:p>
            <w:pPr>
              <w:pStyle w:val="21"/>
              <w:spacing w:line="302" w:lineRule="exact"/>
              <w:ind w:left="99" w:right="90"/>
              <w:jc w:val="center"/>
              <w:rPr>
                <w:color w:val="auto"/>
                <w:sz w:val="24"/>
                <w:highlight w:val="none"/>
              </w:rPr>
            </w:pPr>
            <w:r>
              <w:rPr>
                <w:color w:val="auto"/>
                <w:sz w:val="24"/>
                <w:highlight w:val="none"/>
              </w:rPr>
              <w:t>序号</w:t>
            </w:r>
          </w:p>
        </w:tc>
        <w:tc>
          <w:tcPr>
            <w:tcW w:w="4500" w:type="dxa"/>
            <w:vAlign w:val="center"/>
          </w:tcPr>
          <w:p>
            <w:pPr>
              <w:pStyle w:val="21"/>
              <w:spacing w:line="302" w:lineRule="exact"/>
              <w:ind w:left="1748" w:right="1741"/>
              <w:jc w:val="center"/>
              <w:rPr>
                <w:color w:val="auto"/>
                <w:sz w:val="24"/>
                <w:highlight w:val="none"/>
              </w:rPr>
            </w:pPr>
            <w:r>
              <w:rPr>
                <w:color w:val="auto"/>
                <w:sz w:val="24"/>
                <w:highlight w:val="none"/>
              </w:rPr>
              <w:t>违约项目</w:t>
            </w:r>
          </w:p>
        </w:tc>
        <w:tc>
          <w:tcPr>
            <w:tcW w:w="4073" w:type="dxa"/>
            <w:vAlign w:val="center"/>
          </w:tcPr>
          <w:p>
            <w:pPr>
              <w:pStyle w:val="21"/>
              <w:spacing w:before="35"/>
              <w:ind w:left="875" w:right="868"/>
              <w:jc w:val="center"/>
              <w:rPr>
                <w:color w:val="auto"/>
                <w:sz w:val="24"/>
                <w:highlight w:val="none"/>
              </w:rPr>
            </w:pPr>
            <w:r>
              <w:rPr>
                <w:color w:val="auto"/>
                <w:sz w:val="24"/>
                <w:highlight w:val="none"/>
              </w:rPr>
              <w:t>违约金（元/人·次）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20" w:type="dxa"/>
            <w:vAlign w:val="center"/>
          </w:tcPr>
          <w:p>
            <w:pPr>
              <w:pStyle w:val="21"/>
              <w:spacing w:before="9"/>
              <w:jc w:val="center"/>
              <w:rPr>
                <w:color w:val="auto"/>
                <w:sz w:val="17"/>
                <w:highlight w:val="none"/>
              </w:rPr>
            </w:pPr>
          </w:p>
          <w:p>
            <w:pPr>
              <w:pStyle w:val="21"/>
              <w:spacing w:before="1"/>
              <w:ind w:left="9"/>
              <w:jc w:val="center"/>
              <w:rPr>
                <w:color w:val="auto"/>
                <w:sz w:val="24"/>
                <w:highlight w:val="none"/>
              </w:rPr>
            </w:pPr>
            <w:r>
              <w:rPr>
                <w:color w:val="auto"/>
                <w:sz w:val="24"/>
                <w:highlight w:val="none"/>
              </w:rPr>
              <w:t>1</w:t>
            </w:r>
          </w:p>
        </w:tc>
        <w:tc>
          <w:tcPr>
            <w:tcW w:w="4500" w:type="dxa"/>
            <w:vAlign w:val="center"/>
          </w:tcPr>
          <w:p>
            <w:pPr>
              <w:pStyle w:val="21"/>
              <w:spacing w:line="300" w:lineRule="exact"/>
              <w:ind w:left="107"/>
              <w:jc w:val="center"/>
              <w:rPr>
                <w:color w:val="auto"/>
                <w:sz w:val="24"/>
                <w:highlight w:val="none"/>
              </w:rPr>
            </w:pPr>
            <w:r>
              <w:rPr>
                <w:color w:val="auto"/>
                <w:sz w:val="24"/>
                <w:highlight w:val="none"/>
              </w:rPr>
              <w:t>监理人自行调换或未按照委托人要求及</w:t>
            </w:r>
          </w:p>
          <w:p>
            <w:pPr>
              <w:pStyle w:val="21"/>
              <w:spacing w:before="160"/>
              <w:ind w:left="107"/>
              <w:jc w:val="center"/>
              <w:rPr>
                <w:color w:val="auto"/>
                <w:sz w:val="24"/>
                <w:highlight w:val="none"/>
              </w:rPr>
            </w:pPr>
            <w:r>
              <w:rPr>
                <w:color w:val="auto"/>
                <w:sz w:val="24"/>
                <w:highlight w:val="none"/>
              </w:rPr>
              <w:t>时更换总监理工程师</w:t>
            </w:r>
          </w:p>
        </w:tc>
        <w:tc>
          <w:tcPr>
            <w:tcW w:w="4073" w:type="dxa"/>
            <w:vAlign w:val="center"/>
          </w:tcPr>
          <w:p>
            <w:pPr>
              <w:pStyle w:val="21"/>
              <w:spacing w:before="12"/>
              <w:jc w:val="center"/>
              <w:rPr>
                <w:color w:val="auto"/>
                <w:sz w:val="20"/>
                <w:highlight w:val="none"/>
              </w:rPr>
            </w:pPr>
          </w:p>
          <w:p>
            <w:pPr>
              <w:pStyle w:val="21"/>
              <w:ind w:left="875" w:right="866"/>
              <w:jc w:val="center"/>
              <w:rPr>
                <w:color w:val="auto"/>
                <w:sz w:val="24"/>
                <w:highlight w:val="none"/>
              </w:rPr>
            </w:pPr>
            <w:r>
              <w:rPr>
                <w:color w:val="auto"/>
                <w:sz w:val="24"/>
                <w:highlight w:val="none"/>
              </w:rPr>
              <w:t>30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20" w:type="dxa"/>
            <w:vAlign w:val="center"/>
          </w:tcPr>
          <w:p>
            <w:pPr>
              <w:pStyle w:val="21"/>
              <w:spacing w:before="9"/>
              <w:jc w:val="center"/>
              <w:rPr>
                <w:color w:val="auto"/>
                <w:sz w:val="17"/>
                <w:highlight w:val="none"/>
              </w:rPr>
            </w:pPr>
          </w:p>
          <w:p>
            <w:pPr>
              <w:pStyle w:val="21"/>
              <w:spacing w:before="1"/>
              <w:ind w:left="9"/>
              <w:jc w:val="center"/>
              <w:rPr>
                <w:color w:val="auto"/>
                <w:sz w:val="24"/>
                <w:highlight w:val="none"/>
              </w:rPr>
            </w:pPr>
            <w:r>
              <w:rPr>
                <w:color w:val="auto"/>
                <w:sz w:val="24"/>
                <w:highlight w:val="none"/>
              </w:rPr>
              <w:t>2</w:t>
            </w:r>
          </w:p>
        </w:tc>
        <w:tc>
          <w:tcPr>
            <w:tcW w:w="4500" w:type="dxa"/>
            <w:vAlign w:val="center"/>
          </w:tcPr>
          <w:p>
            <w:pPr>
              <w:pStyle w:val="21"/>
              <w:spacing w:line="300" w:lineRule="exact"/>
              <w:ind w:left="107"/>
              <w:jc w:val="center"/>
              <w:rPr>
                <w:color w:val="auto"/>
                <w:sz w:val="24"/>
                <w:highlight w:val="none"/>
              </w:rPr>
            </w:pPr>
            <w:r>
              <w:rPr>
                <w:color w:val="auto"/>
                <w:sz w:val="24"/>
                <w:highlight w:val="none"/>
              </w:rPr>
              <w:t>监理人自行调换或未按照委托人要求及</w:t>
            </w:r>
          </w:p>
          <w:p>
            <w:pPr>
              <w:pStyle w:val="21"/>
              <w:spacing w:before="160"/>
              <w:ind w:left="107"/>
              <w:jc w:val="center"/>
              <w:rPr>
                <w:color w:val="auto"/>
                <w:sz w:val="24"/>
                <w:highlight w:val="none"/>
              </w:rPr>
            </w:pPr>
            <w:r>
              <w:rPr>
                <w:color w:val="auto"/>
                <w:sz w:val="24"/>
                <w:highlight w:val="none"/>
              </w:rPr>
              <w:t>时更换总监代表</w:t>
            </w:r>
          </w:p>
        </w:tc>
        <w:tc>
          <w:tcPr>
            <w:tcW w:w="4073" w:type="dxa"/>
            <w:vAlign w:val="center"/>
          </w:tcPr>
          <w:p>
            <w:pPr>
              <w:pStyle w:val="21"/>
              <w:spacing w:before="12"/>
              <w:jc w:val="center"/>
              <w:rPr>
                <w:color w:val="auto"/>
                <w:sz w:val="20"/>
                <w:highlight w:val="none"/>
              </w:rPr>
            </w:pPr>
          </w:p>
          <w:p>
            <w:pPr>
              <w:pStyle w:val="21"/>
              <w:ind w:left="875" w:right="866"/>
              <w:jc w:val="center"/>
              <w:rPr>
                <w:color w:val="auto"/>
                <w:sz w:val="24"/>
                <w:highlight w:val="none"/>
              </w:rPr>
            </w:pPr>
            <w:r>
              <w:rPr>
                <w:color w:val="auto"/>
                <w:sz w:val="24"/>
                <w:highlight w:val="none"/>
              </w:rPr>
              <w:t>5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20" w:type="dxa"/>
            <w:vAlign w:val="center"/>
          </w:tcPr>
          <w:p>
            <w:pPr>
              <w:pStyle w:val="21"/>
              <w:spacing w:before="7"/>
              <w:jc w:val="center"/>
              <w:rPr>
                <w:color w:val="auto"/>
                <w:sz w:val="17"/>
                <w:highlight w:val="none"/>
              </w:rPr>
            </w:pPr>
          </w:p>
          <w:p>
            <w:pPr>
              <w:pStyle w:val="21"/>
              <w:ind w:left="9"/>
              <w:jc w:val="center"/>
              <w:rPr>
                <w:color w:val="auto"/>
                <w:sz w:val="24"/>
                <w:highlight w:val="none"/>
              </w:rPr>
            </w:pPr>
            <w:r>
              <w:rPr>
                <w:color w:val="auto"/>
                <w:sz w:val="24"/>
                <w:highlight w:val="none"/>
              </w:rPr>
              <w:t>3</w:t>
            </w:r>
          </w:p>
        </w:tc>
        <w:tc>
          <w:tcPr>
            <w:tcW w:w="4500" w:type="dxa"/>
            <w:vAlign w:val="center"/>
          </w:tcPr>
          <w:p>
            <w:pPr>
              <w:pStyle w:val="21"/>
              <w:spacing w:line="300" w:lineRule="exact"/>
              <w:ind w:left="107"/>
              <w:jc w:val="center"/>
              <w:rPr>
                <w:color w:val="auto"/>
                <w:sz w:val="24"/>
                <w:highlight w:val="none"/>
              </w:rPr>
            </w:pPr>
            <w:r>
              <w:rPr>
                <w:color w:val="auto"/>
                <w:sz w:val="24"/>
                <w:highlight w:val="none"/>
              </w:rPr>
              <w:t>监理人自行调换或未按照委托人要求及</w:t>
            </w:r>
          </w:p>
          <w:p>
            <w:pPr>
              <w:pStyle w:val="21"/>
              <w:spacing w:before="158"/>
              <w:ind w:left="107"/>
              <w:jc w:val="center"/>
              <w:rPr>
                <w:color w:val="auto"/>
                <w:sz w:val="24"/>
                <w:highlight w:val="none"/>
              </w:rPr>
            </w:pPr>
            <w:r>
              <w:rPr>
                <w:color w:val="auto"/>
                <w:sz w:val="24"/>
                <w:highlight w:val="none"/>
              </w:rPr>
              <w:t>时更换专业监理工程师</w:t>
            </w:r>
          </w:p>
        </w:tc>
        <w:tc>
          <w:tcPr>
            <w:tcW w:w="4073" w:type="dxa"/>
            <w:vAlign w:val="center"/>
          </w:tcPr>
          <w:p>
            <w:pPr>
              <w:pStyle w:val="21"/>
              <w:spacing w:before="9"/>
              <w:jc w:val="center"/>
              <w:rPr>
                <w:color w:val="auto"/>
                <w:sz w:val="20"/>
                <w:highlight w:val="none"/>
              </w:rPr>
            </w:pPr>
          </w:p>
          <w:p>
            <w:pPr>
              <w:pStyle w:val="21"/>
              <w:spacing w:before="1"/>
              <w:ind w:left="875" w:right="866"/>
              <w:jc w:val="center"/>
              <w:rPr>
                <w:color w:val="auto"/>
                <w:sz w:val="24"/>
                <w:highlight w:val="none"/>
              </w:rPr>
            </w:pPr>
            <w:r>
              <w:rPr>
                <w:color w:val="auto"/>
                <w:sz w:val="24"/>
                <w:highlight w:val="none"/>
              </w:rPr>
              <w:t>1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20" w:type="dxa"/>
            <w:vAlign w:val="center"/>
          </w:tcPr>
          <w:p>
            <w:pPr>
              <w:pStyle w:val="21"/>
              <w:jc w:val="center"/>
              <w:rPr>
                <w:rFonts w:ascii="Times New Roman"/>
                <w:color w:val="auto"/>
                <w:sz w:val="24"/>
                <w:highlight w:val="none"/>
                <w:lang w:val="en-US"/>
              </w:rPr>
            </w:pPr>
            <w:r>
              <w:rPr>
                <w:rFonts w:hint="eastAsia" w:ascii="Times New Roman"/>
                <w:color w:val="auto"/>
                <w:sz w:val="24"/>
                <w:highlight w:val="none"/>
                <w:lang w:val="en-US"/>
              </w:rPr>
              <w:t>4</w:t>
            </w:r>
          </w:p>
        </w:tc>
        <w:tc>
          <w:tcPr>
            <w:tcW w:w="4500" w:type="dxa"/>
            <w:vAlign w:val="center"/>
          </w:tcPr>
          <w:p>
            <w:pPr>
              <w:pStyle w:val="21"/>
              <w:spacing w:line="300" w:lineRule="exact"/>
              <w:ind w:left="107"/>
              <w:jc w:val="center"/>
              <w:rPr>
                <w:color w:val="auto"/>
                <w:sz w:val="24"/>
                <w:highlight w:val="none"/>
              </w:rPr>
            </w:pPr>
            <w:r>
              <w:rPr>
                <w:color w:val="auto"/>
                <w:sz w:val="24"/>
                <w:highlight w:val="none"/>
              </w:rPr>
              <w:t>监理人自行调换或未按照委托人要求及</w:t>
            </w:r>
          </w:p>
          <w:p>
            <w:pPr>
              <w:pStyle w:val="21"/>
              <w:spacing w:before="158"/>
              <w:ind w:left="107"/>
              <w:jc w:val="center"/>
              <w:rPr>
                <w:color w:val="auto"/>
                <w:sz w:val="24"/>
                <w:highlight w:val="none"/>
              </w:rPr>
            </w:pPr>
            <w:r>
              <w:rPr>
                <w:color w:val="auto"/>
                <w:sz w:val="24"/>
                <w:highlight w:val="none"/>
              </w:rPr>
              <w:t>时更换造价工程师</w:t>
            </w:r>
          </w:p>
        </w:tc>
        <w:tc>
          <w:tcPr>
            <w:tcW w:w="4073" w:type="dxa"/>
            <w:vAlign w:val="center"/>
          </w:tcPr>
          <w:p>
            <w:pPr>
              <w:pStyle w:val="21"/>
              <w:spacing w:before="9"/>
              <w:jc w:val="center"/>
              <w:rPr>
                <w:color w:val="auto"/>
                <w:sz w:val="20"/>
                <w:highlight w:val="none"/>
              </w:rPr>
            </w:pPr>
          </w:p>
          <w:p>
            <w:pPr>
              <w:pStyle w:val="21"/>
              <w:spacing w:before="1"/>
              <w:ind w:left="875" w:right="866"/>
              <w:jc w:val="center"/>
              <w:rPr>
                <w:color w:val="auto"/>
                <w:sz w:val="24"/>
                <w:highlight w:val="none"/>
              </w:rPr>
            </w:pPr>
            <w:r>
              <w:rPr>
                <w:color w:val="auto"/>
                <w:sz w:val="24"/>
                <w:highlight w:val="none"/>
              </w:rPr>
              <w:t>1 万元</w:t>
            </w:r>
          </w:p>
        </w:tc>
      </w:tr>
    </w:tbl>
    <w:p>
      <w:pPr>
        <w:pStyle w:val="3"/>
        <w:spacing w:before="12"/>
        <w:ind w:left="0"/>
        <w:rPr>
          <w:color w:val="auto"/>
          <w:sz w:val="35"/>
          <w:highlight w:val="none"/>
        </w:rPr>
      </w:pPr>
    </w:p>
    <w:p>
      <w:pPr>
        <w:pStyle w:val="20"/>
        <w:numPr>
          <w:ilvl w:val="1"/>
          <w:numId w:val="77"/>
        </w:numPr>
        <w:tabs>
          <w:tab w:val="left" w:pos="1191"/>
        </w:tabs>
        <w:spacing w:line="364" w:lineRule="auto"/>
        <w:ind w:right="230" w:firstLine="360"/>
        <w:jc w:val="both"/>
        <w:rPr>
          <w:color w:val="auto"/>
          <w:sz w:val="24"/>
          <w:highlight w:val="none"/>
        </w:rPr>
      </w:pPr>
      <w:r>
        <w:rPr>
          <w:color w:val="auto"/>
          <w:sz w:val="24"/>
          <w:highlight w:val="none"/>
        </w:rPr>
        <w:t>对于委托人通知监理人参加的会议（包括但不限于进场会、现场问题处理会议、工程验收会议、结算问题处理会议、质保期工作的相关会议等），被通知人员（包括但不限于监理人的法定代表人、经报委托人批准同意的监理人法定代表人授权人、总监理工程师、项目副总监等）未经委托人书面同意自行缺席的，每缺席一人次监理人承担 1 次一般违约责任。</w:t>
      </w:r>
    </w:p>
    <w:p>
      <w:pPr>
        <w:pStyle w:val="20"/>
        <w:numPr>
          <w:ilvl w:val="1"/>
          <w:numId w:val="77"/>
        </w:numPr>
        <w:tabs>
          <w:tab w:val="left" w:pos="1191"/>
        </w:tabs>
        <w:spacing w:line="364" w:lineRule="auto"/>
        <w:ind w:right="230" w:firstLine="360"/>
        <w:jc w:val="both"/>
        <w:rPr>
          <w:color w:val="auto"/>
          <w:sz w:val="24"/>
          <w:highlight w:val="none"/>
        </w:rPr>
      </w:pPr>
      <w:r>
        <w:rPr>
          <w:color w:val="auto"/>
          <w:sz w:val="24"/>
          <w:highlight w:val="none"/>
        </w:rPr>
        <w:t>监理人应该定期或不定期组织、主持召开监理例会及各种技术专题会，以及监理规划、监理实施细则和委托人要求必须召开的会议，否则视为违约，每违约一次，监理人承担一般违约责任 1 次。</w:t>
      </w:r>
    </w:p>
    <w:p>
      <w:pPr>
        <w:pStyle w:val="20"/>
        <w:numPr>
          <w:ilvl w:val="1"/>
          <w:numId w:val="77"/>
        </w:numPr>
        <w:tabs>
          <w:tab w:val="left" w:pos="1191"/>
        </w:tabs>
        <w:spacing w:before="54" w:line="364" w:lineRule="auto"/>
        <w:ind w:right="110" w:firstLine="360"/>
        <w:rPr>
          <w:color w:val="auto"/>
          <w:sz w:val="24"/>
          <w:highlight w:val="none"/>
        </w:rPr>
      </w:pPr>
      <w:r>
        <w:rPr>
          <w:color w:val="auto"/>
          <w:sz w:val="24"/>
          <w:highlight w:val="none"/>
        </w:rPr>
        <w:t>如监理人违反委托监理协议书第七条、第八条的约定，未在相关信息发生变化时及时将变更情况书面报告委托人的，每经委托人确认 1 次，监理人承担 1 次一般违约责任。</w:t>
      </w:r>
    </w:p>
    <w:p>
      <w:pPr>
        <w:pStyle w:val="20"/>
        <w:numPr>
          <w:ilvl w:val="1"/>
          <w:numId w:val="77"/>
        </w:numPr>
        <w:tabs>
          <w:tab w:val="left" w:pos="1185"/>
        </w:tabs>
        <w:spacing w:before="1" w:line="362" w:lineRule="auto"/>
        <w:ind w:right="239" w:firstLine="360"/>
        <w:rPr>
          <w:color w:val="auto"/>
          <w:sz w:val="24"/>
          <w:highlight w:val="none"/>
        </w:rPr>
      </w:pPr>
      <w:r>
        <w:rPr>
          <w:rFonts w:ascii="Calibri" w:hAnsi="Calibri" w:eastAsia="Calibri"/>
          <w:color w:val="auto"/>
          <w:sz w:val="24"/>
          <w:highlight w:val="none"/>
        </w:rPr>
        <w:t>①</w:t>
      </w:r>
      <w:r>
        <w:rPr>
          <w:color w:val="auto"/>
          <w:sz w:val="24"/>
          <w:highlight w:val="none"/>
        </w:rPr>
        <w:t>总监、资料员、安全监理员或注册安全工程师必须在施工全过程常驻现场，其他监理人员应驻场的具体阶段由委托人和监理人在合同签订时具体协商确定。</w:t>
      </w:r>
    </w:p>
    <w:p>
      <w:pPr>
        <w:pStyle w:val="3"/>
        <w:spacing w:before="5" w:line="364" w:lineRule="auto"/>
        <w:ind w:right="230" w:firstLine="840"/>
        <w:jc w:val="both"/>
        <w:rPr>
          <w:color w:val="auto"/>
          <w:highlight w:val="none"/>
        </w:rPr>
      </w:pPr>
      <w:r>
        <w:rPr>
          <w:rFonts w:ascii="Calibri" w:hAnsi="Calibri" w:eastAsia="Calibri"/>
          <w:color w:val="auto"/>
          <w:highlight w:val="none"/>
        </w:rPr>
        <w:t>②</w:t>
      </w:r>
      <w:r>
        <w:rPr>
          <w:color w:val="auto"/>
          <w:highlight w:val="none"/>
        </w:rPr>
        <w:t>监理人员常驻现场的具体要求为：每月不得少于 22 天，每天不得少于 8 小时， 有事离开施工现场必须向委托人请假批准，否则视为脱岗，脱岗每发生一次，监理人应承担 1 次一般违约责任；总监和总监代表不得同时离开施工现场，否则视为脱岗，脱岗每发</w:t>
      </w:r>
    </w:p>
    <w:p>
      <w:pPr>
        <w:pStyle w:val="3"/>
        <w:spacing w:line="364" w:lineRule="auto"/>
        <w:ind w:right="230"/>
        <w:jc w:val="both"/>
        <w:rPr>
          <w:color w:val="auto"/>
          <w:highlight w:val="none"/>
        </w:rPr>
      </w:pPr>
      <w:r>
        <w:rPr>
          <w:color w:val="auto"/>
          <w:highlight w:val="none"/>
        </w:rPr>
        <w:t>生一次监理人应承担 1 次一般违约责任；</w:t>
      </w:r>
      <w:r>
        <w:rPr>
          <w:rFonts w:hint="eastAsia"/>
          <w:color w:val="auto"/>
          <w:highlight w:val="none"/>
        </w:rPr>
        <w:t>根据项目情况如增设了总监代表的，总监驻场的时间每周不少于</w:t>
      </w:r>
      <w:r>
        <w:rPr>
          <w:rFonts w:hint="eastAsia"/>
          <w:color w:val="auto"/>
          <w:highlight w:val="none"/>
          <w:lang w:val="en-US"/>
        </w:rPr>
        <w:t>2天，否则视为脱岗，脱岗每发生一次监理人应承担1次一般违约责任；</w:t>
      </w:r>
      <w:r>
        <w:rPr>
          <w:color w:val="auto"/>
          <w:highlight w:val="none"/>
        </w:rPr>
        <w:t>项目处于赶工期间或处于较大安全隐患期间、重要施工节点期间时，总监、安全监理员或注册安全工程师及根据第</w:t>
      </w:r>
      <w:r>
        <w:rPr>
          <w:rFonts w:ascii="Calibri" w:hAnsi="Calibri" w:eastAsia="Calibri"/>
          <w:color w:val="auto"/>
          <w:highlight w:val="none"/>
        </w:rPr>
        <w:t>①</w:t>
      </w:r>
      <w:r>
        <w:rPr>
          <w:color w:val="auto"/>
          <w:highlight w:val="none"/>
        </w:rPr>
        <w:t>条确定应该驻场的所有监理人员必须 24 小时在现场，离开施工现场必须向委托人请假批准，否则视为脱岗，脱岗每发生一次监理人应承担 1 次严重违约责任。</w:t>
      </w:r>
    </w:p>
    <w:p>
      <w:pPr>
        <w:pStyle w:val="20"/>
        <w:numPr>
          <w:ilvl w:val="255"/>
          <w:numId w:val="0"/>
        </w:numPr>
        <w:tabs>
          <w:tab w:val="left" w:pos="1191"/>
        </w:tabs>
        <w:spacing w:line="364" w:lineRule="auto"/>
        <w:ind w:right="113" w:firstLine="720" w:firstLineChars="300"/>
        <w:rPr>
          <w:color w:val="auto"/>
          <w:highlight w:val="none"/>
          <w:lang w:val="en-US"/>
        </w:rPr>
      </w:pPr>
      <w:r>
        <w:rPr>
          <w:rFonts w:hint="default"/>
          <w:color w:val="auto"/>
          <w:sz w:val="24"/>
          <w:szCs w:val="24"/>
          <w:highlight w:val="none"/>
          <w:lang w:val="zh-CN"/>
        </w:rPr>
        <w:t>(9)如</w:t>
      </w:r>
      <w:r>
        <w:rPr>
          <w:rFonts w:hint="default"/>
          <w:color w:val="auto"/>
          <w:sz w:val="24"/>
          <w:szCs w:val="24"/>
          <w:highlight w:val="none"/>
        </w:rPr>
        <w:t>本项目施工阶段监理服务期内，发生总监理工程师在其他项目担任职务，</w:t>
      </w:r>
      <w:r>
        <w:rPr>
          <w:color w:val="auto"/>
          <w:sz w:val="24"/>
          <w:szCs w:val="24"/>
          <w:highlight w:val="none"/>
        </w:rPr>
        <w:t>由委托人参照专用条款第 4.1.1.4.1（</w:t>
      </w:r>
      <w:r>
        <w:rPr>
          <w:rFonts w:hint="default"/>
          <w:color w:val="auto"/>
          <w:sz w:val="24"/>
          <w:szCs w:val="24"/>
          <w:highlight w:val="none"/>
          <w:lang w:val="zh-CN"/>
        </w:rPr>
        <w:t>4</w:t>
      </w:r>
      <w:r>
        <w:rPr>
          <w:color w:val="auto"/>
          <w:sz w:val="24"/>
          <w:szCs w:val="24"/>
          <w:highlight w:val="none"/>
        </w:rPr>
        <w:t>）款</w:t>
      </w:r>
      <w:r>
        <w:rPr>
          <w:rFonts w:hint="default"/>
          <w:color w:val="auto"/>
          <w:sz w:val="24"/>
          <w:szCs w:val="24"/>
          <w:highlight w:val="none"/>
        </w:rPr>
        <w:t>中表格内序号</w:t>
      </w:r>
      <w:r>
        <w:rPr>
          <w:rFonts w:hint="default"/>
          <w:color w:val="auto"/>
          <w:sz w:val="24"/>
          <w:szCs w:val="24"/>
          <w:highlight w:val="none"/>
          <w:lang w:val="zh-CN"/>
        </w:rPr>
        <w:t>1的</w:t>
      </w:r>
      <w:r>
        <w:rPr>
          <w:color w:val="auto"/>
          <w:sz w:val="24"/>
          <w:szCs w:val="24"/>
          <w:highlight w:val="none"/>
        </w:rPr>
        <w:t>约定处理。</w:t>
      </w:r>
    </w:p>
    <w:p>
      <w:pPr>
        <w:pStyle w:val="20"/>
        <w:numPr>
          <w:ilvl w:val="4"/>
          <w:numId w:val="12"/>
        </w:numPr>
        <w:tabs>
          <w:tab w:val="left" w:pos="1844"/>
        </w:tabs>
        <w:spacing w:before="155"/>
        <w:ind w:hanging="1141"/>
        <w:jc w:val="both"/>
        <w:rPr>
          <w:color w:val="auto"/>
          <w:sz w:val="24"/>
          <w:highlight w:val="none"/>
        </w:rPr>
      </w:pPr>
      <w:r>
        <w:rPr>
          <w:color w:val="auto"/>
          <w:sz w:val="24"/>
          <w:highlight w:val="none"/>
        </w:rPr>
        <w:t>履行监理职责方面的违约责任</w:t>
      </w:r>
    </w:p>
    <w:p>
      <w:pPr>
        <w:pStyle w:val="20"/>
        <w:numPr>
          <w:ilvl w:val="0"/>
          <w:numId w:val="78"/>
        </w:numPr>
        <w:tabs>
          <w:tab w:val="left" w:pos="1191"/>
        </w:tabs>
        <w:spacing w:before="161" w:line="364" w:lineRule="auto"/>
        <w:ind w:right="230" w:firstLine="360"/>
        <w:jc w:val="both"/>
        <w:rPr>
          <w:color w:val="auto"/>
          <w:sz w:val="24"/>
          <w:highlight w:val="none"/>
        </w:rPr>
      </w:pPr>
      <w:r>
        <w:rPr>
          <w:color w:val="auto"/>
          <w:sz w:val="24"/>
          <w:highlight w:val="none"/>
        </w:rPr>
        <w:t>监理人在自己职责范围内对应当作出决定的事项故意拖延或者不作出明确的处理意见，在委托人书面警告后监理人在整改期限内仍不加以改正的，视为违约，监理人承担一般违约责任 1 次；因此造成损失的，监理人承担赔偿责任。</w:t>
      </w:r>
    </w:p>
    <w:p>
      <w:pPr>
        <w:pStyle w:val="20"/>
        <w:numPr>
          <w:ilvl w:val="0"/>
          <w:numId w:val="78"/>
        </w:numPr>
        <w:tabs>
          <w:tab w:val="left" w:pos="1191"/>
        </w:tabs>
        <w:spacing w:line="364" w:lineRule="auto"/>
        <w:ind w:right="230" w:firstLine="360"/>
        <w:jc w:val="both"/>
        <w:rPr>
          <w:color w:val="auto"/>
          <w:sz w:val="24"/>
          <w:highlight w:val="none"/>
        </w:rPr>
      </w:pPr>
      <w:r>
        <w:rPr>
          <w:color w:val="auto"/>
          <w:sz w:val="24"/>
          <w:highlight w:val="none"/>
        </w:rPr>
        <w:t>监理人对于承包人现场的管理机构人员不到位、擅自离场，管理人员工作能力存在严重不足等存在的问题不进行有效检查、督促、处理，且不向委托人报告的，在委托人书面警告并要求限期改正后，拒不限期改正的，承担 1 次一般违约责任。</w:t>
      </w:r>
    </w:p>
    <w:p>
      <w:pPr>
        <w:pStyle w:val="20"/>
        <w:numPr>
          <w:ilvl w:val="0"/>
          <w:numId w:val="78"/>
        </w:numPr>
        <w:tabs>
          <w:tab w:val="left" w:pos="1191"/>
        </w:tabs>
        <w:spacing w:line="364" w:lineRule="auto"/>
        <w:ind w:right="230" w:firstLine="360"/>
        <w:jc w:val="both"/>
        <w:rPr>
          <w:color w:val="auto"/>
          <w:sz w:val="24"/>
          <w:highlight w:val="none"/>
        </w:rPr>
      </w:pPr>
      <w:r>
        <w:rPr>
          <w:color w:val="auto"/>
          <w:sz w:val="24"/>
          <w:highlight w:val="none"/>
        </w:rPr>
        <w:t>监理人对于承包人未按投标文件所作的承诺投入机械、设备、材料等存在的问题不进行有效检查、督促、处理，且不向委托人报告的，在委托人书面警告并要求限期改正后，拒不限期改正的，承担 1 次一般违约责任。</w:t>
      </w:r>
    </w:p>
    <w:p>
      <w:pPr>
        <w:pStyle w:val="20"/>
        <w:numPr>
          <w:ilvl w:val="0"/>
          <w:numId w:val="78"/>
        </w:numPr>
        <w:tabs>
          <w:tab w:val="left" w:pos="1191"/>
        </w:tabs>
        <w:spacing w:line="362" w:lineRule="auto"/>
        <w:ind w:right="233" w:firstLine="360"/>
        <w:jc w:val="both"/>
        <w:rPr>
          <w:color w:val="auto"/>
          <w:sz w:val="24"/>
          <w:highlight w:val="none"/>
        </w:rPr>
      </w:pPr>
      <w:r>
        <w:rPr>
          <w:color w:val="auto"/>
          <w:sz w:val="24"/>
          <w:highlight w:val="none"/>
        </w:rPr>
        <w:t>监理人对于承包人每次进场材料不进行检查和登记，或者对已进场的材料不按有关规定及时进行抽查、送检的，承担一般违约责任 1 次；如因此出现不合格材料使用于工</w:t>
      </w:r>
    </w:p>
    <w:p>
      <w:pPr>
        <w:pStyle w:val="3"/>
        <w:spacing w:before="1"/>
        <w:jc w:val="both"/>
        <w:rPr>
          <w:color w:val="auto"/>
          <w:highlight w:val="none"/>
        </w:rPr>
      </w:pPr>
      <w:r>
        <w:rPr>
          <w:color w:val="auto"/>
          <w:highlight w:val="none"/>
        </w:rPr>
        <w:t>程建设并造成质量缺陷的，监理人承担一般违约责任 1 次；如因此出现质量事故或经济损</w:t>
      </w:r>
    </w:p>
    <w:p>
      <w:pPr>
        <w:pStyle w:val="3"/>
        <w:spacing w:before="158" w:line="364" w:lineRule="auto"/>
        <w:ind w:right="230"/>
        <w:jc w:val="both"/>
        <w:rPr>
          <w:color w:val="auto"/>
          <w:highlight w:val="none"/>
        </w:rPr>
      </w:pPr>
      <w:r>
        <w:rPr>
          <w:color w:val="auto"/>
          <w:highlight w:val="none"/>
        </w:rPr>
        <w:t>失达 10 万元/次以上的，监理人承担严重违约责任 1 次；如因此造成重大质量安全事故（按国家规定界定）的，委托人有权视情况的严重程度部分解除合同或解除合同，同时，委托人保留追究监理人相关法律责任的权利。</w:t>
      </w:r>
    </w:p>
    <w:p>
      <w:pPr>
        <w:pStyle w:val="20"/>
        <w:numPr>
          <w:ilvl w:val="0"/>
          <w:numId w:val="78"/>
        </w:numPr>
        <w:tabs>
          <w:tab w:val="left" w:pos="1191"/>
        </w:tabs>
        <w:spacing w:line="364" w:lineRule="auto"/>
        <w:ind w:right="230" w:firstLine="360"/>
        <w:jc w:val="both"/>
        <w:rPr>
          <w:color w:val="auto"/>
          <w:sz w:val="24"/>
          <w:highlight w:val="none"/>
        </w:rPr>
      </w:pPr>
      <w:r>
        <w:rPr>
          <w:color w:val="auto"/>
          <w:sz w:val="24"/>
          <w:highlight w:val="none"/>
        </w:rPr>
        <w:t>在工程施工过程中，需要监理人进行旁站监督的，监理人没有到场，或者到场后没有进行监督，或发现质量问题后没有及时处理，且没有向委托人报告，在委托人书面警告并要求限期改正后，拒不限期改正的，监理人应承担一般违约责任 1 次。</w:t>
      </w:r>
    </w:p>
    <w:p>
      <w:pPr>
        <w:pStyle w:val="20"/>
        <w:numPr>
          <w:ilvl w:val="0"/>
          <w:numId w:val="78"/>
        </w:numPr>
        <w:tabs>
          <w:tab w:val="left" w:pos="1191"/>
        </w:tabs>
        <w:spacing w:line="364" w:lineRule="auto"/>
        <w:ind w:right="230" w:firstLine="360"/>
        <w:jc w:val="both"/>
        <w:rPr>
          <w:color w:val="auto"/>
          <w:sz w:val="24"/>
          <w:highlight w:val="none"/>
        </w:rPr>
      </w:pPr>
      <w:r>
        <w:rPr>
          <w:color w:val="auto"/>
          <w:sz w:val="24"/>
          <w:highlight w:val="none"/>
        </w:rPr>
        <w:t>监理人不按专用条款第 2.22 款的约定办理有关保险事宜的，在委托人书面警告并要求限期改正后，监理人拒不限期改正的，监理人应承担严重违约责任 1 次，并承担由此产生的一切后果。</w:t>
      </w:r>
    </w:p>
    <w:p>
      <w:pPr>
        <w:pStyle w:val="20"/>
        <w:numPr>
          <w:ilvl w:val="0"/>
          <w:numId w:val="78"/>
        </w:numPr>
        <w:tabs>
          <w:tab w:val="left" w:pos="1191"/>
        </w:tabs>
        <w:spacing w:before="1" w:line="364" w:lineRule="auto"/>
        <w:ind w:right="230" w:firstLine="360"/>
        <w:jc w:val="both"/>
        <w:rPr>
          <w:color w:val="auto"/>
          <w:sz w:val="24"/>
          <w:highlight w:val="none"/>
        </w:rPr>
      </w:pPr>
      <w:r>
        <w:rPr>
          <w:color w:val="auto"/>
          <w:sz w:val="24"/>
          <w:highlight w:val="none"/>
        </w:rPr>
        <w:t>监理人对承包人的施工质量应每月定期或不定期组织大检查并同时定期组织召开质量会议，将质量检查的情况报告委托人。承包人的施工质量经监理人检验为合格，但经委托人或工程</w:t>
      </w:r>
      <w:r>
        <w:rPr>
          <w:rFonts w:hint="eastAsia"/>
          <w:color w:val="auto"/>
          <w:sz w:val="24"/>
          <w:highlight w:val="none"/>
          <w:lang w:eastAsia="zh-CN"/>
        </w:rPr>
        <w:t>质量</w:t>
      </w:r>
      <w:r>
        <w:rPr>
          <w:rFonts w:hint="eastAsia"/>
          <w:color w:val="auto"/>
          <w:sz w:val="24"/>
          <w:highlight w:val="none"/>
          <w:lang w:val="en-US" w:eastAsia="zh-CN"/>
        </w:rPr>
        <w:t>监督</w:t>
      </w:r>
      <w:r>
        <w:rPr>
          <w:color w:val="auto"/>
          <w:sz w:val="24"/>
          <w:highlight w:val="none"/>
        </w:rPr>
        <w:t>机构抽查，发现存在质量不合格或未按设计要求和有关规范进行施工情形的，监理人承担一般违约责任 1 次；情节严重的，监理人承担严重违约责任 1 次。同时，监理人应赔偿委托人的经济损失。</w:t>
      </w:r>
    </w:p>
    <w:p>
      <w:pPr>
        <w:pStyle w:val="20"/>
        <w:numPr>
          <w:ilvl w:val="0"/>
          <w:numId w:val="78"/>
        </w:numPr>
        <w:tabs>
          <w:tab w:val="left" w:pos="1191"/>
        </w:tabs>
        <w:spacing w:before="1" w:line="364" w:lineRule="auto"/>
        <w:ind w:right="230" w:firstLine="360"/>
        <w:jc w:val="both"/>
        <w:rPr>
          <w:color w:val="auto"/>
          <w:sz w:val="24"/>
          <w:highlight w:val="none"/>
        </w:rPr>
      </w:pPr>
      <w:r>
        <w:rPr>
          <w:color w:val="auto"/>
          <w:sz w:val="24"/>
          <w:highlight w:val="none"/>
        </w:rPr>
        <w:t>由于监理人应当预见而未能及时预见，或已经预见但未及时向委托人报告，或未及时提出有效的整改措施，或未及时向承包人发出整改通知并积极督促承包人实施整改而对整个工程的按期完工不能起到有效监管作用，致使工程施工的关键线路工期比计划滞后 3日（含 3 日）以上的，监理人承担一般违约责任 1 次；出现关键工期滞后 5 日（含 5 日）以上的，监理人承担严重违约责任 1 次；出现关键线路工期滞后 10 日（含 10 日）以上的， 委托人有权部分解除合同或解除合同。</w:t>
      </w:r>
    </w:p>
    <w:p>
      <w:pPr>
        <w:pStyle w:val="20"/>
        <w:numPr>
          <w:ilvl w:val="0"/>
          <w:numId w:val="78"/>
        </w:numPr>
        <w:tabs>
          <w:tab w:val="left" w:pos="1191"/>
        </w:tabs>
        <w:spacing w:line="364" w:lineRule="auto"/>
        <w:ind w:right="230" w:firstLine="360"/>
        <w:jc w:val="both"/>
        <w:rPr>
          <w:color w:val="auto"/>
          <w:highlight w:val="none"/>
        </w:rPr>
      </w:pPr>
      <w:r>
        <w:rPr>
          <w:color w:val="auto"/>
          <w:sz w:val="24"/>
          <w:highlight w:val="none"/>
        </w:rPr>
        <w:t>对于承包人提交的现场签证资料，监理人没有准确、真实的现场原始记录或不进行现场复核即予签认，致使签认的文件有错误的，监理人应立即改正，并承担一般违约责任 1 次；由于该签证错误因此可能给委托人造成 10 万元（含 10 万元）以上的直接经济损</w:t>
      </w:r>
      <w:r>
        <w:rPr>
          <w:color w:val="auto"/>
          <w:highlight w:val="none"/>
        </w:rPr>
        <w:t>失的，监理人承担严重违约责任 1 次，如果这种经济损失是由于监理人故意造成的，则按专用条款第 4.1.1.1（6）款的约定处理。</w:t>
      </w:r>
    </w:p>
    <w:p>
      <w:pPr>
        <w:pStyle w:val="3"/>
        <w:spacing w:line="364" w:lineRule="auto"/>
        <w:ind w:right="230" w:firstLine="480"/>
        <w:jc w:val="both"/>
        <w:rPr>
          <w:color w:val="auto"/>
          <w:highlight w:val="none"/>
        </w:rPr>
      </w:pPr>
      <w:r>
        <w:rPr>
          <w:color w:val="auto"/>
          <w:highlight w:val="none"/>
        </w:rPr>
        <w:t>对于现场签证（含工程数量、单价等）未经过注册造价工程师审核即报送委托人，或者虽经过注册造价工程师审核但未在规定时间内报送委托人的，监理人应限期改正；以上情形累计出现 2 次的，监理人承担一般违约责任 1 次。</w:t>
      </w:r>
    </w:p>
    <w:p>
      <w:pPr>
        <w:pStyle w:val="20"/>
        <w:numPr>
          <w:ilvl w:val="0"/>
          <w:numId w:val="78"/>
        </w:numPr>
        <w:tabs>
          <w:tab w:val="left" w:pos="1305"/>
        </w:tabs>
        <w:spacing w:line="360" w:lineRule="auto"/>
        <w:ind w:right="230" w:firstLine="360"/>
        <w:jc w:val="both"/>
        <w:rPr>
          <w:color w:val="auto"/>
          <w:sz w:val="24"/>
          <w:highlight w:val="none"/>
        </w:rPr>
      </w:pPr>
      <w:r>
        <w:rPr>
          <w:color w:val="auto"/>
          <w:sz w:val="24"/>
          <w:highlight w:val="none"/>
        </w:rPr>
        <w:t>监理人对承包人提交的施工方案、设计变更等技术文件中明显不符合现场实际的部分，或者与招投标文件不符，会引起委托人投资增加和工期延误的部分，不进行认真审核、不进行优化就给予同意的，应限期改正，并承担一般违约责任 1 次；情节严重的，承</w:t>
      </w:r>
    </w:p>
    <w:p>
      <w:pPr>
        <w:pStyle w:val="3"/>
        <w:spacing w:line="360" w:lineRule="auto"/>
        <w:jc w:val="both"/>
        <w:rPr>
          <w:color w:val="auto"/>
          <w:highlight w:val="none"/>
        </w:rPr>
      </w:pPr>
      <w:r>
        <w:rPr>
          <w:color w:val="auto"/>
          <w:highlight w:val="none"/>
        </w:rPr>
        <w:t>担严重违约责任 1 次。</w:t>
      </w:r>
    </w:p>
    <w:p>
      <w:pPr>
        <w:pStyle w:val="3"/>
        <w:spacing w:before="1" w:line="360" w:lineRule="auto"/>
        <w:ind w:right="110" w:firstLine="480"/>
        <w:rPr>
          <w:color w:val="auto"/>
          <w:highlight w:val="none"/>
        </w:rPr>
      </w:pPr>
      <w:r>
        <w:rPr>
          <w:color w:val="auto"/>
          <w:highlight w:val="none"/>
        </w:rPr>
        <w:t>监理人对承包人提交的施工方案、设计变更等技术文件，应当在 3 日内予以批复；须转报委托人审批的，监理人应在 3 日内出具审核意见报委托人。由于监理人未及时批复而影响工程进度或者工程质量的，监理人承担严重违约责任 1 次；须转报委托人审批的，监理人未在 3 日内报委托人或未出具审核意见的，应限期改正，承担一般违约责任 1 次。承包人提交给监理人审核的资料或文件存在错误须承包人改正的，监理人应将所有错误一次性要求承包人改正。监理人要求承包人反复修改拖延时间的，在委托人书面警告并要求限期改正后，监理人拒不限期改正的，承担一般违约责任 1 次。</w:t>
      </w:r>
    </w:p>
    <w:p>
      <w:pPr>
        <w:pStyle w:val="20"/>
        <w:numPr>
          <w:ilvl w:val="0"/>
          <w:numId w:val="78"/>
        </w:numPr>
        <w:tabs>
          <w:tab w:val="left" w:pos="1305"/>
        </w:tabs>
        <w:spacing w:before="161" w:line="360" w:lineRule="auto"/>
        <w:ind w:right="230" w:firstLine="360"/>
        <w:jc w:val="both"/>
        <w:rPr>
          <w:color w:val="auto"/>
          <w:sz w:val="24"/>
          <w:highlight w:val="none"/>
        </w:rPr>
      </w:pPr>
      <w:r>
        <w:rPr>
          <w:color w:val="auto"/>
          <w:sz w:val="24"/>
          <w:highlight w:val="none"/>
        </w:rPr>
        <w:t>监理人应当按时对承包人的申请计量事项予以审批，申请计量事项在正常情况下应在 2 个工作日内完成审批；监理人对申请计量事项的真实性、准确性负责；监理人派驻的专业工程师应对承包人提交的计量报表认真审核并予以确认。监理人对不合格工程却同意计量，或者计量数量严重不实、资料不齐全却同意计量的，应立即改正，承担一般违约责任 1 次；情节严重的，承担严重违约责任 1 次；给委托人造成损失的，应当赔偿损失。</w:t>
      </w:r>
    </w:p>
    <w:p>
      <w:pPr>
        <w:pStyle w:val="20"/>
        <w:numPr>
          <w:ilvl w:val="0"/>
          <w:numId w:val="78"/>
        </w:numPr>
        <w:tabs>
          <w:tab w:val="left" w:pos="1305"/>
        </w:tabs>
        <w:spacing w:line="362" w:lineRule="auto"/>
        <w:ind w:right="233" w:firstLine="360"/>
        <w:jc w:val="both"/>
        <w:rPr>
          <w:color w:val="auto"/>
          <w:sz w:val="24"/>
          <w:highlight w:val="none"/>
        </w:rPr>
      </w:pPr>
      <w:r>
        <w:rPr>
          <w:color w:val="auto"/>
          <w:sz w:val="24"/>
          <w:highlight w:val="none"/>
        </w:rPr>
        <w:t>监理人对于承包人提交的请款报告，不按实际完成的工作量进行审核，或不按本合同要求签署拨款意见的，应限期改正；累计出现达 2 次的，承担一般违约责任 1 次；如</w:t>
      </w:r>
    </w:p>
    <w:p>
      <w:pPr>
        <w:pStyle w:val="3"/>
        <w:spacing w:before="3" w:line="364" w:lineRule="auto"/>
        <w:ind w:right="230"/>
        <w:jc w:val="both"/>
        <w:rPr>
          <w:color w:val="auto"/>
          <w:highlight w:val="none"/>
        </w:rPr>
      </w:pPr>
      <w:r>
        <w:rPr>
          <w:color w:val="auto"/>
          <w:highlight w:val="none"/>
        </w:rPr>
        <w:t>造成委托人超形象进度、超合同支付工程款达 10 万元（含 10 万元）以上，或监理人审核的当期支付金额与经过委托人复核的实际应付金额存在正负 10％以上误差的，承担一般违约责任 1 次，情节严重的，承担严重违约责任 1 次；若由此给委托人造成 10 万元（含 10 万元）以上损失的，监理人应当赔偿委托人的损失，委托人将视情况部分解除合同或解除合同。</w:t>
      </w:r>
    </w:p>
    <w:p>
      <w:pPr>
        <w:pStyle w:val="3"/>
        <w:spacing w:line="364" w:lineRule="auto"/>
        <w:ind w:right="230" w:firstLine="360"/>
        <w:jc w:val="both"/>
        <w:rPr>
          <w:color w:val="auto"/>
          <w:highlight w:val="none"/>
        </w:rPr>
      </w:pPr>
      <w:r>
        <w:rPr>
          <w:color w:val="auto"/>
          <w:highlight w:val="none"/>
        </w:rPr>
        <w:t>（13）监理人同时发生专用条款第 4.1.1.4.2（9）、（10）、（11）、（12）款约定的违约行为且情节严重的，视为监理人和承包人串通作假，委托人有权单方解除合同；因此造成委托人损失的，委托人有权按专用条款第 4.1.1.1（6）款的约定要求监理人承担赔偿责任。</w:t>
      </w:r>
    </w:p>
    <w:p>
      <w:pPr>
        <w:pStyle w:val="20"/>
        <w:numPr>
          <w:ilvl w:val="0"/>
          <w:numId w:val="79"/>
        </w:numPr>
        <w:tabs>
          <w:tab w:val="left" w:pos="1305"/>
        </w:tabs>
        <w:spacing w:line="364" w:lineRule="auto"/>
        <w:ind w:right="110" w:firstLine="360"/>
        <w:rPr>
          <w:color w:val="auto"/>
          <w:sz w:val="24"/>
          <w:highlight w:val="none"/>
        </w:rPr>
      </w:pPr>
      <w:r>
        <w:rPr>
          <w:color w:val="auto"/>
          <w:sz w:val="24"/>
          <w:highlight w:val="none"/>
        </w:rPr>
        <w:t>监理人应设立专职的职业健康安全与环境管理人员，督促承包人建立安全生产保障体系，并要求各施工标段设立专职安全员，将安全责任制度落实到人；监理人应每月定期或不定期组织安全文明施工大检查，并将检查结果向委托人报告。对于承包人没有按投标承诺做好安全文明施工措施，或没有按有关规定进行安全生产，或存在安全隐患等问题， 监理人未及时发现，或发现后不督促承包人进行整改，不作及时处理并及时向委托人报告， 在委托人书面警告并要求限期改正后，监理人拒不限期改正的，承担一般违约责任 1 次； 因此而发生安全生产事故，或被上级主管部门通报批评，或被新闻媒体曝光的，监理人承担严重违约责任 1 次；情节严重的，委托人有权部分解除合同或解除合同；因此而发生重大安全质量事故（按国家及本合同有关规定界定）的，监理人承担赔偿责任，赔偿金额为本合同监理酬金的 1%～5%。</w:t>
      </w:r>
    </w:p>
    <w:p>
      <w:pPr>
        <w:pStyle w:val="20"/>
        <w:numPr>
          <w:ilvl w:val="0"/>
          <w:numId w:val="79"/>
        </w:numPr>
        <w:tabs>
          <w:tab w:val="left" w:pos="1305"/>
        </w:tabs>
        <w:spacing w:line="362" w:lineRule="auto"/>
        <w:ind w:right="221" w:firstLine="360"/>
        <w:rPr>
          <w:color w:val="auto"/>
          <w:sz w:val="24"/>
          <w:highlight w:val="none"/>
        </w:rPr>
      </w:pPr>
      <w:r>
        <w:rPr>
          <w:color w:val="auto"/>
          <w:sz w:val="24"/>
          <w:highlight w:val="none"/>
        </w:rPr>
        <w:t>由于下列原因，使本合同工程在投资、工期、质量等方面给委托人造成损失的， 监理人承担赔偿责任，但累计赔偿金额不应超过本合同监理酬金暂定金额（除去税金）：</w:t>
      </w:r>
    </w:p>
    <w:p>
      <w:pPr>
        <w:pStyle w:val="20"/>
        <w:numPr>
          <w:ilvl w:val="1"/>
          <w:numId w:val="79"/>
        </w:numPr>
        <w:tabs>
          <w:tab w:val="left" w:pos="1065"/>
        </w:tabs>
        <w:ind w:hanging="362"/>
        <w:rPr>
          <w:color w:val="auto"/>
          <w:sz w:val="24"/>
          <w:highlight w:val="none"/>
        </w:rPr>
      </w:pPr>
      <w:r>
        <w:rPr>
          <w:color w:val="auto"/>
          <w:sz w:val="24"/>
          <w:highlight w:val="none"/>
        </w:rPr>
        <w:t>在施工过程中，监理人发出错误指令；</w:t>
      </w:r>
    </w:p>
    <w:p>
      <w:pPr>
        <w:pStyle w:val="20"/>
        <w:numPr>
          <w:ilvl w:val="1"/>
          <w:numId w:val="79"/>
        </w:numPr>
        <w:tabs>
          <w:tab w:val="left" w:pos="1065"/>
        </w:tabs>
        <w:spacing w:before="153"/>
        <w:ind w:hanging="362"/>
        <w:rPr>
          <w:color w:val="auto"/>
          <w:sz w:val="24"/>
          <w:highlight w:val="none"/>
        </w:rPr>
      </w:pPr>
      <w:r>
        <w:rPr>
          <w:color w:val="auto"/>
          <w:sz w:val="24"/>
          <w:highlight w:val="none"/>
        </w:rPr>
        <w:t>监理人越权审批设计变更；</w:t>
      </w:r>
    </w:p>
    <w:p>
      <w:pPr>
        <w:pStyle w:val="20"/>
        <w:numPr>
          <w:ilvl w:val="1"/>
          <w:numId w:val="79"/>
        </w:numPr>
        <w:tabs>
          <w:tab w:val="left" w:pos="1065"/>
        </w:tabs>
        <w:spacing w:before="54" w:line="364" w:lineRule="auto"/>
        <w:ind w:left="703" w:right="5501" w:firstLine="0"/>
        <w:rPr>
          <w:color w:val="auto"/>
          <w:sz w:val="24"/>
          <w:highlight w:val="none"/>
        </w:rPr>
      </w:pPr>
      <w:r>
        <w:rPr>
          <w:color w:val="auto"/>
          <w:sz w:val="24"/>
          <w:highlight w:val="none"/>
        </w:rPr>
        <w:t>其他因监理人自身失误或失职。具体约定为：</w:t>
      </w:r>
    </w:p>
    <w:p>
      <w:pPr>
        <w:pStyle w:val="3"/>
        <w:spacing w:before="1" w:line="364" w:lineRule="auto"/>
        <w:ind w:right="233" w:firstLine="480"/>
        <w:jc w:val="both"/>
        <w:rPr>
          <w:color w:val="auto"/>
          <w:highlight w:val="none"/>
        </w:rPr>
      </w:pPr>
      <w:r>
        <w:rPr>
          <w:color w:val="auto"/>
          <w:highlight w:val="none"/>
        </w:rPr>
        <w:t>① 由于监理人上述原因致使工程投资额较原计划投资额增加的，委托人将根据该增加额双倍扣减与之相应比例的监理酬金；若增加工程投资比例超过原计划投资额的 20%时，委托人有权单方解除本合同，并要求监理人赔偿委托人由此遭受的实际损失中的 50%。</w:t>
      </w:r>
    </w:p>
    <w:p>
      <w:pPr>
        <w:pStyle w:val="3"/>
        <w:spacing w:line="364" w:lineRule="auto"/>
        <w:ind w:right="230" w:firstLine="480"/>
        <w:jc w:val="both"/>
        <w:rPr>
          <w:color w:val="auto"/>
          <w:highlight w:val="none"/>
        </w:rPr>
      </w:pPr>
      <w:r>
        <w:rPr>
          <w:color w:val="auto"/>
          <w:highlight w:val="none"/>
        </w:rPr>
        <w:t>② 因监理人责任导致工期延误，其中分段工期延误日数占该段总工期的 30%时，则委托人有权扣除该分段工程监理酬金的 60%；分段工期延误日数达到该段总工期的 50%时，则委托人有权单方解除本合同。因监理人责任导致工程竣工拖延的，依据拖延的日数，监理人应每日按监理酬金暂定金额的 1%向委托人支付违约金。由于监理人责任导致工期延误， 致使委托人要承担赔偿第三方责任的，监理人承担赔偿委托人由此遭受的实际损失中的50%。</w:t>
      </w:r>
    </w:p>
    <w:p>
      <w:pPr>
        <w:pStyle w:val="3"/>
        <w:spacing w:line="364" w:lineRule="auto"/>
        <w:ind w:right="230" w:firstLine="480"/>
        <w:jc w:val="both"/>
        <w:rPr>
          <w:color w:val="auto"/>
          <w:highlight w:val="none"/>
        </w:rPr>
      </w:pPr>
      <w:r>
        <w:rPr>
          <w:color w:val="auto"/>
          <w:highlight w:val="none"/>
        </w:rPr>
        <w:t>③ 因监理人责任造成质量事故，需要返工的，监理人承担严重违约责任 1 次，由委托人双倍扣减该部分的监理酬金，同时监理人应赔偿委托人的实际损失；情节严重的，委托人有权单方面解除合同，并有权要求监理人赔偿委托人由此遭受的经济损失。</w:t>
      </w:r>
    </w:p>
    <w:p>
      <w:pPr>
        <w:pStyle w:val="3"/>
        <w:spacing w:line="364" w:lineRule="auto"/>
        <w:ind w:right="230" w:firstLine="480"/>
        <w:jc w:val="both"/>
        <w:rPr>
          <w:color w:val="auto"/>
          <w:highlight w:val="none"/>
        </w:rPr>
      </w:pPr>
      <w:r>
        <w:rPr>
          <w:color w:val="auto"/>
          <w:highlight w:val="none"/>
        </w:rPr>
        <w:t>④ 因监理人责任导致工程（含各分部、单位及整体工程，下同）质量一次性验收不符合质量目标的，委托人按相应工程占总工程的比例扣除监理人监理酬金；若导致工程质量一次性验收不合格而造成委托人的直接损失达 100 万元以上时，委托人有权单方面解除本合同并要求监理人赔偿相应经济损失。</w:t>
      </w:r>
    </w:p>
    <w:p>
      <w:pPr>
        <w:pStyle w:val="20"/>
        <w:numPr>
          <w:ilvl w:val="0"/>
          <w:numId w:val="79"/>
        </w:numPr>
        <w:tabs>
          <w:tab w:val="left" w:pos="1305"/>
        </w:tabs>
        <w:spacing w:line="364" w:lineRule="auto"/>
        <w:ind w:right="230" w:firstLine="360"/>
        <w:jc w:val="both"/>
        <w:rPr>
          <w:color w:val="auto"/>
          <w:sz w:val="24"/>
          <w:highlight w:val="none"/>
        </w:rPr>
      </w:pPr>
      <w:r>
        <w:rPr>
          <w:color w:val="auto"/>
          <w:sz w:val="24"/>
          <w:highlight w:val="none"/>
        </w:rPr>
        <w:t>监理人提供的《监理规划》和相应的《监理实施细则》，经委托人审核认为未能针对本合同工程特点、难点和重点，需要退回修改的，若连续两次修改后仍未能达到委托人要求的，监理人应承担一般违约责任 1 次。</w:t>
      </w:r>
    </w:p>
    <w:p>
      <w:pPr>
        <w:pStyle w:val="20"/>
        <w:numPr>
          <w:ilvl w:val="0"/>
          <w:numId w:val="79"/>
        </w:numPr>
        <w:tabs>
          <w:tab w:val="left" w:pos="1305"/>
        </w:tabs>
        <w:spacing w:line="362" w:lineRule="auto"/>
        <w:ind w:right="233" w:firstLine="360"/>
        <w:rPr>
          <w:color w:val="auto"/>
          <w:sz w:val="24"/>
          <w:highlight w:val="none"/>
        </w:rPr>
      </w:pPr>
      <w:r>
        <w:rPr>
          <w:color w:val="auto"/>
          <w:sz w:val="24"/>
          <w:highlight w:val="none"/>
        </w:rPr>
        <w:t>如果监理人在服务期内未能按要求提供本合同约定的监理服务（包括监理人员缺额、监理深度不足及监理资料不齐等）的，委托人有权酌情扣减监理酬金。</w:t>
      </w:r>
    </w:p>
    <w:p>
      <w:pPr>
        <w:pStyle w:val="20"/>
        <w:numPr>
          <w:ilvl w:val="0"/>
          <w:numId w:val="79"/>
        </w:numPr>
        <w:tabs>
          <w:tab w:val="left" w:pos="1305"/>
        </w:tabs>
        <w:spacing w:line="364" w:lineRule="auto"/>
        <w:ind w:right="230" w:firstLine="360"/>
        <w:jc w:val="both"/>
        <w:rPr>
          <w:color w:val="auto"/>
          <w:sz w:val="24"/>
          <w:highlight w:val="none"/>
        </w:rPr>
      </w:pPr>
      <w:r>
        <w:rPr>
          <w:color w:val="auto"/>
          <w:sz w:val="24"/>
          <w:highlight w:val="none"/>
        </w:rPr>
        <w:t>对于工程施工过程中出现的工程变更，如当月由委托人确定的工程变更的单价较监理人审定的单价的差值大于正负 10%以上的情况累计出现 8 宗以上，或由委托人确定的工程变更的总价较监理人审定的总价的差值大于正负 10%以上的情况累计出现 3 宗以上，监理人承担一般违约责任 1 次。</w:t>
      </w:r>
    </w:p>
    <w:p>
      <w:pPr>
        <w:pStyle w:val="20"/>
        <w:numPr>
          <w:ilvl w:val="0"/>
          <w:numId w:val="79"/>
        </w:numPr>
        <w:tabs>
          <w:tab w:val="left" w:pos="1305"/>
        </w:tabs>
        <w:spacing w:line="362" w:lineRule="auto"/>
        <w:ind w:right="230" w:firstLine="360"/>
        <w:jc w:val="both"/>
        <w:rPr>
          <w:color w:val="auto"/>
          <w:sz w:val="24"/>
          <w:highlight w:val="none"/>
        </w:rPr>
      </w:pPr>
      <w:r>
        <w:rPr>
          <w:color w:val="auto"/>
          <w:sz w:val="24"/>
          <w:highlight w:val="none"/>
        </w:rPr>
        <w:t>因监理人原因，造成竣工图纸（包括设备移交资料等）与竣工时现场的实际情况不符，导致相关的工程结算出现偏差的，监理人承担一般违约责任 1 次；如由此可能给委</w:t>
      </w:r>
    </w:p>
    <w:p>
      <w:pPr>
        <w:pStyle w:val="3"/>
        <w:spacing w:line="362" w:lineRule="auto"/>
        <w:ind w:right="235"/>
        <w:jc w:val="both"/>
        <w:rPr>
          <w:color w:val="auto"/>
          <w:highlight w:val="none"/>
        </w:rPr>
      </w:pPr>
      <w:r>
        <w:rPr>
          <w:color w:val="auto"/>
          <w:highlight w:val="none"/>
        </w:rPr>
        <w:t>托人造成直接经济损失 10 万元（含 10 万元）以上的，监理人承担严重违约责任 1 次；如该经济损失是监理人故意造成的，则按专用条款第 4.1.1.1（6）款的约定执行。</w:t>
      </w:r>
    </w:p>
    <w:p>
      <w:pPr>
        <w:pStyle w:val="20"/>
        <w:numPr>
          <w:ilvl w:val="0"/>
          <w:numId w:val="79"/>
        </w:numPr>
        <w:tabs>
          <w:tab w:val="left" w:pos="1305"/>
        </w:tabs>
        <w:spacing w:before="54" w:line="364" w:lineRule="auto"/>
        <w:ind w:right="230" w:firstLine="360"/>
        <w:jc w:val="both"/>
        <w:rPr>
          <w:color w:val="auto"/>
          <w:sz w:val="24"/>
          <w:highlight w:val="none"/>
        </w:rPr>
      </w:pPr>
      <w:r>
        <w:rPr>
          <w:color w:val="auto"/>
          <w:sz w:val="24"/>
          <w:highlight w:val="none"/>
        </w:rPr>
        <w:t>对于承包人不按合同约定提交分项工程的结算文件，监理人不按合同约定采取有效措施或未及时向委托人报告的，监理人承担一般违约责任 1 次。</w:t>
      </w:r>
    </w:p>
    <w:p>
      <w:pPr>
        <w:pStyle w:val="20"/>
        <w:numPr>
          <w:ilvl w:val="0"/>
          <w:numId w:val="79"/>
        </w:numPr>
        <w:tabs>
          <w:tab w:val="left" w:pos="1305"/>
        </w:tabs>
        <w:spacing w:before="1" w:line="364" w:lineRule="auto"/>
        <w:ind w:right="230" w:firstLine="360"/>
        <w:jc w:val="both"/>
        <w:rPr>
          <w:color w:val="auto"/>
          <w:sz w:val="24"/>
          <w:highlight w:val="none"/>
        </w:rPr>
      </w:pPr>
      <w:r>
        <w:rPr>
          <w:color w:val="auto"/>
          <w:sz w:val="24"/>
          <w:highlight w:val="none"/>
        </w:rPr>
        <w:t>监理人根据合同约定对承包人提交的工程结算书（结算资料）进行审核，如最终由终审部门审定的结算金额较由监理人审定的结算金额的差值大于正负 8%，则由监理人按下列计算方法向委托人支付违约金，最多不超过本合同监理酬金暂定金额的 10%：</w:t>
      </w:r>
    </w:p>
    <w:p>
      <w:pPr>
        <w:pStyle w:val="3"/>
        <w:spacing w:line="304" w:lineRule="exact"/>
        <w:ind w:left="703"/>
        <w:rPr>
          <w:color w:val="auto"/>
          <w:highlight w:val="none"/>
        </w:rPr>
      </w:pPr>
      <w:r>
        <w:rPr>
          <w:color w:val="auto"/>
          <w:highlight w:val="none"/>
        </w:rPr>
        <w:t>违约金=[〔（A－B）/B〕-8%]×C</w:t>
      </w:r>
    </w:p>
    <w:p>
      <w:pPr>
        <w:pStyle w:val="3"/>
        <w:spacing w:before="161" w:line="364" w:lineRule="auto"/>
        <w:ind w:left="703" w:right="5141"/>
        <w:jc w:val="both"/>
        <w:rPr>
          <w:color w:val="auto"/>
          <w:highlight w:val="none"/>
        </w:rPr>
      </w:pPr>
      <w:r>
        <w:rPr>
          <w:color w:val="auto"/>
          <w:highlight w:val="none"/>
        </w:rPr>
        <w:t>其中：A-监理人审定的工程结算金额； B-结算终审部门审定的工程结算金额； C-监理合同酬金总额。</w:t>
      </w:r>
    </w:p>
    <w:p>
      <w:pPr>
        <w:pStyle w:val="20"/>
        <w:numPr>
          <w:ilvl w:val="4"/>
          <w:numId w:val="12"/>
        </w:numPr>
        <w:tabs>
          <w:tab w:val="left" w:pos="1844"/>
        </w:tabs>
        <w:spacing w:line="305" w:lineRule="exact"/>
        <w:ind w:hanging="1141"/>
        <w:jc w:val="both"/>
        <w:rPr>
          <w:color w:val="auto"/>
          <w:sz w:val="24"/>
          <w:highlight w:val="none"/>
        </w:rPr>
      </w:pPr>
      <w:r>
        <w:rPr>
          <w:color w:val="auto"/>
          <w:sz w:val="24"/>
          <w:highlight w:val="none"/>
        </w:rPr>
        <w:t>其他方面的违约责任</w:t>
      </w:r>
    </w:p>
    <w:p>
      <w:pPr>
        <w:pStyle w:val="20"/>
        <w:numPr>
          <w:ilvl w:val="0"/>
          <w:numId w:val="80"/>
        </w:numPr>
        <w:tabs>
          <w:tab w:val="left" w:pos="1191"/>
        </w:tabs>
        <w:spacing w:before="160" w:line="362" w:lineRule="auto"/>
        <w:ind w:right="235" w:firstLine="360"/>
        <w:rPr>
          <w:color w:val="auto"/>
          <w:sz w:val="24"/>
          <w:highlight w:val="none"/>
        </w:rPr>
      </w:pPr>
      <w:r>
        <w:rPr>
          <w:color w:val="auto"/>
          <w:sz w:val="24"/>
          <w:highlight w:val="none"/>
        </w:rPr>
        <w:t>监理人必须加强对监理人员职业操守、廉政建设的培训和教育，本项目监理人员需共同遵守监理人员职业道德守则，并严格遵守以下规定：</w:t>
      </w:r>
    </w:p>
    <w:p>
      <w:pPr>
        <w:pStyle w:val="20"/>
        <w:numPr>
          <w:ilvl w:val="1"/>
          <w:numId w:val="80"/>
        </w:numPr>
        <w:tabs>
          <w:tab w:val="left" w:pos="1065"/>
        </w:tabs>
        <w:spacing w:before="5"/>
        <w:ind w:hanging="362"/>
        <w:rPr>
          <w:color w:val="auto"/>
          <w:sz w:val="24"/>
          <w:highlight w:val="none"/>
        </w:rPr>
      </w:pPr>
      <w:r>
        <w:rPr>
          <w:color w:val="auto"/>
          <w:sz w:val="24"/>
          <w:highlight w:val="none"/>
        </w:rPr>
        <w:t>禁止向委托人及承包人推销材料、设备，或以倾向性、排他性变相推销；</w:t>
      </w:r>
    </w:p>
    <w:p>
      <w:pPr>
        <w:pStyle w:val="20"/>
        <w:numPr>
          <w:ilvl w:val="1"/>
          <w:numId w:val="80"/>
        </w:numPr>
        <w:tabs>
          <w:tab w:val="left" w:pos="1065"/>
        </w:tabs>
        <w:spacing w:before="158"/>
        <w:ind w:hanging="362"/>
        <w:rPr>
          <w:color w:val="auto"/>
          <w:sz w:val="24"/>
          <w:highlight w:val="none"/>
        </w:rPr>
      </w:pPr>
      <w:r>
        <w:rPr>
          <w:color w:val="auto"/>
          <w:sz w:val="24"/>
          <w:highlight w:val="none"/>
        </w:rPr>
        <w:t>禁止与承包人串通，对不合格材料、产品、工程进行包庇及验收；</w:t>
      </w:r>
    </w:p>
    <w:p>
      <w:pPr>
        <w:pStyle w:val="20"/>
        <w:numPr>
          <w:ilvl w:val="1"/>
          <w:numId w:val="80"/>
        </w:numPr>
        <w:tabs>
          <w:tab w:val="left" w:pos="1065"/>
        </w:tabs>
        <w:spacing w:before="161"/>
        <w:ind w:hanging="362"/>
        <w:rPr>
          <w:color w:val="auto"/>
          <w:sz w:val="24"/>
          <w:highlight w:val="none"/>
        </w:rPr>
      </w:pPr>
      <w:r>
        <w:rPr>
          <w:color w:val="auto"/>
          <w:sz w:val="24"/>
          <w:highlight w:val="none"/>
        </w:rPr>
        <w:t>禁止与承包人串通，对材料用量、工程量进行虚假签认；</w:t>
      </w:r>
    </w:p>
    <w:p>
      <w:pPr>
        <w:pStyle w:val="20"/>
        <w:numPr>
          <w:ilvl w:val="1"/>
          <w:numId w:val="80"/>
        </w:numPr>
        <w:tabs>
          <w:tab w:val="left" w:pos="1065"/>
        </w:tabs>
        <w:spacing w:before="158" w:line="364" w:lineRule="auto"/>
        <w:ind w:left="223" w:right="230" w:firstLine="480"/>
        <w:rPr>
          <w:color w:val="auto"/>
          <w:sz w:val="24"/>
          <w:highlight w:val="none"/>
        </w:rPr>
      </w:pPr>
      <w:r>
        <w:rPr>
          <w:color w:val="auto"/>
          <w:sz w:val="24"/>
          <w:highlight w:val="none"/>
        </w:rPr>
        <w:t>禁止与承包人串通，不合理提高施工难度及增加材料用量，以增大施工费用，获取不正当收益；</w:t>
      </w:r>
    </w:p>
    <w:p>
      <w:pPr>
        <w:pStyle w:val="20"/>
        <w:numPr>
          <w:ilvl w:val="1"/>
          <w:numId w:val="80"/>
        </w:numPr>
        <w:tabs>
          <w:tab w:val="left" w:pos="1065"/>
        </w:tabs>
        <w:spacing w:before="1"/>
        <w:ind w:hanging="362"/>
        <w:rPr>
          <w:color w:val="auto"/>
          <w:sz w:val="24"/>
          <w:highlight w:val="none"/>
        </w:rPr>
      </w:pPr>
      <w:r>
        <w:rPr>
          <w:color w:val="auto"/>
          <w:sz w:val="24"/>
          <w:highlight w:val="none"/>
        </w:rPr>
        <w:t>禁止接受承包人的请吃送礼或变相受礼；</w:t>
      </w:r>
    </w:p>
    <w:p>
      <w:pPr>
        <w:pStyle w:val="20"/>
        <w:numPr>
          <w:ilvl w:val="1"/>
          <w:numId w:val="80"/>
        </w:numPr>
        <w:tabs>
          <w:tab w:val="left" w:pos="1065"/>
        </w:tabs>
        <w:spacing w:before="158"/>
        <w:ind w:hanging="362"/>
        <w:rPr>
          <w:color w:val="auto"/>
          <w:sz w:val="24"/>
          <w:highlight w:val="none"/>
        </w:rPr>
      </w:pPr>
      <w:r>
        <w:rPr>
          <w:color w:val="auto"/>
          <w:sz w:val="24"/>
          <w:highlight w:val="none"/>
        </w:rPr>
        <w:t>禁止向承包人介绍分包或推销材料、设备等；</w:t>
      </w:r>
    </w:p>
    <w:p>
      <w:pPr>
        <w:pStyle w:val="20"/>
        <w:numPr>
          <w:ilvl w:val="1"/>
          <w:numId w:val="80"/>
        </w:numPr>
        <w:tabs>
          <w:tab w:val="left" w:pos="1065"/>
        </w:tabs>
        <w:spacing w:before="161"/>
        <w:ind w:hanging="362"/>
        <w:rPr>
          <w:color w:val="auto"/>
          <w:sz w:val="24"/>
          <w:highlight w:val="none"/>
        </w:rPr>
      </w:pPr>
      <w:r>
        <w:rPr>
          <w:color w:val="auto"/>
          <w:sz w:val="24"/>
          <w:highlight w:val="none"/>
        </w:rPr>
        <w:t>禁止故意刁难承包人以谋取私利，损害委托人的合法利益。</w:t>
      </w:r>
    </w:p>
    <w:p>
      <w:pPr>
        <w:pStyle w:val="3"/>
        <w:spacing w:before="158" w:line="364" w:lineRule="auto"/>
        <w:ind w:right="230" w:firstLine="480"/>
        <w:jc w:val="both"/>
        <w:rPr>
          <w:color w:val="auto"/>
          <w:highlight w:val="none"/>
        </w:rPr>
      </w:pPr>
      <w:r>
        <w:rPr>
          <w:color w:val="auto"/>
          <w:highlight w:val="none"/>
        </w:rPr>
        <w:t>凡违反以上任一项约定者，一经查实，监理人应立即清退该监理人员，承担严重违约责任 1 次；情节严重的，委托人有权部分解除合同或解除合同，向有关部门反映情况，追究监理人及有关责任人相关责任，要求赔偿相应损失，同时将上述违反职业道德的行为通过新闻媒体公诸于众，甚至移交司法机关处理。</w:t>
      </w:r>
    </w:p>
    <w:p>
      <w:pPr>
        <w:pStyle w:val="20"/>
        <w:numPr>
          <w:ilvl w:val="0"/>
          <w:numId w:val="80"/>
        </w:numPr>
        <w:tabs>
          <w:tab w:val="left" w:pos="1191"/>
        </w:tabs>
        <w:spacing w:line="364" w:lineRule="auto"/>
        <w:ind w:right="230" w:firstLine="360"/>
        <w:jc w:val="both"/>
        <w:rPr>
          <w:color w:val="auto"/>
          <w:sz w:val="24"/>
          <w:highlight w:val="none"/>
        </w:rPr>
      </w:pPr>
      <w:r>
        <w:rPr>
          <w:color w:val="auto"/>
          <w:sz w:val="24"/>
          <w:highlight w:val="none"/>
        </w:rPr>
        <w:t>监理人违约行为的直接责任人，其行为致使监理人承担严重违约责任（或相当于严重违约责任）1 次，或主管人员因其下属的行为致使监理人承担严重违约责任（或相当于严重违约责任）累计次数达到 3 次，委托人认为该直接责任人或主管人员已不适于继续担任本合同工程的监理工作的，有权要求监理人限期更换该人员。于此情形下，监理人应无条件接受，并承担由此引起的后果及费用；如监理人拒不执行，则自委托人向监理人发出更换要求 7 日后起算，委托人可认为该岗位已空缺，并按专用条款第 4.1.1.4.1（3）款的约定处理。</w:t>
      </w:r>
    </w:p>
    <w:p>
      <w:pPr>
        <w:pStyle w:val="20"/>
        <w:numPr>
          <w:ilvl w:val="0"/>
          <w:numId w:val="80"/>
        </w:numPr>
        <w:tabs>
          <w:tab w:val="left" w:pos="1191"/>
        </w:tabs>
        <w:spacing w:before="54" w:line="364" w:lineRule="auto"/>
        <w:ind w:right="230" w:firstLine="360"/>
        <w:jc w:val="both"/>
        <w:rPr>
          <w:color w:val="auto"/>
          <w:sz w:val="24"/>
          <w:highlight w:val="none"/>
        </w:rPr>
      </w:pPr>
      <w:r>
        <w:rPr>
          <w:color w:val="auto"/>
          <w:sz w:val="24"/>
          <w:highlight w:val="none"/>
        </w:rPr>
        <w:t>除上述约定之外，监理人违反本合同约定的其他义务的，均构成违约，委托人有权视具体情况给予监理人书面警告并要求限期改正。于此情形下，若监理人拒不限期改正的，承担一般违约责任 1 次；情节严重的，承担严重违约责任 1 次。</w:t>
      </w:r>
    </w:p>
    <w:p>
      <w:pPr>
        <w:pStyle w:val="20"/>
        <w:numPr>
          <w:ilvl w:val="3"/>
          <w:numId w:val="12"/>
        </w:numPr>
        <w:tabs>
          <w:tab w:val="left" w:pos="1604"/>
        </w:tabs>
        <w:spacing w:line="307" w:lineRule="exact"/>
        <w:ind w:hanging="901"/>
        <w:jc w:val="both"/>
        <w:rPr>
          <w:color w:val="auto"/>
          <w:sz w:val="24"/>
          <w:highlight w:val="none"/>
        </w:rPr>
      </w:pPr>
      <w:r>
        <w:rPr>
          <w:color w:val="auto"/>
          <w:sz w:val="24"/>
          <w:highlight w:val="none"/>
        </w:rPr>
        <w:t>监理人违约责任的认定方式及送达程序</w:t>
      </w:r>
    </w:p>
    <w:p>
      <w:pPr>
        <w:pStyle w:val="20"/>
        <w:numPr>
          <w:ilvl w:val="0"/>
          <w:numId w:val="81"/>
        </w:numPr>
        <w:tabs>
          <w:tab w:val="left" w:pos="1185"/>
        </w:tabs>
        <w:spacing w:before="161"/>
        <w:ind w:hanging="602"/>
        <w:rPr>
          <w:color w:val="auto"/>
          <w:sz w:val="24"/>
          <w:highlight w:val="none"/>
        </w:rPr>
      </w:pPr>
      <w:r>
        <w:rPr>
          <w:color w:val="auto"/>
          <w:sz w:val="24"/>
          <w:highlight w:val="none"/>
        </w:rPr>
        <w:t>认定方式：以委托人发出的通知、通报、会议纪要等书面文件确定的内容为准。</w:t>
      </w:r>
    </w:p>
    <w:p>
      <w:pPr>
        <w:pStyle w:val="20"/>
        <w:numPr>
          <w:ilvl w:val="0"/>
          <w:numId w:val="81"/>
        </w:numPr>
        <w:tabs>
          <w:tab w:val="left" w:pos="1185"/>
        </w:tabs>
        <w:spacing w:before="158"/>
        <w:ind w:hanging="602"/>
        <w:rPr>
          <w:color w:val="auto"/>
          <w:sz w:val="24"/>
          <w:highlight w:val="none"/>
        </w:rPr>
      </w:pPr>
      <w:r>
        <w:rPr>
          <w:color w:val="auto"/>
          <w:sz w:val="24"/>
          <w:highlight w:val="none"/>
        </w:rPr>
        <w:t>送达程序：委托人通过下列方式之一将书面违约处理决定送达监理人：</w:t>
      </w:r>
    </w:p>
    <w:p>
      <w:pPr>
        <w:pStyle w:val="20"/>
        <w:numPr>
          <w:ilvl w:val="1"/>
          <w:numId w:val="81"/>
        </w:numPr>
        <w:tabs>
          <w:tab w:val="left" w:pos="1065"/>
        </w:tabs>
        <w:spacing w:before="160"/>
        <w:ind w:hanging="362"/>
        <w:rPr>
          <w:color w:val="auto"/>
          <w:sz w:val="24"/>
          <w:highlight w:val="none"/>
        </w:rPr>
      </w:pPr>
      <w:r>
        <w:rPr>
          <w:color w:val="auto"/>
          <w:sz w:val="24"/>
          <w:highlight w:val="none"/>
        </w:rPr>
        <w:t>监理人工地现场项目监理机构人员签收；</w:t>
      </w:r>
    </w:p>
    <w:p>
      <w:pPr>
        <w:pStyle w:val="20"/>
        <w:numPr>
          <w:ilvl w:val="1"/>
          <w:numId w:val="81"/>
        </w:numPr>
        <w:tabs>
          <w:tab w:val="left" w:pos="1065"/>
        </w:tabs>
        <w:spacing w:before="158"/>
        <w:ind w:hanging="362"/>
        <w:rPr>
          <w:color w:val="auto"/>
          <w:sz w:val="24"/>
          <w:highlight w:val="none"/>
        </w:rPr>
      </w:pPr>
      <w:r>
        <w:rPr>
          <w:color w:val="auto"/>
          <w:sz w:val="24"/>
          <w:highlight w:val="none"/>
        </w:rPr>
        <w:t>监理人其他工作人员签收；</w:t>
      </w:r>
    </w:p>
    <w:p>
      <w:pPr>
        <w:pStyle w:val="20"/>
        <w:numPr>
          <w:ilvl w:val="1"/>
          <w:numId w:val="81"/>
        </w:numPr>
        <w:tabs>
          <w:tab w:val="left" w:pos="1065"/>
        </w:tabs>
        <w:spacing w:before="161"/>
        <w:ind w:hanging="362"/>
        <w:rPr>
          <w:color w:val="auto"/>
          <w:sz w:val="24"/>
          <w:highlight w:val="none"/>
        </w:rPr>
      </w:pPr>
      <w:r>
        <w:rPr>
          <w:color w:val="auto"/>
          <w:sz w:val="24"/>
          <w:highlight w:val="none"/>
        </w:rPr>
        <w:t>委托人邮寄送达。</w:t>
      </w:r>
    </w:p>
    <w:p>
      <w:pPr>
        <w:pStyle w:val="20"/>
        <w:numPr>
          <w:ilvl w:val="0"/>
          <w:numId w:val="81"/>
        </w:numPr>
        <w:tabs>
          <w:tab w:val="left" w:pos="1191"/>
        </w:tabs>
        <w:spacing w:before="158" w:line="364" w:lineRule="auto"/>
        <w:ind w:left="223" w:right="233" w:firstLine="360"/>
        <w:jc w:val="both"/>
        <w:rPr>
          <w:color w:val="auto"/>
          <w:sz w:val="24"/>
          <w:highlight w:val="none"/>
        </w:rPr>
      </w:pPr>
      <w:r>
        <w:rPr>
          <w:color w:val="auto"/>
          <w:sz w:val="24"/>
          <w:highlight w:val="none"/>
        </w:rPr>
        <w:t>委托人以书面形式作出的违约处理决定一经送达监理人立即生效。监理人如有足够证据证明不应由其承担违约责任的，应在收到违约处理决定后 3 天内以书面形式向委托</w:t>
      </w:r>
    </w:p>
    <w:p>
      <w:pPr>
        <w:pStyle w:val="3"/>
        <w:spacing w:line="364" w:lineRule="auto"/>
        <w:ind w:right="233"/>
        <w:jc w:val="both"/>
        <w:rPr>
          <w:color w:val="auto"/>
          <w:highlight w:val="none"/>
        </w:rPr>
      </w:pPr>
      <w:r>
        <w:rPr>
          <w:color w:val="auto"/>
          <w:highlight w:val="none"/>
        </w:rPr>
        <w:t>人提出异议并附上有关证据。委托人在收到监理人的异议后 15 天内审核完毕，作出书面决定并通知监理人。</w:t>
      </w:r>
    </w:p>
    <w:p>
      <w:pPr>
        <w:pStyle w:val="20"/>
        <w:numPr>
          <w:ilvl w:val="0"/>
          <w:numId w:val="81"/>
        </w:numPr>
        <w:tabs>
          <w:tab w:val="left" w:pos="1191"/>
        </w:tabs>
        <w:spacing w:line="364" w:lineRule="auto"/>
        <w:ind w:left="223" w:right="230" w:firstLine="360"/>
        <w:jc w:val="both"/>
        <w:rPr>
          <w:color w:val="auto"/>
          <w:sz w:val="24"/>
          <w:highlight w:val="none"/>
        </w:rPr>
      </w:pPr>
      <w:r>
        <w:rPr>
          <w:color w:val="auto"/>
          <w:sz w:val="24"/>
          <w:highlight w:val="none"/>
        </w:rPr>
        <w:t>监理人承诺严格按照合同和招投标文件规定履行义务，并同意委托人将其执行国家强制性规范、标准和履行合同、招投标文件义务的情况（包括但不限于由委托人组织的考核、考评通报、违约责任处理决定等）在委托人网站和其他媒体上公开披露。</w:t>
      </w:r>
    </w:p>
    <w:p>
      <w:pPr>
        <w:pStyle w:val="11"/>
        <w:numPr>
          <w:ilvl w:val="0"/>
          <w:numId w:val="12"/>
        </w:numPr>
        <w:tabs>
          <w:tab w:val="left" w:pos="1068"/>
        </w:tabs>
        <w:spacing w:before="156"/>
        <w:ind w:left="1068" w:hanging="284"/>
        <w:jc w:val="left"/>
        <w:rPr>
          <w:color w:val="auto"/>
          <w:highlight w:val="none"/>
        </w:rPr>
      </w:pPr>
      <w:r>
        <w:rPr>
          <w:color w:val="auto"/>
          <w:highlight w:val="none"/>
        </w:rPr>
        <w:t>支付</w:t>
      </w:r>
    </w:p>
    <w:p>
      <w:pPr>
        <w:pStyle w:val="12"/>
        <w:numPr>
          <w:ilvl w:val="1"/>
          <w:numId w:val="12"/>
        </w:numPr>
        <w:tabs>
          <w:tab w:val="left" w:pos="1131"/>
        </w:tabs>
        <w:spacing w:before="185"/>
        <w:ind w:hanging="426"/>
        <w:jc w:val="both"/>
        <w:rPr>
          <w:color w:val="auto"/>
          <w:highlight w:val="none"/>
        </w:rPr>
      </w:pPr>
      <w:r>
        <w:rPr>
          <w:color w:val="auto"/>
          <w:highlight w:val="none"/>
        </w:rPr>
        <w:t>支付货币</w:t>
      </w:r>
    </w:p>
    <w:p>
      <w:pPr>
        <w:pStyle w:val="3"/>
        <w:spacing w:before="161"/>
        <w:ind w:left="703"/>
        <w:rPr>
          <w:color w:val="auto"/>
          <w:highlight w:val="none"/>
        </w:rPr>
      </w:pPr>
      <w:r>
        <w:rPr>
          <w:color w:val="auto"/>
          <w:highlight w:val="none"/>
        </w:rPr>
        <w:t>委托人与监理人双方同意用人民币支付本合同涉及的款项。</w:t>
      </w:r>
    </w:p>
    <w:p>
      <w:pPr>
        <w:pStyle w:val="12"/>
        <w:numPr>
          <w:ilvl w:val="1"/>
          <w:numId w:val="12"/>
        </w:numPr>
        <w:tabs>
          <w:tab w:val="left" w:pos="1131"/>
        </w:tabs>
        <w:spacing w:before="160"/>
        <w:ind w:hanging="426"/>
        <w:jc w:val="both"/>
        <w:rPr>
          <w:color w:val="auto"/>
          <w:highlight w:val="none"/>
        </w:rPr>
      </w:pPr>
      <w:r>
        <w:rPr>
          <w:color w:val="auto"/>
          <w:highlight w:val="none"/>
        </w:rPr>
        <w:t>支付申请</w:t>
      </w:r>
    </w:p>
    <w:p>
      <w:pPr>
        <w:pStyle w:val="3"/>
        <w:spacing w:before="158" w:line="364" w:lineRule="auto"/>
        <w:ind w:right="233" w:firstLine="480"/>
        <w:jc w:val="both"/>
        <w:rPr>
          <w:color w:val="auto"/>
          <w:highlight w:val="none"/>
        </w:rPr>
      </w:pPr>
      <w:r>
        <w:rPr>
          <w:color w:val="auto"/>
          <w:highlight w:val="none"/>
        </w:rPr>
        <w:t>双方一致同意不适用通用条款第 5.2 款的约定。监理酬金的支付时间按委托监理协议书第三条的约定执行。</w:t>
      </w:r>
    </w:p>
    <w:p>
      <w:pPr>
        <w:pStyle w:val="12"/>
        <w:numPr>
          <w:ilvl w:val="1"/>
          <w:numId w:val="12"/>
        </w:numPr>
        <w:tabs>
          <w:tab w:val="left" w:pos="1131"/>
        </w:tabs>
        <w:spacing w:line="306" w:lineRule="exact"/>
        <w:ind w:hanging="426"/>
        <w:jc w:val="both"/>
        <w:rPr>
          <w:color w:val="auto"/>
          <w:highlight w:val="none"/>
        </w:rPr>
      </w:pPr>
      <w:r>
        <w:rPr>
          <w:color w:val="auto"/>
          <w:highlight w:val="none"/>
        </w:rPr>
        <w:t>支付酬金</w:t>
      </w:r>
    </w:p>
    <w:p>
      <w:pPr>
        <w:pStyle w:val="3"/>
        <w:spacing w:before="161" w:line="362" w:lineRule="auto"/>
        <w:ind w:right="233" w:firstLine="480"/>
        <w:jc w:val="both"/>
        <w:rPr>
          <w:color w:val="auto"/>
          <w:highlight w:val="none"/>
        </w:rPr>
      </w:pPr>
      <w:r>
        <w:rPr>
          <w:color w:val="auto"/>
          <w:highlight w:val="none"/>
        </w:rPr>
        <w:t>双方一致同意不适用通用条款第 5.3 款的约定。监理酬金的计算方法、支付时间与金额按委托监理协议书第三条的约定执行。</w:t>
      </w:r>
    </w:p>
    <w:p>
      <w:pPr>
        <w:pStyle w:val="20"/>
        <w:numPr>
          <w:ilvl w:val="1"/>
          <w:numId w:val="12"/>
        </w:numPr>
        <w:tabs>
          <w:tab w:val="left" w:pos="1131"/>
        </w:tabs>
        <w:spacing w:before="5" w:line="364" w:lineRule="auto"/>
        <w:ind w:left="223" w:right="230" w:firstLine="482"/>
        <w:jc w:val="both"/>
        <w:rPr>
          <w:color w:val="auto"/>
          <w:sz w:val="24"/>
          <w:highlight w:val="none"/>
        </w:rPr>
      </w:pPr>
      <w:r>
        <w:rPr>
          <w:color w:val="auto"/>
          <w:sz w:val="24"/>
          <w:highlight w:val="none"/>
        </w:rPr>
        <w:t>双方一致同意不适用通用条款第 5.4 款的约定。监理人申请委托人付款应向委托人提交正副本四份本次付款申请以及发票、收据和其他合适的证明材料。委托人在收到监理人附有证明材料的付款申请并经委托人审核确认后 30 日内进行支付。</w:t>
      </w:r>
    </w:p>
    <w:p>
      <w:pPr>
        <w:pStyle w:val="3"/>
        <w:ind w:left="0"/>
        <w:rPr>
          <w:color w:val="auto"/>
          <w:highlight w:val="none"/>
        </w:rPr>
      </w:pPr>
    </w:p>
    <w:p>
      <w:pPr>
        <w:pStyle w:val="11"/>
        <w:numPr>
          <w:ilvl w:val="0"/>
          <w:numId w:val="12"/>
        </w:numPr>
        <w:tabs>
          <w:tab w:val="left" w:pos="1068"/>
        </w:tabs>
        <w:spacing w:before="155"/>
        <w:ind w:left="1068" w:hanging="284"/>
        <w:jc w:val="left"/>
        <w:rPr>
          <w:color w:val="auto"/>
          <w:highlight w:val="none"/>
        </w:rPr>
      </w:pPr>
      <w:r>
        <w:rPr>
          <w:color w:val="auto"/>
          <w:highlight w:val="none"/>
        </w:rPr>
        <w:t>合同生效、变更、暂停、解除与终止</w:t>
      </w:r>
    </w:p>
    <w:p>
      <w:pPr>
        <w:pStyle w:val="12"/>
        <w:numPr>
          <w:ilvl w:val="1"/>
          <w:numId w:val="82"/>
        </w:numPr>
        <w:tabs>
          <w:tab w:val="left" w:pos="1131"/>
        </w:tabs>
        <w:spacing w:before="54"/>
        <w:ind w:hanging="426"/>
        <w:jc w:val="both"/>
        <w:rPr>
          <w:color w:val="auto"/>
          <w:highlight w:val="none"/>
        </w:rPr>
      </w:pPr>
      <w:r>
        <w:rPr>
          <w:color w:val="auto"/>
          <w:highlight w:val="none"/>
        </w:rPr>
        <w:t>变更</w:t>
      </w:r>
    </w:p>
    <w:p>
      <w:pPr>
        <w:pStyle w:val="20"/>
        <w:numPr>
          <w:ilvl w:val="2"/>
          <w:numId w:val="83"/>
        </w:numPr>
        <w:tabs>
          <w:tab w:val="left" w:pos="1364"/>
        </w:tabs>
        <w:spacing w:before="161" w:line="364" w:lineRule="auto"/>
        <w:ind w:right="230" w:firstLine="480"/>
        <w:jc w:val="both"/>
        <w:rPr>
          <w:color w:val="auto"/>
          <w:sz w:val="24"/>
          <w:highlight w:val="none"/>
        </w:rPr>
      </w:pPr>
      <w:r>
        <w:rPr>
          <w:color w:val="auto"/>
          <w:sz w:val="24"/>
          <w:highlight w:val="none"/>
        </w:rPr>
        <w:t>双方一致同意不适用通用条款第 6.2.2 款的约定。除不可抗力外，因非监理人原因导致监理人履行合同期限延长、内容增加时，则监理人应当将此情况与可能产生的影响及时通知委托人，完成监理业务的时间相应延长，监理酬金不变。</w:t>
      </w:r>
    </w:p>
    <w:p>
      <w:pPr>
        <w:pStyle w:val="20"/>
        <w:numPr>
          <w:ilvl w:val="2"/>
          <w:numId w:val="83"/>
        </w:numPr>
        <w:tabs>
          <w:tab w:val="left" w:pos="1388"/>
        </w:tabs>
        <w:spacing w:line="364" w:lineRule="auto"/>
        <w:ind w:right="230" w:firstLine="480"/>
        <w:jc w:val="both"/>
        <w:rPr>
          <w:color w:val="auto"/>
          <w:sz w:val="24"/>
          <w:highlight w:val="none"/>
        </w:rPr>
      </w:pPr>
      <w:r>
        <w:rPr>
          <w:color w:val="auto"/>
          <w:sz w:val="24"/>
          <w:highlight w:val="none"/>
        </w:rPr>
        <w:t>双方一致同意不适用通用条款第 6.2.3 款的约定。合同生效后，如果实际情况发生变化使得监理人不能完成全部或部分工作时，监理人应立即通知委托人，该监理业务的完成时间应予延长。当恢复执行监理业务时，监理人应当立即恢复执行监理业务，监理酬金不变。</w:t>
      </w:r>
    </w:p>
    <w:p>
      <w:pPr>
        <w:pStyle w:val="20"/>
        <w:numPr>
          <w:ilvl w:val="2"/>
          <w:numId w:val="83"/>
        </w:numPr>
        <w:tabs>
          <w:tab w:val="left" w:pos="1388"/>
        </w:tabs>
        <w:spacing w:line="364" w:lineRule="auto"/>
        <w:ind w:right="233" w:firstLine="480"/>
        <w:jc w:val="both"/>
        <w:rPr>
          <w:color w:val="auto"/>
          <w:sz w:val="24"/>
          <w:highlight w:val="none"/>
        </w:rPr>
      </w:pPr>
      <w:r>
        <w:rPr>
          <w:color w:val="auto"/>
          <w:sz w:val="24"/>
          <w:highlight w:val="none"/>
        </w:rPr>
        <w:t>双方一致同意不适用通用条款第 6.2.4 款的约定。合同签订后，遇有与工程相关的法律法规、标准颁布或修订的，双方应遵照执行，由此引起监理人工作的变化均应视为本合同约定的监理工作，监理酬金不变。</w:t>
      </w:r>
    </w:p>
    <w:p>
      <w:pPr>
        <w:pStyle w:val="20"/>
        <w:numPr>
          <w:ilvl w:val="2"/>
          <w:numId w:val="83"/>
        </w:numPr>
        <w:tabs>
          <w:tab w:val="left" w:pos="1364"/>
        </w:tabs>
        <w:spacing w:line="364" w:lineRule="auto"/>
        <w:ind w:right="240" w:firstLine="480"/>
        <w:jc w:val="both"/>
        <w:rPr>
          <w:color w:val="auto"/>
          <w:sz w:val="24"/>
          <w:highlight w:val="none"/>
        </w:rPr>
      </w:pPr>
      <w:r>
        <w:rPr>
          <w:color w:val="auto"/>
          <w:sz w:val="24"/>
          <w:highlight w:val="none"/>
        </w:rPr>
        <w:t>因非监理人原因造成工程概算投资额或建筑安装工程费增加时，正常工作酬金应作相应调整，调整方法按委托监理协议书第三条的约定执行。</w:t>
      </w:r>
    </w:p>
    <w:p>
      <w:pPr>
        <w:pStyle w:val="20"/>
        <w:numPr>
          <w:ilvl w:val="2"/>
          <w:numId w:val="83"/>
        </w:numPr>
        <w:tabs>
          <w:tab w:val="left" w:pos="1364"/>
        </w:tabs>
        <w:spacing w:line="364" w:lineRule="auto"/>
        <w:ind w:right="233" w:firstLine="480"/>
        <w:jc w:val="both"/>
        <w:rPr>
          <w:color w:val="auto"/>
          <w:sz w:val="24"/>
          <w:highlight w:val="none"/>
        </w:rPr>
      </w:pPr>
      <w:r>
        <w:rPr>
          <w:color w:val="auto"/>
          <w:sz w:val="24"/>
          <w:highlight w:val="none"/>
        </w:rPr>
        <w:t>因工程规模、监理范围的变化导致监理人的正常工作量减少时，正常工作酬金应作相应调整，调整方法按委托监理协议书第三条的约定执行。</w:t>
      </w:r>
    </w:p>
    <w:p>
      <w:pPr>
        <w:pStyle w:val="20"/>
        <w:numPr>
          <w:ilvl w:val="2"/>
          <w:numId w:val="83"/>
        </w:numPr>
        <w:tabs>
          <w:tab w:val="left" w:pos="1364"/>
        </w:tabs>
        <w:spacing w:line="364" w:lineRule="auto"/>
        <w:ind w:right="161" w:firstLine="480"/>
        <w:jc w:val="both"/>
        <w:rPr>
          <w:color w:val="auto"/>
          <w:sz w:val="24"/>
          <w:highlight w:val="none"/>
        </w:rPr>
      </w:pPr>
      <w:r>
        <w:rPr>
          <w:color w:val="auto"/>
          <w:sz w:val="24"/>
          <w:highlight w:val="none"/>
        </w:rPr>
        <w:t>本合同未经双方协商一致，不得变更。本合同的修改（包括服务范围的修改）， 只能以双方书面同意的方式进行。但由于建设项目施工过程的特殊性，委托人有调整局部服务范围的权利，即部分解除或部分增加服务范围，并按委托监理协议书第三条的有关约定结算监理酬金。</w:t>
      </w:r>
    </w:p>
    <w:p>
      <w:pPr>
        <w:pStyle w:val="12"/>
        <w:numPr>
          <w:ilvl w:val="1"/>
          <w:numId w:val="82"/>
        </w:numPr>
        <w:tabs>
          <w:tab w:val="left" w:pos="1131"/>
        </w:tabs>
        <w:ind w:hanging="426"/>
        <w:jc w:val="both"/>
        <w:rPr>
          <w:color w:val="auto"/>
          <w:highlight w:val="none"/>
        </w:rPr>
      </w:pPr>
      <w:r>
        <w:rPr>
          <w:color w:val="auto"/>
          <w:highlight w:val="none"/>
        </w:rPr>
        <w:t>暂停与解除</w:t>
      </w:r>
    </w:p>
    <w:p>
      <w:pPr>
        <w:pStyle w:val="3"/>
        <w:spacing w:before="10"/>
        <w:ind w:left="0"/>
        <w:rPr>
          <w:b/>
          <w:color w:val="auto"/>
          <w:sz w:val="17"/>
          <w:highlight w:val="none"/>
        </w:rPr>
      </w:pPr>
    </w:p>
    <w:p>
      <w:pPr>
        <w:pStyle w:val="3"/>
        <w:spacing w:before="1" w:line="364" w:lineRule="auto"/>
        <w:ind w:right="233" w:firstLine="480"/>
        <w:rPr>
          <w:color w:val="auto"/>
          <w:highlight w:val="none"/>
        </w:rPr>
      </w:pPr>
      <w:r>
        <w:rPr>
          <w:color w:val="auto"/>
          <w:highlight w:val="none"/>
        </w:rPr>
        <w:t>本合同未经双方协商一致，不得暂停或解除。委托人根据本合同的约定单方面部分或全部解除本合同的，自委托人书面通知监理人时起部分或全部解除本合同即生效。</w:t>
      </w:r>
    </w:p>
    <w:p>
      <w:pPr>
        <w:pStyle w:val="20"/>
        <w:numPr>
          <w:ilvl w:val="2"/>
          <w:numId w:val="82"/>
        </w:numPr>
        <w:tabs>
          <w:tab w:val="left" w:pos="1388"/>
        </w:tabs>
        <w:spacing w:line="229" w:lineRule="exact"/>
        <w:ind w:hanging="685"/>
        <w:rPr>
          <w:color w:val="auto"/>
          <w:sz w:val="24"/>
          <w:highlight w:val="none"/>
        </w:rPr>
      </w:pPr>
      <w:r>
        <w:rPr>
          <w:color w:val="auto"/>
          <w:sz w:val="24"/>
          <w:highlight w:val="none"/>
        </w:rPr>
        <w:t>双方一致同意不适用通用条款第 6.3.1 款的约定。在本合同有效期内，由于双</w:t>
      </w:r>
    </w:p>
    <w:p>
      <w:pPr>
        <w:pStyle w:val="3"/>
        <w:spacing w:before="160" w:line="364" w:lineRule="auto"/>
        <w:ind w:right="223"/>
        <w:jc w:val="both"/>
        <w:rPr>
          <w:color w:val="auto"/>
          <w:highlight w:val="none"/>
        </w:rPr>
      </w:pPr>
      <w:r>
        <w:rPr>
          <w:color w:val="auto"/>
          <w:highlight w:val="none"/>
        </w:rPr>
        <w:t>方无法预见和控制的原因导致本合同全部或部分无法继续履行或继续履行已无意义，则监理人必须接受终止服务并积极配合委托人做好善后工作，按已实际完成的监理服务内容和本合同的相关约定结清监理酬金，监理人不得要求额外的费用及任何形式的补偿。</w:t>
      </w:r>
    </w:p>
    <w:p>
      <w:pPr>
        <w:pStyle w:val="20"/>
        <w:numPr>
          <w:ilvl w:val="2"/>
          <w:numId w:val="82"/>
        </w:numPr>
        <w:tabs>
          <w:tab w:val="left" w:pos="1364"/>
        </w:tabs>
        <w:spacing w:line="305" w:lineRule="exact"/>
        <w:ind w:left="1363" w:hanging="661"/>
        <w:rPr>
          <w:color w:val="auto"/>
          <w:sz w:val="24"/>
          <w:highlight w:val="none"/>
        </w:rPr>
      </w:pPr>
      <w:r>
        <w:rPr>
          <w:color w:val="auto"/>
          <w:sz w:val="24"/>
          <w:highlight w:val="none"/>
        </w:rPr>
        <w:t>双方一致同意不适用通用条款第 6.3.2 款的约定。</w:t>
      </w:r>
    </w:p>
    <w:p>
      <w:pPr>
        <w:pStyle w:val="20"/>
        <w:numPr>
          <w:ilvl w:val="2"/>
          <w:numId w:val="82"/>
        </w:numPr>
        <w:tabs>
          <w:tab w:val="left" w:pos="1364"/>
        </w:tabs>
        <w:spacing w:before="161" w:line="362" w:lineRule="auto"/>
        <w:ind w:left="223" w:right="233" w:firstLine="480"/>
        <w:rPr>
          <w:color w:val="auto"/>
          <w:sz w:val="24"/>
          <w:highlight w:val="none"/>
        </w:rPr>
      </w:pPr>
      <w:r>
        <w:rPr>
          <w:color w:val="auto"/>
          <w:sz w:val="24"/>
          <w:highlight w:val="none"/>
        </w:rPr>
        <w:t>双方一致同意不适用通用条款第 6.3.3 款的约定。当委托人认为监理人无正当理由而又未履行监理义务时，按专用条款第 4.1 款的约定处理。</w:t>
      </w:r>
    </w:p>
    <w:p>
      <w:pPr>
        <w:pStyle w:val="20"/>
        <w:numPr>
          <w:ilvl w:val="2"/>
          <w:numId w:val="82"/>
        </w:numPr>
        <w:tabs>
          <w:tab w:val="left" w:pos="1364"/>
        </w:tabs>
        <w:spacing w:before="5"/>
        <w:ind w:left="1363" w:hanging="661"/>
        <w:rPr>
          <w:color w:val="auto"/>
          <w:sz w:val="24"/>
          <w:highlight w:val="none"/>
        </w:rPr>
      </w:pPr>
      <w:r>
        <w:rPr>
          <w:color w:val="auto"/>
          <w:sz w:val="24"/>
          <w:highlight w:val="none"/>
        </w:rPr>
        <w:t>双方一致同意不适用通用条款第 6.3.4 款的约定。</w:t>
      </w:r>
    </w:p>
    <w:p>
      <w:pPr>
        <w:pStyle w:val="12"/>
        <w:numPr>
          <w:ilvl w:val="1"/>
          <w:numId w:val="82"/>
        </w:numPr>
        <w:tabs>
          <w:tab w:val="left" w:pos="1131"/>
        </w:tabs>
        <w:spacing w:before="158"/>
        <w:ind w:hanging="426"/>
        <w:rPr>
          <w:color w:val="auto"/>
          <w:highlight w:val="none"/>
        </w:rPr>
      </w:pPr>
      <w:r>
        <w:rPr>
          <w:color w:val="auto"/>
          <w:highlight w:val="none"/>
        </w:rPr>
        <w:t>终止</w:t>
      </w:r>
    </w:p>
    <w:p>
      <w:pPr>
        <w:pStyle w:val="3"/>
        <w:spacing w:before="54" w:line="364" w:lineRule="auto"/>
        <w:ind w:right="233" w:firstLine="480"/>
        <w:jc w:val="both"/>
        <w:rPr>
          <w:color w:val="auto"/>
          <w:highlight w:val="none"/>
        </w:rPr>
      </w:pPr>
      <w:r>
        <w:rPr>
          <w:color w:val="auto"/>
          <w:highlight w:val="none"/>
        </w:rPr>
        <w:t>双方一致同意不适用通用条款第 6.4 款的约定，本合同的终止按委托监理协议书第十条的约定执行。</w:t>
      </w:r>
    </w:p>
    <w:p>
      <w:pPr>
        <w:pStyle w:val="3"/>
        <w:ind w:left="0"/>
        <w:rPr>
          <w:color w:val="auto"/>
          <w:highlight w:val="none"/>
        </w:rPr>
      </w:pPr>
    </w:p>
    <w:p>
      <w:pPr>
        <w:pStyle w:val="11"/>
        <w:numPr>
          <w:ilvl w:val="0"/>
          <w:numId w:val="12"/>
        </w:numPr>
        <w:tabs>
          <w:tab w:val="left" w:pos="1068"/>
        </w:tabs>
        <w:spacing w:before="158"/>
        <w:ind w:left="1068" w:hanging="284"/>
        <w:jc w:val="left"/>
        <w:rPr>
          <w:color w:val="auto"/>
          <w:highlight w:val="none"/>
        </w:rPr>
      </w:pPr>
      <w:r>
        <w:rPr>
          <w:color w:val="auto"/>
          <w:highlight w:val="none"/>
        </w:rPr>
        <w:t>争议解决</w:t>
      </w:r>
    </w:p>
    <w:p>
      <w:pPr>
        <w:pStyle w:val="12"/>
        <w:numPr>
          <w:ilvl w:val="1"/>
          <w:numId w:val="84"/>
        </w:numPr>
        <w:tabs>
          <w:tab w:val="left" w:pos="1131"/>
        </w:tabs>
        <w:spacing w:before="187"/>
        <w:ind w:hanging="426"/>
        <w:jc w:val="both"/>
        <w:rPr>
          <w:color w:val="auto"/>
          <w:highlight w:val="none"/>
        </w:rPr>
      </w:pPr>
      <w:r>
        <w:rPr>
          <w:color w:val="auto"/>
          <w:highlight w:val="none"/>
        </w:rPr>
        <w:t>调解</w:t>
      </w:r>
    </w:p>
    <w:p>
      <w:pPr>
        <w:pStyle w:val="3"/>
        <w:spacing w:before="161"/>
        <w:ind w:left="703"/>
        <w:rPr>
          <w:color w:val="auto"/>
          <w:highlight w:val="none"/>
        </w:rPr>
      </w:pPr>
      <w:r>
        <w:rPr>
          <w:color w:val="auto"/>
          <w:highlight w:val="none"/>
        </w:rPr>
        <w:t>双方一致同意不适用通用条款第 7.2 款的约定。</w:t>
      </w:r>
    </w:p>
    <w:p>
      <w:pPr>
        <w:pStyle w:val="12"/>
        <w:numPr>
          <w:ilvl w:val="1"/>
          <w:numId w:val="84"/>
        </w:numPr>
        <w:tabs>
          <w:tab w:val="left" w:pos="1131"/>
        </w:tabs>
        <w:spacing w:before="158"/>
        <w:ind w:hanging="426"/>
        <w:jc w:val="both"/>
        <w:rPr>
          <w:color w:val="auto"/>
          <w:highlight w:val="none"/>
        </w:rPr>
      </w:pPr>
      <w:r>
        <w:rPr>
          <w:color w:val="auto"/>
          <w:highlight w:val="none"/>
        </w:rPr>
        <w:t>诉讼</w:t>
      </w:r>
    </w:p>
    <w:p>
      <w:pPr>
        <w:pStyle w:val="3"/>
        <w:spacing w:before="161" w:line="364" w:lineRule="auto"/>
        <w:ind w:right="230" w:firstLine="480"/>
        <w:jc w:val="both"/>
        <w:rPr>
          <w:color w:val="auto"/>
          <w:highlight w:val="none"/>
        </w:rPr>
      </w:pPr>
      <w:r>
        <w:rPr>
          <w:color w:val="auto"/>
          <w:highlight w:val="none"/>
        </w:rPr>
        <w:t>因履行本合同发生或与本合同有关的争议，双方当事人应友好协商解决。如在一周内未能解决，委托人可先行单方面作出处理决定，任何一方均可向工程所在地有管辖权的人民法院提起诉讼，但诉讼不影响委托人同其他监理单位另行签订监理合同。</w:t>
      </w:r>
    </w:p>
    <w:p>
      <w:pPr>
        <w:pStyle w:val="3"/>
        <w:ind w:left="0"/>
        <w:rPr>
          <w:color w:val="auto"/>
          <w:highlight w:val="none"/>
        </w:rPr>
      </w:pPr>
    </w:p>
    <w:p>
      <w:pPr>
        <w:pStyle w:val="11"/>
        <w:numPr>
          <w:ilvl w:val="0"/>
          <w:numId w:val="12"/>
        </w:numPr>
        <w:tabs>
          <w:tab w:val="left" w:pos="1068"/>
        </w:tabs>
        <w:spacing w:before="155"/>
        <w:ind w:left="1068" w:hanging="284"/>
        <w:jc w:val="left"/>
        <w:rPr>
          <w:color w:val="auto"/>
          <w:highlight w:val="none"/>
        </w:rPr>
      </w:pPr>
      <w:r>
        <w:rPr>
          <w:color w:val="auto"/>
          <w:highlight w:val="none"/>
        </w:rPr>
        <w:t>其他</w:t>
      </w:r>
    </w:p>
    <w:p>
      <w:pPr>
        <w:pStyle w:val="12"/>
        <w:numPr>
          <w:ilvl w:val="1"/>
          <w:numId w:val="12"/>
        </w:numPr>
        <w:tabs>
          <w:tab w:val="left" w:pos="1131"/>
        </w:tabs>
        <w:spacing w:before="188"/>
        <w:ind w:hanging="426"/>
        <w:rPr>
          <w:color w:val="auto"/>
          <w:highlight w:val="none"/>
        </w:rPr>
      </w:pPr>
      <w:r>
        <w:rPr>
          <w:color w:val="auto"/>
          <w:highlight w:val="none"/>
        </w:rPr>
        <w:t>外出考察费用</w:t>
      </w:r>
    </w:p>
    <w:p>
      <w:pPr>
        <w:pStyle w:val="3"/>
        <w:spacing w:before="158" w:line="364" w:lineRule="auto"/>
        <w:ind w:right="89" w:firstLine="480"/>
        <w:rPr>
          <w:color w:val="auto"/>
          <w:highlight w:val="none"/>
        </w:rPr>
      </w:pPr>
      <w:r>
        <w:rPr>
          <w:color w:val="auto"/>
          <w:highlight w:val="none"/>
        </w:rPr>
        <w:t>双方一致同意不适用通用条款第 8.1 款的约定。委托的建设工程监理所必要的监理人员出外考察、材料设备复试、监造，其费用支出由监理人负责解决。但对于设备监造酬金， 由双方另行约定。</w:t>
      </w:r>
    </w:p>
    <w:p>
      <w:pPr>
        <w:pStyle w:val="12"/>
        <w:numPr>
          <w:ilvl w:val="1"/>
          <w:numId w:val="12"/>
        </w:numPr>
        <w:tabs>
          <w:tab w:val="left" w:pos="1131"/>
        </w:tabs>
        <w:spacing w:line="307" w:lineRule="exact"/>
        <w:ind w:hanging="426"/>
        <w:rPr>
          <w:color w:val="auto"/>
          <w:highlight w:val="none"/>
        </w:rPr>
      </w:pPr>
      <w:r>
        <w:rPr>
          <w:color w:val="auto"/>
          <w:highlight w:val="none"/>
        </w:rPr>
        <w:t>检测费用</w:t>
      </w:r>
    </w:p>
    <w:p>
      <w:pPr>
        <w:pStyle w:val="3"/>
        <w:spacing w:before="158" w:line="364" w:lineRule="auto"/>
        <w:ind w:right="190" w:firstLine="480"/>
        <w:rPr>
          <w:color w:val="auto"/>
          <w:highlight w:val="none"/>
        </w:rPr>
      </w:pPr>
      <w:r>
        <w:rPr>
          <w:color w:val="auto"/>
          <w:highlight w:val="none"/>
        </w:rPr>
        <w:t>双方一致同意不适用通用条款第 8.2 款的约定。委托的建设工程监理所必要的由监理人进行的材料和设备检测所发生的费用由监理人负责解决。</w:t>
      </w:r>
    </w:p>
    <w:p>
      <w:pPr>
        <w:pStyle w:val="12"/>
        <w:numPr>
          <w:ilvl w:val="1"/>
          <w:numId w:val="12"/>
        </w:numPr>
        <w:tabs>
          <w:tab w:val="left" w:pos="1131"/>
        </w:tabs>
        <w:spacing w:line="306" w:lineRule="exact"/>
        <w:ind w:hanging="426"/>
        <w:rPr>
          <w:color w:val="auto"/>
          <w:highlight w:val="none"/>
        </w:rPr>
      </w:pPr>
      <w:r>
        <w:rPr>
          <w:color w:val="auto"/>
          <w:highlight w:val="none"/>
        </w:rPr>
        <w:t>咨询费用</w:t>
      </w:r>
    </w:p>
    <w:p>
      <w:pPr>
        <w:pStyle w:val="3"/>
        <w:spacing w:before="161" w:line="362" w:lineRule="auto"/>
        <w:ind w:right="233" w:firstLine="480"/>
        <w:rPr>
          <w:color w:val="auto"/>
          <w:highlight w:val="none"/>
        </w:rPr>
      </w:pPr>
      <w:r>
        <w:rPr>
          <w:color w:val="auto"/>
          <w:highlight w:val="none"/>
        </w:rPr>
        <w:t>根据工程需要组织的相关咨询论证会以及聘请相关专家等发生的费用，属监理人组织或聘请的由监理人支付，属委托人或者委托人委托监理人组织或聘请的由委托人支付。</w:t>
      </w:r>
    </w:p>
    <w:p>
      <w:pPr>
        <w:pStyle w:val="12"/>
        <w:numPr>
          <w:ilvl w:val="1"/>
          <w:numId w:val="12"/>
        </w:numPr>
        <w:tabs>
          <w:tab w:val="left" w:pos="1131"/>
        </w:tabs>
        <w:spacing w:before="5"/>
        <w:ind w:hanging="426"/>
        <w:rPr>
          <w:color w:val="auto"/>
          <w:highlight w:val="none"/>
        </w:rPr>
      </w:pPr>
      <w:r>
        <w:rPr>
          <w:color w:val="auto"/>
          <w:highlight w:val="none"/>
        </w:rPr>
        <w:t>奖励</w:t>
      </w:r>
    </w:p>
    <w:p>
      <w:pPr>
        <w:pStyle w:val="3"/>
        <w:spacing w:before="160"/>
        <w:ind w:left="703"/>
        <w:rPr>
          <w:color w:val="auto"/>
          <w:highlight w:val="none"/>
        </w:rPr>
      </w:pPr>
      <w:r>
        <w:rPr>
          <w:color w:val="auto"/>
          <w:highlight w:val="none"/>
        </w:rPr>
        <w:t>双方一致同意不适用通用条款第 8.4 款的约定。</w:t>
      </w:r>
    </w:p>
    <w:p>
      <w:pPr>
        <w:pStyle w:val="12"/>
        <w:spacing w:before="158"/>
        <w:ind w:left="705" w:firstLine="0"/>
        <w:rPr>
          <w:color w:val="auto"/>
          <w:highlight w:val="none"/>
        </w:rPr>
      </w:pPr>
      <w:r>
        <w:rPr>
          <w:color w:val="auto"/>
          <w:highlight w:val="none"/>
        </w:rPr>
        <w:t>8.6 保密</w:t>
      </w:r>
    </w:p>
    <w:p>
      <w:pPr>
        <w:pStyle w:val="3"/>
        <w:spacing w:before="161" w:line="362" w:lineRule="auto"/>
        <w:ind w:right="233" w:firstLine="480"/>
        <w:rPr>
          <w:color w:val="auto"/>
          <w:highlight w:val="none"/>
        </w:rPr>
      </w:pPr>
      <w:r>
        <w:rPr>
          <w:color w:val="auto"/>
          <w:highlight w:val="none"/>
        </w:rPr>
        <w:t>在合同期内或合同终止后，未征得有关方同意，不得泄露与本合同工程、本合同业务有关的保密资料。</w:t>
      </w:r>
    </w:p>
    <w:p>
      <w:pPr>
        <w:pStyle w:val="12"/>
        <w:spacing w:before="5"/>
        <w:ind w:left="705" w:firstLine="0"/>
        <w:rPr>
          <w:color w:val="auto"/>
          <w:highlight w:val="none"/>
        </w:rPr>
      </w:pPr>
      <w:r>
        <w:rPr>
          <w:color w:val="auto"/>
          <w:highlight w:val="none"/>
        </w:rPr>
        <w:t>8.8 著作权</w:t>
      </w:r>
    </w:p>
    <w:p>
      <w:pPr>
        <w:pStyle w:val="3"/>
        <w:spacing w:before="158"/>
        <w:ind w:left="703"/>
        <w:rPr>
          <w:color w:val="auto"/>
          <w:highlight w:val="none"/>
        </w:rPr>
      </w:pPr>
      <w:r>
        <w:rPr>
          <w:color w:val="auto"/>
          <w:highlight w:val="none"/>
        </w:rPr>
        <w:t>监理人对其编制的文件拥有著作权，委托人仅有权为本合同工程使用或复制此类文件。</w:t>
      </w:r>
    </w:p>
    <w:p>
      <w:pPr>
        <w:pStyle w:val="11"/>
        <w:numPr>
          <w:ilvl w:val="0"/>
          <w:numId w:val="12"/>
        </w:numPr>
        <w:tabs>
          <w:tab w:val="left" w:pos="1068"/>
        </w:tabs>
        <w:spacing w:before="33"/>
        <w:ind w:left="1068" w:hanging="284"/>
        <w:jc w:val="left"/>
        <w:rPr>
          <w:color w:val="auto"/>
          <w:highlight w:val="none"/>
        </w:rPr>
      </w:pPr>
      <w:r>
        <w:rPr>
          <w:color w:val="auto"/>
          <w:highlight w:val="none"/>
        </w:rPr>
        <w:t>补充条款</w:t>
      </w:r>
    </w:p>
    <w:p>
      <w:pPr>
        <w:pStyle w:val="3"/>
        <w:spacing w:before="187" w:line="364" w:lineRule="auto"/>
        <w:ind w:right="230" w:firstLine="480"/>
        <w:jc w:val="both"/>
        <w:rPr>
          <w:color w:val="auto"/>
          <w:highlight w:val="none"/>
        </w:rPr>
      </w:pPr>
      <w:r>
        <w:rPr>
          <w:color w:val="auto"/>
          <w:highlight w:val="none"/>
        </w:rPr>
        <w:t>为了使建设项目施工监理工作更合理、有序地进行，委托人有权对本合同约定的监理范围、监理内容作适当的调整，特别是对本合同监理范围内专业性较强的、有特殊要求的施工内容，委托人将视监理人能力、水平等实际情况，保留另行选择专业技术管理服务队伍的权利，但不因此免除本合同监理人应有的义务和责任。监理人必须不折不扣地按照《建设工程监理规范》（GB/T50319-2013）的规定对本合同工程实施全过程监理，不因委托人另行委托了技术督导等技术管理服务单位而减轻或免除监理人的任何责任及义务，并由其负责技术督导等技术管理服务单位的协调管理工作。</w:t>
      </w:r>
      <w:bookmarkStart w:id="4" w:name="_TOC_250000"/>
      <w:bookmarkEnd w:id="4"/>
      <w:r>
        <w:rPr>
          <w:b/>
          <w:color w:val="auto"/>
          <w:sz w:val="44"/>
          <w:highlight w:val="none"/>
        </w:rPr>
        <w:br w:type="page"/>
      </w:r>
    </w:p>
    <w:p>
      <w:pPr>
        <w:tabs>
          <w:tab w:val="left" w:pos="2207"/>
        </w:tabs>
        <w:spacing w:before="38"/>
        <w:ind w:right="15"/>
        <w:jc w:val="center"/>
        <w:rPr>
          <w:b/>
          <w:color w:val="auto"/>
          <w:sz w:val="44"/>
          <w:highlight w:val="none"/>
        </w:rPr>
      </w:pPr>
      <w:r>
        <w:rPr>
          <w:b/>
          <w:color w:val="auto"/>
          <w:sz w:val="44"/>
          <w:highlight w:val="none"/>
        </w:rPr>
        <w:t>第四部分</w:t>
      </w:r>
      <w:r>
        <w:rPr>
          <w:b/>
          <w:color w:val="auto"/>
          <w:sz w:val="44"/>
          <w:highlight w:val="none"/>
        </w:rPr>
        <w:tab/>
      </w:r>
      <w:r>
        <w:rPr>
          <w:b/>
          <w:color w:val="auto"/>
          <w:sz w:val="44"/>
          <w:highlight w:val="none"/>
        </w:rPr>
        <w:t>合同附件</w:t>
      </w:r>
    </w:p>
    <w:p>
      <w:pPr>
        <w:pStyle w:val="3"/>
        <w:ind w:left="0"/>
        <w:rPr>
          <w:b/>
          <w:color w:val="auto"/>
          <w:sz w:val="20"/>
          <w:highlight w:val="none"/>
        </w:rPr>
      </w:pPr>
    </w:p>
    <w:p>
      <w:pPr>
        <w:pStyle w:val="3"/>
        <w:ind w:left="0"/>
        <w:rPr>
          <w:b/>
          <w:color w:val="auto"/>
          <w:sz w:val="20"/>
          <w:highlight w:val="none"/>
        </w:rPr>
      </w:pPr>
    </w:p>
    <w:p>
      <w:pPr>
        <w:pStyle w:val="3"/>
        <w:spacing w:before="3"/>
        <w:ind w:left="0"/>
        <w:rPr>
          <w:b/>
          <w:color w:val="auto"/>
          <w:sz w:val="26"/>
          <w:highlight w:val="none"/>
        </w:rPr>
      </w:pPr>
    </w:p>
    <w:p>
      <w:pPr>
        <w:rPr>
          <w:color w:val="auto"/>
          <w:sz w:val="26"/>
          <w:highlight w:val="none"/>
        </w:rPr>
        <w:sectPr>
          <w:pgSz w:w="11910" w:h="16840"/>
          <w:pgMar w:top="1580" w:right="900" w:bottom="1180" w:left="1080" w:header="0" w:footer="917" w:gutter="0"/>
          <w:cols w:space="720" w:num="1"/>
        </w:sectPr>
      </w:pPr>
    </w:p>
    <w:p>
      <w:pPr>
        <w:pStyle w:val="3"/>
        <w:spacing w:before="66"/>
        <w:rPr>
          <w:color w:val="auto"/>
          <w:highlight w:val="none"/>
        </w:rPr>
      </w:pPr>
      <w:r>
        <w:rPr>
          <w:color w:val="auto"/>
          <w:highlight w:val="none"/>
        </w:rPr>
        <w:t>附件 1：</w:t>
      </w:r>
    </w:p>
    <w:p>
      <w:pPr>
        <w:pStyle w:val="3"/>
        <w:spacing w:before="8"/>
        <w:ind w:left="0"/>
        <w:rPr>
          <w:color w:val="auto"/>
          <w:sz w:val="41"/>
          <w:highlight w:val="none"/>
        </w:rPr>
      </w:pPr>
      <w:r>
        <w:rPr>
          <w:color w:val="auto"/>
          <w:highlight w:val="none"/>
        </w:rPr>
        <w:br w:type="column"/>
      </w:r>
    </w:p>
    <w:p>
      <w:pPr>
        <w:pStyle w:val="8"/>
        <w:ind w:left="223"/>
        <w:rPr>
          <w:color w:val="auto"/>
          <w:highlight w:val="none"/>
        </w:rPr>
      </w:pPr>
      <w:r>
        <w:rPr>
          <w:color w:val="auto"/>
          <w:highlight w:val="none"/>
        </w:rPr>
        <w:t>工程建设廉洁协议书</w:t>
      </w:r>
    </w:p>
    <w:p>
      <w:pPr>
        <w:rPr>
          <w:color w:val="auto"/>
          <w:highlight w:val="none"/>
        </w:rPr>
        <w:sectPr>
          <w:type w:val="continuous"/>
          <w:pgSz w:w="11910" w:h="16840"/>
          <w:pgMar w:top="1580" w:right="900" w:bottom="1100" w:left="1080" w:header="720" w:footer="720" w:gutter="0"/>
          <w:cols w:equalWidth="0" w:num="2">
            <w:col w:w="1164" w:space="2124"/>
            <w:col w:w="6642"/>
          </w:cols>
        </w:sectPr>
      </w:pPr>
    </w:p>
    <w:p>
      <w:pPr>
        <w:pStyle w:val="3"/>
        <w:ind w:left="0"/>
        <w:rPr>
          <w:b/>
          <w:color w:val="auto"/>
          <w:sz w:val="20"/>
          <w:highlight w:val="none"/>
        </w:rPr>
      </w:pPr>
    </w:p>
    <w:p>
      <w:pPr>
        <w:pStyle w:val="3"/>
        <w:spacing w:before="10"/>
        <w:ind w:left="0"/>
        <w:rPr>
          <w:b/>
          <w:color w:val="auto"/>
          <w:sz w:val="27"/>
          <w:highlight w:val="none"/>
        </w:rPr>
      </w:pPr>
    </w:p>
    <w:p>
      <w:pPr>
        <w:pStyle w:val="3"/>
        <w:spacing w:before="66" w:line="364" w:lineRule="auto"/>
        <w:ind w:right="7"/>
        <w:rPr>
          <w:rFonts w:hint="eastAsia"/>
          <w:color w:val="auto"/>
          <w:highlight w:val="none"/>
          <w:u w:val="single"/>
          <w:lang w:val="en-US"/>
        </w:rPr>
      </w:pPr>
      <w:r>
        <w:rPr>
          <w:color w:val="auto"/>
          <w:highlight w:val="none"/>
        </w:rPr>
        <w:t>项目名称：</w:t>
      </w:r>
      <w:r>
        <w:rPr>
          <w:rFonts w:hint="eastAsia"/>
          <w:color w:val="auto"/>
          <w:highlight w:val="none"/>
          <w:u w:val="single"/>
        </w:rPr>
        <w:t xml:space="preserve">   </w:t>
      </w:r>
      <w:r>
        <w:rPr>
          <w:rFonts w:hint="eastAsia"/>
          <w:snapToGrid w:val="0"/>
          <w:color w:val="auto"/>
          <w:highlight w:val="none"/>
          <w:u w:val="single"/>
          <w:lang w:eastAsia="zh-CN"/>
        </w:rPr>
        <w:t>广东省机械技师学院南海校区建设项目施工监理</w:t>
      </w:r>
      <w:r>
        <w:rPr>
          <w:rFonts w:hint="eastAsia"/>
          <w:color w:val="auto"/>
          <w:highlight w:val="none"/>
          <w:u w:val="single"/>
          <w:lang w:val="en-US"/>
        </w:rPr>
        <w:t xml:space="preserve">  </w:t>
      </w:r>
    </w:p>
    <w:p>
      <w:pPr>
        <w:pStyle w:val="3"/>
        <w:spacing w:before="66" w:line="364" w:lineRule="auto"/>
        <w:ind w:right="7"/>
        <w:rPr>
          <w:color w:val="auto"/>
          <w:highlight w:val="none"/>
        </w:rPr>
      </w:pPr>
      <w:r>
        <w:rPr>
          <w:color w:val="auto"/>
          <w:highlight w:val="none"/>
        </w:rPr>
        <w:t>项目地址：</w:t>
      </w:r>
      <w:r>
        <w:rPr>
          <w:rFonts w:hint="eastAsia"/>
          <w:color w:val="auto"/>
          <w:highlight w:val="none"/>
          <w:u w:val="single"/>
          <w:lang w:val="en-US"/>
        </w:rPr>
        <w:t>广东省佛山市南海区南海软件科技园区英才路1号（狮山大学城内）</w:t>
      </w:r>
    </w:p>
    <w:p>
      <w:pPr>
        <w:pStyle w:val="3"/>
        <w:tabs>
          <w:tab w:val="left" w:pos="4423"/>
        </w:tabs>
        <w:spacing w:line="364" w:lineRule="auto"/>
        <w:ind w:right="4210"/>
        <w:rPr>
          <w:color w:val="auto"/>
          <w:highlight w:val="none"/>
          <w:u w:val="single"/>
          <w:lang w:val="en-US"/>
        </w:rPr>
      </w:pPr>
      <w:r>
        <w:rPr>
          <w:color w:val="auto"/>
          <w:highlight w:val="none"/>
        </w:rPr>
        <w:t>委托人（甲方）：</w:t>
      </w:r>
      <w:r>
        <w:rPr>
          <w:color w:val="auto"/>
          <w:highlight w:val="none"/>
          <w:u w:val="single"/>
        </w:rPr>
        <w:t xml:space="preserve"> 广东省代建项目管理局</w:t>
      </w:r>
      <w:r>
        <w:rPr>
          <w:rFonts w:hint="eastAsia"/>
          <w:color w:val="auto"/>
          <w:highlight w:val="none"/>
          <w:u w:val="single"/>
          <w:lang w:val="en-US"/>
        </w:rPr>
        <w:t xml:space="preserve"> </w:t>
      </w:r>
    </w:p>
    <w:p>
      <w:pPr>
        <w:pStyle w:val="3"/>
        <w:tabs>
          <w:tab w:val="left" w:pos="4423"/>
        </w:tabs>
        <w:spacing w:line="364" w:lineRule="auto"/>
        <w:ind w:right="4650"/>
        <w:rPr>
          <w:rFonts w:hint="default" w:ascii="Times New Roman" w:eastAsia="宋体"/>
          <w:color w:val="auto"/>
          <w:highlight w:val="none"/>
          <w:lang w:val="en-US" w:eastAsia="zh-CN"/>
        </w:rPr>
      </w:pPr>
      <w:r>
        <w:rPr>
          <w:color w:val="auto"/>
          <w:highlight w:val="none"/>
        </w:rPr>
        <w:t>监理人（乙方）：</w:t>
      </w:r>
      <w:r>
        <w:rPr>
          <w:rFonts w:hint="eastAsia" w:ascii="Times New Roman"/>
          <w:color w:val="auto"/>
          <w:highlight w:val="none"/>
          <w:u w:val="single"/>
          <w:lang w:val="en-US" w:eastAsia="zh-CN"/>
        </w:rPr>
        <w:t xml:space="preserve">                      </w:t>
      </w:r>
    </w:p>
    <w:p>
      <w:pPr>
        <w:pStyle w:val="3"/>
        <w:ind w:left="0"/>
        <w:rPr>
          <w:rFonts w:ascii="Times New Roman"/>
          <w:color w:val="auto"/>
          <w:sz w:val="20"/>
          <w:highlight w:val="none"/>
        </w:rPr>
      </w:pPr>
    </w:p>
    <w:p>
      <w:pPr>
        <w:pStyle w:val="3"/>
        <w:spacing w:before="6"/>
        <w:ind w:left="0"/>
        <w:rPr>
          <w:rFonts w:ascii="Times New Roman"/>
          <w:color w:val="auto"/>
          <w:sz w:val="20"/>
          <w:highlight w:val="none"/>
        </w:rPr>
      </w:pPr>
    </w:p>
    <w:p>
      <w:pPr>
        <w:pStyle w:val="3"/>
        <w:spacing w:line="364" w:lineRule="auto"/>
        <w:ind w:right="113" w:firstLine="480"/>
        <w:rPr>
          <w:color w:val="auto"/>
          <w:highlight w:val="none"/>
        </w:rPr>
      </w:pPr>
      <w:r>
        <w:rPr>
          <w:color w:val="auto"/>
          <w:highlight w:val="none"/>
        </w:rPr>
        <w:t>为切实加强廉洁工程建设，规范承发包双方的各项建筑活动，预防违法违纪等腐败现象的发生，保障工程建设优质、安全和廉洁，根据《广州市建筑市场廉洁准入规定（试行）》及相关法律法规的规定，特订立本协议书。</w:t>
      </w:r>
    </w:p>
    <w:p>
      <w:pPr>
        <w:pStyle w:val="3"/>
        <w:spacing w:line="304" w:lineRule="exact"/>
        <w:ind w:left="693"/>
        <w:rPr>
          <w:color w:val="auto"/>
          <w:highlight w:val="none"/>
        </w:rPr>
      </w:pPr>
      <w:r>
        <w:rPr>
          <w:color w:val="auto"/>
          <w:highlight w:val="none"/>
        </w:rPr>
        <w:t>第一条 甲乙双方责任</w:t>
      </w:r>
    </w:p>
    <w:p>
      <w:pPr>
        <w:pStyle w:val="3"/>
        <w:spacing w:before="160"/>
        <w:ind w:left="693"/>
        <w:rPr>
          <w:color w:val="auto"/>
          <w:highlight w:val="none"/>
        </w:rPr>
      </w:pPr>
      <w:r>
        <w:rPr>
          <w:color w:val="auto"/>
          <w:highlight w:val="none"/>
        </w:rPr>
        <w:t>（一）严格遵守国家有关法律法规和政策规定，以及廉政建设的各项约定。</w:t>
      </w:r>
    </w:p>
    <w:p>
      <w:pPr>
        <w:pStyle w:val="3"/>
        <w:spacing w:before="158"/>
        <w:ind w:left="693"/>
        <w:rPr>
          <w:color w:val="auto"/>
          <w:highlight w:val="none"/>
        </w:rPr>
      </w:pPr>
      <w:r>
        <w:rPr>
          <w:color w:val="auto"/>
          <w:highlight w:val="none"/>
        </w:rPr>
        <w:t>（二）严格执行建设工程项目承发包合同文件，自觉按合同办事。</w:t>
      </w:r>
    </w:p>
    <w:p>
      <w:pPr>
        <w:pStyle w:val="3"/>
        <w:spacing w:before="161" w:line="364" w:lineRule="auto"/>
        <w:ind w:right="230" w:firstLine="470"/>
        <w:jc w:val="both"/>
        <w:rPr>
          <w:color w:val="auto"/>
          <w:highlight w:val="none"/>
        </w:rPr>
      </w:pPr>
      <w:r>
        <w:rPr>
          <w:color w:val="auto"/>
          <w:highlight w:val="none"/>
        </w:rPr>
        <w:t>（三）建筑活动必须坚持公开、公平、公正、诚信、透明的原则（除法律法规另有规定者外），不得为获取不正当的利益，损害国家、集体和对方利益，不得违反国家、省、市和甲方有关工程建设管理的规章制度。</w:t>
      </w:r>
    </w:p>
    <w:p>
      <w:pPr>
        <w:pStyle w:val="3"/>
        <w:spacing w:line="362" w:lineRule="auto"/>
        <w:ind w:right="230" w:firstLine="470"/>
        <w:rPr>
          <w:color w:val="auto"/>
          <w:highlight w:val="none"/>
        </w:rPr>
      </w:pPr>
      <w:r>
        <w:rPr>
          <w:color w:val="auto"/>
          <w:highlight w:val="none"/>
        </w:rPr>
        <w:t>（四）发现对方在建筑活动中存在违规、违纪、违法行为的，有权向其上级主管部门或纪检监察、检察等有关机关举报。</w:t>
      </w:r>
    </w:p>
    <w:p>
      <w:pPr>
        <w:pStyle w:val="3"/>
        <w:spacing w:before="4" w:line="362" w:lineRule="auto"/>
        <w:ind w:right="233" w:firstLine="480"/>
        <w:rPr>
          <w:color w:val="auto"/>
          <w:highlight w:val="none"/>
        </w:rPr>
      </w:pPr>
      <w:r>
        <w:rPr>
          <w:color w:val="auto"/>
          <w:highlight w:val="none"/>
        </w:rPr>
        <w:t>（五）甲乙双方应充分发挥各自职能作用，积极互动形成纵向监督合力，依照本协议书规定，对本合同工程项目承发包合同履行情况实施监督，及时制止不廉洁行为的发生。</w:t>
      </w:r>
    </w:p>
    <w:p>
      <w:pPr>
        <w:pStyle w:val="3"/>
        <w:spacing w:before="5"/>
        <w:ind w:left="693"/>
        <w:rPr>
          <w:color w:val="auto"/>
          <w:highlight w:val="none"/>
        </w:rPr>
      </w:pPr>
      <w:r>
        <w:rPr>
          <w:color w:val="auto"/>
          <w:highlight w:val="none"/>
        </w:rPr>
        <w:t>第二条 甲方责任</w:t>
      </w:r>
    </w:p>
    <w:p>
      <w:pPr>
        <w:pStyle w:val="3"/>
        <w:spacing w:before="158" w:line="364" w:lineRule="auto"/>
        <w:ind w:right="233" w:firstLine="480"/>
        <w:rPr>
          <w:color w:val="auto"/>
          <w:highlight w:val="none"/>
        </w:rPr>
      </w:pPr>
      <w:r>
        <w:rPr>
          <w:color w:val="auto"/>
          <w:highlight w:val="none"/>
        </w:rPr>
        <w:t>（一）甲方领导干部和从事该工程建设的管理人员，在建筑活动中须严格遵守以下廉洁从业规定：</w:t>
      </w:r>
    </w:p>
    <w:p>
      <w:pPr>
        <w:pStyle w:val="20"/>
        <w:numPr>
          <w:ilvl w:val="0"/>
          <w:numId w:val="85"/>
        </w:numPr>
        <w:tabs>
          <w:tab w:val="left" w:pos="946"/>
        </w:tabs>
        <w:spacing w:line="364" w:lineRule="auto"/>
        <w:ind w:right="233" w:firstLine="480"/>
        <w:rPr>
          <w:color w:val="auto"/>
          <w:sz w:val="24"/>
          <w:highlight w:val="none"/>
        </w:rPr>
      </w:pPr>
      <w:r>
        <w:rPr>
          <w:color w:val="auto"/>
          <w:sz w:val="24"/>
          <w:highlight w:val="none"/>
        </w:rPr>
        <w:t>不准向乙方和相关单位或个人索取钱物或接受回扣、礼金、各种有价证券、信用卡和好处费、感谢费以及其它支付凭证等。</w:t>
      </w:r>
    </w:p>
    <w:p>
      <w:pPr>
        <w:spacing w:line="364" w:lineRule="auto"/>
        <w:rPr>
          <w:color w:val="auto"/>
          <w:sz w:val="24"/>
          <w:highlight w:val="none"/>
        </w:rPr>
        <w:sectPr>
          <w:type w:val="continuous"/>
          <w:pgSz w:w="11910" w:h="16840"/>
          <w:pgMar w:top="1580" w:right="900" w:bottom="1100" w:left="1080" w:header="720" w:footer="720" w:gutter="0"/>
          <w:cols w:space="720" w:num="1"/>
        </w:sectPr>
      </w:pPr>
    </w:p>
    <w:p>
      <w:pPr>
        <w:pStyle w:val="20"/>
        <w:numPr>
          <w:ilvl w:val="0"/>
          <w:numId w:val="85"/>
        </w:numPr>
        <w:tabs>
          <w:tab w:val="left" w:pos="946"/>
        </w:tabs>
        <w:spacing w:before="54" w:line="364" w:lineRule="auto"/>
        <w:ind w:right="233" w:firstLine="480"/>
        <w:rPr>
          <w:color w:val="auto"/>
          <w:sz w:val="24"/>
          <w:highlight w:val="none"/>
        </w:rPr>
      </w:pPr>
      <w:r>
        <w:rPr>
          <w:color w:val="auto"/>
          <w:sz w:val="24"/>
          <w:highlight w:val="none"/>
        </w:rPr>
        <w:t>不准接受可能影响公正执行公务的乙方和相关单位或个人的礼物馈赠、宴请、各种形式俱乐部会员资格、高消费娱乐活动。</w:t>
      </w:r>
    </w:p>
    <w:p>
      <w:pPr>
        <w:pStyle w:val="20"/>
        <w:numPr>
          <w:ilvl w:val="0"/>
          <w:numId w:val="85"/>
        </w:numPr>
        <w:tabs>
          <w:tab w:val="left" w:pos="945"/>
        </w:tabs>
        <w:spacing w:before="1"/>
        <w:ind w:left="944" w:hanging="242"/>
        <w:rPr>
          <w:color w:val="auto"/>
          <w:sz w:val="24"/>
          <w:highlight w:val="none"/>
        </w:rPr>
      </w:pPr>
      <w:r>
        <w:rPr>
          <w:color w:val="auto"/>
          <w:sz w:val="24"/>
          <w:highlight w:val="none"/>
        </w:rPr>
        <w:t>不准在乙方和相关单位报销任何应由甲方或个人负担的费用。</w:t>
      </w:r>
    </w:p>
    <w:p>
      <w:pPr>
        <w:pStyle w:val="20"/>
        <w:numPr>
          <w:ilvl w:val="0"/>
          <w:numId w:val="85"/>
        </w:numPr>
        <w:tabs>
          <w:tab w:val="left" w:pos="946"/>
        </w:tabs>
        <w:spacing w:before="158" w:line="364" w:lineRule="auto"/>
        <w:ind w:right="115" w:firstLine="480"/>
        <w:rPr>
          <w:color w:val="auto"/>
          <w:sz w:val="24"/>
          <w:highlight w:val="none"/>
        </w:rPr>
      </w:pPr>
      <w:r>
        <w:rPr>
          <w:color w:val="auto"/>
          <w:sz w:val="24"/>
          <w:highlight w:val="none"/>
        </w:rPr>
        <w:t>不准要求、暗示或接受乙方和相关单位或个人为自己、配偶、子女、其他亲属朋友及身边工作人员的装修住房、婚丧嫁娶、工作安排、学习培训、经商办企业以及出国（境）、旅游、度假等支付费用。</w:t>
      </w:r>
    </w:p>
    <w:p>
      <w:pPr>
        <w:pStyle w:val="20"/>
        <w:numPr>
          <w:ilvl w:val="0"/>
          <w:numId w:val="85"/>
        </w:numPr>
        <w:tabs>
          <w:tab w:val="left" w:pos="946"/>
        </w:tabs>
        <w:spacing w:line="362" w:lineRule="auto"/>
        <w:ind w:right="233" w:firstLine="480"/>
        <w:rPr>
          <w:color w:val="auto"/>
          <w:sz w:val="24"/>
          <w:highlight w:val="none"/>
        </w:rPr>
      </w:pPr>
      <w:r>
        <w:rPr>
          <w:color w:val="auto"/>
          <w:sz w:val="24"/>
          <w:highlight w:val="none"/>
        </w:rPr>
        <w:t>不准向乙方介绍配偶、子女、其他亲属朋友及身边工作人员参与同甲方项目工程合同有关的设备、材料、工程分包、劳务等经济活动。</w:t>
      </w:r>
    </w:p>
    <w:p>
      <w:pPr>
        <w:pStyle w:val="20"/>
        <w:numPr>
          <w:ilvl w:val="0"/>
          <w:numId w:val="85"/>
        </w:numPr>
        <w:tabs>
          <w:tab w:val="left" w:pos="946"/>
        </w:tabs>
        <w:spacing w:before="5" w:line="362" w:lineRule="auto"/>
        <w:ind w:right="233" w:firstLine="480"/>
        <w:rPr>
          <w:color w:val="auto"/>
          <w:sz w:val="24"/>
          <w:highlight w:val="none"/>
        </w:rPr>
      </w:pPr>
      <w:r>
        <w:rPr>
          <w:color w:val="auto"/>
          <w:sz w:val="24"/>
          <w:highlight w:val="none"/>
        </w:rPr>
        <w:t>不得以任何理由向乙方和相关单位推荐分包单位和要求或暗示乙方购买项目工程合同规定外的材料、设备等。</w:t>
      </w:r>
    </w:p>
    <w:p>
      <w:pPr>
        <w:pStyle w:val="3"/>
        <w:spacing w:before="5" w:line="362" w:lineRule="auto"/>
        <w:ind w:right="233" w:firstLine="480"/>
        <w:rPr>
          <w:color w:val="auto"/>
          <w:highlight w:val="none"/>
        </w:rPr>
      </w:pPr>
      <w:r>
        <w:rPr>
          <w:color w:val="auto"/>
          <w:highlight w:val="none"/>
        </w:rPr>
        <w:t>（二）合同签订后组织与乙方相关廉洁责任人见面会，进行廉洁工程建设交底，明确廉洁工程建设责任和目标任务、举报方式。</w:t>
      </w:r>
    </w:p>
    <w:p>
      <w:pPr>
        <w:pStyle w:val="3"/>
        <w:spacing w:before="5" w:line="362" w:lineRule="auto"/>
        <w:ind w:right="233" w:firstLine="480"/>
        <w:rPr>
          <w:color w:val="auto"/>
          <w:highlight w:val="none"/>
        </w:rPr>
      </w:pPr>
      <w:r>
        <w:rPr>
          <w:color w:val="auto"/>
          <w:highlight w:val="none"/>
        </w:rPr>
        <w:t>（三）加强对合同支付、合同结算等建设管理环节的监督管理，特别是审批效能方面的监察检查，提高建设管理服务水平。</w:t>
      </w:r>
    </w:p>
    <w:p>
      <w:pPr>
        <w:pStyle w:val="3"/>
        <w:spacing w:before="5" w:line="362" w:lineRule="auto"/>
        <w:ind w:right="115" w:firstLine="480"/>
        <w:rPr>
          <w:color w:val="auto"/>
          <w:highlight w:val="none"/>
        </w:rPr>
      </w:pPr>
      <w:r>
        <w:rPr>
          <w:color w:val="auto"/>
          <w:highlight w:val="none"/>
        </w:rPr>
        <w:t>（四）成立监督工作机构，不定期对合同履行情况开展监督检查，对发现的有关问题， 及时协调给予解决。</w:t>
      </w:r>
    </w:p>
    <w:p>
      <w:pPr>
        <w:pStyle w:val="3"/>
        <w:spacing w:before="5"/>
        <w:ind w:left="703"/>
        <w:rPr>
          <w:color w:val="auto"/>
          <w:highlight w:val="none"/>
        </w:rPr>
      </w:pPr>
      <w:r>
        <w:rPr>
          <w:color w:val="auto"/>
          <w:highlight w:val="none"/>
        </w:rPr>
        <w:t>第三条 乙方责任</w:t>
      </w:r>
    </w:p>
    <w:p>
      <w:pPr>
        <w:pStyle w:val="3"/>
        <w:spacing w:before="160"/>
        <w:ind w:left="703"/>
        <w:rPr>
          <w:color w:val="auto"/>
          <w:highlight w:val="none"/>
        </w:rPr>
      </w:pPr>
      <w:r>
        <w:rPr>
          <w:color w:val="auto"/>
          <w:highlight w:val="none"/>
        </w:rPr>
        <w:t>（一）与甲方保持正常的业务交往，遵守以下规定：</w:t>
      </w:r>
    </w:p>
    <w:p>
      <w:pPr>
        <w:pStyle w:val="20"/>
        <w:numPr>
          <w:ilvl w:val="0"/>
          <w:numId w:val="86"/>
        </w:numPr>
        <w:tabs>
          <w:tab w:val="left" w:pos="946"/>
        </w:tabs>
        <w:spacing w:before="158" w:line="364" w:lineRule="auto"/>
        <w:ind w:right="233" w:firstLine="480"/>
        <w:rPr>
          <w:color w:val="auto"/>
          <w:sz w:val="24"/>
          <w:highlight w:val="none"/>
        </w:rPr>
      </w:pPr>
      <w:r>
        <w:rPr>
          <w:color w:val="auto"/>
          <w:sz w:val="24"/>
          <w:highlight w:val="none"/>
        </w:rPr>
        <w:t>不准以任何理由向甲方人员行贿或赠送回扣、礼金、各种有价证券、信用卡和好处费、感谢费及其它支付凭证等。</w:t>
      </w:r>
    </w:p>
    <w:p>
      <w:pPr>
        <w:pStyle w:val="20"/>
        <w:numPr>
          <w:ilvl w:val="0"/>
          <w:numId w:val="86"/>
        </w:numPr>
        <w:tabs>
          <w:tab w:val="left" w:pos="946"/>
        </w:tabs>
        <w:spacing w:line="364" w:lineRule="auto"/>
        <w:ind w:right="233" w:firstLine="480"/>
        <w:rPr>
          <w:color w:val="auto"/>
          <w:sz w:val="24"/>
          <w:highlight w:val="none"/>
        </w:rPr>
      </w:pPr>
      <w:r>
        <w:rPr>
          <w:color w:val="auto"/>
          <w:sz w:val="24"/>
          <w:highlight w:val="none"/>
        </w:rPr>
        <w:t>不准以任何理由为甲方人员组织有可能影响公正执行公务的宴请、各种形式俱乐部及高消费娱乐等活动。</w:t>
      </w:r>
    </w:p>
    <w:p>
      <w:pPr>
        <w:pStyle w:val="20"/>
        <w:numPr>
          <w:ilvl w:val="0"/>
          <w:numId w:val="86"/>
        </w:numPr>
        <w:tabs>
          <w:tab w:val="left" w:pos="945"/>
        </w:tabs>
        <w:spacing w:line="306" w:lineRule="exact"/>
        <w:ind w:left="944" w:hanging="242"/>
        <w:rPr>
          <w:color w:val="auto"/>
          <w:sz w:val="24"/>
          <w:highlight w:val="none"/>
        </w:rPr>
      </w:pPr>
      <w:r>
        <w:rPr>
          <w:color w:val="auto"/>
          <w:sz w:val="24"/>
          <w:highlight w:val="none"/>
        </w:rPr>
        <w:t>不准以任何理由为甲方或个人报销应由对方或个人支付的费用。</w:t>
      </w:r>
    </w:p>
    <w:p>
      <w:pPr>
        <w:pStyle w:val="20"/>
        <w:numPr>
          <w:ilvl w:val="0"/>
          <w:numId w:val="86"/>
        </w:numPr>
        <w:tabs>
          <w:tab w:val="left" w:pos="946"/>
        </w:tabs>
        <w:spacing w:before="159" w:line="364" w:lineRule="auto"/>
        <w:ind w:right="230" w:firstLine="480"/>
        <w:jc w:val="both"/>
        <w:rPr>
          <w:color w:val="auto"/>
          <w:sz w:val="24"/>
          <w:highlight w:val="none"/>
        </w:rPr>
      </w:pPr>
      <w:r>
        <w:rPr>
          <w:color w:val="auto"/>
          <w:sz w:val="24"/>
          <w:highlight w:val="none"/>
        </w:rPr>
        <w:t>不准暗示或要求为甲方人员及其配偶、子女、其他亲属朋友及身边工作人员的装修住房、婚丧嫁娶、工作安排、学习培训、经商办企业以及出国（境）、旅游、度假提供方便和支付费用。</w:t>
      </w:r>
    </w:p>
    <w:p>
      <w:pPr>
        <w:pStyle w:val="20"/>
        <w:numPr>
          <w:ilvl w:val="0"/>
          <w:numId w:val="86"/>
        </w:numPr>
        <w:tabs>
          <w:tab w:val="left" w:pos="946"/>
        </w:tabs>
        <w:spacing w:line="364" w:lineRule="auto"/>
        <w:ind w:right="233" w:firstLine="480"/>
        <w:rPr>
          <w:color w:val="auto"/>
          <w:sz w:val="24"/>
          <w:highlight w:val="none"/>
        </w:rPr>
      </w:pPr>
      <w:r>
        <w:rPr>
          <w:color w:val="auto"/>
          <w:sz w:val="24"/>
          <w:highlight w:val="none"/>
        </w:rPr>
        <w:t>不准介绍和安排甲方人员及其配偶、子女、其他亲属朋友及身边工作人员参与同甲方工程项目有关的设备、材料、工程分包、劳务等经济活动。</w:t>
      </w:r>
    </w:p>
    <w:p>
      <w:pPr>
        <w:pStyle w:val="20"/>
        <w:numPr>
          <w:ilvl w:val="0"/>
          <w:numId w:val="86"/>
        </w:numPr>
        <w:tabs>
          <w:tab w:val="left" w:pos="945"/>
        </w:tabs>
        <w:spacing w:line="306" w:lineRule="exact"/>
        <w:ind w:left="944" w:hanging="242"/>
        <w:rPr>
          <w:color w:val="auto"/>
          <w:sz w:val="24"/>
          <w:highlight w:val="none"/>
        </w:rPr>
      </w:pPr>
      <w:r>
        <w:rPr>
          <w:color w:val="auto"/>
          <w:sz w:val="24"/>
          <w:highlight w:val="none"/>
        </w:rPr>
        <w:t>不得与发包人及其工作人员亲属经营的企业存在业务关联或利益输送。</w:t>
      </w:r>
    </w:p>
    <w:p>
      <w:pPr>
        <w:pStyle w:val="3"/>
        <w:spacing w:before="161" w:line="364" w:lineRule="auto"/>
        <w:ind w:right="233" w:firstLine="480"/>
        <w:rPr>
          <w:color w:val="auto"/>
          <w:highlight w:val="none"/>
        </w:rPr>
      </w:pPr>
      <w:r>
        <w:rPr>
          <w:color w:val="auto"/>
          <w:highlight w:val="none"/>
        </w:rPr>
        <w:t>（二）组织项目负责人及相关管理人员层层签订廉洁从业责任状，明确廉洁责任，形成有效的内部监督管理机制。</w:t>
      </w:r>
    </w:p>
    <w:p>
      <w:pPr>
        <w:pStyle w:val="3"/>
        <w:spacing w:before="161" w:line="364" w:lineRule="auto"/>
        <w:ind w:right="233" w:firstLine="480"/>
        <w:rPr>
          <w:color w:val="auto"/>
          <w:highlight w:val="none"/>
        </w:rPr>
      </w:pPr>
      <w:r>
        <w:rPr>
          <w:color w:val="auto"/>
          <w:highlight w:val="none"/>
        </w:rPr>
        <w:t>（三）按甲方要求参加廉政座谈、法制讲座等活动，加强对项目负责人及相关管理人员的法律法规、廉洁和职业道德教育，共同筑牢防腐防线。</w:t>
      </w:r>
    </w:p>
    <w:p>
      <w:pPr>
        <w:pStyle w:val="3"/>
        <w:spacing w:line="306" w:lineRule="exact"/>
        <w:ind w:left="703"/>
        <w:rPr>
          <w:color w:val="auto"/>
          <w:highlight w:val="none"/>
        </w:rPr>
      </w:pPr>
      <w:r>
        <w:rPr>
          <w:color w:val="auto"/>
          <w:highlight w:val="none"/>
        </w:rPr>
        <w:t>第四条 违约责任</w:t>
      </w:r>
    </w:p>
    <w:p>
      <w:pPr>
        <w:pStyle w:val="3"/>
        <w:spacing w:before="160"/>
        <w:ind w:left="703"/>
        <w:rPr>
          <w:color w:val="auto"/>
          <w:highlight w:val="none"/>
        </w:rPr>
      </w:pPr>
      <w:r>
        <w:rPr>
          <w:color w:val="auto"/>
          <w:highlight w:val="none"/>
        </w:rPr>
        <w:t>（一）甲方违约责任</w:t>
      </w:r>
    </w:p>
    <w:p>
      <w:pPr>
        <w:pStyle w:val="20"/>
        <w:numPr>
          <w:ilvl w:val="0"/>
          <w:numId w:val="87"/>
        </w:numPr>
        <w:tabs>
          <w:tab w:val="left" w:pos="946"/>
        </w:tabs>
        <w:spacing w:before="158" w:line="364" w:lineRule="auto"/>
        <w:ind w:right="233" w:firstLine="480"/>
        <w:rPr>
          <w:color w:val="auto"/>
          <w:sz w:val="24"/>
          <w:highlight w:val="none"/>
        </w:rPr>
      </w:pPr>
      <w:r>
        <w:rPr>
          <w:color w:val="auto"/>
          <w:sz w:val="24"/>
          <w:highlight w:val="none"/>
        </w:rPr>
        <w:t>甲方不履行或不完全履行本协议书有关责任义务给乙方造成损失的，在乙方提交足够证据并经查证属实的情况下，甲方赔偿其直接经济损失。</w:t>
      </w:r>
    </w:p>
    <w:p>
      <w:pPr>
        <w:pStyle w:val="20"/>
        <w:numPr>
          <w:ilvl w:val="0"/>
          <w:numId w:val="87"/>
        </w:numPr>
        <w:tabs>
          <w:tab w:val="left" w:pos="946"/>
        </w:tabs>
        <w:spacing w:line="364" w:lineRule="auto"/>
        <w:ind w:right="233" w:firstLine="480"/>
        <w:rPr>
          <w:color w:val="auto"/>
          <w:sz w:val="24"/>
          <w:highlight w:val="none"/>
        </w:rPr>
      </w:pPr>
      <w:r>
        <w:rPr>
          <w:color w:val="auto"/>
          <w:sz w:val="24"/>
          <w:highlight w:val="none"/>
        </w:rPr>
        <w:t>甲方人员出现受贿等严重违法违纪违规行为的，按照管理权限，依据有关法律法规和规定给予党纪、政纪处分或组织处理；涉嫌犯罪的，移交司法机关追究刑事责任。</w:t>
      </w:r>
    </w:p>
    <w:p>
      <w:pPr>
        <w:pStyle w:val="3"/>
        <w:spacing w:line="306" w:lineRule="exact"/>
        <w:ind w:left="703"/>
        <w:rPr>
          <w:color w:val="auto"/>
          <w:highlight w:val="none"/>
        </w:rPr>
      </w:pPr>
      <w:r>
        <w:rPr>
          <w:color w:val="auto"/>
          <w:highlight w:val="none"/>
        </w:rPr>
        <w:t>（二）乙方违约责任</w:t>
      </w:r>
    </w:p>
    <w:p>
      <w:pPr>
        <w:pStyle w:val="20"/>
        <w:numPr>
          <w:ilvl w:val="0"/>
          <w:numId w:val="88"/>
        </w:numPr>
        <w:tabs>
          <w:tab w:val="left" w:pos="946"/>
        </w:tabs>
        <w:spacing w:before="159" w:line="364" w:lineRule="auto"/>
        <w:ind w:right="230" w:firstLine="480"/>
        <w:jc w:val="both"/>
        <w:rPr>
          <w:color w:val="auto"/>
          <w:sz w:val="24"/>
          <w:highlight w:val="none"/>
        </w:rPr>
      </w:pPr>
      <w:r>
        <w:rPr>
          <w:color w:val="auto"/>
          <w:sz w:val="24"/>
          <w:highlight w:val="none"/>
        </w:rPr>
        <w:t>乙方不履行或不完全履行本协议书有关责任义务的，按本合同工程合同规定须承担一次一般违约责任。情节较轻的，可给予书面警告；情节较重的，须承担一次严重违约责任。</w:t>
      </w:r>
    </w:p>
    <w:p>
      <w:pPr>
        <w:pStyle w:val="20"/>
        <w:numPr>
          <w:ilvl w:val="0"/>
          <w:numId w:val="88"/>
        </w:numPr>
        <w:tabs>
          <w:tab w:val="left" w:pos="946"/>
        </w:tabs>
        <w:spacing w:line="364" w:lineRule="auto"/>
        <w:ind w:right="233" w:firstLine="480"/>
        <w:rPr>
          <w:color w:val="auto"/>
          <w:sz w:val="24"/>
          <w:highlight w:val="none"/>
        </w:rPr>
      </w:pPr>
      <w:r>
        <w:rPr>
          <w:color w:val="auto"/>
          <w:sz w:val="24"/>
          <w:highlight w:val="none"/>
        </w:rPr>
        <w:t>乙方出现严重违法违纪违规行为的，甲方将上报监察或检察机关依法查处，并提请建设行政主管部门根据《广州市建筑市场廉洁准入规定》进行处理。</w:t>
      </w:r>
    </w:p>
    <w:p>
      <w:pPr>
        <w:pStyle w:val="3"/>
        <w:spacing w:line="306" w:lineRule="exact"/>
        <w:ind w:left="703"/>
        <w:rPr>
          <w:color w:val="auto"/>
          <w:highlight w:val="none"/>
        </w:rPr>
      </w:pPr>
      <w:r>
        <w:rPr>
          <w:color w:val="auto"/>
          <w:highlight w:val="none"/>
        </w:rPr>
        <w:t>第五条 甲乙双方监管部门</w:t>
      </w:r>
    </w:p>
    <w:p>
      <w:pPr>
        <w:pStyle w:val="20"/>
        <w:numPr>
          <w:ilvl w:val="0"/>
          <w:numId w:val="89"/>
        </w:numPr>
        <w:tabs>
          <w:tab w:val="left" w:pos="945"/>
          <w:tab w:val="left" w:pos="3823"/>
          <w:tab w:val="left" w:pos="6463"/>
        </w:tabs>
        <w:spacing w:before="158"/>
        <w:ind w:hanging="242"/>
        <w:rPr>
          <w:color w:val="auto"/>
          <w:sz w:val="24"/>
          <w:highlight w:val="none"/>
        </w:rPr>
      </w:pPr>
      <w:r>
        <w:rPr>
          <w:color w:val="auto"/>
          <w:sz w:val="24"/>
          <w:highlight w:val="none"/>
        </w:rPr>
        <w:t>甲方监督部门：</w:t>
      </w:r>
      <w:r>
        <w:rPr>
          <w:rFonts w:hint="eastAsia"/>
          <w:color w:val="auto"/>
          <w:sz w:val="24"/>
          <w:highlight w:val="none"/>
          <w:u w:val="single"/>
        </w:rPr>
        <w:t>广东省代建项目管理局监察室</w:t>
      </w:r>
      <w:r>
        <w:rPr>
          <w:color w:val="auto"/>
          <w:sz w:val="24"/>
          <w:highlight w:val="none"/>
        </w:rPr>
        <w:t>，举报电话：</w:t>
      </w:r>
      <w:r>
        <w:rPr>
          <w:rFonts w:hint="eastAsia"/>
          <w:color w:val="auto"/>
          <w:sz w:val="24"/>
          <w:highlight w:val="none"/>
          <w:u w:val="single"/>
          <w:lang w:val="en-US"/>
        </w:rPr>
        <w:t>020-83620839</w:t>
      </w:r>
      <w:r>
        <w:rPr>
          <w:color w:val="auto"/>
          <w:sz w:val="24"/>
          <w:highlight w:val="none"/>
        </w:rPr>
        <w:t>。</w:t>
      </w:r>
    </w:p>
    <w:p>
      <w:pPr>
        <w:pStyle w:val="20"/>
        <w:numPr>
          <w:ilvl w:val="0"/>
          <w:numId w:val="89"/>
        </w:numPr>
        <w:tabs>
          <w:tab w:val="left" w:pos="946"/>
          <w:tab w:val="left" w:pos="2143"/>
          <w:tab w:val="left" w:pos="3863"/>
          <w:tab w:val="left" w:pos="5263"/>
          <w:tab w:val="left" w:pos="6537"/>
          <w:tab w:val="left" w:pos="9453"/>
        </w:tabs>
        <w:spacing w:before="160" w:line="362" w:lineRule="auto"/>
        <w:ind w:left="223" w:right="230" w:firstLine="480"/>
        <w:rPr>
          <w:color w:val="auto"/>
          <w:sz w:val="24"/>
          <w:highlight w:val="none"/>
        </w:rPr>
      </w:pPr>
      <w:r>
        <w:rPr>
          <w:color w:val="auto"/>
          <w:sz w:val="24"/>
          <w:highlight w:val="none"/>
        </w:rPr>
        <w:t>乙方监督部门：</w:t>
      </w:r>
      <w:r>
        <w:rPr>
          <w:color w:val="auto"/>
          <w:sz w:val="24"/>
          <w:highlight w:val="none"/>
          <w:u w:val="single"/>
        </w:rPr>
        <w:t xml:space="preserve"> </w:t>
      </w:r>
      <w:r>
        <w:rPr>
          <w:rFonts w:hint="eastAsia"/>
          <w:color w:val="auto"/>
          <w:sz w:val="24"/>
          <w:highlight w:val="none"/>
          <w:u w:val="single"/>
          <w:lang w:val="en-US"/>
        </w:rPr>
        <w:t xml:space="preserve">  </w:t>
      </w:r>
      <w:r>
        <w:rPr>
          <w:color w:val="auto"/>
          <w:sz w:val="24"/>
          <w:highlight w:val="none"/>
        </w:rPr>
        <w:t>，举报电话：</w:t>
      </w:r>
      <w:r>
        <w:rPr>
          <w:color w:val="auto"/>
          <w:sz w:val="24"/>
          <w:highlight w:val="none"/>
          <w:u w:val="single"/>
        </w:rPr>
        <w:t xml:space="preserve"> </w:t>
      </w:r>
      <w:r>
        <w:rPr>
          <w:rFonts w:hint="eastAsia"/>
          <w:color w:val="auto"/>
          <w:sz w:val="24"/>
          <w:highlight w:val="none"/>
          <w:u w:val="single"/>
          <w:lang w:val="en-US"/>
        </w:rPr>
        <w:t xml:space="preserve">  </w:t>
      </w:r>
      <w:r>
        <w:rPr>
          <w:color w:val="auto"/>
          <w:sz w:val="24"/>
          <w:highlight w:val="none"/>
        </w:rPr>
        <w:t>，廉政责任人：</w:t>
      </w:r>
      <w:r>
        <w:rPr>
          <w:rFonts w:hint="eastAsia"/>
          <w:color w:val="auto"/>
          <w:sz w:val="24"/>
          <w:highlight w:val="none"/>
          <w:u w:val="single"/>
        </w:rPr>
        <w:t xml:space="preserve"> </w:t>
      </w:r>
      <w:r>
        <w:rPr>
          <w:rFonts w:hint="eastAsia"/>
          <w:color w:val="auto"/>
          <w:sz w:val="24"/>
          <w:highlight w:val="none"/>
          <w:u w:val="single"/>
          <w:lang w:val="en-US"/>
        </w:rPr>
        <w:t xml:space="preserve">  </w:t>
      </w:r>
      <w:r>
        <w:rPr>
          <w:color w:val="auto"/>
          <w:sz w:val="24"/>
          <w:highlight w:val="none"/>
        </w:rPr>
        <w:t>， 职务：</w:t>
      </w:r>
      <w:r>
        <w:rPr>
          <w:color w:val="auto"/>
          <w:sz w:val="24"/>
          <w:highlight w:val="none"/>
          <w:u w:val="single"/>
        </w:rPr>
        <w:t xml:space="preserve"> </w:t>
      </w:r>
      <w:r>
        <w:rPr>
          <w:rFonts w:hint="eastAsia"/>
          <w:color w:val="auto"/>
          <w:sz w:val="24"/>
          <w:highlight w:val="none"/>
          <w:u w:val="single"/>
          <w:lang w:val="en-US"/>
        </w:rPr>
        <w:t xml:space="preserve">  </w:t>
      </w:r>
      <w:r>
        <w:rPr>
          <w:color w:val="auto"/>
          <w:sz w:val="24"/>
          <w:highlight w:val="none"/>
        </w:rPr>
        <w:t>，上级主管部门：</w:t>
      </w:r>
      <w:r>
        <w:rPr>
          <w:rFonts w:hint="eastAsia"/>
          <w:color w:val="auto"/>
          <w:sz w:val="24"/>
          <w:highlight w:val="none"/>
          <w:u w:val="single"/>
        </w:rPr>
        <w:t xml:space="preserve"> </w:t>
      </w:r>
      <w:r>
        <w:rPr>
          <w:rFonts w:hint="eastAsia"/>
          <w:color w:val="auto"/>
          <w:sz w:val="24"/>
          <w:highlight w:val="none"/>
          <w:u w:val="single"/>
          <w:lang w:val="en-US"/>
        </w:rPr>
        <w:t xml:space="preserve">  </w:t>
      </w:r>
      <w:r>
        <w:rPr>
          <w:color w:val="auto"/>
          <w:sz w:val="24"/>
          <w:highlight w:val="none"/>
        </w:rPr>
        <w:t>。</w:t>
      </w:r>
    </w:p>
    <w:p>
      <w:pPr>
        <w:pStyle w:val="3"/>
        <w:spacing w:before="5" w:line="362" w:lineRule="auto"/>
        <w:ind w:right="190" w:firstLine="480"/>
        <w:rPr>
          <w:color w:val="auto"/>
          <w:highlight w:val="none"/>
        </w:rPr>
      </w:pPr>
      <w:r>
        <w:rPr>
          <w:color w:val="auto"/>
          <w:highlight w:val="none"/>
        </w:rPr>
        <w:t>第六条 本协议书作为工程施工监理合同的附件，与工程施工监理合同具有同等法律效力。经双方签字盖章后生效。</w:t>
      </w:r>
    </w:p>
    <w:p>
      <w:pPr>
        <w:pStyle w:val="3"/>
        <w:spacing w:before="5"/>
        <w:ind w:left="703"/>
        <w:rPr>
          <w:color w:val="auto"/>
          <w:highlight w:val="none"/>
        </w:rPr>
      </w:pPr>
      <w:r>
        <w:rPr>
          <w:color w:val="auto"/>
          <w:highlight w:val="none"/>
        </w:rPr>
        <w:t>第七条未尽事宜，由双方协商解决。</w:t>
      </w:r>
    </w:p>
    <w:p>
      <w:pPr>
        <w:rPr>
          <w:color w:val="auto"/>
          <w:highlight w:val="none"/>
        </w:rPr>
        <w:sectPr>
          <w:pgSz w:w="11910" w:h="16840"/>
          <w:pgMar w:top="1060" w:right="900" w:bottom="1180" w:left="1080" w:header="0" w:footer="917" w:gutter="0"/>
          <w:cols w:space="720" w:num="1"/>
        </w:sectPr>
      </w:pPr>
    </w:p>
    <w:p>
      <w:pPr>
        <w:pStyle w:val="9"/>
        <w:spacing w:before="36"/>
        <w:rPr>
          <w:color w:val="auto"/>
          <w:highlight w:val="none"/>
        </w:rPr>
      </w:pPr>
      <w:r>
        <w:rPr>
          <w:color w:val="auto"/>
          <w:highlight w:val="none"/>
        </w:rPr>
        <w:t>附件 2</w:t>
      </w:r>
    </w:p>
    <w:p>
      <w:pPr>
        <w:pStyle w:val="3"/>
        <w:spacing w:before="2"/>
        <w:ind w:left="0"/>
        <w:rPr>
          <w:color w:val="auto"/>
          <w:sz w:val="22"/>
          <w:highlight w:val="none"/>
        </w:rPr>
      </w:pPr>
    </w:p>
    <w:p>
      <w:pPr>
        <w:pStyle w:val="11"/>
        <w:numPr>
          <w:ilvl w:val="0"/>
          <w:numId w:val="90"/>
        </w:numPr>
        <w:spacing w:before="61"/>
        <w:ind w:right="2116"/>
        <w:jc w:val="center"/>
        <w:rPr>
          <w:color w:val="auto"/>
          <w:highlight w:val="none"/>
        </w:rPr>
      </w:pPr>
      <w:r>
        <w:rPr>
          <w:color w:val="auto"/>
          <w:highlight w:val="none"/>
        </w:rPr>
        <w:t>监理组织架构框图</w:t>
      </w:r>
    </w:p>
    <w:p>
      <w:pPr>
        <w:rPr>
          <w:color w:val="auto"/>
          <w:highlight w:val="none"/>
        </w:rPr>
      </w:pPr>
    </w:p>
    <w:p>
      <w:pPr>
        <w:pStyle w:val="3"/>
        <w:tabs>
          <w:tab w:val="left" w:pos="6741"/>
          <w:tab w:val="left" w:pos="8779"/>
        </w:tabs>
        <w:rPr>
          <w:color w:val="auto"/>
          <w:highlight w:val="none"/>
        </w:rPr>
      </w:pPr>
    </w:p>
    <w:p>
      <w:pPr>
        <w:pStyle w:val="3"/>
        <w:tabs>
          <w:tab w:val="left" w:pos="6741"/>
          <w:tab w:val="left" w:pos="8779"/>
        </w:tabs>
        <w:rPr>
          <w:color w:val="auto"/>
          <w:highlight w:val="none"/>
        </w:rPr>
      </w:pPr>
    </w:p>
    <w:p>
      <w:pPr>
        <w:pStyle w:val="3"/>
        <w:tabs>
          <w:tab w:val="left" w:pos="6741"/>
          <w:tab w:val="left" w:pos="8779"/>
        </w:tabs>
        <w:rPr>
          <w:color w:val="auto"/>
          <w:highlight w:val="none"/>
        </w:rPr>
      </w:pPr>
    </w:p>
    <w:p>
      <w:pPr>
        <w:pStyle w:val="3"/>
        <w:tabs>
          <w:tab w:val="left" w:pos="6741"/>
          <w:tab w:val="left" w:pos="8779"/>
        </w:tabs>
        <w:rPr>
          <w:color w:val="auto"/>
          <w:highlight w:val="none"/>
        </w:rPr>
      </w:pPr>
    </w:p>
    <w:p>
      <w:pPr>
        <w:pStyle w:val="3"/>
        <w:tabs>
          <w:tab w:val="left" w:pos="6741"/>
          <w:tab w:val="left" w:pos="8779"/>
        </w:tabs>
        <w:rPr>
          <w:color w:val="auto"/>
          <w:highlight w:val="none"/>
        </w:rPr>
      </w:pPr>
    </w:p>
    <w:p>
      <w:pPr>
        <w:pStyle w:val="3"/>
        <w:tabs>
          <w:tab w:val="left" w:pos="6741"/>
          <w:tab w:val="left" w:pos="8779"/>
        </w:tabs>
        <w:rPr>
          <w:color w:val="auto"/>
          <w:highlight w:val="none"/>
        </w:rPr>
      </w:pPr>
    </w:p>
    <w:p>
      <w:pPr>
        <w:pStyle w:val="3"/>
        <w:tabs>
          <w:tab w:val="left" w:pos="6741"/>
          <w:tab w:val="left" w:pos="8779"/>
        </w:tabs>
        <w:rPr>
          <w:color w:val="auto"/>
          <w:highlight w:val="none"/>
        </w:rPr>
      </w:pPr>
    </w:p>
    <w:p>
      <w:pPr>
        <w:pStyle w:val="3"/>
        <w:tabs>
          <w:tab w:val="left" w:pos="6741"/>
          <w:tab w:val="left" w:pos="8779"/>
        </w:tabs>
        <w:rPr>
          <w:color w:val="auto"/>
          <w:highlight w:val="none"/>
        </w:rPr>
      </w:pPr>
    </w:p>
    <w:p>
      <w:pPr>
        <w:pStyle w:val="3"/>
        <w:tabs>
          <w:tab w:val="left" w:pos="6741"/>
          <w:tab w:val="left" w:pos="8779"/>
        </w:tabs>
        <w:rPr>
          <w:color w:val="auto"/>
          <w:highlight w:val="none"/>
        </w:rPr>
      </w:pPr>
    </w:p>
    <w:p>
      <w:pPr>
        <w:pStyle w:val="3"/>
        <w:tabs>
          <w:tab w:val="left" w:pos="6741"/>
          <w:tab w:val="left" w:pos="8779"/>
        </w:tabs>
        <w:rPr>
          <w:color w:val="auto"/>
          <w:highlight w:val="none"/>
        </w:rPr>
      </w:pPr>
    </w:p>
    <w:p>
      <w:pPr>
        <w:pStyle w:val="3"/>
        <w:tabs>
          <w:tab w:val="left" w:pos="6741"/>
          <w:tab w:val="left" w:pos="8779"/>
        </w:tabs>
        <w:rPr>
          <w:color w:val="auto"/>
          <w:highlight w:val="none"/>
        </w:rPr>
      </w:pPr>
    </w:p>
    <w:p>
      <w:pPr>
        <w:pStyle w:val="3"/>
        <w:tabs>
          <w:tab w:val="left" w:pos="6741"/>
          <w:tab w:val="left" w:pos="8779"/>
        </w:tabs>
        <w:rPr>
          <w:color w:val="auto"/>
          <w:highlight w:val="none"/>
        </w:rPr>
      </w:pPr>
    </w:p>
    <w:p>
      <w:pPr>
        <w:pStyle w:val="3"/>
        <w:tabs>
          <w:tab w:val="left" w:pos="6741"/>
          <w:tab w:val="left" w:pos="8779"/>
        </w:tabs>
        <w:rPr>
          <w:color w:val="auto"/>
          <w:highlight w:val="none"/>
        </w:rPr>
      </w:pPr>
    </w:p>
    <w:p>
      <w:pPr>
        <w:pStyle w:val="3"/>
        <w:tabs>
          <w:tab w:val="left" w:pos="6741"/>
          <w:tab w:val="left" w:pos="8779"/>
        </w:tabs>
        <w:rPr>
          <w:color w:val="auto"/>
          <w:highlight w:val="none"/>
        </w:rPr>
      </w:pPr>
    </w:p>
    <w:p>
      <w:pPr>
        <w:pStyle w:val="3"/>
        <w:tabs>
          <w:tab w:val="left" w:pos="6741"/>
          <w:tab w:val="left" w:pos="8779"/>
        </w:tabs>
        <w:rPr>
          <w:color w:val="auto"/>
          <w:highlight w:val="none"/>
        </w:rPr>
      </w:pPr>
    </w:p>
    <w:p>
      <w:pPr>
        <w:pStyle w:val="3"/>
        <w:tabs>
          <w:tab w:val="left" w:pos="6741"/>
          <w:tab w:val="left" w:pos="8779"/>
        </w:tabs>
        <w:rPr>
          <w:color w:val="auto"/>
          <w:highlight w:val="none"/>
        </w:rPr>
      </w:pPr>
    </w:p>
    <w:p>
      <w:pPr>
        <w:pStyle w:val="3"/>
        <w:tabs>
          <w:tab w:val="left" w:pos="6741"/>
          <w:tab w:val="left" w:pos="8779"/>
        </w:tabs>
        <w:rPr>
          <w:color w:val="auto"/>
          <w:highlight w:val="none"/>
        </w:rPr>
      </w:pPr>
    </w:p>
    <w:p>
      <w:pPr>
        <w:pStyle w:val="3"/>
        <w:tabs>
          <w:tab w:val="left" w:pos="6741"/>
          <w:tab w:val="left" w:pos="8779"/>
        </w:tabs>
        <w:rPr>
          <w:color w:val="auto"/>
          <w:highlight w:val="none"/>
        </w:rPr>
      </w:pPr>
    </w:p>
    <w:p>
      <w:pPr>
        <w:pStyle w:val="3"/>
        <w:tabs>
          <w:tab w:val="left" w:pos="6741"/>
          <w:tab w:val="left" w:pos="8779"/>
        </w:tabs>
        <w:rPr>
          <w:color w:val="auto"/>
          <w:highlight w:val="none"/>
        </w:rPr>
      </w:pPr>
    </w:p>
    <w:p>
      <w:pPr>
        <w:pStyle w:val="3"/>
        <w:tabs>
          <w:tab w:val="left" w:pos="6741"/>
          <w:tab w:val="left" w:pos="8779"/>
        </w:tabs>
        <w:rPr>
          <w:color w:val="auto"/>
          <w:highlight w:val="none"/>
        </w:rPr>
      </w:pPr>
      <w:r>
        <w:rPr>
          <w:color w:val="auto"/>
          <w:highlight w:val="none"/>
        </w:rPr>
        <w:t>法定代表人(或被授权人) 签章：</w:t>
      </w:r>
      <w:r>
        <w:rPr>
          <w:rFonts w:hint="eastAsia"/>
          <w:color w:val="auto"/>
          <w:highlight w:val="none"/>
        </w:rPr>
        <w:t xml:space="preserve"> </w:t>
      </w:r>
      <w:r>
        <w:rPr>
          <w:color w:val="auto"/>
          <w:highlight w:val="none"/>
        </w:rPr>
        <w:tab/>
      </w:r>
      <w:r>
        <w:rPr>
          <w:color w:val="auto"/>
          <w:highlight w:val="none"/>
        </w:rPr>
        <w:t>日期： 202</w:t>
      </w:r>
      <w:r>
        <w:rPr>
          <w:rFonts w:hint="eastAsia"/>
          <w:color w:val="auto"/>
          <w:highlight w:val="none"/>
        </w:rPr>
        <w:t>2</w:t>
      </w:r>
      <w:r>
        <w:rPr>
          <w:color w:val="auto"/>
          <w:highlight w:val="none"/>
        </w:rPr>
        <w:t xml:space="preserve"> 年</w:t>
      </w:r>
      <w:r>
        <w:rPr>
          <w:color w:val="auto"/>
          <w:highlight w:val="none"/>
        </w:rPr>
        <w:tab/>
      </w:r>
      <w:r>
        <w:rPr>
          <w:color w:val="auto"/>
          <w:highlight w:val="none"/>
        </w:rPr>
        <w:t>月 日</w:t>
      </w:r>
    </w:p>
    <w:p>
      <w:pPr>
        <w:rPr>
          <w:color w:val="auto"/>
          <w:highlight w:val="none"/>
        </w:rPr>
        <w:sectPr>
          <w:pgSz w:w="11910" w:h="16840"/>
          <w:pgMar w:top="1080" w:right="900" w:bottom="1180" w:left="1080" w:header="0" w:footer="917" w:gutter="0"/>
          <w:cols w:space="720" w:num="1"/>
        </w:sectPr>
      </w:pPr>
    </w:p>
    <w:p>
      <w:pPr>
        <w:pStyle w:val="10"/>
        <w:rPr>
          <w:color w:val="auto"/>
          <w:highlight w:val="none"/>
        </w:rPr>
      </w:pPr>
      <w:r>
        <w:rPr>
          <w:color w:val="auto"/>
          <w:highlight w:val="none"/>
        </w:rPr>
        <w:t>二、拟委派本项目驻场监理机构人员一览表</w:t>
      </w:r>
    </w:p>
    <w:p>
      <w:pPr>
        <w:pStyle w:val="3"/>
        <w:ind w:left="0"/>
        <w:rPr>
          <w:b/>
          <w:color w:val="auto"/>
          <w:sz w:val="20"/>
          <w:highlight w:val="none"/>
        </w:rPr>
      </w:pPr>
    </w:p>
    <w:p>
      <w:pPr>
        <w:pStyle w:val="3"/>
        <w:spacing w:before="11"/>
        <w:ind w:left="0"/>
        <w:rPr>
          <w:b/>
          <w:color w:val="auto"/>
          <w:sz w:val="13"/>
          <w:highlight w:val="none"/>
        </w:rPr>
      </w:pPr>
    </w:p>
    <w:tbl>
      <w:tblPr>
        <w:tblStyle w:val="17"/>
        <w:tblW w:w="0" w:type="auto"/>
        <w:tblInd w:w="2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958"/>
        <w:gridCol w:w="665"/>
        <w:gridCol w:w="667"/>
        <w:gridCol w:w="972"/>
        <w:gridCol w:w="960"/>
        <w:gridCol w:w="1073"/>
        <w:gridCol w:w="1440"/>
        <w:gridCol w:w="1788"/>
        <w:gridCol w:w="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466" w:type="dxa"/>
          </w:tcPr>
          <w:p>
            <w:pPr>
              <w:pStyle w:val="21"/>
              <w:spacing w:before="87" w:line="278" w:lineRule="auto"/>
              <w:ind w:left="126" w:right="115"/>
              <w:rPr>
                <w:color w:val="auto"/>
                <w:sz w:val="21"/>
                <w:highlight w:val="none"/>
              </w:rPr>
            </w:pPr>
            <w:r>
              <w:rPr>
                <w:color w:val="auto"/>
                <w:sz w:val="21"/>
                <w:highlight w:val="none"/>
              </w:rPr>
              <w:t>序号</w:t>
            </w:r>
          </w:p>
        </w:tc>
        <w:tc>
          <w:tcPr>
            <w:tcW w:w="958" w:type="dxa"/>
          </w:tcPr>
          <w:p>
            <w:pPr>
              <w:pStyle w:val="21"/>
              <w:spacing w:before="12"/>
              <w:rPr>
                <w:b/>
                <w:color w:val="auto"/>
                <w:sz w:val="18"/>
                <w:highlight w:val="none"/>
              </w:rPr>
            </w:pPr>
          </w:p>
          <w:p>
            <w:pPr>
              <w:pStyle w:val="21"/>
              <w:ind w:left="265"/>
              <w:rPr>
                <w:color w:val="auto"/>
                <w:sz w:val="21"/>
                <w:highlight w:val="none"/>
              </w:rPr>
            </w:pPr>
            <w:r>
              <w:rPr>
                <w:color w:val="auto"/>
                <w:sz w:val="21"/>
                <w:highlight w:val="none"/>
              </w:rPr>
              <w:t>姓名</w:t>
            </w:r>
          </w:p>
        </w:tc>
        <w:tc>
          <w:tcPr>
            <w:tcW w:w="665" w:type="dxa"/>
          </w:tcPr>
          <w:p>
            <w:pPr>
              <w:pStyle w:val="21"/>
              <w:spacing w:before="12"/>
              <w:rPr>
                <w:b/>
                <w:color w:val="auto"/>
                <w:sz w:val="18"/>
                <w:highlight w:val="none"/>
              </w:rPr>
            </w:pPr>
          </w:p>
          <w:p>
            <w:pPr>
              <w:pStyle w:val="21"/>
              <w:ind w:left="121"/>
              <w:rPr>
                <w:color w:val="auto"/>
                <w:sz w:val="21"/>
                <w:highlight w:val="none"/>
              </w:rPr>
            </w:pPr>
            <w:r>
              <w:rPr>
                <w:color w:val="auto"/>
                <w:sz w:val="21"/>
                <w:highlight w:val="none"/>
              </w:rPr>
              <w:t>性别</w:t>
            </w:r>
          </w:p>
        </w:tc>
        <w:tc>
          <w:tcPr>
            <w:tcW w:w="667" w:type="dxa"/>
          </w:tcPr>
          <w:p>
            <w:pPr>
              <w:pStyle w:val="21"/>
              <w:spacing w:before="12"/>
              <w:rPr>
                <w:b/>
                <w:color w:val="auto"/>
                <w:sz w:val="18"/>
                <w:highlight w:val="none"/>
              </w:rPr>
            </w:pPr>
          </w:p>
          <w:p>
            <w:pPr>
              <w:pStyle w:val="21"/>
              <w:ind w:left="123"/>
              <w:rPr>
                <w:color w:val="auto"/>
                <w:sz w:val="21"/>
                <w:highlight w:val="none"/>
              </w:rPr>
            </w:pPr>
            <w:r>
              <w:rPr>
                <w:color w:val="auto"/>
                <w:sz w:val="21"/>
                <w:highlight w:val="none"/>
              </w:rPr>
              <w:t>年龄</w:t>
            </w:r>
          </w:p>
        </w:tc>
        <w:tc>
          <w:tcPr>
            <w:tcW w:w="972" w:type="dxa"/>
          </w:tcPr>
          <w:p>
            <w:pPr>
              <w:pStyle w:val="21"/>
              <w:spacing w:before="12"/>
              <w:rPr>
                <w:b/>
                <w:color w:val="auto"/>
                <w:sz w:val="18"/>
                <w:highlight w:val="none"/>
              </w:rPr>
            </w:pPr>
          </w:p>
          <w:p>
            <w:pPr>
              <w:pStyle w:val="21"/>
              <w:ind w:left="275"/>
              <w:rPr>
                <w:color w:val="auto"/>
                <w:sz w:val="21"/>
                <w:highlight w:val="none"/>
              </w:rPr>
            </w:pPr>
            <w:r>
              <w:rPr>
                <w:color w:val="auto"/>
                <w:sz w:val="21"/>
                <w:highlight w:val="none"/>
              </w:rPr>
              <w:t>职称</w:t>
            </w:r>
          </w:p>
        </w:tc>
        <w:tc>
          <w:tcPr>
            <w:tcW w:w="960" w:type="dxa"/>
          </w:tcPr>
          <w:p>
            <w:pPr>
              <w:pStyle w:val="21"/>
              <w:spacing w:before="12"/>
              <w:rPr>
                <w:b/>
                <w:color w:val="auto"/>
                <w:sz w:val="18"/>
                <w:highlight w:val="none"/>
              </w:rPr>
            </w:pPr>
          </w:p>
          <w:p>
            <w:pPr>
              <w:pStyle w:val="21"/>
              <w:ind w:left="270"/>
              <w:rPr>
                <w:color w:val="auto"/>
                <w:sz w:val="21"/>
                <w:highlight w:val="none"/>
              </w:rPr>
            </w:pPr>
            <w:r>
              <w:rPr>
                <w:color w:val="auto"/>
                <w:sz w:val="21"/>
                <w:highlight w:val="none"/>
              </w:rPr>
              <w:t>专业</w:t>
            </w:r>
          </w:p>
        </w:tc>
        <w:tc>
          <w:tcPr>
            <w:tcW w:w="1073" w:type="dxa"/>
          </w:tcPr>
          <w:p>
            <w:pPr>
              <w:pStyle w:val="21"/>
              <w:spacing w:before="87" w:line="278" w:lineRule="auto"/>
              <w:ind w:left="116" w:right="101"/>
              <w:rPr>
                <w:color w:val="auto"/>
                <w:sz w:val="21"/>
                <w:highlight w:val="none"/>
              </w:rPr>
            </w:pPr>
            <w:r>
              <w:rPr>
                <w:color w:val="auto"/>
                <w:sz w:val="21"/>
                <w:highlight w:val="none"/>
              </w:rPr>
              <w:t>从事监理工作年限</w:t>
            </w:r>
          </w:p>
        </w:tc>
        <w:tc>
          <w:tcPr>
            <w:tcW w:w="1440" w:type="dxa"/>
          </w:tcPr>
          <w:p>
            <w:pPr>
              <w:pStyle w:val="21"/>
              <w:spacing w:before="87" w:line="278" w:lineRule="auto"/>
              <w:ind w:left="322" w:right="140" w:hanging="101"/>
              <w:rPr>
                <w:color w:val="auto"/>
                <w:sz w:val="21"/>
                <w:highlight w:val="none"/>
              </w:rPr>
            </w:pPr>
            <w:r>
              <w:rPr>
                <w:color w:val="auto"/>
                <w:sz w:val="21"/>
                <w:highlight w:val="none"/>
              </w:rPr>
              <w:t>在本项目担任的职务</w:t>
            </w:r>
          </w:p>
        </w:tc>
        <w:tc>
          <w:tcPr>
            <w:tcW w:w="1788" w:type="dxa"/>
          </w:tcPr>
          <w:p>
            <w:pPr>
              <w:pStyle w:val="21"/>
              <w:spacing w:before="87"/>
              <w:ind w:left="109"/>
              <w:rPr>
                <w:color w:val="auto"/>
                <w:sz w:val="21"/>
                <w:highlight w:val="none"/>
              </w:rPr>
            </w:pPr>
            <w:r>
              <w:rPr>
                <w:color w:val="auto"/>
                <w:sz w:val="21"/>
                <w:highlight w:val="none"/>
              </w:rPr>
              <w:t>监理工程师注册</w:t>
            </w:r>
          </w:p>
          <w:p>
            <w:pPr>
              <w:pStyle w:val="21"/>
              <w:spacing w:before="43"/>
              <w:ind w:left="109"/>
              <w:rPr>
                <w:color w:val="auto"/>
                <w:sz w:val="21"/>
                <w:highlight w:val="none"/>
              </w:rPr>
            </w:pPr>
            <w:r>
              <w:rPr>
                <w:color w:val="auto"/>
                <w:sz w:val="21"/>
                <w:highlight w:val="none"/>
              </w:rPr>
              <w:t>（或岗位）证号</w:t>
            </w:r>
          </w:p>
        </w:tc>
        <w:tc>
          <w:tcPr>
            <w:tcW w:w="526" w:type="dxa"/>
          </w:tcPr>
          <w:p>
            <w:pPr>
              <w:pStyle w:val="21"/>
              <w:spacing w:before="87" w:line="278" w:lineRule="auto"/>
              <w:ind w:left="154" w:right="147"/>
              <w:rPr>
                <w:color w:val="auto"/>
                <w:sz w:val="21"/>
                <w:highlight w:val="none"/>
              </w:rPr>
            </w:pPr>
            <w:r>
              <w:rPr>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466" w:type="dxa"/>
            <w:vAlign w:val="center"/>
          </w:tcPr>
          <w:p>
            <w:pPr>
              <w:autoSpaceDE/>
              <w:autoSpaceDN/>
              <w:spacing w:before="48" w:beforeLines="20" w:after="48" w:afterLines="20"/>
              <w:jc w:val="center"/>
              <w:rPr>
                <w:color w:val="auto"/>
                <w:sz w:val="24"/>
                <w:highlight w:val="none"/>
              </w:rPr>
            </w:pPr>
            <w:r>
              <w:rPr>
                <w:rFonts w:hint="eastAsia"/>
                <w:color w:val="auto"/>
                <w:sz w:val="21"/>
                <w:szCs w:val="21"/>
                <w:highlight w:val="none"/>
                <w:lang w:val="en-US"/>
              </w:rPr>
              <w:t>1</w:t>
            </w:r>
          </w:p>
        </w:tc>
        <w:tc>
          <w:tcPr>
            <w:tcW w:w="958" w:type="dxa"/>
            <w:vAlign w:val="center"/>
          </w:tcPr>
          <w:p>
            <w:pPr>
              <w:autoSpaceDE/>
              <w:autoSpaceDN/>
              <w:snapToGrid w:val="0"/>
              <w:spacing w:before="48" w:beforeLines="20" w:after="48" w:afterLines="20"/>
              <w:jc w:val="center"/>
              <w:rPr>
                <w:rFonts w:ascii="Times New Roman"/>
                <w:color w:val="auto"/>
                <w:highlight w:val="none"/>
              </w:rPr>
            </w:pPr>
          </w:p>
        </w:tc>
        <w:tc>
          <w:tcPr>
            <w:tcW w:w="665" w:type="dxa"/>
            <w:vAlign w:val="center"/>
          </w:tcPr>
          <w:p>
            <w:pPr>
              <w:autoSpaceDE/>
              <w:autoSpaceDN/>
              <w:snapToGrid w:val="0"/>
              <w:spacing w:before="48" w:beforeLines="20" w:after="48" w:afterLines="20"/>
              <w:jc w:val="center"/>
              <w:rPr>
                <w:rFonts w:ascii="Times New Roman"/>
                <w:color w:val="auto"/>
                <w:highlight w:val="none"/>
                <w:lang w:val="en-US"/>
              </w:rPr>
            </w:pPr>
          </w:p>
        </w:tc>
        <w:tc>
          <w:tcPr>
            <w:tcW w:w="667" w:type="dxa"/>
            <w:vAlign w:val="center"/>
          </w:tcPr>
          <w:p>
            <w:pPr>
              <w:spacing w:before="4" w:after="4"/>
              <w:jc w:val="center"/>
              <w:rPr>
                <w:color w:val="auto"/>
                <w:kern w:val="2"/>
                <w:sz w:val="21"/>
                <w:szCs w:val="21"/>
                <w:highlight w:val="none"/>
                <w:lang w:val="en-US" w:bidi="ar-SA"/>
              </w:rPr>
            </w:pPr>
          </w:p>
        </w:tc>
        <w:tc>
          <w:tcPr>
            <w:tcW w:w="972" w:type="dxa"/>
            <w:vAlign w:val="center"/>
          </w:tcPr>
          <w:p>
            <w:pPr>
              <w:autoSpaceDE/>
              <w:autoSpaceDN/>
              <w:snapToGrid w:val="0"/>
              <w:spacing w:before="48" w:beforeLines="20" w:after="48" w:afterLines="20"/>
              <w:jc w:val="center"/>
              <w:rPr>
                <w:rFonts w:ascii="Times New Roman"/>
                <w:color w:val="auto"/>
                <w:highlight w:val="none"/>
              </w:rPr>
            </w:pPr>
          </w:p>
        </w:tc>
        <w:tc>
          <w:tcPr>
            <w:tcW w:w="960" w:type="dxa"/>
            <w:vAlign w:val="center"/>
          </w:tcPr>
          <w:p>
            <w:pPr>
              <w:autoSpaceDE/>
              <w:autoSpaceDN/>
              <w:spacing w:before="48" w:beforeLines="20" w:after="48" w:afterLines="20"/>
              <w:jc w:val="center"/>
              <w:rPr>
                <w:color w:val="auto"/>
                <w:sz w:val="21"/>
                <w:szCs w:val="21"/>
                <w:highlight w:val="none"/>
                <w:lang w:val="en-US"/>
              </w:rPr>
            </w:pPr>
          </w:p>
        </w:tc>
        <w:tc>
          <w:tcPr>
            <w:tcW w:w="1073" w:type="dxa"/>
            <w:vAlign w:val="center"/>
          </w:tcPr>
          <w:p>
            <w:pPr>
              <w:spacing w:before="4" w:after="4"/>
              <w:jc w:val="center"/>
              <w:rPr>
                <w:color w:val="auto"/>
                <w:sz w:val="21"/>
                <w:szCs w:val="21"/>
                <w:highlight w:val="none"/>
                <w:lang w:val="en-US"/>
              </w:rPr>
            </w:pPr>
          </w:p>
        </w:tc>
        <w:tc>
          <w:tcPr>
            <w:tcW w:w="1440" w:type="dxa"/>
            <w:vAlign w:val="center"/>
          </w:tcPr>
          <w:p>
            <w:pPr>
              <w:autoSpaceDE/>
              <w:autoSpaceDN/>
              <w:snapToGrid w:val="0"/>
              <w:spacing w:before="48" w:beforeLines="20" w:after="48" w:afterLines="20"/>
              <w:jc w:val="center"/>
              <w:rPr>
                <w:rFonts w:ascii="Times New Roman"/>
                <w:color w:val="auto"/>
                <w:highlight w:val="none"/>
              </w:rPr>
            </w:pPr>
          </w:p>
        </w:tc>
        <w:tc>
          <w:tcPr>
            <w:tcW w:w="1788" w:type="dxa"/>
            <w:vAlign w:val="center"/>
          </w:tcPr>
          <w:p>
            <w:pPr>
              <w:autoSpaceDE/>
              <w:autoSpaceDN/>
              <w:spacing w:before="48" w:beforeLines="20" w:after="48" w:afterLines="20"/>
              <w:jc w:val="center"/>
              <w:rPr>
                <w:color w:val="auto"/>
                <w:sz w:val="21"/>
                <w:szCs w:val="21"/>
                <w:highlight w:val="none"/>
              </w:rPr>
            </w:pPr>
          </w:p>
        </w:tc>
        <w:tc>
          <w:tcPr>
            <w:tcW w:w="526" w:type="dxa"/>
            <w:vAlign w:val="center"/>
          </w:tcPr>
          <w:p>
            <w:pPr>
              <w:autoSpaceDE/>
              <w:autoSpaceDN/>
              <w:spacing w:before="48" w:beforeLines="20" w:after="48" w:afterLines="20"/>
              <w:jc w:val="center"/>
              <w:rPr>
                <w:color w:val="auto"/>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8" w:hRule="atLeast"/>
        </w:trPr>
        <w:tc>
          <w:tcPr>
            <w:tcW w:w="466" w:type="dxa"/>
            <w:vAlign w:val="center"/>
          </w:tcPr>
          <w:p>
            <w:pPr>
              <w:autoSpaceDE/>
              <w:autoSpaceDN/>
              <w:spacing w:before="48" w:beforeLines="20" w:after="48" w:afterLines="20"/>
              <w:jc w:val="center"/>
              <w:rPr>
                <w:color w:val="auto"/>
                <w:sz w:val="24"/>
                <w:highlight w:val="none"/>
              </w:rPr>
            </w:pPr>
            <w:r>
              <w:rPr>
                <w:rFonts w:hint="eastAsia"/>
                <w:color w:val="auto"/>
                <w:sz w:val="21"/>
                <w:szCs w:val="21"/>
                <w:highlight w:val="none"/>
                <w:lang w:val="en-US"/>
              </w:rPr>
              <w:t>2</w:t>
            </w:r>
          </w:p>
        </w:tc>
        <w:tc>
          <w:tcPr>
            <w:tcW w:w="958" w:type="dxa"/>
            <w:vAlign w:val="center"/>
          </w:tcPr>
          <w:p>
            <w:pPr>
              <w:autoSpaceDE/>
              <w:autoSpaceDN/>
              <w:snapToGrid w:val="0"/>
              <w:spacing w:before="48" w:beforeLines="20" w:after="48" w:afterLines="20"/>
              <w:jc w:val="center"/>
              <w:rPr>
                <w:rFonts w:ascii="Times New Roman"/>
                <w:color w:val="auto"/>
                <w:highlight w:val="none"/>
              </w:rPr>
            </w:pPr>
          </w:p>
        </w:tc>
        <w:tc>
          <w:tcPr>
            <w:tcW w:w="665" w:type="dxa"/>
            <w:vAlign w:val="center"/>
          </w:tcPr>
          <w:p>
            <w:pPr>
              <w:autoSpaceDE/>
              <w:autoSpaceDN/>
              <w:snapToGrid w:val="0"/>
              <w:spacing w:before="48" w:beforeLines="20" w:after="48" w:afterLines="20"/>
              <w:jc w:val="center"/>
              <w:rPr>
                <w:rFonts w:ascii="Times New Roman"/>
                <w:color w:val="auto"/>
                <w:highlight w:val="none"/>
              </w:rPr>
            </w:pPr>
          </w:p>
        </w:tc>
        <w:tc>
          <w:tcPr>
            <w:tcW w:w="667" w:type="dxa"/>
            <w:vAlign w:val="center"/>
          </w:tcPr>
          <w:p>
            <w:pPr>
              <w:spacing w:before="4" w:after="4"/>
              <w:jc w:val="center"/>
              <w:rPr>
                <w:color w:val="auto"/>
                <w:kern w:val="2"/>
                <w:sz w:val="21"/>
                <w:szCs w:val="21"/>
                <w:highlight w:val="none"/>
                <w:lang w:val="en-US" w:bidi="ar-SA"/>
              </w:rPr>
            </w:pPr>
          </w:p>
        </w:tc>
        <w:tc>
          <w:tcPr>
            <w:tcW w:w="972" w:type="dxa"/>
            <w:vAlign w:val="center"/>
          </w:tcPr>
          <w:p>
            <w:pPr>
              <w:autoSpaceDE/>
              <w:autoSpaceDN/>
              <w:snapToGrid w:val="0"/>
              <w:spacing w:before="48" w:beforeLines="20" w:after="48" w:afterLines="20"/>
              <w:jc w:val="center"/>
              <w:rPr>
                <w:rFonts w:ascii="Times New Roman"/>
                <w:color w:val="auto"/>
                <w:highlight w:val="none"/>
              </w:rPr>
            </w:pPr>
          </w:p>
        </w:tc>
        <w:tc>
          <w:tcPr>
            <w:tcW w:w="960" w:type="dxa"/>
            <w:vAlign w:val="center"/>
          </w:tcPr>
          <w:p>
            <w:pPr>
              <w:autoSpaceDE/>
              <w:autoSpaceDN/>
              <w:spacing w:before="48" w:beforeLines="20" w:after="48" w:afterLines="20"/>
              <w:jc w:val="center"/>
              <w:rPr>
                <w:color w:val="auto"/>
                <w:kern w:val="2"/>
                <w:sz w:val="21"/>
                <w:szCs w:val="21"/>
                <w:highlight w:val="none"/>
                <w:lang w:val="en-US" w:bidi="ar-SA"/>
              </w:rPr>
            </w:pPr>
          </w:p>
        </w:tc>
        <w:tc>
          <w:tcPr>
            <w:tcW w:w="1073" w:type="dxa"/>
            <w:vAlign w:val="center"/>
          </w:tcPr>
          <w:p>
            <w:pPr>
              <w:spacing w:before="4" w:after="4"/>
              <w:jc w:val="center"/>
              <w:rPr>
                <w:color w:val="auto"/>
                <w:sz w:val="21"/>
                <w:szCs w:val="21"/>
                <w:highlight w:val="none"/>
                <w:lang w:val="en-US"/>
              </w:rPr>
            </w:pPr>
          </w:p>
        </w:tc>
        <w:tc>
          <w:tcPr>
            <w:tcW w:w="1440" w:type="dxa"/>
            <w:vAlign w:val="center"/>
          </w:tcPr>
          <w:p>
            <w:pPr>
              <w:autoSpaceDE/>
              <w:autoSpaceDN/>
              <w:snapToGrid w:val="0"/>
              <w:spacing w:before="48" w:beforeLines="20" w:after="48" w:afterLines="20"/>
              <w:jc w:val="center"/>
              <w:rPr>
                <w:rFonts w:ascii="Times New Roman"/>
                <w:color w:val="auto"/>
                <w:highlight w:val="none"/>
              </w:rPr>
            </w:pPr>
          </w:p>
        </w:tc>
        <w:tc>
          <w:tcPr>
            <w:tcW w:w="1788" w:type="dxa"/>
            <w:vAlign w:val="center"/>
          </w:tcPr>
          <w:p>
            <w:pPr>
              <w:autoSpaceDE/>
              <w:autoSpaceDN/>
              <w:spacing w:before="48" w:beforeLines="20" w:after="48" w:afterLines="20"/>
              <w:jc w:val="center"/>
              <w:rPr>
                <w:color w:val="auto"/>
                <w:sz w:val="21"/>
                <w:szCs w:val="21"/>
                <w:highlight w:val="none"/>
              </w:rPr>
            </w:pPr>
          </w:p>
        </w:tc>
        <w:tc>
          <w:tcPr>
            <w:tcW w:w="526" w:type="dxa"/>
            <w:vAlign w:val="center"/>
          </w:tcPr>
          <w:p>
            <w:pPr>
              <w:autoSpaceDE/>
              <w:autoSpaceDN/>
              <w:spacing w:before="48" w:beforeLines="20" w:after="48" w:afterLines="20"/>
              <w:jc w:val="center"/>
              <w:rPr>
                <w:color w:val="auto"/>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466" w:type="dxa"/>
            <w:vAlign w:val="center"/>
          </w:tcPr>
          <w:p>
            <w:pPr>
              <w:autoSpaceDE/>
              <w:autoSpaceDN/>
              <w:spacing w:before="48" w:beforeLines="20" w:after="48" w:afterLines="20"/>
              <w:jc w:val="center"/>
              <w:rPr>
                <w:color w:val="auto"/>
                <w:sz w:val="24"/>
                <w:highlight w:val="none"/>
              </w:rPr>
            </w:pPr>
            <w:r>
              <w:rPr>
                <w:rFonts w:hint="eastAsia"/>
                <w:color w:val="auto"/>
                <w:sz w:val="21"/>
                <w:szCs w:val="21"/>
                <w:highlight w:val="none"/>
                <w:lang w:val="en-US"/>
              </w:rPr>
              <w:t>3</w:t>
            </w:r>
          </w:p>
        </w:tc>
        <w:tc>
          <w:tcPr>
            <w:tcW w:w="958" w:type="dxa"/>
            <w:vAlign w:val="center"/>
          </w:tcPr>
          <w:p>
            <w:pPr>
              <w:autoSpaceDE/>
              <w:autoSpaceDN/>
              <w:snapToGrid w:val="0"/>
              <w:spacing w:before="48" w:beforeLines="20" w:after="48" w:afterLines="20"/>
              <w:jc w:val="center"/>
              <w:rPr>
                <w:rFonts w:ascii="Times New Roman"/>
                <w:color w:val="auto"/>
                <w:highlight w:val="none"/>
              </w:rPr>
            </w:pPr>
          </w:p>
        </w:tc>
        <w:tc>
          <w:tcPr>
            <w:tcW w:w="665" w:type="dxa"/>
            <w:vAlign w:val="center"/>
          </w:tcPr>
          <w:p>
            <w:pPr>
              <w:autoSpaceDE/>
              <w:autoSpaceDN/>
              <w:snapToGrid w:val="0"/>
              <w:spacing w:before="48" w:beforeLines="20" w:after="48" w:afterLines="20"/>
              <w:jc w:val="center"/>
              <w:rPr>
                <w:rFonts w:ascii="Times New Roman"/>
                <w:color w:val="auto"/>
                <w:highlight w:val="none"/>
              </w:rPr>
            </w:pPr>
          </w:p>
        </w:tc>
        <w:tc>
          <w:tcPr>
            <w:tcW w:w="667" w:type="dxa"/>
            <w:vAlign w:val="center"/>
          </w:tcPr>
          <w:p>
            <w:pPr>
              <w:spacing w:before="4" w:after="4"/>
              <w:jc w:val="center"/>
              <w:rPr>
                <w:color w:val="auto"/>
                <w:kern w:val="2"/>
                <w:sz w:val="21"/>
                <w:szCs w:val="21"/>
                <w:highlight w:val="none"/>
                <w:lang w:val="en-US" w:bidi="ar-SA"/>
              </w:rPr>
            </w:pPr>
          </w:p>
        </w:tc>
        <w:tc>
          <w:tcPr>
            <w:tcW w:w="972" w:type="dxa"/>
            <w:vAlign w:val="center"/>
          </w:tcPr>
          <w:p>
            <w:pPr>
              <w:autoSpaceDE/>
              <w:autoSpaceDN/>
              <w:snapToGrid w:val="0"/>
              <w:spacing w:before="48" w:beforeLines="20" w:after="48" w:afterLines="20"/>
              <w:jc w:val="center"/>
              <w:rPr>
                <w:rFonts w:ascii="Times New Roman"/>
                <w:color w:val="auto"/>
                <w:highlight w:val="none"/>
              </w:rPr>
            </w:pPr>
          </w:p>
        </w:tc>
        <w:tc>
          <w:tcPr>
            <w:tcW w:w="960" w:type="dxa"/>
            <w:vAlign w:val="center"/>
          </w:tcPr>
          <w:p>
            <w:pPr>
              <w:autoSpaceDE/>
              <w:autoSpaceDN/>
              <w:spacing w:before="48" w:beforeLines="20" w:after="48" w:afterLines="20"/>
              <w:jc w:val="center"/>
              <w:rPr>
                <w:color w:val="auto"/>
                <w:sz w:val="21"/>
                <w:szCs w:val="21"/>
                <w:highlight w:val="none"/>
                <w:lang w:val="en-US"/>
              </w:rPr>
            </w:pPr>
          </w:p>
        </w:tc>
        <w:tc>
          <w:tcPr>
            <w:tcW w:w="1073" w:type="dxa"/>
            <w:vAlign w:val="center"/>
          </w:tcPr>
          <w:p>
            <w:pPr>
              <w:spacing w:before="4" w:after="4"/>
              <w:jc w:val="center"/>
              <w:rPr>
                <w:color w:val="auto"/>
                <w:sz w:val="21"/>
                <w:szCs w:val="21"/>
                <w:highlight w:val="none"/>
                <w:lang w:val="en-US"/>
              </w:rPr>
            </w:pPr>
          </w:p>
        </w:tc>
        <w:tc>
          <w:tcPr>
            <w:tcW w:w="1440" w:type="dxa"/>
            <w:vAlign w:val="center"/>
          </w:tcPr>
          <w:p>
            <w:pPr>
              <w:autoSpaceDE/>
              <w:autoSpaceDN/>
              <w:snapToGrid w:val="0"/>
              <w:spacing w:before="48" w:beforeLines="20" w:after="48" w:afterLines="20"/>
              <w:jc w:val="center"/>
              <w:rPr>
                <w:rFonts w:ascii="Times New Roman"/>
                <w:color w:val="auto"/>
                <w:highlight w:val="none"/>
              </w:rPr>
            </w:pPr>
          </w:p>
        </w:tc>
        <w:tc>
          <w:tcPr>
            <w:tcW w:w="1788" w:type="dxa"/>
            <w:vAlign w:val="center"/>
          </w:tcPr>
          <w:p>
            <w:pPr>
              <w:autoSpaceDE/>
              <w:autoSpaceDN/>
              <w:spacing w:before="48" w:beforeLines="20" w:after="48" w:afterLines="20"/>
              <w:jc w:val="center"/>
              <w:rPr>
                <w:color w:val="auto"/>
                <w:sz w:val="21"/>
                <w:szCs w:val="21"/>
                <w:highlight w:val="none"/>
              </w:rPr>
            </w:pPr>
          </w:p>
        </w:tc>
        <w:tc>
          <w:tcPr>
            <w:tcW w:w="526" w:type="dxa"/>
            <w:vAlign w:val="center"/>
          </w:tcPr>
          <w:p>
            <w:pPr>
              <w:autoSpaceDE/>
              <w:autoSpaceDN/>
              <w:spacing w:before="48" w:beforeLines="20" w:after="48" w:afterLines="20"/>
              <w:jc w:val="center"/>
              <w:rPr>
                <w:color w:val="auto"/>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466" w:type="dxa"/>
            <w:vAlign w:val="center"/>
          </w:tcPr>
          <w:p>
            <w:pPr>
              <w:autoSpaceDE/>
              <w:autoSpaceDN/>
              <w:spacing w:before="48" w:beforeLines="20" w:after="48" w:afterLines="20"/>
              <w:jc w:val="center"/>
              <w:rPr>
                <w:color w:val="auto"/>
                <w:sz w:val="24"/>
                <w:highlight w:val="none"/>
              </w:rPr>
            </w:pPr>
            <w:r>
              <w:rPr>
                <w:rFonts w:hint="eastAsia"/>
                <w:color w:val="auto"/>
                <w:sz w:val="21"/>
                <w:szCs w:val="21"/>
                <w:highlight w:val="none"/>
                <w:lang w:val="en-US"/>
              </w:rPr>
              <w:t>4</w:t>
            </w:r>
          </w:p>
        </w:tc>
        <w:tc>
          <w:tcPr>
            <w:tcW w:w="958" w:type="dxa"/>
            <w:vAlign w:val="center"/>
          </w:tcPr>
          <w:p>
            <w:pPr>
              <w:autoSpaceDE/>
              <w:autoSpaceDN/>
              <w:snapToGrid w:val="0"/>
              <w:spacing w:before="48" w:beforeLines="20" w:after="48" w:afterLines="20"/>
              <w:jc w:val="center"/>
              <w:rPr>
                <w:rFonts w:ascii="Times New Roman"/>
                <w:color w:val="auto"/>
                <w:highlight w:val="none"/>
              </w:rPr>
            </w:pPr>
          </w:p>
        </w:tc>
        <w:tc>
          <w:tcPr>
            <w:tcW w:w="665" w:type="dxa"/>
            <w:vAlign w:val="center"/>
          </w:tcPr>
          <w:p>
            <w:pPr>
              <w:autoSpaceDE/>
              <w:autoSpaceDN/>
              <w:snapToGrid w:val="0"/>
              <w:spacing w:before="48" w:beforeLines="20" w:after="48" w:afterLines="20"/>
              <w:jc w:val="center"/>
              <w:rPr>
                <w:rFonts w:ascii="Times New Roman"/>
                <w:color w:val="auto"/>
                <w:highlight w:val="none"/>
              </w:rPr>
            </w:pPr>
          </w:p>
        </w:tc>
        <w:tc>
          <w:tcPr>
            <w:tcW w:w="667" w:type="dxa"/>
            <w:vAlign w:val="center"/>
          </w:tcPr>
          <w:p>
            <w:pPr>
              <w:spacing w:before="4" w:after="4"/>
              <w:jc w:val="center"/>
              <w:rPr>
                <w:color w:val="auto"/>
                <w:kern w:val="2"/>
                <w:sz w:val="21"/>
                <w:szCs w:val="21"/>
                <w:highlight w:val="none"/>
                <w:lang w:val="en-US" w:bidi="ar-SA"/>
              </w:rPr>
            </w:pPr>
          </w:p>
        </w:tc>
        <w:tc>
          <w:tcPr>
            <w:tcW w:w="972" w:type="dxa"/>
            <w:vAlign w:val="center"/>
          </w:tcPr>
          <w:p>
            <w:pPr>
              <w:autoSpaceDE/>
              <w:autoSpaceDN/>
              <w:snapToGrid w:val="0"/>
              <w:spacing w:before="48" w:beforeLines="20" w:after="48" w:afterLines="20"/>
              <w:jc w:val="center"/>
              <w:rPr>
                <w:rFonts w:ascii="Times New Roman"/>
                <w:color w:val="auto"/>
                <w:highlight w:val="none"/>
              </w:rPr>
            </w:pPr>
          </w:p>
        </w:tc>
        <w:tc>
          <w:tcPr>
            <w:tcW w:w="960" w:type="dxa"/>
            <w:vAlign w:val="center"/>
          </w:tcPr>
          <w:p>
            <w:pPr>
              <w:autoSpaceDE/>
              <w:autoSpaceDN/>
              <w:spacing w:before="48" w:beforeLines="20" w:after="48" w:afterLines="20"/>
              <w:jc w:val="center"/>
              <w:rPr>
                <w:color w:val="auto"/>
                <w:sz w:val="21"/>
                <w:szCs w:val="21"/>
                <w:highlight w:val="none"/>
              </w:rPr>
            </w:pPr>
          </w:p>
        </w:tc>
        <w:tc>
          <w:tcPr>
            <w:tcW w:w="1073" w:type="dxa"/>
            <w:vAlign w:val="center"/>
          </w:tcPr>
          <w:p>
            <w:pPr>
              <w:spacing w:before="4" w:after="4"/>
              <w:jc w:val="center"/>
              <w:rPr>
                <w:color w:val="auto"/>
                <w:sz w:val="21"/>
                <w:szCs w:val="21"/>
                <w:highlight w:val="none"/>
                <w:lang w:val="en-US"/>
              </w:rPr>
            </w:pPr>
          </w:p>
        </w:tc>
        <w:tc>
          <w:tcPr>
            <w:tcW w:w="1440" w:type="dxa"/>
            <w:vAlign w:val="center"/>
          </w:tcPr>
          <w:p>
            <w:pPr>
              <w:autoSpaceDE/>
              <w:autoSpaceDN/>
              <w:snapToGrid w:val="0"/>
              <w:spacing w:before="48" w:beforeLines="20" w:after="48" w:afterLines="20"/>
              <w:jc w:val="center"/>
              <w:rPr>
                <w:rFonts w:ascii="Times New Roman"/>
                <w:color w:val="auto"/>
                <w:highlight w:val="none"/>
              </w:rPr>
            </w:pPr>
          </w:p>
        </w:tc>
        <w:tc>
          <w:tcPr>
            <w:tcW w:w="1788" w:type="dxa"/>
            <w:vAlign w:val="center"/>
          </w:tcPr>
          <w:p>
            <w:pPr>
              <w:autoSpaceDE/>
              <w:autoSpaceDN/>
              <w:spacing w:before="48" w:beforeLines="20" w:after="48" w:afterLines="20"/>
              <w:jc w:val="center"/>
              <w:rPr>
                <w:color w:val="auto"/>
                <w:sz w:val="21"/>
                <w:szCs w:val="21"/>
                <w:highlight w:val="none"/>
              </w:rPr>
            </w:pPr>
          </w:p>
        </w:tc>
        <w:tc>
          <w:tcPr>
            <w:tcW w:w="526" w:type="dxa"/>
            <w:vAlign w:val="center"/>
          </w:tcPr>
          <w:p>
            <w:pPr>
              <w:autoSpaceDE/>
              <w:autoSpaceDN/>
              <w:spacing w:before="48" w:beforeLines="20" w:after="48" w:afterLines="20"/>
              <w:jc w:val="center"/>
              <w:rPr>
                <w:color w:val="auto"/>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8" w:hRule="atLeast"/>
        </w:trPr>
        <w:tc>
          <w:tcPr>
            <w:tcW w:w="466" w:type="dxa"/>
            <w:vAlign w:val="center"/>
          </w:tcPr>
          <w:p>
            <w:pPr>
              <w:autoSpaceDE/>
              <w:autoSpaceDN/>
              <w:spacing w:before="48" w:beforeLines="20" w:after="48" w:afterLines="20"/>
              <w:jc w:val="center"/>
              <w:rPr>
                <w:color w:val="auto"/>
                <w:sz w:val="24"/>
                <w:highlight w:val="none"/>
              </w:rPr>
            </w:pPr>
            <w:r>
              <w:rPr>
                <w:rFonts w:hint="eastAsia"/>
                <w:color w:val="auto"/>
                <w:sz w:val="21"/>
                <w:szCs w:val="21"/>
                <w:highlight w:val="none"/>
                <w:lang w:val="en-US"/>
              </w:rPr>
              <w:t>5</w:t>
            </w:r>
          </w:p>
        </w:tc>
        <w:tc>
          <w:tcPr>
            <w:tcW w:w="958" w:type="dxa"/>
            <w:vAlign w:val="center"/>
          </w:tcPr>
          <w:p>
            <w:pPr>
              <w:autoSpaceDE/>
              <w:autoSpaceDN/>
              <w:snapToGrid w:val="0"/>
              <w:spacing w:before="48" w:beforeLines="20" w:after="48" w:afterLines="20"/>
              <w:jc w:val="center"/>
              <w:rPr>
                <w:rFonts w:ascii="Times New Roman"/>
                <w:color w:val="auto"/>
                <w:highlight w:val="none"/>
              </w:rPr>
            </w:pPr>
          </w:p>
        </w:tc>
        <w:tc>
          <w:tcPr>
            <w:tcW w:w="665" w:type="dxa"/>
            <w:vAlign w:val="center"/>
          </w:tcPr>
          <w:p>
            <w:pPr>
              <w:autoSpaceDE/>
              <w:autoSpaceDN/>
              <w:snapToGrid w:val="0"/>
              <w:spacing w:before="48" w:beforeLines="20" w:after="48" w:afterLines="20"/>
              <w:jc w:val="center"/>
              <w:rPr>
                <w:rFonts w:ascii="Times New Roman"/>
                <w:color w:val="auto"/>
                <w:highlight w:val="none"/>
              </w:rPr>
            </w:pPr>
          </w:p>
        </w:tc>
        <w:tc>
          <w:tcPr>
            <w:tcW w:w="667" w:type="dxa"/>
            <w:vAlign w:val="center"/>
          </w:tcPr>
          <w:p>
            <w:pPr>
              <w:spacing w:before="4" w:after="4"/>
              <w:jc w:val="center"/>
              <w:rPr>
                <w:color w:val="auto"/>
                <w:sz w:val="21"/>
                <w:szCs w:val="21"/>
                <w:highlight w:val="none"/>
                <w:lang w:val="en-US"/>
              </w:rPr>
            </w:pPr>
          </w:p>
        </w:tc>
        <w:tc>
          <w:tcPr>
            <w:tcW w:w="972" w:type="dxa"/>
            <w:vAlign w:val="center"/>
          </w:tcPr>
          <w:p>
            <w:pPr>
              <w:autoSpaceDE/>
              <w:autoSpaceDN/>
              <w:snapToGrid w:val="0"/>
              <w:spacing w:before="48" w:beforeLines="20" w:after="48" w:afterLines="20"/>
              <w:jc w:val="center"/>
              <w:rPr>
                <w:rFonts w:ascii="Times New Roman"/>
                <w:color w:val="auto"/>
                <w:highlight w:val="none"/>
              </w:rPr>
            </w:pPr>
          </w:p>
        </w:tc>
        <w:tc>
          <w:tcPr>
            <w:tcW w:w="960" w:type="dxa"/>
            <w:vAlign w:val="center"/>
          </w:tcPr>
          <w:p>
            <w:pPr>
              <w:autoSpaceDE/>
              <w:autoSpaceDN/>
              <w:spacing w:before="48" w:beforeLines="20" w:after="48" w:afterLines="20"/>
              <w:jc w:val="center"/>
              <w:rPr>
                <w:color w:val="auto"/>
                <w:sz w:val="21"/>
                <w:szCs w:val="21"/>
                <w:highlight w:val="none"/>
                <w:lang w:val="en-US"/>
              </w:rPr>
            </w:pPr>
          </w:p>
        </w:tc>
        <w:tc>
          <w:tcPr>
            <w:tcW w:w="1073" w:type="dxa"/>
            <w:vAlign w:val="center"/>
          </w:tcPr>
          <w:p>
            <w:pPr>
              <w:spacing w:before="4" w:after="4"/>
              <w:jc w:val="center"/>
              <w:rPr>
                <w:color w:val="auto"/>
                <w:sz w:val="21"/>
                <w:szCs w:val="21"/>
                <w:highlight w:val="none"/>
                <w:lang w:val="en-US"/>
              </w:rPr>
            </w:pPr>
          </w:p>
        </w:tc>
        <w:tc>
          <w:tcPr>
            <w:tcW w:w="1440" w:type="dxa"/>
            <w:vAlign w:val="center"/>
          </w:tcPr>
          <w:p>
            <w:pPr>
              <w:autoSpaceDE/>
              <w:autoSpaceDN/>
              <w:snapToGrid w:val="0"/>
              <w:spacing w:before="48" w:beforeLines="20" w:after="48" w:afterLines="20"/>
              <w:jc w:val="center"/>
              <w:rPr>
                <w:rFonts w:ascii="Times New Roman"/>
                <w:color w:val="auto"/>
                <w:highlight w:val="none"/>
              </w:rPr>
            </w:pPr>
          </w:p>
        </w:tc>
        <w:tc>
          <w:tcPr>
            <w:tcW w:w="1788" w:type="dxa"/>
            <w:vAlign w:val="center"/>
          </w:tcPr>
          <w:p>
            <w:pPr>
              <w:autoSpaceDE/>
              <w:autoSpaceDN/>
              <w:spacing w:before="48" w:beforeLines="20" w:after="48" w:afterLines="20"/>
              <w:jc w:val="center"/>
              <w:rPr>
                <w:color w:val="auto"/>
                <w:sz w:val="21"/>
                <w:szCs w:val="21"/>
                <w:highlight w:val="none"/>
                <w:lang w:val="en-US"/>
              </w:rPr>
            </w:pPr>
          </w:p>
        </w:tc>
        <w:tc>
          <w:tcPr>
            <w:tcW w:w="526" w:type="dxa"/>
            <w:vAlign w:val="center"/>
          </w:tcPr>
          <w:p>
            <w:pPr>
              <w:autoSpaceDE/>
              <w:autoSpaceDN/>
              <w:spacing w:before="48" w:beforeLines="20" w:after="48" w:afterLines="20"/>
              <w:jc w:val="center"/>
              <w:rPr>
                <w:color w:val="auto"/>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466" w:type="dxa"/>
            <w:vAlign w:val="center"/>
          </w:tcPr>
          <w:p>
            <w:pPr>
              <w:autoSpaceDE/>
              <w:autoSpaceDN/>
              <w:spacing w:before="48" w:beforeLines="20" w:after="48" w:afterLines="20"/>
              <w:jc w:val="center"/>
              <w:rPr>
                <w:color w:val="auto"/>
                <w:sz w:val="24"/>
                <w:highlight w:val="none"/>
              </w:rPr>
            </w:pPr>
            <w:r>
              <w:rPr>
                <w:rFonts w:hint="eastAsia"/>
                <w:color w:val="auto"/>
                <w:sz w:val="21"/>
                <w:szCs w:val="21"/>
                <w:highlight w:val="none"/>
                <w:lang w:val="en-US"/>
              </w:rPr>
              <w:t>6</w:t>
            </w:r>
          </w:p>
        </w:tc>
        <w:tc>
          <w:tcPr>
            <w:tcW w:w="958" w:type="dxa"/>
            <w:vAlign w:val="center"/>
          </w:tcPr>
          <w:p>
            <w:pPr>
              <w:autoSpaceDE/>
              <w:autoSpaceDN/>
              <w:snapToGrid w:val="0"/>
              <w:spacing w:before="48" w:beforeLines="20" w:after="48" w:afterLines="20"/>
              <w:jc w:val="center"/>
              <w:rPr>
                <w:rFonts w:ascii="Times New Roman"/>
                <w:color w:val="auto"/>
                <w:highlight w:val="none"/>
              </w:rPr>
            </w:pPr>
          </w:p>
        </w:tc>
        <w:tc>
          <w:tcPr>
            <w:tcW w:w="665" w:type="dxa"/>
            <w:vAlign w:val="center"/>
          </w:tcPr>
          <w:p>
            <w:pPr>
              <w:autoSpaceDE/>
              <w:autoSpaceDN/>
              <w:snapToGrid w:val="0"/>
              <w:spacing w:before="48" w:beforeLines="20" w:after="48" w:afterLines="20"/>
              <w:jc w:val="center"/>
              <w:rPr>
                <w:rFonts w:ascii="Times New Roman"/>
                <w:color w:val="auto"/>
                <w:highlight w:val="none"/>
              </w:rPr>
            </w:pPr>
          </w:p>
        </w:tc>
        <w:tc>
          <w:tcPr>
            <w:tcW w:w="667" w:type="dxa"/>
            <w:vAlign w:val="center"/>
          </w:tcPr>
          <w:p>
            <w:pPr>
              <w:spacing w:before="4" w:after="4"/>
              <w:jc w:val="center"/>
              <w:rPr>
                <w:color w:val="auto"/>
                <w:kern w:val="2"/>
                <w:sz w:val="21"/>
                <w:szCs w:val="21"/>
                <w:highlight w:val="none"/>
                <w:lang w:val="en-US" w:bidi="ar-SA"/>
              </w:rPr>
            </w:pPr>
          </w:p>
        </w:tc>
        <w:tc>
          <w:tcPr>
            <w:tcW w:w="972" w:type="dxa"/>
            <w:vAlign w:val="center"/>
          </w:tcPr>
          <w:p>
            <w:pPr>
              <w:autoSpaceDE/>
              <w:autoSpaceDN/>
              <w:snapToGrid w:val="0"/>
              <w:spacing w:before="48" w:beforeLines="20" w:after="48" w:afterLines="20"/>
              <w:jc w:val="center"/>
              <w:rPr>
                <w:rFonts w:ascii="Times New Roman"/>
                <w:color w:val="auto"/>
                <w:highlight w:val="none"/>
              </w:rPr>
            </w:pPr>
          </w:p>
        </w:tc>
        <w:tc>
          <w:tcPr>
            <w:tcW w:w="960" w:type="dxa"/>
            <w:vAlign w:val="center"/>
          </w:tcPr>
          <w:p>
            <w:pPr>
              <w:autoSpaceDE/>
              <w:autoSpaceDN/>
              <w:spacing w:before="48" w:beforeLines="20" w:after="48" w:afterLines="20"/>
              <w:jc w:val="center"/>
              <w:rPr>
                <w:color w:val="auto"/>
                <w:sz w:val="21"/>
                <w:szCs w:val="21"/>
                <w:highlight w:val="none"/>
                <w:lang w:val="en-US"/>
              </w:rPr>
            </w:pPr>
          </w:p>
        </w:tc>
        <w:tc>
          <w:tcPr>
            <w:tcW w:w="1073" w:type="dxa"/>
            <w:vAlign w:val="center"/>
          </w:tcPr>
          <w:p>
            <w:pPr>
              <w:spacing w:before="4" w:after="4"/>
              <w:jc w:val="center"/>
              <w:rPr>
                <w:color w:val="auto"/>
                <w:sz w:val="21"/>
                <w:szCs w:val="21"/>
                <w:highlight w:val="none"/>
                <w:lang w:val="en-US"/>
              </w:rPr>
            </w:pPr>
          </w:p>
        </w:tc>
        <w:tc>
          <w:tcPr>
            <w:tcW w:w="1440" w:type="dxa"/>
            <w:vAlign w:val="center"/>
          </w:tcPr>
          <w:p>
            <w:pPr>
              <w:autoSpaceDE/>
              <w:autoSpaceDN/>
              <w:snapToGrid w:val="0"/>
              <w:spacing w:before="48" w:beforeLines="20" w:after="48" w:afterLines="20"/>
              <w:jc w:val="center"/>
              <w:rPr>
                <w:rFonts w:ascii="Times New Roman"/>
                <w:color w:val="auto"/>
                <w:highlight w:val="none"/>
              </w:rPr>
            </w:pPr>
          </w:p>
        </w:tc>
        <w:tc>
          <w:tcPr>
            <w:tcW w:w="1788" w:type="dxa"/>
            <w:vAlign w:val="center"/>
          </w:tcPr>
          <w:p>
            <w:pPr>
              <w:autoSpaceDE/>
              <w:autoSpaceDN/>
              <w:spacing w:before="48" w:beforeLines="20" w:after="48" w:afterLines="20"/>
              <w:jc w:val="center"/>
              <w:rPr>
                <w:color w:val="auto"/>
                <w:sz w:val="21"/>
                <w:szCs w:val="21"/>
                <w:highlight w:val="none"/>
              </w:rPr>
            </w:pPr>
          </w:p>
        </w:tc>
        <w:tc>
          <w:tcPr>
            <w:tcW w:w="526" w:type="dxa"/>
            <w:vAlign w:val="center"/>
          </w:tcPr>
          <w:p>
            <w:pPr>
              <w:autoSpaceDE/>
              <w:autoSpaceDN/>
              <w:spacing w:before="48" w:beforeLines="20" w:after="48" w:afterLines="20"/>
              <w:jc w:val="center"/>
              <w:rPr>
                <w:color w:val="auto"/>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466" w:type="dxa"/>
            <w:vAlign w:val="center"/>
          </w:tcPr>
          <w:p>
            <w:pPr>
              <w:autoSpaceDE/>
              <w:autoSpaceDN/>
              <w:spacing w:before="48" w:beforeLines="20" w:after="48" w:afterLines="20"/>
              <w:jc w:val="center"/>
              <w:rPr>
                <w:color w:val="auto"/>
                <w:sz w:val="24"/>
                <w:highlight w:val="none"/>
              </w:rPr>
            </w:pPr>
            <w:r>
              <w:rPr>
                <w:rFonts w:hint="eastAsia"/>
                <w:color w:val="auto"/>
                <w:sz w:val="21"/>
                <w:szCs w:val="21"/>
                <w:highlight w:val="none"/>
                <w:lang w:val="en-US"/>
              </w:rPr>
              <w:t>7</w:t>
            </w:r>
          </w:p>
        </w:tc>
        <w:tc>
          <w:tcPr>
            <w:tcW w:w="958" w:type="dxa"/>
            <w:vAlign w:val="center"/>
          </w:tcPr>
          <w:p>
            <w:pPr>
              <w:autoSpaceDE/>
              <w:autoSpaceDN/>
              <w:snapToGrid w:val="0"/>
              <w:spacing w:before="48" w:beforeLines="20" w:after="48" w:afterLines="20"/>
              <w:jc w:val="center"/>
              <w:rPr>
                <w:rFonts w:ascii="Times New Roman"/>
                <w:color w:val="auto"/>
                <w:highlight w:val="none"/>
              </w:rPr>
            </w:pPr>
          </w:p>
        </w:tc>
        <w:tc>
          <w:tcPr>
            <w:tcW w:w="665" w:type="dxa"/>
            <w:vAlign w:val="center"/>
          </w:tcPr>
          <w:p>
            <w:pPr>
              <w:autoSpaceDE/>
              <w:autoSpaceDN/>
              <w:snapToGrid w:val="0"/>
              <w:spacing w:before="48" w:beforeLines="20" w:after="48" w:afterLines="20"/>
              <w:jc w:val="center"/>
              <w:rPr>
                <w:rFonts w:ascii="Times New Roman"/>
                <w:color w:val="auto"/>
                <w:highlight w:val="none"/>
              </w:rPr>
            </w:pPr>
          </w:p>
        </w:tc>
        <w:tc>
          <w:tcPr>
            <w:tcW w:w="667" w:type="dxa"/>
            <w:vAlign w:val="center"/>
          </w:tcPr>
          <w:p>
            <w:pPr>
              <w:spacing w:before="4" w:after="4"/>
              <w:jc w:val="center"/>
              <w:rPr>
                <w:color w:val="auto"/>
                <w:kern w:val="2"/>
                <w:sz w:val="21"/>
                <w:szCs w:val="21"/>
                <w:highlight w:val="none"/>
                <w:lang w:val="en-US" w:bidi="ar-SA"/>
              </w:rPr>
            </w:pPr>
          </w:p>
        </w:tc>
        <w:tc>
          <w:tcPr>
            <w:tcW w:w="972" w:type="dxa"/>
            <w:vAlign w:val="center"/>
          </w:tcPr>
          <w:p>
            <w:pPr>
              <w:autoSpaceDE/>
              <w:autoSpaceDN/>
              <w:snapToGrid w:val="0"/>
              <w:spacing w:before="48" w:beforeLines="20" w:after="48" w:afterLines="20"/>
              <w:jc w:val="center"/>
              <w:rPr>
                <w:rFonts w:ascii="Times New Roman"/>
                <w:color w:val="auto"/>
                <w:highlight w:val="none"/>
              </w:rPr>
            </w:pPr>
          </w:p>
        </w:tc>
        <w:tc>
          <w:tcPr>
            <w:tcW w:w="960" w:type="dxa"/>
            <w:vAlign w:val="center"/>
          </w:tcPr>
          <w:p>
            <w:pPr>
              <w:autoSpaceDE/>
              <w:autoSpaceDN/>
              <w:spacing w:before="48" w:beforeLines="20" w:after="48" w:afterLines="20"/>
              <w:jc w:val="center"/>
              <w:rPr>
                <w:color w:val="auto"/>
                <w:sz w:val="21"/>
                <w:szCs w:val="21"/>
                <w:highlight w:val="none"/>
              </w:rPr>
            </w:pPr>
          </w:p>
        </w:tc>
        <w:tc>
          <w:tcPr>
            <w:tcW w:w="1073" w:type="dxa"/>
            <w:vAlign w:val="center"/>
          </w:tcPr>
          <w:p>
            <w:pPr>
              <w:spacing w:before="4" w:after="4"/>
              <w:jc w:val="center"/>
              <w:rPr>
                <w:color w:val="auto"/>
                <w:sz w:val="21"/>
                <w:szCs w:val="21"/>
                <w:highlight w:val="none"/>
                <w:lang w:val="en-US"/>
              </w:rPr>
            </w:pPr>
          </w:p>
        </w:tc>
        <w:tc>
          <w:tcPr>
            <w:tcW w:w="1440" w:type="dxa"/>
            <w:vAlign w:val="center"/>
          </w:tcPr>
          <w:p>
            <w:pPr>
              <w:autoSpaceDE/>
              <w:autoSpaceDN/>
              <w:snapToGrid w:val="0"/>
              <w:spacing w:before="48" w:beforeLines="20" w:after="48" w:afterLines="20"/>
              <w:jc w:val="center"/>
              <w:rPr>
                <w:rFonts w:ascii="Times New Roman"/>
                <w:color w:val="auto"/>
                <w:highlight w:val="none"/>
              </w:rPr>
            </w:pPr>
          </w:p>
        </w:tc>
        <w:tc>
          <w:tcPr>
            <w:tcW w:w="1788" w:type="dxa"/>
            <w:vAlign w:val="center"/>
          </w:tcPr>
          <w:p>
            <w:pPr>
              <w:autoSpaceDE/>
              <w:autoSpaceDN/>
              <w:spacing w:before="48" w:beforeLines="20" w:after="48" w:afterLines="20"/>
              <w:jc w:val="center"/>
              <w:rPr>
                <w:color w:val="auto"/>
                <w:sz w:val="21"/>
                <w:szCs w:val="21"/>
                <w:highlight w:val="none"/>
              </w:rPr>
            </w:pPr>
          </w:p>
        </w:tc>
        <w:tc>
          <w:tcPr>
            <w:tcW w:w="526" w:type="dxa"/>
            <w:vAlign w:val="center"/>
          </w:tcPr>
          <w:p>
            <w:pPr>
              <w:autoSpaceDE/>
              <w:autoSpaceDN/>
              <w:spacing w:before="48" w:beforeLines="20" w:after="48" w:afterLines="20"/>
              <w:jc w:val="center"/>
              <w:rPr>
                <w:color w:val="auto"/>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8" w:hRule="atLeast"/>
        </w:trPr>
        <w:tc>
          <w:tcPr>
            <w:tcW w:w="466" w:type="dxa"/>
            <w:vAlign w:val="center"/>
          </w:tcPr>
          <w:p>
            <w:pPr>
              <w:autoSpaceDE/>
              <w:autoSpaceDN/>
              <w:spacing w:before="48" w:beforeLines="20" w:after="48" w:afterLines="20"/>
              <w:jc w:val="center"/>
              <w:rPr>
                <w:color w:val="auto"/>
                <w:sz w:val="24"/>
                <w:highlight w:val="none"/>
              </w:rPr>
            </w:pPr>
            <w:r>
              <w:rPr>
                <w:rFonts w:hint="eastAsia"/>
                <w:color w:val="auto"/>
                <w:sz w:val="21"/>
                <w:szCs w:val="21"/>
                <w:highlight w:val="none"/>
                <w:lang w:val="en-US"/>
              </w:rPr>
              <w:t>8</w:t>
            </w:r>
          </w:p>
        </w:tc>
        <w:tc>
          <w:tcPr>
            <w:tcW w:w="958" w:type="dxa"/>
            <w:vAlign w:val="center"/>
          </w:tcPr>
          <w:p>
            <w:pPr>
              <w:autoSpaceDE/>
              <w:autoSpaceDN/>
              <w:snapToGrid w:val="0"/>
              <w:spacing w:before="48" w:beforeLines="20" w:after="48" w:afterLines="20"/>
              <w:jc w:val="center"/>
              <w:rPr>
                <w:rFonts w:ascii="Times New Roman"/>
                <w:color w:val="auto"/>
                <w:highlight w:val="none"/>
              </w:rPr>
            </w:pPr>
          </w:p>
        </w:tc>
        <w:tc>
          <w:tcPr>
            <w:tcW w:w="665" w:type="dxa"/>
            <w:vAlign w:val="center"/>
          </w:tcPr>
          <w:p>
            <w:pPr>
              <w:autoSpaceDE/>
              <w:autoSpaceDN/>
              <w:snapToGrid w:val="0"/>
              <w:spacing w:before="48" w:beforeLines="20" w:after="48" w:afterLines="20"/>
              <w:jc w:val="center"/>
              <w:rPr>
                <w:rFonts w:ascii="Times New Roman"/>
                <w:color w:val="auto"/>
                <w:highlight w:val="none"/>
              </w:rPr>
            </w:pPr>
          </w:p>
        </w:tc>
        <w:tc>
          <w:tcPr>
            <w:tcW w:w="667" w:type="dxa"/>
            <w:vAlign w:val="center"/>
          </w:tcPr>
          <w:p>
            <w:pPr>
              <w:jc w:val="center"/>
              <w:rPr>
                <w:color w:val="auto"/>
                <w:kern w:val="2"/>
                <w:sz w:val="21"/>
                <w:szCs w:val="21"/>
                <w:highlight w:val="none"/>
                <w:lang w:val="en-US" w:bidi="ar-SA"/>
              </w:rPr>
            </w:pPr>
          </w:p>
        </w:tc>
        <w:tc>
          <w:tcPr>
            <w:tcW w:w="972" w:type="dxa"/>
            <w:vAlign w:val="center"/>
          </w:tcPr>
          <w:p>
            <w:pPr>
              <w:autoSpaceDE/>
              <w:autoSpaceDN/>
              <w:snapToGrid w:val="0"/>
              <w:spacing w:before="48" w:beforeLines="20" w:after="48" w:afterLines="20"/>
              <w:jc w:val="center"/>
              <w:rPr>
                <w:rFonts w:ascii="Times New Roman"/>
                <w:color w:val="auto"/>
                <w:highlight w:val="none"/>
              </w:rPr>
            </w:pPr>
          </w:p>
        </w:tc>
        <w:tc>
          <w:tcPr>
            <w:tcW w:w="960" w:type="dxa"/>
            <w:vAlign w:val="center"/>
          </w:tcPr>
          <w:p>
            <w:pPr>
              <w:autoSpaceDE/>
              <w:autoSpaceDN/>
              <w:spacing w:before="48" w:beforeLines="20" w:after="48" w:afterLines="20"/>
              <w:jc w:val="center"/>
              <w:rPr>
                <w:color w:val="auto"/>
                <w:sz w:val="21"/>
                <w:szCs w:val="21"/>
                <w:highlight w:val="none"/>
                <w:lang w:val="en-US"/>
              </w:rPr>
            </w:pPr>
          </w:p>
        </w:tc>
        <w:tc>
          <w:tcPr>
            <w:tcW w:w="1073" w:type="dxa"/>
            <w:vAlign w:val="center"/>
          </w:tcPr>
          <w:p>
            <w:pPr>
              <w:spacing w:before="4" w:after="4"/>
              <w:jc w:val="center"/>
              <w:rPr>
                <w:color w:val="auto"/>
                <w:sz w:val="21"/>
                <w:szCs w:val="21"/>
                <w:highlight w:val="none"/>
                <w:lang w:val="en-US"/>
              </w:rPr>
            </w:pPr>
          </w:p>
        </w:tc>
        <w:tc>
          <w:tcPr>
            <w:tcW w:w="1440" w:type="dxa"/>
            <w:vAlign w:val="center"/>
          </w:tcPr>
          <w:p>
            <w:pPr>
              <w:autoSpaceDE/>
              <w:autoSpaceDN/>
              <w:snapToGrid w:val="0"/>
              <w:spacing w:before="48" w:beforeLines="20" w:after="48" w:afterLines="20"/>
              <w:jc w:val="center"/>
              <w:rPr>
                <w:rFonts w:ascii="Times New Roman"/>
                <w:color w:val="auto"/>
                <w:highlight w:val="none"/>
              </w:rPr>
            </w:pPr>
          </w:p>
        </w:tc>
        <w:tc>
          <w:tcPr>
            <w:tcW w:w="1788" w:type="dxa"/>
            <w:vAlign w:val="center"/>
          </w:tcPr>
          <w:p>
            <w:pPr>
              <w:autoSpaceDE/>
              <w:autoSpaceDN/>
              <w:spacing w:before="48" w:beforeLines="20" w:after="48" w:afterLines="20"/>
              <w:jc w:val="center"/>
              <w:rPr>
                <w:color w:val="auto"/>
                <w:sz w:val="21"/>
                <w:szCs w:val="21"/>
                <w:highlight w:val="none"/>
              </w:rPr>
            </w:pPr>
          </w:p>
        </w:tc>
        <w:tc>
          <w:tcPr>
            <w:tcW w:w="526" w:type="dxa"/>
            <w:vAlign w:val="center"/>
          </w:tcPr>
          <w:p>
            <w:pPr>
              <w:autoSpaceDE/>
              <w:autoSpaceDN/>
              <w:spacing w:before="48" w:beforeLines="20" w:after="48" w:afterLines="20"/>
              <w:jc w:val="center"/>
              <w:rPr>
                <w:color w:val="auto"/>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466" w:type="dxa"/>
            <w:vAlign w:val="center"/>
          </w:tcPr>
          <w:p>
            <w:pPr>
              <w:autoSpaceDE/>
              <w:autoSpaceDN/>
              <w:spacing w:before="48" w:beforeLines="20" w:after="48" w:afterLines="20"/>
              <w:jc w:val="center"/>
              <w:rPr>
                <w:color w:val="auto"/>
                <w:sz w:val="24"/>
                <w:highlight w:val="none"/>
              </w:rPr>
            </w:pPr>
            <w:r>
              <w:rPr>
                <w:rFonts w:hint="eastAsia"/>
                <w:color w:val="auto"/>
                <w:sz w:val="21"/>
                <w:szCs w:val="21"/>
                <w:highlight w:val="none"/>
                <w:lang w:val="en-US"/>
              </w:rPr>
              <w:t>9</w:t>
            </w:r>
          </w:p>
        </w:tc>
        <w:tc>
          <w:tcPr>
            <w:tcW w:w="958" w:type="dxa"/>
            <w:vAlign w:val="center"/>
          </w:tcPr>
          <w:p>
            <w:pPr>
              <w:autoSpaceDE/>
              <w:autoSpaceDN/>
              <w:snapToGrid w:val="0"/>
              <w:spacing w:before="48" w:beforeLines="20" w:after="48" w:afterLines="20"/>
              <w:jc w:val="center"/>
              <w:rPr>
                <w:rFonts w:ascii="Times New Roman"/>
                <w:color w:val="auto"/>
                <w:highlight w:val="none"/>
              </w:rPr>
            </w:pPr>
          </w:p>
        </w:tc>
        <w:tc>
          <w:tcPr>
            <w:tcW w:w="665" w:type="dxa"/>
            <w:vAlign w:val="center"/>
          </w:tcPr>
          <w:p>
            <w:pPr>
              <w:autoSpaceDE/>
              <w:autoSpaceDN/>
              <w:snapToGrid w:val="0"/>
              <w:spacing w:before="48" w:beforeLines="20" w:after="48" w:afterLines="20"/>
              <w:jc w:val="center"/>
              <w:rPr>
                <w:rFonts w:ascii="Times New Roman"/>
                <w:color w:val="auto"/>
                <w:highlight w:val="none"/>
              </w:rPr>
            </w:pPr>
          </w:p>
        </w:tc>
        <w:tc>
          <w:tcPr>
            <w:tcW w:w="667" w:type="dxa"/>
            <w:vAlign w:val="center"/>
          </w:tcPr>
          <w:p>
            <w:pPr>
              <w:jc w:val="center"/>
              <w:rPr>
                <w:color w:val="auto"/>
                <w:kern w:val="2"/>
                <w:sz w:val="21"/>
                <w:szCs w:val="21"/>
                <w:highlight w:val="none"/>
                <w:lang w:val="en-US" w:bidi="ar-SA"/>
              </w:rPr>
            </w:pPr>
          </w:p>
        </w:tc>
        <w:tc>
          <w:tcPr>
            <w:tcW w:w="972" w:type="dxa"/>
            <w:vAlign w:val="center"/>
          </w:tcPr>
          <w:p>
            <w:pPr>
              <w:autoSpaceDE/>
              <w:autoSpaceDN/>
              <w:snapToGrid w:val="0"/>
              <w:spacing w:before="48" w:beforeLines="20" w:after="48" w:afterLines="20"/>
              <w:jc w:val="center"/>
              <w:rPr>
                <w:rFonts w:ascii="Times New Roman"/>
                <w:color w:val="auto"/>
                <w:highlight w:val="none"/>
              </w:rPr>
            </w:pPr>
          </w:p>
        </w:tc>
        <w:tc>
          <w:tcPr>
            <w:tcW w:w="960" w:type="dxa"/>
            <w:vAlign w:val="center"/>
          </w:tcPr>
          <w:p>
            <w:pPr>
              <w:autoSpaceDE/>
              <w:autoSpaceDN/>
              <w:spacing w:before="48" w:beforeLines="20" w:after="48" w:afterLines="20"/>
              <w:jc w:val="center"/>
              <w:rPr>
                <w:color w:val="auto"/>
                <w:sz w:val="21"/>
                <w:szCs w:val="21"/>
                <w:highlight w:val="none"/>
              </w:rPr>
            </w:pPr>
          </w:p>
        </w:tc>
        <w:tc>
          <w:tcPr>
            <w:tcW w:w="1073" w:type="dxa"/>
            <w:vAlign w:val="center"/>
          </w:tcPr>
          <w:p>
            <w:pPr>
              <w:spacing w:before="4" w:after="4"/>
              <w:jc w:val="center"/>
              <w:rPr>
                <w:color w:val="auto"/>
                <w:sz w:val="21"/>
                <w:szCs w:val="21"/>
                <w:highlight w:val="none"/>
                <w:lang w:val="en-US"/>
              </w:rPr>
            </w:pPr>
          </w:p>
        </w:tc>
        <w:tc>
          <w:tcPr>
            <w:tcW w:w="1440" w:type="dxa"/>
            <w:vAlign w:val="center"/>
          </w:tcPr>
          <w:p>
            <w:pPr>
              <w:autoSpaceDE/>
              <w:autoSpaceDN/>
              <w:snapToGrid w:val="0"/>
              <w:spacing w:before="48" w:beforeLines="20" w:after="48" w:afterLines="20"/>
              <w:jc w:val="center"/>
              <w:rPr>
                <w:rFonts w:ascii="Times New Roman"/>
                <w:color w:val="auto"/>
                <w:highlight w:val="none"/>
              </w:rPr>
            </w:pPr>
          </w:p>
        </w:tc>
        <w:tc>
          <w:tcPr>
            <w:tcW w:w="1788" w:type="dxa"/>
            <w:vAlign w:val="center"/>
          </w:tcPr>
          <w:p>
            <w:pPr>
              <w:autoSpaceDE/>
              <w:autoSpaceDN/>
              <w:spacing w:before="48" w:beforeLines="20" w:after="48" w:afterLines="20"/>
              <w:jc w:val="center"/>
              <w:rPr>
                <w:color w:val="auto"/>
                <w:sz w:val="21"/>
                <w:szCs w:val="21"/>
                <w:highlight w:val="none"/>
                <w:lang w:val="en-US"/>
              </w:rPr>
            </w:pPr>
          </w:p>
        </w:tc>
        <w:tc>
          <w:tcPr>
            <w:tcW w:w="526" w:type="dxa"/>
            <w:vAlign w:val="center"/>
          </w:tcPr>
          <w:p>
            <w:pPr>
              <w:autoSpaceDE/>
              <w:autoSpaceDN/>
              <w:spacing w:before="48" w:beforeLines="20" w:after="48" w:afterLines="20"/>
              <w:jc w:val="center"/>
              <w:rPr>
                <w:color w:val="auto"/>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466" w:type="dxa"/>
            <w:vAlign w:val="center"/>
          </w:tcPr>
          <w:p>
            <w:pPr>
              <w:autoSpaceDE/>
              <w:autoSpaceDN/>
              <w:spacing w:before="48" w:beforeLines="20" w:after="48" w:afterLines="20"/>
              <w:jc w:val="center"/>
              <w:rPr>
                <w:color w:val="auto"/>
                <w:sz w:val="24"/>
                <w:highlight w:val="none"/>
              </w:rPr>
            </w:pPr>
            <w:r>
              <w:rPr>
                <w:rFonts w:hint="eastAsia"/>
                <w:color w:val="auto"/>
                <w:sz w:val="21"/>
                <w:szCs w:val="21"/>
                <w:highlight w:val="none"/>
                <w:lang w:val="en-US"/>
              </w:rPr>
              <w:t>10</w:t>
            </w:r>
          </w:p>
        </w:tc>
        <w:tc>
          <w:tcPr>
            <w:tcW w:w="958" w:type="dxa"/>
            <w:vAlign w:val="center"/>
          </w:tcPr>
          <w:p>
            <w:pPr>
              <w:autoSpaceDE/>
              <w:autoSpaceDN/>
              <w:snapToGrid w:val="0"/>
              <w:spacing w:before="48" w:beforeLines="20" w:after="48" w:afterLines="20"/>
              <w:jc w:val="center"/>
              <w:rPr>
                <w:rFonts w:ascii="Times New Roman"/>
                <w:color w:val="auto"/>
                <w:highlight w:val="none"/>
              </w:rPr>
            </w:pPr>
          </w:p>
        </w:tc>
        <w:tc>
          <w:tcPr>
            <w:tcW w:w="665" w:type="dxa"/>
            <w:vAlign w:val="center"/>
          </w:tcPr>
          <w:p>
            <w:pPr>
              <w:autoSpaceDE/>
              <w:autoSpaceDN/>
              <w:snapToGrid w:val="0"/>
              <w:spacing w:before="48" w:beforeLines="20" w:after="48" w:afterLines="20"/>
              <w:jc w:val="center"/>
              <w:rPr>
                <w:rFonts w:ascii="Times New Roman"/>
                <w:color w:val="auto"/>
                <w:highlight w:val="none"/>
                <w:lang w:val="en-US"/>
              </w:rPr>
            </w:pPr>
          </w:p>
        </w:tc>
        <w:tc>
          <w:tcPr>
            <w:tcW w:w="667" w:type="dxa"/>
            <w:vAlign w:val="center"/>
          </w:tcPr>
          <w:p>
            <w:pPr>
              <w:jc w:val="center"/>
              <w:rPr>
                <w:color w:val="auto"/>
                <w:kern w:val="2"/>
                <w:sz w:val="21"/>
                <w:szCs w:val="21"/>
                <w:highlight w:val="none"/>
                <w:lang w:val="en-US" w:bidi="ar-SA"/>
              </w:rPr>
            </w:pPr>
          </w:p>
        </w:tc>
        <w:tc>
          <w:tcPr>
            <w:tcW w:w="972" w:type="dxa"/>
            <w:vAlign w:val="center"/>
          </w:tcPr>
          <w:p>
            <w:pPr>
              <w:autoSpaceDE/>
              <w:autoSpaceDN/>
              <w:snapToGrid w:val="0"/>
              <w:spacing w:before="48" w:beforeLines="20" w:after="48" w:afterLines="20"/>
              <w:jc w:val="center"/>
              <w:rPr>
                <w:rFonts w:ascii="Times New Roman"/>
                <w:color w:val="auto"/>
                <w:highlight w:val="none"/>
              </w:rPr>
            </w:pPr>
          </w:p>
        </w:tc>
        <w:tc>
          <w:tcPr>
            <w:tcW w:w="960" w:type="dxa"/>
            <w:vAlign w:val="center"/>
          </w:tcPr>
          <w:p>
            <w:pPr>
              <w:autoSpaceDE/>
              <w:autoSpaceDN/>
              <w:spacing w:before="48" w:beforeLines="20" w:after="48" w:afterLines="20"/>
              <w:jc w:val="center"/>
              <w:rPr>
                <w:color w:val="auto"/>
                <w:sz w:val="21"/>
                <w:szCs w:val="21"/>
                <w:highlight w:val="none"/>
              </w:rPr>
            </w:pPr>
          </w:p>
        </w:tc>
        <w:tc>
          <w:tcPr>
            <w:tcW w:w="1073" w:type="dxa"/>
            <w:vAlign w:val="center"/>
          </w:tcPr>
          <w:p>
            <w:pPr>
              <w:spacing w:before="4" w:after="4"/>
              <w:jc w:val="center"/>
              <w:rPr>
                <w:color w:val="auto"/>
                <w:sz w:val="21"/>
                <w:szCs w:val="21"/>
                <w:highlight w:val="none"/>
                <w:lang w:val="en-US"/>
              </w:rPr>
            </w:pPr>
          </w:p>
        </w:tc>
        <w:tc>
          <w:tcPr>
            <w:tcW w:w="1440" w:type="dxa"/>
            <w:vAlign w:val="center"/>
          </w:tcPr>
          <w:p>
            <w:pPr>
              <w:autoSpaceDE/>
              <w:autoSpaceDN/>
              <w:snapToGrid w:val="0"/>
              <w:spacing w:before="48" w:beforeLines="20" w:after="48" w:afterLines="20"/>
              <w:jc w:val="center"/>
              <w:rPr>
                <w:rFonts w:ascii="Times New Roman"/>
                <w:color w:val="auto"/>
                <w:highlight w:val="none"/>
              </w:rPr>
            </w:pPr>
          </w:p>
        </w:tc>
        <w:tc>
          <w:tcPr>
            <w:tcW w:w="1788" w:type="dxa"/>
            <w:vAlign w:val="center"/>
          </w:tcPr>
          <w:p>
            <w:pPr>
              <w:autoSpaceDE/>
              <w:autoSpaceDN/>
              <w:spacing w:before="48" w:beforeLines="20" w:after="48" w:afterLines="20"/>
              <w:jc w:val="center"/>
              <w:rPr>
                <w:color w:val="auto"/>
                <w:sz w:val="21"/>
                <w:szCs w:val="21"/>
                <w:highlight w:val="none"/>
                <w:lang w:val="en-US"/>
              </w:rPr>
            </w:pPr>
          </w:p>
        </w:tc>
        <w:tc>
          <w:tcPr>
            <w:tcW w:w="526" w:type="dxa"/>
            <w:vAlign w:val="center"/>
          </w:tcPr>
          <w:p>
            <w:pPr>
              <w:autoSpaceDE/>
              <w:autoSpaceDN/>
              <w:spacing w:before="48" w:beforeLines="20" w:after="48" w:afterLines="20"/>
              <w:jc w:val="center"/>
              <w:rPr>
                <w:color w:val="auto"/>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466" w:type="dxa"/>
            <w:vAlign w:val="center"/>
          </w:tcPr>
          <w:p>
            <w:pPr>
              <w:autoSpaceDE/>
              <w:autoSpaceDN/>
              <w:spacing w:before="48" w:beforeLines="20" w:after="48" w:afterLines="20"/>
              <w:jc w:val="center"/>
              <w:rPr>
                <w:rFonts w:ascii="Times New Roman"/>
                <w:color w:val="auto"/>
                <w:highlight w:val="none"/>
              </w:rPr>
            </w:pPr>
            <w:r>
              <w:rPr>
                <w:rFonts w:hint="eastAsia"/>
                <w:color w:val="auto"/>
                <w:sz w:val="21"/>
                <w:szCs w:val="21"/>
                <w:highlight w:val="none"/>
                <w:lang w:val="en-US"/>
              </w:rPr>
              <w:t>11</w:t>
            </w:r>
          </w:p>
        </w:tc>
        <w:tc>
          <w:tcPr>
            <w:tcW w:w="958" w:type="dxa"/>
            <w:vAlign w:val="center"/>
          </w:tcPr>
          <w:p>
            <w:pPr>
              <w:autoSpaceDE/>
              <w:autoSpaceDN/>
              <w:snapToGrid w:val="0"/>
              <w:spacing w:before="48" w:beforeLines="20" w:after="48" w:afterLines="20"/>
              <w:jc w:val="center"/>
              <w:rPr>
                <w:rFonts w:ascii="Times New Roman"/>
                <w:color w:val="auto"/>
                <w:highlight w:val="none"/>
              </w:rPr>
            </w:pPr>
          </w:p>
        </w:tc>
        <w:tc>
          <w:tcPr>
            <w:tcW w:w="665" w:type="dxa"/>
            <w:vAlign w:val="center"/>
          </w:tcPr>
          <w:p>
            <w:pPr>
              <w:autoSpaceDE/>
              <w:autoSpaceDN/>
              <w:snapToGrid w:val="0"/>
              <w:spacing w:before="48" w:beforeLines="20" w:after="48" w:afterLines="20"/>
              <w:jc w:val="center"/>
              <w:rPr>
                <w:rFonts w:ascii="Times New Roman"/>
                <w:color w:val="auto"/>
                <w:highlight w:val="none"/>
              </w:rPr>
            </w:pPr>
          </w:p>
        </w:tc>
        <w:tc>
          <w:tcPr>
            <w:tcW w:w="667" w:type="dxa"/>
            <w:vAlign w:val="center"/>
          </w:tcPr>
          <w:p>
            <w:pPr>
              <w:jc w:val="center"/>
              <w:rPr>
                <w:color w:val="auto"/>
                <w:kern w:val="2"/>
                <w:sz w:val="21"/>
                <w:szCs w:val="21"/>
                <w:highlight w:val="none"/>
                <w:lang w:val="en-US" w:bidi="ar-SA"/>
              </w:rPr>
            </w:pPr>
          </w:p>
        </w:tc>
        <w:tc>
          <w:tcPr>
            <w:tcW w:w="972" w:type="dxa"/>
            <w:vAlign w:val="center"/>
          </w:tcPr>
          <w:p>
            <w:pPr>
              <w:autoSpaceDE/>
              <w:autoSpaceDN/>
              <w:snapToGrid w:val="0"/>
              <w:spacing w:before="48" w:beforeLines="20" w:after="48" w:afterLines="20"/>
              <w:jc w:val="center"/>
              <w:rPr>
                <w:rFonts w:ascii="Times New Roman"/>
                <w:color w:val="auto"/>
                <w:highlight w:val="none"/>
              </w:rPr>
            </w:pPr>
          </w:p>
        </w:tc>
        <w:tc>
          <w:tcPr>
            <w:tcW w:w="960" w:type="dxa"/>
            <w:vAlign w:val="center"/>
          </w:tcPr>
          <w:p>
            <w:pPr>
              <w:autoSpaceDE/>
              <w:autoSpaceDN/>
              <w:spacing w:before="48" w:beforeLines="20" w:after="48" w:afterLines="20"/>
              <w:jc w:val="center"/>
              <w:rPr>
                <w:color w:val="auto"/>
                <w:kern w:val="2"/>
                <w:sz w:val="21"/>
                <w:szCs w:val="21"/>
                <w:highlight w:val="none"/>
                <w:lang w:val="en-US" w:bidi="ar-SA"/>
              </w:rPr>
            </w:pPr>
          </w:p>
        </w:tc>
        <w:tc>
          <w:tcPr>
            <w:tcW w:w="1073" w:type="dxa"/>
            <w:vAlign w:val="center"/>
          </w:tcPr>
          <w:p>
            <w:pPr>
              <w:spacing w:before="4" w:after="4"/>
              <w:jc w:val="center"/>
              <w:rPr>
                <w:color w:val="auto"/>
                <w:sz w:val="21"/>
                <w:szCs w:val="21"/>
                <w:highlight w:val="none"/>
                <w:lang w:val="en-US"/>
              </w:rPr>
            </w:pPr>
          </w:p>
        </w:tc>
        <w:tc>
          <w:tcPr>
            <w:tcW w:w="1440" w:type="dxa"/>
            <w:vAlign w:val="center"/>
          </w:tcPr>
          <w:p>
            <w:pPr>
              <w:autoSpaceDE/>
              <w:autoSpaceDN/>
              <w:snapToGrid w:val="0"/>
              <w:spacing w:before="48" w:beforeLines="20" w:after="48" w:afterLines="20"/>
              <w:jc w:val="center"/>
              <w:rPr>
                <w:rFonts w:ascii="Times New Roman"/>
                <w:color w:val="auto"/>
                <w:highlight w:val="none"/>
              </w:rPr>
            </w:pPr>
          </w:p>
        </w:tc>
        <w:tc>
          <w:tcPr>
            <w:tcW w:w="1788" w:type="dxa"/>
            <w:vAlign w:val="center"/>
          </w:tcPr>
          <w:p>
            <w:pPr>
              <w:autoSpaceDE/>
              <w:autoSpaceDN/>
              <w:spacing w:before="48" w:beforeLines="20" w:after="48" w:afterLines="20"/>
              <w:jc w:val="center"/>
              <w:rPr>
                <w:color w:val="auto"/>
                <w:sz w:val="21"/>
                <w:szCs w:val="21"/>
                <w:highlight w:val="none"/>
              </w:rPr>
            </w:pPr>
          </w:p>
        </w:tc>
        <w:tc>
          <w:tcPr>
            <w:tcW w:w="526" w:type="dxa"/>
            <w:vAlign w:val="center"/>
          </w:tcPr>
          <w:p>
            <w:pPr>
              <w:autoSpaceDE/>
              <w:autoSpaceDN/>
              <w:spacing w:before="48" w:beforeLines="20" w:after="48" w:afterLines="20"/>
              <w:jc w:val="center"/>
              <w:rPr>
                <w:color w:val="auto"/>
                <w:sz w:val="21"/>
                <w:szCs w:val="21"/>
                <w:highlight w:val="none"/>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0" w:hRule="atLeast"/>
        </w:trPr>
        <w:tc>
          <w:tcPr>
            <w:tcW w:w="466" w:type="dxa"/>
            <w:vAlign w:val="center"/>
          </w:tcPr>
          <w:p>
            <w:pPr>
              <w:autoSpaceDE/>
              <w:autoSpaceDN/>
              <w:spacing w:before="48" w:beforeLines="20" w:after="48" w:afterLines="20"/>
              <w:jc w:val="center"/>
              <w:rPr>
                <w:rFonts w:ascii="Times New Roman"/>
                <w:color w:val="auto"/>
                <w:highlight w:val="none"/>
              </w:rPr>
            </w:pPr>
            <w:r>
              <w:rPr>
                <w:rFonts w:hint="eastAsia"/>
                <w:color w:val="auto"/>
                <w:sz w:val="21"/>
                <w:szCs w:val="21"/>
                <w:highlight w:val="none"/>
                <w:lang w:val="en-US"/>
              </w:rPr>
              <w:t>12</w:t>
            </w:r>
          </w:p>
        </w:tc>
        <w:tc>
          <w:tcPr>
            <w:tcW w:w="958" w:type="dxa"/>
            <w:vAlign w:val="center"/>
          </w:tcPr>
          <w:p>
            <w:pPr>
              <w:autoSpaceDE/>
              <w:autoSpaceDN/>
              <w:snapToGrid w:val="0"/>
              <w:spacing w:before="48" w:beforeLines="20" w:after="48" w:afterLines="20"/>
              <w:jc w:val="center"/>
              <w:rPr>
                <w:rFonts w:ascii="Times New Roman"/>
                <w:color w:val="auto"/>
                <w:highlight w:val="none"/>
              </w:rPr>
            </w:pPr>
          </w:p>
        </w:tc>
        <w:tc>
          <w:tcPr>
            <w:tcW w:w="665" w:type="dxa"/>
            <w:vAlign w:val="center"/>
          </w:tcPr>
          <w:p>
            <w:pPr>
              <w:autoSpaceDE/>
              <w:autoSpaceDN/>
              <w:snapToGrid w:val="0"/>
              <w:spacing w:before="48" w:beforeLines="20" w:after="48" w:afterLines="20"/>
              <w:jc w:val="center"/>
              <w:rPr>
                <w:rFonts w:ascii="Times New Roman"/>
                <w:color w:val="auto"/>
                <w:highlight w:val="none"/>
              </w:rPr>
            </w:pPr>
          </w:p>
        </w:tc>
        <w:tc>
          <w:tcPr>
            <w:tcW w:w="667" w:type="dxa"/>
            <w:vAlign w:val="center"/>
          </w:tcPr>
          <w:p>
            <w:pPr>
              <w:jc w:val="center"/>
              <w:rPr>
                <w:color w:val="auto"/>
                <w:kern w:val="2"/>
                <w:sz w:val="21"/>
                <w:szCs w:val="21"/>
                <w:highlight w:val="none"/>
                <w:lang w:val="en-US" w:bidi="ar-SA"/>
              </w:rPr>
            </w:pPr>
          </w:p>
        </w:tc>
        <w:tc>
          <w:tcPr>
            <w:tcW w:w="972" w:type="dxa"/>
            <w:vAlign w:val="center"/>
          </w:tcPr>
          <w:p>
            <w:pPr>
              <w:autoSpaceDE/>
              <w:autoSpaceDN/>
              <w:snapToGrid w:val="0"/>
              <w:spacing w:before="48" w:beforeLines="20" w:after="48" w:afterLines="20"/>
              <w:jc w:val="center"/>
              <w:rPr>
                <w:rFonts w:ascii="Times New Roman"/>
                <w:color w:val="auto"/>
                <w:highlight w:val="none"/>
              </w:rPr>
            </w:pPr>
          </w:p>
        </w:tc>
        <w:tc>
          <w:tcPr>
            <w:tcW w:w="960" w:type="dxa"/>
            <w:vAlign w:val="center"/>
          </w:tcPr>
          <w:p>
            <w:pPr>
              <w:autoSpaceDE/>
              <w:autoSpaceDN/>
              <w:snapToGrid w:val="0"/>
              <w:spacing w:before="48" w:beforeLines="20" w:after="48" w:afterLines="20"/>
              <w:jc w:val="center"/>
              <w:rPr>
                <w:color w:val="auto"/>
                <w:sz w:val="21"/>
                <w:szCs w:val="21"/>
                <w:highlight w:val="none"/>
                <w:lang w:val="en-US"/>
              </w:rPr>
            </w:pPr>
          </w:p>
        </w:tc>
        <w:tc>
          <w:tcPr>
            <w:tcW w:w="1073" w:type="dxa"/>
            <w:vAlign w:val="center"/>
          </w:tcPr>
          <w:p>
            <w:pPr>
              <w:spacing w:before="4" w:after="4"/>
              <w:jc w:val="center"/>
              <w:rPr>
                <w:color w:val="auto"/>
                <w:sz w:val="21"/>
                <w:szCs w:val="21"/>
                <w:highlight w:val="none"/>
                <w:lang w:val="en-US"/>
              </w:rPr>
            </w:pPr>
          </w:p>
        </w:tc>
        <w:tc>
          <w:tcPr>
            <w:tcW w:w="1440" w:type="dxa"/>
            <w:vAlign w:val="center"/>
          </w:tcPr>
          <w:p>
            <w:pPr>
              <w:autoSpaceDE/>
              <w:autoSpaceDN/>
              <w:snapToGrid w:val="0"/>
              <w:spacing w:before="48" w:beforeLines="20" w:after="48" w:afterLines="20"/>
              <w:jc w:val="center"/>
              <w:rPr>
                <w:rFonts w:ascii="Times New Roman"/>
                <w:color w:val="auto"/>
                <w:highlight w:val="none"/>
              </w:rPr>
            </w:pPr>
          </w:p>
        </w:tc>
        <w:tc>
          <w:tcPr>
            <w:tcW w:w="1788" w:type="dxa"/>
            <w:vAlign w:val="center"/>
          </w:tcPr>
          <w:p>
            <w:pPr>
              <w:autoSpaceDE/>
              <w:autoSpaceDN/>
              <w:spacing w:before="48" w:beforeLines="20" w:after="48" w:afterLines="20"/>
              <w:jc w:val="center"/>
              <w:rPr>
                <w:color w:val="auto"/>
                <w:sz w:val="21"/>
                <w:szCs w:val="21"/>
                <w:highlight w:val="none"/>
                <w:lang w:val="en-US"/>
              </w:rPr>
            </w:pPr>
          </w:p>
        </w:tc>
        <w:tc>
          <w:tcPr>
            <w:tcW w:w="526" w:type="dxa"/>
            <w:vAlign w:val="center"/>
          </w:tcPr>
          <w:p>
            <w:pPr>
              <w:autoSpaceDE/>
              <w:autoSpaceDN/>
              <w:spacing w:before="48" w:beforeLines="20" w:after="48" w:afterLines="20"/>
              <w:jc w:val="center"/>
              <w:rPr>
                <w:color w:val="auto"/>
                <w:sz w:val="21"/>
                <w:szCs w:val="21"/>
                <w:highlight w:val="none"/>
                <w:lang w:val="en-US"/>
              </w:rPr>
            </w:pPr>
          </w:p>
        </w:tc>
      </w:tr>
    </w:tbl>
    <w:p>
      <w:pPr>
        <w:spacing w:before="46" w:line="285" w:lineRule="auto"/>
        <w:ind w:left="223" w:right="127"/>
        <w:rPr>
          <w:b/>
          <w:color w:val="auto"/>
          <w:sz w:val="21"/>
          <w:highlight w:val="none"/>
        </w:rPr>
      </w:pPr>
      <w:r>
        <w:rPr>
          <w:b/>
          <w:color w:val="auto"/>
          <w:sz w:val="21"/>
          <w:highlight w:val="none"/>
        </w:rPr>
        <w:t>备注：本表应根据《监理人员基本要求资历表》要求填写，人员数量和资历不低于其基本要求。本表可根据人员数量增栏填写，本表填写包括监理员。在备注栏中对人员状态进行标识：在册人员标识“○”， 外聘人员标识“□”。</w:t>
      </w:r>
    </w:p>
    <w:p>
      <w:pPr>
        <w:tabs>
          <w:tab w:val="left" w:pos="6064"/>
          <w:tab w:val="left" w:pos="8042"/>
        </w:tabs>
        <w:spacing w:before="133"/>
        <w:ind w:left="223"/>
        <w:rPr>
          <w:color w:val="auto"/>
          <w:sz w:val="24"/>
          <w:highlight w:val="none"/>
        </w:rPr>
      </w:pPr>
      <w:r>
        <w:rPr>
          <w:color w:val="auto"/>
          <w:sz w:val="21"/>
          <w:highlight w:val="none"/>
        </w:rPr>
        <w:t>法定代表人(或被授权人) 签章：</w:t>
      </w:r>
      <w:r>
        <w:rPr>
          <w:rFonts w:hint="eastAsia"/>
          <w:color w:val="auto"/>
          <w:sz w:val="21"/>
          <w:highlight w:val="none"/>
        </w:rPr>
        <w:t xml:space="preserve"> </w:t>
      </w:r>
      <w:r>
        <w:rPr>
          <w:color w:val="auto"/>
          <w:sz w:val="21"/>
          <w:highlight w:val="none"/>
        </w:rPr>
        <w:tab/>
      </w:r>
      <w:r>
        <w:rPr>
          <w:color w:val="auto"/>
          <w:sz w:val="21"/>
          <w:highlight w:val="none"/>
        </w:rPr>
        <w:t>日期</w:t>
      </w:r>
      <w:r>
        <w:rPr>
          <w:color w:val="auto"/>
          <w:sz w:val="24"/>
          <w:highlight w:val="none"/>
        </w:rPr>
        <w:t>： 202</w:t>
      </w:r>
      <w:r>
        <w:rPr>
          <w:rFonts w:hint="eastAsia"/>
          <w:color w:val="auto"/>
          <w:sz w:val="24"/>
          <w:highlight w:val="none"/>
        </w:rPr>
        <w:t>2</w:t>
      </w:r>
      <w:r>
        <w:rPr>
          <w:color w:val="auto"/>
          <w:sz w:val="24"/>
          <w:highlight w:val="none"/>
        </w:rPr>
        <w:t xml:space="preserve"> 年</w:t>
      </w:r>
      <w:r>
        <w:rPr>
          <w:color w:val="auto"/>
          <w:sz w:val="24"/>
          <w:highlight w:val="none"/>
        </w:rPr>
        <w:tab/>
      </w:r>
      <w:r>
        <w:rPr>
          <w:color w:val="auto"/>
          <w:sz w:val="24"/>
          <w:highlight w:val="none"/>
        </w:rPr>
        <w:t>月 日</w:t>
      </w:r>
    </w:p>
    <w:p>
      <w:pPr>
        <w:pStyle w:val="3"/>
        <w:ind w:left="0"/>
        <w:rPr>
          <w:color w:val="auto"/>
          <w:highlight w:val="none"/>
        </w:rPr>
      </w:pPr>
    </w:p>
    <w:p>
      <w:pPr>
        <w:pStyle w:val="3"/>
        <w:ind w:left="0"/>
        <w:rPr>
          <w:color w:val="auto"/>
          <w:highlight w:val="none"/>
        </w:rPr>
      </w:pPr>
    </w:p>
    <w:p>
      <w:pPr>
        <w:pStyle w:val="3"/>
        <w:spacing w:before="12"/>
        <w:ind w:left="0"/>
        <w:rPr>
          <w:color w:val="auto"/>
          <w:sz w:val="32"/>
          <w:highlight w:val="none"/>
        </w:rPr>
      </w:pPr>
    </w:p>
    <w:p>
      <w:pPr>
        <w:rPr>
          <w:color w:val="auto"/>
          <w:highlight w:val="none"/>
        </w:rPr>
      </w:pPr>
      <w:r>
        <w:rPr>
          <w:color w:val="auto"/>
          <w:highlight w:val="none"/>
        </w:rPr>
        <w:br w:type="page"/>
      </w:r>
    </w:p>
    <w:p>
      <w:pPr>
        <w:pStyle w:val="9"/>
        <w:rPr>
          <w:color w:val="auto"/>
          <w:highlight w:val="none"/>
        </w:rPr>
      </w:pPr>
      <w:r>
        <w:rPr>
          <w:color w:val="auto"/>
          <w:highlight w:val="none"/>
        </w:rPr>
        <w:t>附件 3：</w:t>
      </w:r>
    </w:p>
    <w:p>
      <w:pPr>
        <w:jc w:val="center"/>
        <w:rPr>
          <w:color w:val="auto"/>
          <w:sz w:val="24"/>
          <w:szCs w:val="24"/>
          <w:highlight w:val="none"/>
        </w:rPr>
      </w:pPr>
      <w:r>
        <w:rPr>
          <w:color w:val="auto"/>
          <w:sz w:val="24"/>
          <w:szCs w:val="24"/>
          <w:highlight w:val="none"/>
        </w:rPr>
        <w:t>监理检测仪器设备清单</w:t>
      </w:r>
    </w:p>
    <w:p>
      <w:pPr>
        <w:pStyle w:val="2"/>
        <w:ind w:left="0" w:firstLine="0"/>
        <w:rPr>
          <w:color w:val="auto"/>
          <w:highlight w:val="none"/>
        </w:rPr>
      </w:pPr>
      <w:r>
        <w:rPr>
          <w:color w:val="auto"/>
          <w:highlight w:val="none"/>
        </w:rPr>
        <w:br w:type="page"/>
      </w:r>
    </w:p>
    <w:p>
      <w:pPr>
        <w:rPr>
          <w:color w:val="auto"/>
          <w:highlight w:val="none"/>
        </w:rPr>
      </w:pPr>
      <w:r>
        <w:rPr>
          <w:rFonts w:hint="eastAsia"/>
          <w:color w:val="auto"/>
          <w:sz w:val="32"/>
          <w:szCs w:val="32"/>
          <w:highlight w:val="none"/>
        </w:rPr>
        <w:t>附件4</w:t>
      </w:r>
    </w:p>
    <w:p>
      <w:pPr>
        <w:adjustRightInd w:val="0"/>
        <w:snapToGrid w:val="0"/>
        <w:spacing w:line="560" w:lineRule="exact"/>
        <w:rPr>
          <w:rFonts w:ascii="黑体" w:hAnsi="黑体" w:eastAsia="黑体" w:cs="仿宋"/>
          <w:color w:val="auto"/>
          <w:sz w:val="32"/>
          <w:szCs w:val="32"/>
          <w:highlight w:val="none"/>
        </w:rPr>
      </w:pPr>
      <w:r>
        <w:rPr>
          <w:rFonts w:hint="eastAsia"/>
          <w:color w:val="auto"/>
          <w:sz w:val="28"/>
          <w:szCs w:val="28"/>
          <w:highlight w:val="none"/>
        </w:rPr>
        <w:t>（一）银行保函格式</w:t>
      </w:r>
    </w:p>
    <w:p>
      <w:pPr>
        <w:spacing w:line="320" w:lineRule="exact"/>
        <w:ind w:firstLine="437"/>
        <w:jc w:val="center"/>
        <w:rPr>
          <w:color w:val="auto"/>
          <w:sz w:val="32"/>
          <w:szCs w:val="32"/>
          <w:highlight w:val="none"/>
        </w:rPr>
      </w:pPr>
      <w:r>
        <w:rPr>
          <w:rFonts w:hint="eastAsia"/>
          <w:color w:val="auto"/>
          <w:sz w:val="32"/>
          <w:szCs w:val="32"/>
          <w:highlight w:val="none"/>
        </w:rPr>
        <w:t>（独立）履约保函</w:t>
      </w:r>
    </w:p>
    <w:p>
      <w:pPr>
        <w:adjustRightInd w:val="0"/>
        <w:snapToGrid w:val="0"/>
        <w:ind w:firstLine="560" w:firstLineChars="200"/>
        <w:jc w:val="right"/>
        <w:rPr>
          <w:color w:val="auto"/>
          <w:sz w:val="28"/>
          <w:szCs w:val="28"/>
          <w:highlight w:val="none"/>
        </w:rPr>
      </w:pPr>
      <w:r>
        <w:rPr>
          <w:rFonts w:hint="eastAsia"/>
          <w:color w:val="auto"/>
          <w:sz w:val="28"/>
          <w:szCs w:val="28"/>
          <w:highlight w:val="none"/>
        </w:rPr>
        <w:t>保函编号：</w:t>
      </w:r>
    </w:p>
    <w:p>
      <w:pPr>
        <w:adjustRightInd w:val="0"/>
        <w:snapToGrid w:val="0"/>
        <w:rPr>
          <w:color w:val="auto"/>
          <w:sz w:val="28"/>
          <w:szCs w:val="28"/>
          <w:highlight w:val="none"/>
        </w:rPr>
      </w:pPr>
      <w:r>
        <w:rPr>
          <w:rFonts w:hint="eastAsia"/>
          <w:color w:val="auto"/>
          <w:sz w:val="28"/>
          <w:szCs w:val="28"/>
          <w:highlight w:val="none"/>
        </w:rPr>
        <w:t>致：广东省代建项目管理局</w:t>
      </w:r>
    </w:p>
    <w:p>
      <w:pPr>
        <w:adjustRightInd w:val="0"/>
        <w:snapToGrid w:val="0"/>
        <w:ind w:firstLine="560" w:firstLineChars="200"/>
        <w:rPr>
          <w:color w:val="auto"/>
          <w:sz w:val="28"/>
          <w:szCs w:val="28"/>
          <w:highlight w:val="none"/>
        </w:rPr>
      </w:pPr>
      <w:r>
        <w:rPr>
          <w:rFonts w:hint="eastAsia"/>
          <w:color w:val="auto"/>
          <w:sz w:val="28"/>
          <w:szCs w:val="28"/>
          <w:highlight w:val="none"/>
        </w:rPr>
        <w:t>鉴于</w:t>
      </w:r>
      <w:r>
        <w:rPr>
          <w:rFonts w:hint="eastAsia"/>
          <w:color w:val="auto"/>
          <w:sz w:val="28"/>
          <w:szCs w:val="28"/>
          <w:highlight w:val="none"/>
          <w:u w:val="single"/>
        </w:rPr>
        <w:t>****</w:t>
      </w:r>
      <w:r>
        <w:rPr>
          <w:rFonts w:hint="eastAsia"/>
          <w:color w:val="auto"/>
          <w:sz w:val="28"/>
          <w:szCs w:val="28"/>
          <w:highlight w:val="none"/>
        </w:rPr>
        <w:t>（下称“委托人”）在贵单位的</w:t>
      </w:r>
      <w:r>
        <w:rPr>
          <w:rFonts w:hint="eastAsia"/>
          <w:color w:val="auto"/>
          <w:sz w:val="28"/>
          <w:szCs w:val="28"/>
          <w:highlight w:val="none"/>
          <w:u w:val="single"/>
        </w:rPr>
        <w:t>*****</w:t>
      </w:r>
      <w:r>
        <w:rPr>
          <w:rFonts w:hint="eastAsia"/>
          <w:color w:val="auto"/>
          <w:sz w:val="28"/>
          <w:szCs w:val="28"/>
          <w:highlight w:val="none"/>
        </w:rPr>
        <w:t>项目中标，我行同意为委托人出具履约保函，为委托人履行</w:t>
      </w:r>
      <w:r>
        <w:rPr>
          <w:rFonts w:hint="eastAsia"/>
          <w:color w:val="auto"/>
          <w:sz w:val="28"/>
          <w:szCs w:val="28"/>
          <w:highlight w:val="none"/>
          <w:u w:val="single"/>
        </w:rPr>
        <w:t>****</w:t>
      </w:r>
      <w:r>
        <w:rPr>
          <w:rFonts w:hint="eastAsia"/>
          <w:color w:val="auto"/>
          <w:sz w:val="28"/>
          <w:szCs w:val="28"/>
          <w:highlight w:val="none"/>
        </w:rPr>
        <w:t>合同（以下称“合同”）担保，以使你方得到履约保函的保障。</w:t>
      </w:r>
    </w:p>
    <w:p>
      <w:pPr>
        <w:adjustRightInd w:val="0"/>
        <w:snapToGrid w:val="0"/>
        <w:ind w:firstLine="560" w:firstLineChars="200"/>
        <w:rPr>
          <w:color w:val="auto"/>
          <w:sz w:val="28"/>
          <w:szCs w:val="28"/>
          <w:highlight w:val="none"/>
        </w:rPr>
      </w:pPr>
      <w:r>
        <w:rPr>
          <w:rFonts w:hint="eastAsia"/>
          <w:color w:val="auto"/>
          <w:sz w:val="28"/>
          <w:szCs w:val="28"/>
          <w:highlight w:val="none"/>
        </w:rPr>
        <w:t>一、本保函为见索即付保函。我行保证在收到贵单位于保函担保期间内送达的依本保函约定的索赔文件后，在</w:t>
      </w:r>
      <w:r>
        <w:rPr>
          <w:color w:val="auto"/>
          <w:sz w:val="28"/>
          <w:szCs w:val="28"/>
          <w:highlight w:val="none"/>
        </w:rPr>
        <w:t xml:space="preserve"> 7 </w:t>
      </w:r>
      <w:r>
        <w:rPr>
          <w:rFonts w:hint="eastAsia"/>
          <w:color w:val="auto"/>
          <w:sz w:val="28"/>
          <w:szCs w:val="28"/>
          <w:highlight w:val="none"/>
        </w:rPr>
        <w:t>个工作日内无条件和不可改变地向贵单位支付金额最高不超过人民币（币种）</w:t>
      </w:r>
      <w:r>
        <w:rPr>
          <w:rFonts w:hint="eastAsia"/>
          <w:color w:val="auto"/>
          <w:sz w:val="28"/>
          <w:szCs w:val="28"/>
          <w:highlight w:val="none"/>
          <w:u w:val="single"/>
        </w:rPr>
        <w:t>****</w:t>
      </w:r>
      <w:r>
        <w:rPr>
          <w:rFonts w:hint="eastAsia"/>
          <w:color w:val="auto"/>
          <w:sz w:val="28"/>
          <w:szCs w:val="28"/>
          <w:highlight w:val="none"/>
        </w:rPr>
        <w:t>元（大写）的履约担保金（索赔可分次索赔，累计金额不超过最高金额），并放弃向你方提出任何异议和追索的权利。</w:t>
      </w:r>
    </w:p>
    <w:p>
      <w:pPr>
        <w:adjustRightInd w:val="0"/>
        <w:snapToGrid w:val="0"/>
        <w:ind w:firstLine="560" w:firstLineChars="200"/>
        <w:rPr>
          <w:color w:val="auto"/>
          <w:sz w:val="28"/>
          <w:szCs w:val="28"/>
          <w:highlight w:val="none"/>
        </w:rPr>
      </w:pPr>
      <w:r>
        <w:rPr>
          <w:rFonts w:hint="eastAsia"/>
          <w:color w:val="auto"/>
          <w:sz w:val="28"/>
          <w:szCs w:val="28"/>
          <w:highlight w:val="none"/>
        </w:rPr>
        <w:t>二、贵单位的索赔文件应符合下述条件：</w:t>
      </w:r>
    </w:p>
    <w:p>
      <w:pPr>
        <w:adjustRightInd w:val="0"/>
        <w:snapToGrid w:val="0"/>
        <w:ind w:firstLine="560" w:firstLineChars="200"/>
        <w:rPr>
          <w:color w:val="auto"/>
          <w:sz w:val="28"/>
          <w:szCs w:val="28"/>
          <w:highlight w:val="none"/>
        </w:rPr>
      </w:pPr>
      <w:r>
        <w:rPr>
          <w:rFonts w:hint="eastAsia"/>
          <w:color w:val="auto"/>
          <w:sz w:val="28"/>
          <w:szCs w:val="28"/>
          <w:highlight w:val="none"/>
        </w:rPr>
        <w:t>（一）贵单位法定代表人或其授权代表签字并加盖单位公章；</w:t>
      </w:r>
    </w:p>
    <w:p>
      <w:pPr>
        <w:adjustRightInd w:val="0"/>
        <w:snapToGrid w:val="0"/>
        <w:ind w:firstLine="560" w:firstLineChars="200"/>
        <w:rPr>
          <w:color w:val="auto"/>
          <w:sz w:val="28"/>
          <w:szCs w:val="28"/>
          <w:highlight w:val="none"/>
        </w:rPr>
      </w:pPr>
      <w:r>
        <w:rPr>
          <w:rFonts w:hint="eastAsia"/>
          <w:color w:val="auto"/>
          <w:sz w:val="28"/>
          <w:szCs w:val="28"/>
          <w:highlight w:val="none"/>
        </w:rPr>
        <w:t>（二）在保函担保期间内送达我行；</w:t>
      </w:r>
    </w:p>
    <w:p>
      <w:pPr>
        <w:adjustRightInd w:val="0"/>
        <w:snapToGrid w:val="0"/>
        <w:ind w:firstLine="560" w:firstLineChars="200"/>
        <w:rPr>
          <w:color w:val="auto"/>
          <w:sz w:val="28"/>
          <w:szCs w:val="28"/>
          <w:highlight w:val="none"/>
        </w:rPr>
      </w:pPr>
      <w:r>
        <w:rPr>
          <w:rFonts w:hint="eastAsia"/>
          <w:color w:val="auto"/>
          <w:sz w:val="28"/>
          <w:szCs w:val="28"/>
          <w:highlight w:val="none"/>
        </w:rPr>
        <w:t>（三）明确的索赔金额（不得超过本保函第一条所列之限额）；</w:t>
      </w:r>
    </w:p>
    <w:p>
      <w:pPr>
        <w:adjustRightInd w:val="0"/>
        <w:snapToGrid w:val="0"/>
        <w:ind w:firstLine="560" w:firstLineChars="200"/>
        <w:rPr>
          <w:color w:val="auto"/>
          <w:sz w:val="28"/>
          <w:szCs w:val="28"/>
          <w:highlight w:val="none"/>
        </w:rPr>
      </w:pPr>
      <w:r>
        <w:rPr>
          <w:rFonts w:hint="eastAsia"/>
          <w:color w:val="auto"/>
          <w:sz w:val="28"/>
          <w:szCs w:val="28"/>
          <w:highlight w:val="none"/>
        </w:rPr>
        <w:t>（四）贵单位出具的委托人违约事项说明。</w:t>
      </w:r>
    </w:p>
    <w:p>
      <w:pPr>
        <w:adjustRightInd w:val="0"/>
        <w:snapToGrid w:val="0"/>
        <w:ind w:firstLine="560" w:firstLineChars="200"/>
        <w:rPr>
          <w:color w:val="auto"/>
          <w:sz w:val="28"/>
          <w:szCs w:val="28"/>
          <w:highlight w:val="none"/>
        </w:rPr>
      </w:pPr>
      <w:r>
        <w:rPr>
          <w:rFonts w:hint="eastAsia"/>
          <w:color w:val="auto"/>
          <w:sz w:val="28"/>
          <w:szCs w:val="28"/>
          <w:highlight w:val="none"/>
        </w:rPr>
        <w:t>三、本保函担保期间为 年 月 日至 年 月 日</w:t>
      </w:r>
      <w:r>
        <w:rPr>
          <w:rFonts w:hint="eastAsia"/>
          <w:color w:val="auto"/>
          <w:sz w:val="28"/>
          <w:szCs w:val="28"/>
          <w:highlight w:val="none"/>
          <w:lang w:eastAsia="zh-CN"/>
        </w:rPr>
        <w:t>（</w:t>
      </w:r>
      <w:r>
        <w:rPr>
          <w:rFonts w:hint="eastAsia"/>
          <w:color w:val="auto"/>
          <w:sz w:val="28"/>
          <w:szCs w:val="28"/>
          <w:highlight w:val="none"/>
          <w:lang w:val="en-US" w:eastAsia="zh-CN"/>
        </w:rPr>
        <w:t>首次开履约保函应不少于3年</w:t>
      </w:r>
      <w:r>
        <w:rPr>
          <w:rFonts w:hint="eastAsia"/>
          <w:color w:val="auto"/>
          <w:sz w:val="28"/>
          <w:szCs w:val="28"/>
          <w:highlight w:val="none"/>
          <w:lang w:eastAsia="zh-CN"/>
        </w:rPr>
        <w:t>）</w:t>
      </w:r>
      <w:r>
        <w:rPr>
          <w:rFonts w:hint="eastAsia"/>
          <w:color w:val="auto"/>
          <w:sz w:val="28"/>
          <w:szCs w:val="28"/>
          <w:highlight w:val="none"/>
        </w:rPr>
        <w:t>，除非你方提前终止或解除本保函，本保函于下述任一事项发生之时立即失效，我行在本保函项下的担保义务即刻解除：</w:t>
      </w:r>
    </w:p>
    <w:p>
      <w:pPr>
        <w:adjustRightInd w:val="0"/>
        <w:snapToGrid w:val="0"/>
        <w:ind w:firstLine="560" w:firstLineChars="200"/>
        <w:rPr>
          <w:color w:val="auto"/>
          <w:sz w:val="28"/>
          <w:szCs w:val="28"/>
          <w:highlight w:val="none"/>
        </w:rPr>
      </w:pPr>
      <w:r>
        <w:rPr>
          <w:rFonts w:hint="eastAsia"/>
          <w:color w:val="auto"/>
          <w:sz w:val="28"/>
          <w:szCs w:val="28"/>
          <w:highlight w:val="none"/>
        </w:rPr>
        <w:t>（一）本保函担保期间届满；</w:t>
      </w:r>
    </w:p>
    <w:p>
      <w:pPr>
        <w:adjustRightInd w:val="0"/>
        <w:snapToGrid w:val="0"/>
        <w:ind w:firstLine="560" w:firstLineChars="200"/>
        <w:rPr>
          <w:color w:val="auto"/>
          <w:sz w:val="28"/>
          <w:szCs w:val="28"/>
          <w:highlight w:val="none"/>
        </w:rPr>
      </w:pPr>
      <w:r>
        <w:rPr>
          <w:rFonts w:hint="eastAsia"/>
          <w:color w:val="auto"/>
          <w:sz w:val="28"/>
          <w:szCs w:val="28"/>
          <w:highlight w:val="none"/>
        </w:rPr>
        <w:t>（二）委托人履行了合同项下全部义务；</w:t>
      </w:r>
    </w:p>
    <w:p>
      <w:pPr>
        <w:adjustRightInd w:val="0"/>
        <w:snapToGrid w:val="0"/>
        <w:ind w:firstLine="560" w:firstLineChars="200"/>
        <w:rPr>
          <w:color w:val="auto"/>
          <w:sz w:val="28"/>
          <w:szCs w:val="28"/>
          <w:highlight w:val="none"/>
        </w:rPr>
      </w:pPr>
      <w:r>
        <w:rPr>
          <w:rFonts w:hint="eastAsia"/>
          <w:color w:val="auto"/>
          <w:sz w:val="28"/>
          <w:szCs w:val="28"/>
          <w:highlight w:val="none"/>
        </w:rPr>
        <w:t>（三）我行担保的义务履行完毕。</w:t>
      </w:r>
    </w:p>
    <w:p>
      <w:pPr>
        <w:adjustRightInd w:val="0"/>
        <w:snapToGrid w:val="0"/>
        <w:ind w:firstLine="560" w:firstLineChars="200"/>
        <w:rPr>
          <w:color w:val="auto"/>
          <w:sz w:val="28"/>
          <w:szCs w:val="28"/>
          <w:highlight w:val="none"/>
        </w:rPr>
      </w:pPr>
      <w:r>
        <w:rPr>
          <w:rFonts w:hint="eastAsia"/>
          <w:color w:val="auto"/>
          <w:sz w:val="28"/>
          <w:szCs w:val="28"/>
          <w:highlight w:val="none"/>
        </w:rPr>
        <w:t>四、我行受本保函制约的责任是延续的、独立的和无条件的，合同的任何修改、变更、解释或不可执行都不能改变我行受本保函制约的责任，委托人在合同项下对你方的任何抗辩也不能改变我行在本保函项下的付款责任。若贵单位与委托人协商变更合同，应督促委托人书面告知我行并将变更后的合同送一份给我行备案。</w:t>
      </w:r>
    </w:p>
    <w:p>
      <w:pPr>
        <w:adjustRightInd w:val="0"/>
        <w:snapToGrid w:val="0"/>
        <w:ind w:firstLine="560" w:firstLineChars="200"/>
        <w:rPr>
          <w:color w:val="auto"/>
          <w:sz w:val="28"/>
          <w:szCs w:val="28"/>
          <w:highlight w:val="none"/>
        </w:rPr>
      </w:pPr>
      <w:r>
        <w:rPr>
          <w:rFonts w:hint="eastAsia"/>
          <w:color w:val="auto"/>
          <w:sz w:val="28"/>
          <w:szCs w:val="28"/>
          <w:highlight w:val="none"/>
        </w:rPr>
        <w:t>五、保函失效后请将本保函退回我行注销。无论正本最终退回与否，不影响本保函依上述约定自动失效。</w:t>
      </w:r>
    </w:p>
    <w:p>
      <w:pPr>
        <w:adjustRightInd w:val="0"/>
        <w:snapToGrid w:val="0"/>
        <w:ind w:firstLine="560" w:firstLineChars="200"/>
        <w:rPr>
          <w:color w:val="auto"/>
          <w:sz w:val="28"/>
          <w:szCs w:val="28"/>
          <w:highlight w:val="none"/>
        </w:rPr>
      </w:pPr>
      <w:r>
        <w:rPr>
          <w:rFonts w:hint="eastAsia"/>
          <w:color w:val="auto"/>
          <w:sz w:val="28"/>
          <w:szCs w:val="28"/>
          <w:highlight w:val="none"/>
        </w:rPr>
        <w:t>六、本保函项下的所有权利和义务受中华人民共和国法律管辖和制约，我行在保函项下做出的付款承诺决不反悔。</w:t>
      </w:r>
    </w:p>
    <w:p>
      <w:pPr>
        <w:adjustRightInd w:val="0"/>
        <w:snapToGrid w:val="0"/>
        <w:spacing w:line="320" w:lineRule="exact"/>
        <w:ind w:firstLine="560" w:firstLineChars="200"/>
        <w:rPr>
          <w:color w:val="auto"/>
          <w:sz w:val="28"/>
          <w:szCs w:val="28"/>
          <w:highlight w:val="none"/>
        </w:rPr>
      </w:pPr>
    </w:p>
    <w:p>
      <w:pPr>
        <w:adjustRightInd w:val="0"/>
        <w:snapToGrid w:val="0"/>
        <w:ind w:firstLine="560" w:firstLineChars="200"/>
        <w:rPr>
          <w:rFonts w:ascii="仿宋" w:hAnsi="仿宋" w:eastAsia="仿宋"/>
          <w:color w:val="auto"/>
          <w:sz w:val="28"/>
          <w:szCs w:val="28"/>
          <w:highlight w:val="none"/>
        </w:rPr>
      </w:pPr>
      <w:r>
        <w:rPr>
          <w:rFonts w:hint="eastAsia"/>
          <w:color w:val="auto"/>
          <w:sz w:val="28"/>
          <w:szCs w:val="28"/>
          <w:highlight w:val="none"/>
        </w:rPr>
        <w:t xml:space="preserve">担保银行（公章）：              </w:t>
      </w:r>
      <w:r>
        <w:rPr>
          <w:color w:val="auto"/>
          <w:sz w:val="28"/>
          <w:szCs w:val="28"/>
          <w:highlight w:val="none"/>
        </w:rPr>
        <w:t>负责</w:t>
      </w:r>
      <w:r>
        <w:rPr>
          <w:rFonts w:hint="eastAsia"/>
          <w:color w:val="auto"/>
          <w:sz w:val="28"/>
          <w:szCs w:val="28"/>
          <w:highlight w:val="none"/>
        </w:rPr>
        <w:t>人（签章）：</w:t>
      </w:r>
    </w:p>
    <w:p>
      <w:pPr>
        <w:adjustRightInd w:val="0"/>
        <w:snapToGrid w:val="0"/>
        <w:ind w:firstLine="560" w:firstLineChars="200"/>
        <w:rPr>
          <w:color w:val="auto"/>
          <w:sz w:val="28"/>
          <w:szCs w:val="28"/>
          <w:highlight w:val="none"/>
        </w:rPr>
      </w:pPr>
      <w:r>
        <w:rPr>
          <w:rFonts w:hint="eastAsia"/>
          <w:color w:val="auto"/>
          <w:sz w:val="28"/>
          <w:szCs w:val="28"/>
          <w:highlight w:val="none"/>
        </w:rPr>
        <w:t>单位地址：                     传真：</w:t>
      </w:r>
      <w:r>
        <w:rPr>
          <w:color w:val="auto"/>
          <w:sz w:val="28"/>
          <w:szCs w:val="28"/>
          <w:highlight w:val="none"/>
        </w:rPr>
        <w:t xml:space="preserve"> </w:t>
      </w:r>
    </w:p>
    <w:p>
      <w:pPr>
        <w:adjustRightInd w:val="0"/>
        <w:snapToGrid w:val="0"/>
        <w:ind w:firstLine="560" w:firstLineChars="200"/>
        <w:rPr>
          <w:color w:val="auto"/>
          <w:sz w:val="28"/>
          <w:szCs w:val="28"/>
          <w:highlight w:val="none"/>
        </w:rPr>
      </w:pPr>
      <w:r>
        <w:rPr>
          <w:rFonts w:hint="eastAsia"/>
          <w:color w:val="auto"/>
          <w:sz w:val="28"/>
          <w:szCs w:val="28"/>
          <w:highlight w:val="none"/>
        </w:rPr>
        <w:t>联系人：                       联系电话：</w:t>
      </w:r>
    </w:p>
    <w:p>
      <w:pPr>
        <w:adjustRightInd w:val="0"/>
        <w:snapToGrid w:val="0"/>
        <w:ind w:firstLine="560" w:firstLineChars="200"/>
        <w:rPr>
          <w:color w:val="auto"/>
          <w:highlight w:val="none"/>
        </w:rPr>
      </w:pPr>
      <w:r>
        <w:rPr>
          <w:rFonts w:hint="eastAsia"/>
          <w:color w:val="auto"/>
          <w:sz w:val="28"/>
          <w:szCs w:val="28"/>
          <w:highlight w:val="none"/>
        </w:rPr>
        <w:t>开立日期：     年     月    日</w:t>
      </w:r>
    </w:p>
    <w:p>
      <w:pPr>
        <w:pStyle w:val="4"/>
        <w:ind w:firstLine="480"/>
        <w:rPr>
          <w:color w:val="auto"/>
          <w:highlight w:val="none"/>
          <w:lang w:val="en-US"/>
        </w:rPr>
      </w:pPr>
    </w:p>
    <w:p>
      <w:pPr>
        <w:pStyle w:val="4"/>
        <w:ind w:firstLine="480"/>
        <w:rPr>
          <w:color w:val="auto"/>
          <w:highlight w:val="none"/>
          <w:lang w:val="en-US"/>
        </w:rPr>
      </w:pPr>
    </w:p>
    <w:p>
      <w:pPr>
        <w:adjustRightInd w:val="0"/>
        <w:snapToGrid w:val="0"/>
        <w:spacing w:line="560" w:lineRule="exact"/>
        <w:rPr>
          <w:rFonts w:ascii="华文中宋" w:hAnsi="华文中宋" w:eastAsia="华文中宋" w:cs="华文中宋"/>
          <w:color w:val="auto"/>
          <w:sz w:val="44"/>
          <w:szCs w:val="44"/>
          <w:highlight w:val="none"/>
        </w:rPr>
      </w:pPr>
      <w:r>
        <w:rPr>
          <w:rFonts w:hint="eastAsia"/>
          <w:color w:val="auto"/>
          <w:sz w:val="32"/>
          <w:szCs w:val="32"/>
          <w:highlight w:val="none"/>
        </w:rPr>
        <w:t>附件5</w:t>
      </w:r>
    </w:p>
    <w:p>
      <w:pPr>
        <w:adjustRightInd w:val="0"/>
        <w:spacing w:line="560" w:lineRule="atLeast"/>
        <w:jc w:val="center"/>
        <w:rPr>
          <w:rFonts w:ascii="华文中宋" w:hAnsi="华文中宋" w:eastAsia="华文中宋" w:cs="华文中宋"/>
          <w:color w:val="auto"/>
          <w:sz w:val="44"/>
          <w:szCs w:val="44"/>
          <w:highlight w:val="none"/>
        </w:rPr>
      </w:pPr>
      <w:r>
        <w:rPr>
          <w:rFonts w:hint="eastAsia" w:ascii="华文中宋" w:hAnsi="华文中宋" w:eastAsia="华文中宋" w:cs="华文中宋"/>
          <w:color w:val="auto"/>
          <w:sz w:val="44"/>
          <w:szCs w:val="44"/>
          <w:highlight w:val="none"/>
        </w:rPr>
        <w:t>省属直接管理代建项目监理单位履约</w:t>
      </w:r>
    </w:p>
    <w:p>
      <w:pPr>
        <w:adjustRightInd w:val="0"/>
        <w:spacing w:line="560" w:lineRule="atLeast"/>
        <w:jc w:val="center"/>
        <w:rPr>
          <w:rFonts w:ascii="华文中宋" w:hAnsi="华文中宋" w:eastAsia="华文中宋" w:cs="华文中宋"/>
          <w:color w:val="auto"/>
          <w:sz w:val="44"/>
          <w:szCs w:val="44"/>
          <w:highlight w:val="none"/>
        </w:rPr>
      </w:pPr>
      <w:r>
        <w:rPr>
          <w:rFonts w:hint="eastAsia" w:ascii="华文中宋" w:hAnsi="华文中宋" w:eastAsia="华文中宋" w:cs="华文中宋"/>
          <w:color w:val="auto"/>
          <w:sz w:val="44"/>
          <w:szCs w:val="44"/>
          <w:highlight w:val="none"/>
        </w:rPr>
        <w:t>评价细则</w:t>
      </w:r>
      <w:r>
        <w:rPr>
          <w:rFonts w:hint="eastAsia" w:ascii="华文中宋" w:hAnsi="华文中宋" w:eastAsia="华文中宋" w:cs="华文中宋"/>
          <w:bCs/>
          <w:color w:val="auto"/>
          <w:sz w:val="44"/>
          <w:szCs w:val="44"/>
          <w:highlight w:val="none"/>
        </w:rPr>
        <w:t>（试行）</w:t>
      </w:r>
    </w:p>
    <w:p>
      <w:pPr>
        <w:adjustRightInd w:val="0"/>
        <w:spacing w:line="560" w:lineRule="atLeast"/>
        <w:rPr>
          <w:rFonts w:ascii="黑体" w:hAnsi="黑体" w:eastAsia="黑体"/>
          <w:color w:val="auto"/>
          <w:sz w:val="32"/>
          <w:szCs w:val="32"/>
          <w:highlight w:val="none"/>
        </w:rPr>
      </w:pPr>
    </w:p>
    <w:p>
      <w:pPr>
        <w:adjustRightInd w:val="0"/>
        <w:spacing w:line="560" w:lineRule="atLeast"/>
        <w:jc w:val="center"/>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第一章　总　则</w:t>
      </w:r>
    </w:p>
    <w:p>
      <w:pPr>
        <w:adjustRightInd w:val="0"/>
        <w:spacing w:line="560" w:lineRule="atLeast"/>
        <w:rPr>
          <w:rFonts w:ascii="仿宋" w:hAnsi="仿宋" w:eastAsia="仿宋"/>
          <w:color w:val="auto"/>
          <w:sz w:val="32"/>
          <w:szCs w:val="32"/>
          <w:highlight w:val="none"/>
        </w:rPr>
      </w:pPr>
    </w:p>
    <w:p>
      <w:pPr>
        <w:adjustRightInd w:val="0"/>
        <w:spacing w:line="560" w:lineRule="atLeast"/>
        <w:ind w:firstLine="630"/>
        <w:rPr>
          <w:rFonts w:ascii="仿宋" w:hAnsi="仿宋" w:eastAsia="仿宋"/>
          <w:bCs/>
          <w:color w:val="auto"/>
          <w:sz w:val="32"/>
          <w:szCs w:val="32"/>
          <w:highlight w:val="none"/>
        </w:rPr>
      </w:pPr>
      <w:r>
        <w:rPr>
          <w:rFonts w:hint="eastAsia" w:ascii="仿宋" w:hAnsi="仿宋" w:eastAsia="仿宋"/>
          <w:b/>
          <w:bCs/>
          <w:color w:val="auto"/>
          <w:sz w:val="32"/>
          <w:szCs w:val="32"/>
          <w:highlight w:val="none"/>
        </w:rPr>
        <w:t>第一条</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为进一步增强工程建设项目参建单位的合同意识，维护建设市场秩序，推进省属代建项目工程建设征信体系建设，根据《建筑法》、《建设工程质量管理条例》、《建设工程监理规范》等相关法律法规、规范和《</w:t>
      </w:r>
      <w:r>
        <w:rPr>
          <w:rFonts w:hint="eastAsia" w:ascii="仿宋" w:hAnsi="仿宋" w:eastAsia="仿宋"/>
          <w:bCs/>
          <w:color w:val="auto"/>
          <w:sz w:val="32"/>
          <w:szCs w:val="32"/>
          <w:highlight w:val="none"/>
        </w:rPr>
        <w:t>省代建局直接管理项目合同履约评价管理办法（试行）》</w:t>
      </w:r>
      <w:r>
        <w:rPr>
          <w:rFonts w:hint="eastAsia" w:ascii="仿宋" w:hAnsi="仿宋" w:eastAsia="仿宋"/>
          <w:color w:val="auto"/>
          <w:sz w:val="32"/>
          <w:szCs w:val="32"/>
          <w:highlight w:val="none"/>
        </w:rPr>
        <w:t>制定本细则。</w:t>
      </w:r>
    </w:p>
    <w:p>
      <w:pPr>
        <w:adjustRightInd w:val="0"/>
        <w:spacing w:line="560" w:lineRule="atLeast"/>
        <w:ind w:firstLine="630"/>
        <w:rPr>
          <w:rFonts w:ascii="仿宋" w:hAnsi="仿宋" w:eastAsia="仿宋" w:cs="??_GB2312"/>
          <w:color w:val="auto"/>
          <w:sz w:val="32"/>
          <w:szCs w:val="32"/>
          <w:highlight w:val="none"/>
        </w:rPr>
      </w:pPr>
      <w:r>
        <w:rPr>
          <w:rFonts w:hint="eastAsia" w:ascii="仿宋" w:hAnsi="仿宋" w:eastAsia="仿宋"/>
          <w:b/>
          <w:bCs/>
          <w:color w:val="auto"/>
          <w:sz w:val="32"/>
          <w:szCs w:val="32"/>
          <w:highlight w:val="none"/>
        </w:rPr>
        <w:t>第二条</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本细则所称省属代建项目，是指由省代建项目管理局（以下简称省代建局）直接管理的项目，直接管理模式下，省代建局代表出资人和使用单位</w:t>
      </w:r>
      <w:r>
        <w:rPr>
          <w:rFonts w:ascii="仿宋" w:hAnsi="仿宋" w:eastAsia="仿宋" w:cs="??_GB2312"/>
          <w:color w:val="auto"/>
          <w:sz w:val="32"/>
          <w:szCs w:val="32"/>
          <w:highlight w:val="none"/>
        </w:rPr>
        <w:t>,</w:t>
      </w:r>
      <w:r>
        <w:rPr>
          <w:rFonts w:hint="eastAsia" w:ascii="仿宋" w:hAnsi="仿宋" w:eastAsia="仿宋"/>
          <w:color w:val="auto"/>
          <w:sz w:val="32"/>
          <w:szCs w:val="32"/>
          <w:highlight w:val="none"/>
        </w:rPr>
        <w:t>履行项目建设单位职责。</w:t>
      </w:r>
    </w:p>
    <w:p>
      <w:pPr>
        <w:adjustRightInd w:val="0"/>
        <w:spacing w:line="560" w:lineRule="atLeast"/>
        <w:ind w:firstLine="630"/>
        <w:rPr>
          <w:rFonts w:ascii="仿宋" w:hAnsi="仿宋" w:eastAsia="仿宋"/>
          <w:color w:val="auto"/>
          <w:sz w:val="32"/>
          <w:szCs w:val="32"/>
          <w:highlight w:val="none"/>
        </w:rPr>
      </w:pPr>
      <w:r>
        <w:rPr>
          <w:rFonts w:hint="eastAsia" w:ascii="仿宋" w:hAnsi="仿宋" w:eastAsia="仿宋"/>
          <w:b/>
          <w:bCs/>
          <w:color w:val="auto"/>
          <w:sz w:val="32"/>
          <w:szCs w:val="32"/>
          <w:highlight w:val="none"/>
        </w:rPr>
        <w:t>第三条</w:t>
      </w:r>
      <w:r>
        <w:rPr>
          <w:rFonts w:ascii="仿宋" w:hAnsi="仿宋" w:eastAsia="仿宋" w:cs="??_GB2312"/>
          <w:b/>
          <w:bCs/>
          <w:color w:val="auto"/>
          <w:sz w:val="32"/>
          <w:szCs w:val="32"/>
          <w:highlight w:val="none"/>
        </w:rPr>
        <w:t xml:space="preserve">  </w:t>
      </w:r>
      <w:r>
        <w:rPr>
          <w:rFonts w:hint="eastAsia" w:ascii="仿宋" w:hAnsi="仿宋" w:eastAsia="仿宋"/>
          <w:color w:val="auto"/>
          <w:sz w:val="32"/>
          <w:szCs w:val="32"/>
          <w:highlight w:val="none"/>
        </w:rPr>
        <w:t xml:space="preserve">评价的依据：(1)委托监理协议书;(2)监理中标通知书;(3)监理投标书及其附件；(4)委托监理合同专用条款;(5) 委托监理合同通用条款;(6)工程标准、规范及有关技术文件。 </w:t>
      </w:r>
    </w:p>
    <w:p>
      <w:pPr>
        <w:adjustRightInd w:val="0"/>
        <w:spacing w:line="560" w:lineRule="atLeast"/>
        <w:ind w:firstLine="630"/>
        <w:rPr>
          <w:rFonts w:ascii="仿宋" w:hAnsi="仿宋" w:eastAsia="仿宋" w:cs="仿宋"/>
          <w:color w:val="auto"/>
          <w:sz w:val="32"/>
          <w:szCs w:val="32"/>
          <w:highlight w:val="none"/>
        </w:rPr>
      </w:pPr>
      <w:r>
        <w:rPr>
          <w:rFonts w:hint="eastAsia" w:ascii="仿宋" w:hAnsi="仿宋" w:eastAsia="仿宋"/>
          <w:b/>
          <w:bCs/>
          <w:color w:val="auto"/>
          <w:sz w:val="32"/>
          <w:szCs w:val="32"/>
          <w:highlight w:val="none"/>
        </w:rPr>
        <w:t>第四条</w:t>
      </w:r>
      <w:r>
        <w:rPr>
          <w:rFonts w:ascii="仿宋" w:hAnsi="仿宋" w:eastAsia="仿宋"/>
          <w:b/>
          <w:bCs/>
          <w:color w:val="auto"/>
          <w:sz w:val="32"/>
          <w:szCs w:val="32"/>
          <w:highlight w:val="none"/>
        </w:rPr>
        <w:t xml:space="preserve">  </w:t>
      </w:r>
      <w:r>
        <w:rPr>
          <w:rFonts w:hint="eastAsia" w:ascii="仿宋" w:hAnsi="仿宋" w:eastAsia="仿宋"/>
          <w:color w:val="auto"/>
          <w:sz w:val="32"/>
          <w:szCs w:val="32"/>
          <w:highlight w:val="none"/>
        </w:rPr>
        <w:t>监理单位履约评价实行周期评价，</w:t>
      </w:r>
      <w:r>
        <w:rPr>
          <w:rFonts w:hint="eastAsia" w:ascii="仿宋" w:hAnsi="仿宋" w:eastAsia="仿宋" w:cs="仿宋"/>
          <w:color w:val="auto"/>
          <w:sz w:val="32"/>
          <w:szCs w:val="32"/>
          <w:highlight w:val="none"/>
        </w:rPr>
        <w:t>周期划分为季度履约评价、年度履约评价、最终履约评价。</w:t>
      </w:r>
    </w:p>
    <w:p>
      <w:pPr>
        <w:adjustRightInd w:val="0"/>
        <w:spacing w:line="560" w:lineRule="atLeast"/>
        <w:ind w:firstLine="63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监理单位季度履约评价结果构成：省代建局项目组评价分值+专家组或第三方季度检查分值。省代建局项目组评价分值由项目组长综合项目组成员意见评定，专家组或第三方季度检查分值由省代建局委托专家组或第三方评估单位的季度质量安全检查时评定。</w:t>
      </w:r>
      <w:r>
        <w:rPr>
          <w:color w:val="auto"/>
          <w:highlight w:val="none"/>
        </w:rPr>
        <w:br w:type="page"/>
      </w:r>
    </w:p>
    <w:p>
      <w:pPr>
        <w:adjustRightInd w:val="0"/>
        <w:spacing w:line="560" w:lineRule="atLeast"/>
        <w:ind w:firstLine="630"/>
        <w:jc w:val="center"/>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第二章　履约评价体系内容</w:t>
      </w:r>
    </w:p>
    <w:p>
      <w:pPr>
        <w:adjustRightInd w:val="0"/>
        <w:spacing w:line="560" w:lineRule="atLeast"/>
        <w:rPr>
          <w:rFonts w:ascii="仿宋" w:hAnsi="仿宋" w:eastAsia="仿宋" w:cs="??_GB2312"/>
          <w:color w:val="auto"/>
          <w:sz w:val="32"/>
          <w:szCs w:val="32"/>
          <w:highlight w:val="none"/>
        </w:rPr>
      </w:pPr>
    </w:p>
    <w:p>
      <w:pPr>
        <w:adjustRightInd w:val="0"/>
        <w:spacing w:line="560" w:lineRule="atLeast"/>
        <w:ind w:firstLine="630"/>
        <w:rPr>
          <w:rFonts w:ascii="仿宋" w:hAnsi="仿宋" w:eastAsia="仿宋"/>
          <w:color w:val="auto"/>
          <w:sz w:val="32"/>
          <w:szCs w:val="32"/>
          <w:highlight w:val="none"/>
        </w:rPr>
      </w:pPr>
      <w:r>
        <w:rPr>
          <w:rFonts w:hint="eastAsia" w:ascii="仿宋" w:hAnsi="仿宋" w:eastAsia="仿宋"/>
          <w:b/>
          <w:bCs/>
          <w:color w:val="auto"/>
          <w:sz w:val="32"/>
          <w:szCs w:val="32"/>
          <w:highlight w:val="none"/>
        </w:rPr>
        <w:t>第五条</w:t>
      </w:r>
      <w:r>
        <w:rPr>
          <w:rFonts w:ascii="仿宋" w:hAnsi="仿宋" w:eastAsia="仿宋" w:cs="??_GB2312"/>
          <w:color w:val="auto"/>
          <w:sz w:val="32"/>
          <w:szCs w:val="32"/>
          <w:highlight w:val="none"/>
        </w:rPr>
        <w:t xml:space="preserve">  </w:t>
      </w:r>
      <w:r>
        <w:rPr>
          <w:rFonts w:hint="eastAsia" w:ascii="仿宋" w:hAnsi="仿宋" w:eastAsia="仿宋" w:cs="??_GB2312"/>
          <w:color w:val="auto"/>
          <w:sz w:val="32"/>
          <w:szCs w:val="32"/>
          <w:highlight w:val="none"/>
        </w:rPr>
        <w:t>履约</w:t>
      </w:r>
      <w:r>
        <w:rPr>
          <w:rFonts w:hint="eastAsia" w:ascii="仿宋" w:hAnsi="仿宋" w:eastAsia="仿宋"/>
          <w:bCs/>
          <w:color w:val="auto"/>
          <w:sz w:val="32"/>
          <w:szCs w:val="32"/>
          <w:highlight w:val="none"/>
        </w:rPr>
        <w:t>评价体系包含三部分内容。</w:t>
      </w:r>
    </w:p>
    <w:p>
      <w:pPr>
        <w:adjustRightInd w:val="0"/>
        <w:spacing w:line="560" w:lineRule="atLeast"/>
        <w:ind w:firstLine="640"/>
        <w:rPr>
          <w:rFonts w:ascii="仿宋" w:hAnsi="仿宋" w:eastAsia="仿宋" w:cs="??_GB2312"/>
          <w:color w:val="auto"/>
          <w:sz w:val="32"/>
          <w:szCs w:val="32"/>
          <w:highlight w:val="none"/>
        </w:rPr>
      </w:pPr>
      <w:r>
        <w:rPr>
          <w:rFonts w:hint="eastAsia" w:ascii="仿宋" w:hAnsi="仿宋" w:eastAsia="仿宋"/>
          <w:color w:val="auto"/>
          <w:sz w:val="32"/>
          <w:szCs w:val="32"/>
          <w:highlight w:val="none"/>
        </w:rPr>
        <w:t>（一）</w:t>
      </w:r>
      <w:r>
        <w:rPr>
          <w:rFonts w:hint="eastAsia" w:ascii="仿宋" w:hAnsi="仿宋" w:eastAsia="仿宋"/>
          <w:bCs/>
          <w:color w:val="auto"/>
          <w:sz w:val="32"/>
          <w:szCs w:val="32"/>
          <w:highlight w:val="none"/>
        </w:rPr>
        <w:t>人员配备部分，包括三个评分项，分值18分</w:t>
      </w:r>
      <w:r>
        <w:rPr>
          <w:rFonts w:hint="eastAsia" w:ascii="仿宋" w:hAnsi="仿宋" w:eastAsia="仿宋"/>
          <w:color w:val="auto"/>
          <w:sz w:val="32"/>
          <w:szCs w:val="32"/>
          <w:highlight w:val="none"/>
        </w:rPr>
        <w:t>：1.</w:t>
      </w:r>
      <w:r>
        <w:rPr>
          <w:rFonts w:hint="eastAsia"/>
          <w:color w:val="auto"/>
          <w:highlight w:val="none"/>
        </w:rPr>
        <w:t xml:space="preserve"> </w:t>
      </w:r>
      <w:r>
        <w:rPr>
          <w:rFonts w:hint="eastAsia" w:ascii="仿宋" w:hAnsi="仿宋" w:eastAsia="仿宋"/>
          <w:color w:val="auto"/>
          <w:sz w:val="32"/>
          <w:szCs w:val="32"/>
          <w:highlight w:val="none"/>
        </w:rPr>
        <w:t>人员数量要求; 2.专业配置要求; 3.项目总监要求。</w:t>
      </w:r>
    </w:p>
    <w:p>
      <w:pPr>
        <w:adjustRightInd w:val="0"/>
        <w:spacing w:line="560" w:lineRule="atLeas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（二）履约质量部分，</w:t>
      </w:r>
      <w:r>
        <w:rPr>
          <w:rFonts w:hint="eastAsia" w:ascii="仿宋" w:hAnsi="仿宋" w:eastAsia="仿宋"/>
          <w:bCs/>
          <w:color w:val="auto"/>
          <w:sz w:val="32"/>
          <w:szCs w:val="32"/>
          <w:highlight w:val="none"/>
        </w:rPr>
        <w:t>包括九个评分项，分值70分</w:t>
      </w:r>
      <w:r>
        <w:rPr>
          <w:rFonts w:hint="eastAsia" w:ascii="仿宋" w:hAnsi="仿宋" w:eastAsia="仿宋"/>
          <w:color w:val="auto"/>
          <w:sz w:val="32"/>
          <w:szCs w:val="32"/>
          <w:highlight w:val="none"/>
        </w:rPr>
        <w:t>： 1.施工准备阶段监理； 2.工程质量控制；3.工程投资控制；4.工程变更、工程签证、工程结算价审核；5.进度控制； 6.合同管理； 7.资料管理； 8.协调配合情况； 9.安全管理。</w:t>
      </w:r>
    </w:p>
    <w:p>
      <w:pPr>
        <w:adjustRightInd w:val="0"/>
        <w:spacing w:line="560" w:lineRule="atLeast"/>
        <w:ind w:firstLine="640"/>
        <w:rPr>
          <w:rFonts w:ascii="仿宋" w:hAnsi="仿宋" w:eastAsia="仿宋"/>
          <w:bCs/>
          <w:color w:val="auto"/>
          <w:sz w:val="32"/>
          <w:szCs w:val="32"/>
          <w:highlight w:val="none"/>
        </w:rPr>
      </w:pPr>
      <w:r>
        <w:rPr>
          <w:rFonts w:hint="eastAsia" w:ascii="仿宋" w:hAnsi="仿宋" w:eastAsia="仿宋"/>
          <w:color w:val="auto"/>
          <w:sz w:val="32"/>
          <w:szCs w:val="32"/>
          <w:highlight w:val="none"/>
        </w:rPr>
        <w:t>（三）</w:t>
      </w:r>
      <w:r>
        <w:rPr>
          <w:rFonts w:hint="eastAsia" w:ascii="仿宋" w:hAnsi="仿宋" w:eastAsia="仿宋"/>
          <w:bCs/>
          <w:color w:val="auto"/>
          <w:sz w:val="32"/>
          <w:szCs w:val="32"/>
          <w:highlight w:val="none"/>
        </w:rPr>
        <w:t>诚信和职业道德部分，包括两个评分项，分值12分</w:t>
      </w:r>
      <w:r>
        <w:rPr>
          <w:rFonts w:hint="eastAsia" w:ascii="仿宋" w:hAnsi="仿宋" w:eastAsia="仿宋"/>
          <w:color w:val="auto"/>
          <w:sz w:val="32"/>
          <w:szCs w:val="32"/>
          <w:highlight w:val="none"/>
        </w:rPr>
        <w:t>： 1.</w:t>
      </w:r>
      <w:r>
        <w:rPr>
          <w:rFonts w:hint="eastAsia" w:ascii="仿宋" w:hAnsi="仿宋" w:eastAsia="仿宋"/>
          <w:bCs/>
          <w:color w:val="auto"/>
          <w:sz w:val="32"/>
          <w:szCs w:val="32"/>
          <w:highlight w:val="none"/>
        </w:rPr>
        <w:t>廉洁自律</w:t>
      </w:r>
      <w:r>
        <w:rPr>
          <w:rFonts w:hint="eastAsia" w:ascii="仿宋" w:hAnsi="仿宋" w:eastAsia="仿宋"/>
          <w:color w:val="auto"/>
          <w:sz w:val="32"/>
          <w:szCs w:val="32"/>
          <w:highlight w:val="none"/>
        </w:rPr>
        <w:t>; 2.</w:t>
      </w:r>
      <w:r>
        <w:rPr>
          <w:rFonts w:hint="eastAsia" w:ascii="仿宋" w:hAnsi="仿宋" w:eastAsia="仿宋"/>
          <w:bCs/>
          <w:color w:val="auto"/>
          <w:sz w:val="32"/>
          <w:szCs w:val="32"/>
          <w:highlight w:val="none"/>
        </w:rPr>
        <w:t>诚信</w:t>
      </w:r>
      <w:r>
        <w:rPr>
          <w:rFonts w:hint="eastAsia" w:ascii="仿宋" w:hAnsi="仿宋" w:eastAsia="仿宋"/>
          <w:color w:val="auto"/>
          <w:sz w:val="32"/>
          <w:szCs w:val="32"/>
          <w:highlight w:val="none"/>
        </w:rPr>
        <w:t>。此部分内容建立扣分制度，扣分等级分为15分、30分两挡，根据具体事件严重情形扣分。</w:t>
      </w:r>
    </w:p>
    <w:p>
      <w:pPr>
        <w:adjustRightInd w:val="0"/>
        <w:spacing w:line="560" w:lineRule="atLeast"/>
        <w:jc w:val="center"/>
        <w:rPr>
          <w:rFonts w:ascii="仿宋" w:hAnsi="仿宋" w:eastAsia="仿宋" w:cs="黑体"/>
          <w:color w:val="auto"/>
          <w:sz w:val="32"/>
          <w:szCs w:val="32"/>
          <w:highlight w:val="none"/>
        </w:rPr>
      </w:pPr>
    </w:p>
    <w:p>
      <w:pPr>
        <w:adjustRightInd w:val="0"/>
        <w:spacing w:line="560" w:lineRule="atLeast"/>
        <w:jc w:val="center"/>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第三章　附　则</w:t>
      </w:r>
    </w:p>
    <w:p>
      <w:pPr>
        <w:adjustRightInd w:val="0"/>
        <w:spacing w:line="560" w:lineRule="atLeast"/>
        <w:jc w:val="center"/>
        <w:rPr>
          <w:rFonts w:ascii="仿宋" w:hAnsi="仿宋" w:eastAsia="仿宋" w:cs="黑体"/>
          <w:color w:val="auto"/>
          <w:sz w:val="32"/>
          <w:szCs w:val="32"/>
          <w:highlight w:val="none"/>
        </w:rPr>
      </w:pPr>
    </w:p>
    <w:p>
      <w:pPr>
        <w:adjustRightInd w:val="0"/>
        <w:spacing w:line="560" w:lineRule="atLeast"/>
        <w:ind w:firstLine="630"/>
        <w:rPr>
          <w:rFonts w:ascii="仿宋" w:hAnsi="仿宋" w:eastAsia="仿宋" w:cs="??_GB2312"/>
          <w:color w:val="auto"/>
          <w:sz w:val="32"/>
          <w:szCs w:val="32"/>
          <w:highlight w:val="none"/>
        </w:rPr>
      </w:pPr>
      <w:r>
        <w:rPr>
          <w:rFonts w:hint="eastAsia" w:ascii="仿宋" w:hAnsi="仿宋" w:eastAsia="仿宋"/>
          <w:b/>
          <w:bCs/>
          <w:color w:val="auto"/>
          <w:sz w:val="32"/>
          <w:szCs w:val="32"/>
          <w:highlight w:val="none"/>
        </w:rPr>
        <w:t>第六条</w:t>
      </w:r>
      <w:r>
        <w:rPr>
          <w:rFonts w:ascii="仿宋" w:hAnsi="仿宋" w:eastAsia="仿宋" w:cs="??_GB2312"/>
          <w:color w:val="auto"/>
          <w:sz w:val="32"/>
          <w:szCs w:val="32"/>
          <w:highlight w:val="none"/>
        </w:rPr>
        <w:t xml:space="preserve">  </w:t>
      </w:r>
      <w:r>
        <w:rPr>
          <w:rFonts w:hint="eastAsia" w:ascii="仿宋" w:hAnsi="仿宋" w:eastAsia="仿宋"/>
          <w:color w:val="auto"/>
          <w:sz w:val="32"/>
          <w:szCs w:val="32"/>
          <w:highlight w:val="none"/>
        </w:rPr>
        <w:t>本细则由省代建局负责解释。</w:t>
      </w:r>
    </w:p>
    <w:p>
      <w:pPr>
        <w:adjustRightInd w:val="0"/>
        <w:spacing w:line="560" w:lineRule="atLeast"/>
        <w:ind w:firstLine="630"/>
        <w:rPr>
          <w:rFonts w:ascii="仿宋" w:hAnsi="仿宋" w:eastAsia="仿宋"/>
          <w:color w:val="auto"/>
          <w:sz w:val="32"/>
          <w:szCs w:val="32"/>
          <w:highlight w:val="none"/>
        </w:rPr>
      </w:pPr>
      <w:r>
        <w:rPr>
          <w:rFonts w:hint="eastAsia" w:ascii="仿宋" w:hAnsi="仿宋" w:eastAsia="仿宋"/>
          <w:b/>
          <w:bCs/>
          <w:color w:val="auto"/>
          <w:sz w:val="32"/>
          <w:szCs w:val="32"/>
          <w:highlight w:val="none"/>
        </w:rPr>
        <w:t>第七条</w:t>
      </w:r>
      <w:r>
        <w:rPr>
          <w:rFonts w:ascii="仿宋" w:hAnsi="仿宋" w:eastAsia="仿宋" w:cs="??_GB2312"/>
          <w:color w:val="auto"/>
          <w:sz w:val="32"/>
          <w:szCs w:val="32"/>
          <w:highlight w:val="none"/>
        </w:rPr>
        <w:t xml:space="preserve">  </w:t>
      </w:r>
      <w:r>
        <w:rPr>
          <w:rFonts w:hint="eastAsia" w:ascii="仿宋" w:hAnsi="仿宋" w:eastAsia="仿宋"/>
          <w:color w:val="auto"/>
          <w:sz w:val="32"/>
          <w:szCs w:val="32"/>
          <w:highlight w:val="none"/>
        </w:rPr>
        <w:t>本细则自公布之日起实施，并以合同附件形式纳入新签订的省属代建项目监理合同。</w:t>
      </w:r>
    </w:p>
    <w:p>
      <w:pPr>
        <w:adjustRightInd w:val="0"/>
        <w:spacing w:line="560" w:lineRule="atLeast"/>
        <w:ind w:firstLine="630"/>
        <w:rPr>
          <w:rFonts w:ascii="仿宋" w:hAnsi="仿宋" w:eastAsia="仿宋"/>
          <w:color w:val="auto"/>
          <w:sz w:val="32"/>
          <w:szCs w:val="32"/>
          <w:highlight w:val="none"/>
        </w:rPr>
      </w:pPr>
    </w:p>
    <w:p>
      <w:pPr>
        <w:adjustRightInd w:val="0"/>
        <w:spacing w:line="560" w:lineRule="atLeast"/>
        <w:rPr>
          <w:rFonts w:ascii="仿宋" w:hAnsi="仿宋" w:eastAsia="仿宋"/>
          <w:color w:val="auto"/>
          <w:sz w:val="32"/>
          <w:szCs w:val="32"/>
          <w:highlight w:val="none"/>
        </w:rPr>
      </w:pPr>
    </w:p>
    <w:tbl>
      <w:tblPr>
        <w:tblStyle w:val="17"/>
        <w:tblW w:w="0" w:type="auto"/>
        <w:jc w:val="center"/>
        <w:tblLayout w:type="fixed"/>
        <w:tblCellMar>
          <w:top w:w="0" w:type="dxa"/>
          <w:left w:w="108" w:type="dxa"/>
          <w:bottom w:w="0" w:type="dxa"/>
          <w:right w:w="108" w:type="dxa"/>
        </w:tblCellMar>
      </w:tblPr>
      <w:tblGrid>
        <w:gridCol w:w="437"/>
        <w:gridCol w:w="915"/>
        <w:gridCol w:w="576"/>
        <w:gridCol w:w="7655"/>
        <w:gridCol w:w="645"/>
      </w:tblGrid>
      <w:tr>
        <w:tblPrEx>
          <w:tblCellMar>
            <w:top w:w="0" w:type="dxa"/>
            <w:left w:w="108" w:type="dxa"/>
            <w:bottom w:w="0" w:type="dxa"/>
            <w:right w:w="108" w:type="dxa"/>
          </w:tblCellMar>
        </w:tblPrEx>
        <w:trPr>
          <w:trHeight w:val="840" w:hRule="atLeast"/>
          <w:jc w:val="center"/>
        </w:trPr>
        <w:tc>
          <w:tcPr>
            <w:tcW w:w="10228" w:type="dxa"/>
            <w:gridSpan w:val="5"/>
            <w:noWrap/>
            <w:vAlign w:val="center"/>
          </w:tcPr>
          <w:p>
            <w:pPr>
              <w:widowControl/>
              <w:jc w:val="center"/>
              <w:rPr>
                <w:color w:val="auto"/>
                <w:sz w:val="28"/>
                <w:szCs w:val="28"/>
                <w:highlight w:val="none"/>
              </w:rPr>
            </w:pPr>
            <w:r>
              <w:rPr>
                <w:rFonts w:hint="eastAsia"/>
                <w:color w:val="auto"/>
                <w:sz w:val="28"/>
                <w:szCs w:val="28"/>
                <w:highlight w:val="none"/>
              </w:rPr>
              <w:t>监理单位履约评价细则</w:t>
            </w:r>
          </w:p>
        </w:tc>
      </w:tr>
      <w:tr>
        <w:tblPrEx>
          <w:tblCellMar>
            <w:top w:w="0" w:type="dxa"/>
            <w:left w:w="108" w:type="dxa"/>
            <w:bottom w:w="0" w:type="dxa"/>
            <w:right w:w="108" w:type="dxa"/>
          </w:tblCellMar>
        </w:tblPrEx>
        <w:trPr>
          <w:trHeight w:val="510" w:hRule="atLeast"/>
          <w:jc w:val="center"/>
        </w:trPr>
        <w:tc>
          <w:tcPr>
            <w:tcW w:w="437" w:type="dxa"/>
            <w:tcBorders>
              <w:top w:val="single" w:color="auto" w:sz="8" w:space="0"/>
              <w:left w:val="single" w:color="auto" w:sz="8" w:space="0"/>
              <w:bottom w:val="nil"/>
              <w:right w:val="single" w:color="auto" w:sz="4" w:space="0"/>
            </w:tcBorders>
            <w:vAlign w:val="center"/>
          </w:tcPr>
          <w:p>
            <w:pPr>
              <w:widowControl/>
              <w:jc w:val="center"/>
              <w:rPr>
                <w:color w:val="auto"/>
                <w:sz w:val="18"/>
                <w:szCs w:val="18"/>
                <w:highlight w:val="none"/>
              </w:rPr>
            </w:pPr>
            <w:r>
              <w:rPr>
                <w:rFonts w:hint="eastAsia"/>
                <w:color w:val="auto"/>
                <w:sz w:val="18"/>
                <w:szCs w:val="18"/>
                <w:highlight w:val="none"/>
              </w:rPr>
              <w:t>序号</w:t>
            </w:r>
          </w:p>
        </w:tc>
        <w:tc>
          <w:tcPr>
            <w:tcW w:w="915" w:type="dxa"/>
            <w:tcBorders>
              <w:top w:val="single" w:color="auto" w:sz="8" w:space="0"/>
              <w:left w:val="nil"/>
              <w:bottom w:val="single" w:color="auto" w:sz="4" w:space="0"/>
              <w:right w:val="single" w:color="auto" w:sz="4" w:space="0"/>
            </w:tcBorders>
            <w:vAlign w:val="center"/>
          </w:tcPr>
          <w:p>
            <w:pPr>
              <w:widowControl/>
              <w:jc w:val="center"/>
              <w:rPr>
                <w:color w:val="auto"/>
                <w:sz w:val="18"/>
                <w:szCs w:val="18"/>
                <w:highlight w:val="none"/>
              </w:rPr>
            </w:pPr>
            <w:r>
              <w:rPr>
                <w:rFonts w:hint="eastAsia"/>
                <w:color w:val="auto"/>
                <w:sz w:val="18"/>
                <w:szCs w:val="18"/>
                <w:highlight w:val="none"/>
              </w:rPr>
              <w:t>分 项 内 容</w:t>
            </w:r>
          </w:p>
        </w:tc>
        <w:tc>
          <w:tcPr>
            <w:tcW w:w="576" w:type="dxa"/>
            <w:tcBorders>
              <w:top w:val="single" w:color="auto" w:sz="8" w:space="0"/>
              <w:left w:val="nil"/>
              <w:bottom w:val="single" w:color="auto" w:sz="4" w:space="0"/>
              <w:right w:val="single" w:color="auto" w:sz="4" w:space="0"/>
            </w:tcBorders>
            <w:vAlign w:val="center"/>
          </w:tcPr>
          <w:p>
            <w:pPr>
              <w:widowControl/>
              <w:jc w:val="center"/>
              <w:rPr>
                <w:color w:val="auto"/>
                <w:sz w:val="18"/>
                <w:szCs w:val="18"/>
                <w:highlight w:val="none"/>
              </w:rPr>
            </w:pPr>
            <w:r>
              <w:rPr>
                <w:rFonts w:hint="eastAsia"/>
                <w:color w:val="auto"/>
                <w:sz w:val="18"/>
                <w:szCs w:val="18"/>
                <w:highlight w:val="none"/>
              </w:rPr>
              <w:t>满分分值</w:t>
            </w:r>
          </w:p>
        </w:tc>
        <w:tc>
          <w:tcPr>
            <w:tcW w:w="7655" w:type="dxa"/>
            <w:tcBorders>
              <w:top w:val="single" w:color="auto" w:sz="8" w:space="0"/>
              <w:left w:val="nil"/>
              <w:bottom w:val="single" w:color="auto" w:sz="4" w:space="0"/>
              <w:right w:val="single" w:color="auto" w:sz="4" w:space="0"/>
            </w:tcBorders>
            <w:vAlign w:val="center"/>
          </w:tcPr>
          <w:p>
            <w:pPr>
              <w:widowControl/>
              <w:jc w:val="center"/>
              <w:rPr>
                <w:color w:val="auto"/>
                <w:sz w:val="18"/>
                <w:szCs w:val="18"/>
                <w:highlight w:val="none"/>
              </w:rPr>
            </w:pPr>
            <w:r>
              <w:rPr>
                <w:rFonts w:hint="eastAsia"/>
                <w:color w:val="auto"/>
                <w:sz w:val="18"/>
                <w:szCs w:val="18"/>
                <w:highlight w:val="none"/>
              </w:rPr>
              <w:t>评     价     标     准</w:t>
            </w:r>
          </w:p>
        </w:tc>
        <w:tc>
          <w:tcPr>
            <w:tcW w:w="645" w:type="dxa"/>
            <w:tcBorders>
              <w:top w:val="single" w:color="auto" w:sz="4" w:space="0"/>
              <w:left w:val="nil"/>
              <w:bottom w:val="single" w:color="auto" w:sz="4" w:space="0"/>
              <w:right w:val="single" w:color="auto" w:sz="4" w:space="0"/>
            </w:tcBorders>
            <w:noWrap/>
            <w:vAlign w:val="center"/>
          </w:tcPr>
          <w:p>
            <w:pPr>
              <w:widowControl/>
              <w:jc w:val="center"/>
              <w:rPr>
                <w:color w:val="auto"/>
                <w:sz w:val="18"/>
                <w:szCs w:val="18"/>
                <w:highlight w:val="none"/>
              </w:rPr>
            </w:pPr>
            <w:r>
              <w:rPr>
                <w:rFonts w:hint="eastAsia"/>
                <w:color w:val="auto"/>
                <w:sz w:val="18"/>
                <w:szCs w:val="18"/>
                <w:highlight w:val="none"/>
              </w:rPr>
              <w:t>得分</w:t>
            </w:r>
          </w:p>
        </w:tc>
      </w:tr>
      <w:tr>
        <w:tblPrEx>
          <w:tblCellMar>
            <w:top w:w="0" w:type="dxa"/>
            <w:left w:w="108" w:type="dxa"/>
            <w:bottom w:w="0" w:type="dxa"/>
            <w:right w:w="108" w:type="dxa"/>
          </w:tblCellMar>
        </w:tblPrEx>
        <w:trPr>
          <w:trHeight w:val="630" w:hRule="atLeast"/>
          <w:jc w:val="center"/>
        </w:trPr>
        <w:tc>
          <w:tcPr>
            <w:tcW w:w="437"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黑体" w:eastAsia="黑体"/>
                <w:b/>
                <w:bCs/>
                <w:color w:val="auto"/>
                <w:highlight w:val="none"/>
              </w:rPr>
            </w:pPr>
            <w:r>
              <w:rPr>
                <w:rFonts w:hint="eastAsia" w:ascii="黑体" w:eastAsia="黑体"/>
                <w:b/>
                <w:bCs/>
                <w:color w:val="auto"/>
                <w:highlight w:val="none"/>
              </w:rPr>
              <w:t>一</w:t>
            </w:r>
          </w:p>
        </w:tc>
        <w:tc>
          <w:tcPr>
            <w:tcW w:w="915" w:type="dxa"/>
            <w:tcBorders>
              <w:top w:val="nil"/>
              <w:left w:val="nil"/>
              <w:bottom w:val="single" w:color="auto" w:sz="4" w:space="0"/>
              <w:right w:val="single" w:color="auto" w:sz="4" w:space="0"/>
            </w:tcBorders>
            <w:vAlign w:val="center"/>
          </w:tcPr>
          <w:p>
            <w:pPr>
              <w:widowControl/>
              <w:rPr>
                <w:rFonts w:ascii="黑体" w:eastAsia="黑体"/>
                <w:b/>
                <w:bCs/>
                <w:color w:val="auto"/>
                <w:highlight w:val="none"/>
              </w:rPr>
            </w:pPr>
            <w:r>
              <w:rPr>
                <w:rFonts w:hint="eastAsia" w:ascii="黑体" w:eastAsia="黑体"/>
                <w:b/>
                <w:bCs/>
                <w:color w:val="auto"/>
                <w:highlight w:val="none"/>
              </w:rPr>
              <w:t>人员</w:t>
            </w:r>
          </w:p>
          <w:p>
            <w:pPr>
              <w:widowControl/>
              <w:rPr>
                <w:rFonts w:ascii="黑体" w:eastAsia="黑体"/>
                <w:b/>
                <w:bCs/>
                <w:color w:val="auto"/>
                <w:highlight w:val="none"/>
              </w:rPr>
            </w:pPr>
            <w:r>
              <w:rPr>
                <w:rFonts w:hint="eastAsia" w:ascii="黑体" w:eastAsia="黑体"/>
                <w:b/>
                <w:bCs/>
                <w:color w:val="auto"/>
                <w:highlight w:val="none"/>
              </w:rPr>
              <w:t>配备</w:t>
            </w:r>
          </w:p>
        </w:tc>
        <w:tc>
          <w:tcPr>
            <w:tcW w:w="576" w:type="dxa"/>
            <w:tcBorders>
              <w:top w:val="nil"/>
              <w:left w:val="nil"/>
              <w:bottom w:val="single" w:color="auto" w:sz="4" w:space="0"/>
              <w:right w:val="single" w:color="auto" w:sz="4" w:space="0"/>
            </w:tcBorders>
            <w:noWrap/>
            <w:vAlign w:val="center"/>
          </w:tcPr>
          <w:p>
            <w:pPr>
              <w:widowControl/>
              <w:jc w:val="center"/>
              <w:rPr>
                <w:rFonts w:ascii="黑体" w:eastAsia="黑体"/>
                <w:b/>
                <w:bCs/>
                <w:color w:val="auto"/>
                <w:highlight w:val="none"/>
              </w:rPr>
            </w:pPr>
            <w:r>
              <w:rPr>
                <w:rFonts w:hint="eastAsia" w:ascii="黑体" w:eastAsia="黑体"/>
                <w:b/>
                <w:bCs/>
                <w:color w:val="auto"/>
                <w:highlight w:val="none"/>
              </w:rPr>
              <w:t>18</w:t>
            </w:r>
          </w:p>
        </w:tc>
        <w:tc>
          <w:tcPr>
            <w:tcW w:w="7655" w:type="dxa"/>
            <w:tcBorders>
              <w:top w:val="nil"/>
              <w:left w:val="nil"/>
              <w:bottom w:val="single" w:color="auto" w:sz="4" w:space="0"/>
              <w:right w:val="single" w:color="auto" w:sz="4" w:space="0"/>
            </w:tcBorders>
            <w:vAlign w:val="center"/>
          </w:tcPr>
          <w:p>
            <w:pPr>
              <w:widowControl/>
              <w:rPr>
                <w:rFonts w:ascii="黑体" w:eastAsia="黑体"/>
                <w:b/>
                <w:bCs/>
                <w:color w:val="auto"/>
                <w:sz w:val="24"/>
                <w:szCs w:val="24"/>
                <w:highlight w:val="none"/>
              </w:rPr>
            </w:pPr>
            <w:r>
              <w:rPr>
                <w:rFonts w:hint="eastAsia" w:ascii="黑体" w:eastAsia="黑体"/>
                <w:b/>
                <w:bCs/>
                <w:color w:val="auto"/>
                <w:sz w:val="24"/>
                <w:szCs w:val="24"/>
                <w:highlight w:val="none"/>
              </w:rPr>
              <w:t>　</w:t>
            </w:r>
          </w:p>
        </w:tc>
        <w:tc>
          <w:tcPr>
            <w:tcW w:w="645" w:type="dxa"/>
            <w:tcBorders>
              <w:top w:val="nil"/>
              <w:left w:val="nil"/>
              <w:bottom w:val="single" w:color="auto" w:sz="4" w:space="0"/>
              <w:right w:val="single" w:color="auto" w:sz="4" w:space="0"/>
            </w:tcBorders>
            <w:noWrap/>
            <w:vAlign w:val="center"/>
          </w:tcPr>
          <w:p>
            <w:pPr>
              <w:widowControl/>
              <w:rPr>
                <w:rFonts w:ascii="黑体" w:eastAsia="黑体"/>
                <w:b/>
                <w:bCs/>
                <w:color w:val="auto"/>
                <w:sz w:val="24"/>
                <w:szCs w:val="24"/>
                <w:highlight w:val="none"/>
              </w:rPr>
            </w:pPr>
            <w:r>
              <w:rPr>
                <w:rFonts w:hint="eastAsia" w:ascii="黑体" w:eastAsia="黑体"/>
                <w:b/>
                <w:bCs/>
                <w:color w:val="auto"/>
                <w:sz w:val="24"/>
                <w:szCs w:val="24"/>
                <w:highlight w:val="none"/>
              </w:rPr>
              <w:t>　</w:t>
            </w:r>
          </w:p>
        </w:tc>
      </w:tr>
      <w:tr>
        <w:tblPrEx>
          <w:tblCellMar>
            <w:top w:w="0" w:type="dxa"/>
            <w:left w:w="108" w:type="dxa"/>
            <w:bottom w:w="0" w:type="dxa"/>
            <w:right w:w="108" w:type="dxa"/>
          </w:tblCellMar>
        </w:tblPrEx>
        <w:trPr>
          <w:trHeight w:val="1380" w:hRule="atLeast"/>
          <w:jc w:val="center"/>
        </w:trPr>
        <w:tc>
          <w:tcPr>
            <w:tcW w:w="437" w:type="dxa"/>
            <w:tcBorders>
              <w:top w:val="nil"/>
              <w:left w:val="single" w:color="auto" w:sz="8" w:space="0"/>
              <w:bottom w:val="single" w:color="auto" w:sz="4" w:space="0"/>
              <w:right w:val="single" w:color="auto" w:sz="4" w:space="0"/>
            </w:tcBorders>
            <w:noWrap/>
            <w:vAlign w:val="center"/>
          </w:tcPr>
          <w:p>
            <w:pPr>
              <w:widowControl/>
              <w:jc w:val="center"/>
              <w:rPr>
                <w:color w:val="auto"/>
                <w:sz w:val="18"/>
                <w:szCs w:val="18"/>
                <w:highlight w:val="none"/>
              </w:rPr>
            </w:pPr>
            <w:r>
              <w:rPr>
                <w:rFonts w:hint="eastAsia"/>
                <w:color w:val="auto"/>
                <w:sz w:val="18"/>
                <w:szCs w:val="18"/>
                <w:highlight w:val="none"/>
              </w:rPr>
              <w:t>1</w:t>
            </w:r>
          </w:p>
        </w:tc>
        <w:tc>
          <w:tcPr>
            <w:tcW w:w="915" w:type="dxa"/>
            <w:tcBorders>
              <w:top w:val="nil"/>
              <w:left w:val="nil"/>
              <w:bottom w:val="single" w:color="auto" w:sz="4" w:space="0"/>
              <w:right w:val="single" w:color="auto" w:sz="4" w:space="0"/>
            </w:tcBorders>
            <w:vAlign w:val="center"/>
          </w:tcPr>
          <w:p>
            <w:pPr>
              <w:widowControl/>
              <w:jc w:val="center"/>
              <w:rPr>
                <w:color w:val="auto"/>
                <w:sz w:val="18"/>
                <w:szCs w:val="18"/>
                <w:highlight w:val="none"/>
              </w:rPr>
            </w:pPr>
            <w:r>
              <w:rPr>
                <w:rFonts w:hint="eastAsia"/>
                <w:color w:val="auto"/>
                <w:sz w:val="18"/>
                <w:szCs w:val="18"/>
                <w:highlight w:val="none"/>
              </w:rPr>
              <w:t>人员</w:t>
            </w:r>
          </w:p>
          <w:p>
            <w:pPr>
              <w:widowControl/>
              <w:jc w:val="center"/>
              <w:rPr>
                <w:color w:val="auto"/>
                <w:sz w:val="18"/>
                <w:szCs w:val="18"/>
                <w:highlight w:val="none"/>
              </w:rPr>
            </w:pPr>
            <w:r>
              <w:rPr>
                <w:rFonts w:hint="eastAsia"/>
                <w:color w:val="auto"/>
                <w:sz w:val="18"/>
                <w:szCs w:val="18"/>
                <w:highlight w:val="none"/>
              </w:rPr>
              <w:t>数量</w:t>
            </w:r>
          </w:p>
          <w:p>
            <w:pPr>
              <w:widowControl/>
              <w:jc w:val="center"/>
              <w:rPr>
                <w:color w:val="auto"/>
                <w:sz w:val="18"/>
                <w:szCs w:val="18"/>
                <w:highlight w:val="none"/>
              </w:rPr>
            </w:pPr>
            <w:r>
              <w:rPr>
                <w:rFonts w:hint="eastAsia"/>
                <w:color w:val="auto"/>
                <w:sz w:val="18"/>
                <w:szCs w:val="18"/>
                <w:highlight w:val="none"/>
              </w:rPr>
              <w:t>要求</w:t>
            </w:r>
          </w:p>
        </w:tc>
        <w:tc>
          <w:tcPr>
            <w:tcW w:w="576" w:type="dxa"/>
            <w:tcBorders>
              <w:top w:val="nil"/>
              <w:left w:val="nil"/>
              <w:bottom w:val="single" w:color="auto" w:sz="4" w:space="0"/>
              <w:right w:val="single" w:color="auto" w:sz="4" w:space="0"/>
            </w:tcBorders>
            <w:noWrap/>
            <w:vAlign w:val="center"/>
          </w:tcPr>
          <w:p>
            <w:pPr>
              <w:widowControl/>
              <w:jc w:val="center"/>
              <w:rPr>
                <w:color w:val="auto"/>
                <w:sz w:val="18"/>
                <w:szCs w:val="18"/>
                <w:highlight w:val="none"/>
              </w:rPr>
            </w:pPr>
            <w:r>
              <w:rPr>
                <w:rFonts w:hint="eastAsia"/>
                <w:color w:val="auto"/>
                <w:sz w:val="18"/>
                <w:szCs w:val="18"/>
                <w:highlight w:val="none"/>
              </w:rPr>
              <w:t>4</w:t>
            </w:r>
          </w:p>
        </w:tc>
        <w:tc>
          <w:tcPr>
            <w:tcW w:w="7655" w:type="dxa"/>
            <w:tcBorders>
              <w:top w:val="nil"/>
              <w:left w:val="nil"/>
              <w:bottom w:val="single" w:color="auto" w:sz="4" w:space="0"/>
              <w:right w:val="single" w:color="auto" w:sz="4" w:space="0"/>
            </w:tcBorders>
            <w:vAlign w:val="center"/>
          </w:tcPr>
          <w:p>
            <w:pPr>
              <w:widowControl/>
              <w:rPr>
                <w:color w:val="auto"/>
                <w:sz w:val="18"/>
                <w:szCs w:val="18"/>
                <w:highlight w:val="none"/>
              </w:rPr>
            </w:pPr>
            <w:r>
              <w:rPr>
                <w:rFonts w:hint="eastAsia"/>
                <w:color w:val="auto"/>
                <w:sz w:val="18"/>
                <w:szCs w:val="18"/>
                <w:highlight w:val="none"/>
              </w:rPr>
              <w:t>良好 4 分：配备监理人员的数量满足合同及监理工作的实际要求并能及时到位，项目部主要负责人与投标文件保持一致；                                                                                                      合格 2 分：配备监理人员的数量基本满足合同及监理工作的实际要求并能到位，人员调整得到建设单位的认可；                                                                        不合格 0 分：配备监理人员的数量不满足合同及监理工作的实际要求。</w:t>
            </w:r>
          </w:p>
        </w:tc>
        <w:tc>
          <w:tcPr>
            <w:tcW w:w="645" w:type="dxa"/>
            <w:tcBorders>
              <w:top w:val="nil"/>
              <w:left w:val="nil"/>
              <w:bottom w:val="single" w:color="auto" w:sz="4" w:space="0"/>
              <w:right w:val="single" w:color="auto" w:sz="4" w:space="0"/>
            </w:tcBorders>
            <w:noWrap/>
            <w:vAlign w:val="center"/>
          </w:tcPr>
          <w:p>
            <w:pPr>
              <w:widowControl/>
              <w:rPr>
                <w:color w:val="auto"/>
                <w:sz w:val="18"/>
                <w:szCs w:val="18"/>
                <w:highlight w:val="none"/>
              </w:rPr>
            </w:pPr>
            <w:r>
              <w:rPr>
                <w:rFonts w:hint="eastAsia"/>
                <w:color w:val="auto"/>
                <w:sz w:val="18"/>
                <w:szCs w:val="18"/>
                <w:highlight w:val="none"/>
              </w:rPr>
              <w:t>　</w:t>
            </w:r>
          </w:p>
        </w:tc>
      </w:tr>
      <w:tr>
        <w:tblPrEx>
          <w:tblCellMar>
            <w:top w:w="0" w:type="dxa"/>
            <w:left w:w="108" w:type="dxa"/>
            <w:bottom w:w="0" w:type="dxa"/>
            <w:right w:w="108" w:type="dxa"/>
          </w:tblCellMar>
        </w:tblPrEx>
        <w:trPr>
          <w:trHeight w:val="945" w:hRule="atLeast"/>
          <w:jc w:val="center"/>
        </w:trPr>
        <w:tc>
          <w:tcPr>
            <w:tcW w:w="437"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sz w:val="18"/>
                <w:szCs w:val="18"/>
                <w:highlight w:val="none"/>
              </w:rPr>
            </w:pPr>
            <w:r>
              <w:rPr>
                <w:rFonts w:hint="eastAsia"/>
                <w:color w:val="auto"/>
                <w:sz w:val="18"/>
                <w:szCs w:val="18"/>
                <w:highlight w:val="none"/>
              </w:rPr>
              <w:t>2</w:t>
            </w:r>
          </w:p>
        </w:tc>
        <w:tc>
          <w:tcPr>
            <w:tcW w:w="915" w:type="dxa"/>
            <w:tcBorders>
              <w:top w:val="single" w:color="auto" w:sz="4" w:space="0"/>
              <w:left w:val="nil"/>
              <w:bottom w:val="single" w:color="auto" w:sz="4" w:space="0"/>
              <w:right w:val="single" w:color="auto" w:sz="4" w:space="0"/>
            </w:tcBorders>
            <w:vAlign w:val="center"/>
          </w:tcPr>
          <w:p>
            <w:pPr>
              <w:widowControl/>
              <w:jc w:val="center"/>
              <w:rPr>
                <w:color w:val="auto"/>
                <w:sz w:val="18"/>
                <w:szCs w:val="18"/>
                <w:highlight w:val="none"/>
              </w:rPr>
            </w:pPr>
            <w:r>
              <w:rPr>
                <w:rFonts w:hint="eastAsia"/>
                <w:color w:val="auto"/>
                <w:sz w:val="18"/>
                <w:szCs w:val="18"/>
                <w:highlight w:val="none"/>
              </w:rPr>
              <w:t>专业</w:t>
            </w:r>
          </w:p>
          <w:p>
            <w:pPr>
              <w:widowControl/>
              <w:jc w:val="center"/>
              <w:rPr>
                <w:color w:val="auto"/>
                <w:sz w:val="18"/>
                <w:szCs w:val="18"/>
                <w:highlight w:val="none"/>
              </w:rPr>
            </w:pPr>
            <w:r>
              <w:rPr>
                <w:rFonts w:hint="eastAsia"/>
                <w:color w:val="auto"/>
                <w:sz w:val="18"/>
                <w:szCs w:val="18"/>
                <w:highlight w:val="none"/>
              </w:rPr>
              <w:t>配置</w:t>
            </w:r>
          </w:p>
          <w:p>
            <w:pPr>
              <w:widowControl/>
              <w:jc w:val="center"/>
              <w:rPr>
                <w:color w:val="auto"/>
                <w:sz w:val="18"/>
                <w:szCs w:val="18"/>
                <w:highlight w:val="none"/>
              </w:rPr>
            </w:pPr>
            <w:r>
              <w:rPr>
                <w:rFonts w:hint="eastAsia"/>
                <w:color w:val="auto"/>
                <w:sz w:val="18"/>
                <w:szCs w:val="18"/>
                <w:highlight w:val="none"/>
              </w:rPr>
              <w:t>要求</w:t>
            </w:r>
          </w:p>
        </w:tc>
        <w:tc>
          <w:tcPr>
            <w:tcW w:w="576" w:type="dxa"/>
            <w:tcBorders>
              <w:top w:val="single" w:color="auto" w:sz="4" w:space="0"/>
              <w:left w:val="nil"/>
              <w:bottom w:val="single" w:color="auto" w:sz="4" w:space="0"/>
              <w:right w:val="single" w:color="auto" w:sz="4" w:space="0"/>
            </w:tcBorders>
            <w:noWrap/>
            <w:vAlign w:val="center"/>
          </w:tcPr>
          <w:p>
            <w:pPr>
              <w:widowControl/>
              <w:jc w:val="center"/>
              <w:rPr>
                <w:color w:val="auto"/>
                <w:sz w:val="18"/>
                <w:szCs w:val="18"/>
                <w:highlight w:val="none"/>
              </w:rPr>
            </w:pPr>
            <w:r>
              <w:rPr>
                <w:rFonts w:hint="eastAsia"/>
                <w:color w:val="auto"/>
                <w:sz w:val="18"/>
                <w:szCs w:val="18"/>
                <w:highlight w:val="none"/>
              </w:rPr>
              <w:t>6</w:t>
            </w:r>
          </w:p>
        </w:tc>
        <w:tc>
          <w:tcPr>
            <w:tcW w:w="7655" w:type="dxa"/>
            <w:tcBorders>
              <w:top w:val="single" w:color="auto" w:sz="4" w:space="0"/>
              <w:left w:val="nil"/>
              <w:bottom w:val="single" w:color="auto" w:sz="4" w:space="0"/>
              <w:right w:val="single" w:color="auto" w:sz="4" w:space="0"/>
            </w:tcBorders>
            <w:vAlign w:val="center"/>
          </w:tcPr>
          <w:p>
            <w:pPr>
              <w:widowControl/>
              <w:rPr>
                <w:rFonts w:hint="eastAsia" w:eastAsia="宋体"/>
                <w:color w:val="auto"/>
                <w:sz w:val="18"/>
                <w:szCs w:val="18"/>
                <w:highlight w:val="none"/>
                <w:lang w:eastAsia="zh-CN"/>
              </w:rPr>
            </w:pPr>
            <w:r>
              <w:rPr>
                <w:rFonts w:hint="eastAsia"/>
                <w:color w:val="auto"/>
                <w:sz w:val="18"/>
                <w:szCs w:val="18"/>
                <w:highlight w:val="none"/>
              </w:rPr>
              <w:t>良好 6 分：配备的监理人员的专业满足监理合同要求，各专业人员保持稳定并与投标文件保持一致；</w:t>
            </w:r>
          </w:p>
          <w:p>
            <w:pPr>
              <w:widowControl/>
              <w:rPr>
                <w:color w:val="auto"/>
                <w:sz w:val="18"/>
                <w:szCs w:val="18"/>
                <w:highlight w:val="none"/>
              </w:rPr>
            </w:pPr>
            <w:r>
              <w:rPr>
                <w:rFonts w:hint="eastAsia"/>
                <w:color w:val="auto"/>
                <w:sz w:val="18"/>
                <w:szCs w:val="18"/>
                <w:highlight w:val="none"/>
              </w:rPr>
              <w:t>合格 4 分：配备的监理人员的专业基本满足监理合同要求，各专业人员保持基本稳定并与投标文件保持基本一致；                                                                                                                                                                                                              不合格 0 分：配备的监理人员专业不满足监理合同要求，各专业人员调换频繁且与投标文件保持一致。</w:t>
            </w:r>
          </w:p>
        </w:tc>
        <w:tc>
          <w:tcPr>
            <w:tcW w:w="645" w:type="dxa"/>
            <w:tcBorders>
              <w:top w:val="single" w:color="auto" w:sz="4" w:space="0"/>
              <w:left w:val="nil"/>
              <w:bottom w:val="single" w:color="auto" w:sz="4" w:space="0"/>
              <w:right w:val="single" w:color="auto" w:sz="4" w:space="0"/>
            </w:tcBorders>
            <w:noWrap/>
            <w:vAlign w:val="center"/>
          </w:tcPr>
          <w:p>
            <w:pPr>
              <w:widowControl/>
              <w:rPr>
                <w:color w:val="auto"/>
                <w:sz w:val="18"/>
                <w:szCs w:val="18"/>
                <w:highlight w:val="none"/>
              </w:rPr>
            </w:pPr>
            <w:r>
              <w:rPr>
                <w:rFonts w:hint="eastAsia"/>
                <w:color w:val="auto"/>
                <w:sz w:val="18"/>
                <w:szCs w:val="18"/>
                <w:highlight w:val="none"/>
              </w:rPr>
              <w:t>　</w:t>
            </w:r>
          </w:p>
        </w:tc>
      </w:tr>
      <w:tr>
        <w:tblPrEx>
          <w:tblCellMar>
            <w:top w:w="0" w:type="dxa"/>
            <w:left w:w="108" w:type="dxa"/>
            <w:bottom w:w="0" w:type="dxa"/>
            <w:right w:w="108" w:type="dxa"/>
          </w:tblCellMar>
        </w:tblPrEx>
        <w:trPr>
          <w:trHeight w:val="1345" w:hRule="atLeast"/>
          <w:jc w:val="center"/>
        </w:trPr>
        <w:tc>
          <w:tcPr>
            <w:tcW w:w="437" w:type="dxa"/>
            <w:tcBorders>
              <w:top w:val="nil"/>
              <w:left w:val="single" w:color="auto" w:sz="8" w:space="0"/>
              <w:bottom w:val="single" w:color="auto" w:sz="4" w:space="0"/>
              <w:right w:val="single" w:color="auto" w:sz="4" w:space="0"/>
            </w:tcBorders>
            <w:noWrap/>
            <w:vAlign w:val="center"/>
          </w:tcPr>
          <w:p>
            <w:pPr>
              <w:widowControl/>
              <w:jc w:val="center"/>
              <w:rPr>
                <w:color w:val="auto"/>
                <w:sz w:val="18"/>
                <w:szCs w:val="18"/>
                <w:highlight w:val="none"/>
              </w:rPr>
            </w:pPr>
            <w:r>
              <w:rPr>
                <w:rFonts w:hint="eastAsia"/>
                <w:color w:val="auto"/>
                <w:sz w:val="18"/>
                <w:szCs w:val="18"/>
                <w:highlight w:val="none"/>
              </w:rPr>
              <w:t>3</w:t>
            </w:r>
          </w:p>
        </w:tc>
        <w:tc>
          <w:tcPr>
            <w:tcW w:w="915" w:type="dxa"/>
            <w:tcBorders>
              <w:top w:val="nil"/>
              <w:left w:val="nil"/>
              <w:bottom w:val="single" w:color="auto" w:sz="4" w:space="0"/>
              <w:right w:val="single" w:color="auto" w:sz="4" w:space="0"/>
            </w:tcBorders>
            <w:vAlign w:val="center"/>
          </w:tcPr>
          <w:p>
            <w:pPr>
              <w:widowControl/>
              <w:jc w:val="center"/>
              <w:rPr>
                <w:color w:val="auto"/>
                <w:sz w:val="18"/>
                <w:szCs w:val="18"/>
                <w:highlight w:val="none"/>
              </w:rPr>
            </w:pPr>
            <w:r>
              <w:rPr>
                <w:rFonts w:hint="eastAsia"/>
                <w:color w:val="auto"/>
                <w:sz w:val="18"/>
                <w:szCs w:val="18"/>
                <w:highlight w:val="none"/>
              </w:rPr>
              <w:t>项目</w:t>
            </w:r>
          </w:p>
          <w:p>
            <w:pPr>
              <w:widowControl/>
              <w:jc w:val="center"/>
              <w:rPr>
                <w:color w:val="auto"/>
                <w:sz w:val="18"/>
                <w:szCs w:val="18"/>
                <w:highlight w:val="none"/>
              </w:rPr>
            </w:pPr>
            <w:r>
              <w:rPr>
                <w:rFonts w:hint="eastAsia"/>
                <w:color w:val="auto"/>
                <w:sz w:val="18"/>
                <w:szCs w:val="18"/>
                <w:highlight w:val="none"/>
              </w:rPr>
              <w:t>总监</w:t>
            </w:r>
          </w:p>
          <w:p>
            <w:pPr>
              <w:widowControl/>
              <w:jc w:val="center"/>
              <w:rPr>
                <w:color w:val="auto"/>
                <w:sz w:val="18"/>
                <w:szCs w:val="18"/>
                <w:highlight w:val="none"/>
              </w:rPr>
            </w:pPr>
            <w:r>
              <w:rPr>
                <w:rFonts w:hint="eastAsia"/>
                <w:color w:val="auto"/>
                <w:sz w:val="18"/>
                <w:szCs w:val="18"/>
                <w:highlight w:val="none"/>
              </w:rPr>
              <w:t>要求</w:t>
            </w:r>
          </w:p>
        </w:tc>
        <w:tc>
          <w:tcPr>
            <w:tcW w:w="576" w:type="dxa"/>
            <w:tcBorders>
              <w:top w:val="nil"/>
              <w:left w:val="nil"/>
              <w:bottom w:val="single" w:color="auto" w:sz="4" w:space="0"/>
              <w:right w:val="single" w:color="auto" w:sz="4" w:space="0"/>
            </w:tcBorders>
            <w:noWrap/>
            <w:vAlign w:val="center"/>
          </w:tcPr>
          <w:p>
            <w:pPr>
              <w:widowControl/>
              <w:jc w:val="center"/>
              <w:rPr>
                <w:color w:val="auto"/>
                <w:sz w:val="18"/>
                <w:szCs w:val="18"/>
                <w:highlight w:val="none"/>
              </w:rPr>
            </w:pPr>
            <w:r>
              <w:rPr>
                <w:rFonts w:hint="eastAsia"/>
                <w:color w:val="auto"/>
                <w:sz w:val="18"/>
                <w:szCs w:val="18"/>
                <w:highlight w:val="none"/>
              </w:rPr>
              <w:t>8</w:t>
            </w:r>
          </w:p>
        </w:tc>
        <w:tc>
          <w:tcPr>
            <w:tcW w:w="7655" w:type="dxa"/>
            <w:tcBorders>
              <w:top w:val="nil"/>
              <w:left w:val="nil"/>
              <w:bottom w:val="single" w:color="auto" w:sz="4" w:space="0"/>
              <w:right w:val="single" w:color="auto" w:sz="4" w:space="0"/>
            </w:tcBorders>
            <w:vAlign w:val="center"/>
          </w:tcPr>
          <w:p>
            <w:pPr>
              <w:widowControl/>
              <w:rPr>
                <w:rFonts w:hint="eastAsia" w:eastAsia="宋体"/>
                <w:color w:val="auto"/>
                <w:sz w:val="18"/>
                <w:szCs w:val="18"/>
                <w:highlight w:val="none"/>
                <w:lang w:eastAsia="zh-CN"/>
              </w:rPr>
            </w:pPr>
            <w:r>
              <w:rPr>
                <w:rFonts w:hint="eastAsia"/>
                <w:color w:val="auto"/>
                <w:sz w:val="18"/>
                <w:szCs w:val="18"/>
                <w:highlight w:val="none"/>
              </w:rPr>
              <w:t>良好 8 分：项目总监常驻现场且该总监具有高度责任心、良好的组织协调能力和专业的业务水平；</w:t>
            </w:r>
          </w:p>
          <w:p>
            <w:pPr>
              <w:widowControl/>
              <w:rPr>
                <w:rFonts w:hint="eastAsia" w:eastAsia="宋体"/>
                <w:color w:val="auto"/>
                <w:sz w:val="18"/>
                <w:szCs w:val="18"/>
                <w:highlight w:val="none"/>
                <w:lang w:eastAsia="zh-CN"/>
              </w:rPr>
            </w:pPr>
            <w:r>
              <w:rPr>
                <w:rFonts w:hint="eastAsia"/>
                <w:color w:val="auto"/>
                <w:sz w:val="18"/>
                <w:szCs w:val="18"/>
                <w:highlight w:val="none"/>
              </w:rPr>
              <w:t xml:space="preserve">合格 5 分：项目总监基本常驻现场且该总监具有责任心、具有一定组织协调能力和专业的业务水平；                                                              </w:t>
            </w:r>
          </w:p>
          <w:p>
            <w:pPr>
              <w:widowControl/>
              <w:rPr>
                <w:color w:val="auto"/>
                <w:sz w:val="18"/>
                <w:szCs w:val="18"/>
                <w:highlight w:val="none"/>
              </w:rPr>
            </w:pPr>
            <w:r>
              <w:rPr>
                <w:rFonts w:hint="eastAsia"/>
                <w:color w:val="auto"/>
                <w:sz w:val="18"/>
                <w:szCs w:val="18"/>
                <w:highlight w:val="none"/>
              </w:rPr>
              <w:t>不合格 0 分：项目总监未常驻现场或该总监无责任心、组织协调能力和专业的业务水平差。</w:t>
            </w:r>
          </w:p>
        </w:tc>
        <w:tc>
          <w:tcPr>
            <w:tcW w:w="645" w:type="dxa"/>
            <w:tcBorders>
              <w:top w:val="nil"/>
              <w:left w:val="nil"/>
              <w:bottom w:val="single" w:color="auto" w:sz="4" w:space="0"/>
              <w:right w:val="single" w:color="auto" w:sz="4" w:space="0"/>
            </w:tcBorders>
            <w:noWrap/>
            <w:vAlign w:val="center"/>
          </w:tcPr>
          <w:p>
            <w:pPr>
              <w:widowControl/>
              <w:rPr>
                <w:color w:val="auto"/>
                <w:sz w:val="18"/>
                <w:szCs w:val="18"/>
                <w:highlight w:val="none"/>
              </w:rPr>
            </w:pPr>
            <w:r>
              <w:rPr>
                <w:rFonts w:hint="eastAsia"/>
                <w:color w:val="auto"/>
                <w:sz w:val="18"/>
                <w:szCs w:val="18"/>
                <w:highlight w:val="none"/>
              </w:rPr>
              <w:t>　</w:t>
            </w:r>
          </w:p>
        </w:tc>
      </w:tr>
      <w:tr>
        <w:tblPrEx>
          <w:tblCellMar>
            <w:top w:w="0" w:type="dxa"/>
            <w:left w:w="108" w:type="dxa"/>
            <w:bottom w:w="0" w:type="dxa"/>
            <w:right w:w="108" w:type="dxa"/>
          </w:tblCellMar>
        </w:tblPrEx>
        <w:trPr>
          <w:trHeight w:val="738" w:hRule="atLeast"/>
          <w:jc w:val="center"/>
        </w:trPr>
        <w:tc>
          <w:tcPr>
            <w:tcW w:w="437" w:type="dxa"/>
            <w:tcBorders>
              <w:top w:val="nil"/>
              <w:left w:val="single" w:color="auto" w:sz="8" w:space="0"/>
              <w:bottom w:val="single" w:color="auto" w:sz="4" w:space="0"/>
              <w:right w:val="single" w:color="auto" w:sz="4" w:space="0"/>
            </w:tcBorders>
            <w:noWrap/>
            <w:vAlign w:val="center"/>
          </w:tcPr>
          <w:p>
            <w:pPr>
              <w:widowControl/>
              <w:jc w:val="center"/>
              <w:rPr>
                <w:rFonts w:ascii="黑体" w:eastAsia="黑体"/>
                <w:b/>
                <w:bCs/>
                <w:color w:val="auto"/>
                <w:highlight w:val="none"/>
              </w:rPr>
            </w:pPr>
            <w:r>
              <w:rPr>
                <w:rFonts w:hint="eastAsia" w:ascii="黑体" w:eastAsia="黑体"/>
                <w:b/>
                <w:bCs/>
                <w:color w:val="auto"/>
                <w:highlight w:val="none"/>
              </w:rPr>
              <w:t>二</w:t>
            </w:r>
          </w:p>
        </w:tc>
        <w:tc>
          <w:tcPr>
            <w:tcW w:w="915" w:type="dxa"/>
            <w:tcBorders>
              <w:top w:val="nil"/>
              <w:left w:val="nil"/>
              <w:bottom w:val="single" w:color="auto" w:sz="4" w:space="0"/>
              <w:right w:val="single" w:color="auto" w:sz="4" w:space="0"/>
            </w:tcBorders>
            <w:vAlign w:val="center"/>
          </w:tcPr>
          <w:p>
            <w:pPr>
              <w:widowControl/>
              <w:jc w:val="center"/>
              <w:rPr>
                <w:rFonts w:ascii="黑体" w:eastAsia="黑体"/>
                <w:b/>
                <w:bCs/>
                <w:color w:val="auto"/>
                <w:highlight w:val="none"/>
              </w:rPr>
            </w:pPr>
            <w:r>
              <w:rPr>
                <w:rFonts w:hint="eastAsia" w:ascii="黑体" w:eastAsia="黑体"/>
                <w:b/>
                <w:bCs/>
                <w:color w:val="auto"/>
                <w:highlight w:val="none"/>
              </w:rPr>
              <w:t>履约</w:t>
            </w:r>
          </w:p>
          <w:p>
            <w:pPr>
              <w:widowControl/>
              <w:jc w:val="center"/>
              <w:rPr>
                <w:rFonts w:ascii="黑体" w:eastAsia="黑体"/>
                <w:b/>
                <w:bCs/>
                <w:color w:val="auto"/>
                <w:highlight w:val="none"/>
              </w:rPr>
            </w:pPr>
            <w:r>
              <w:rPr>
                <w:rFonts w:hint="eastAsia" w:ascii="黑体" w:eastAsia="黑体"/>
                <w:b/>
                <w:bCs/>
                <w:color w:val="auto"/>
                <w:highlight w:val="none"/>
              </w:rPr>
              <w:t>质量</w:t>
            </w:r>
          </w:p>
        </w:tc>
        <w:tc>
          <w:tcPr>
            <w:tcW w:w="576" w:type="dxa"/>
            <w:tcBorders>
              <w:top w:val="nil"/>
              <w:left w:val="nil"/>
              <w:bottom w:val="single" w:color="auto" w:sz="4" w:space="0"/>
              <w:right w:val="single" w:color="auto" w:sz="4" w:space="0"/>
            </w:tcBorders>
            <w:noWrap/>
            <w:vAlign w:val="center"/>
          </w:tcPr>
          <w:p>
            <w:pPr>
              <w:widowControl/>
              <w:jc w:val="center"/>
              <w:rPr>
                <w:rFonts w:ascii="黑体" w:eastAsia="黑体"/>
                <w:b/>
                <w:bCs/>
                <w:color w:val="auto"/>
                <w:highlight w:val="none"/>
              </w:rPr>
            </w:pPr>
            <w:r>
              <w:rPr>
                <w:rFonts w:hint="eastAsia" w:ascii="黑体" w:eastAsia="黑体"/>
                <w:b/>
                <w:bCs/>
                <w:color w:val="auto"/>
                <w:highlight w:val="none"/>
              </w:rPr>
              <w:t>70</w:t>
            </w:r>
          </w:p>
        </w:tc>
        <w:tc>
          <w:tcPr>
            <w:tcW w:w="7655" w:type="dxa"/>
            <w:tcBorders>
              <w:top w:val="nil"/>
              <w:left w:val="nil"/>
              <w:bottom w:val="single" w:color="auto" w:sz="4" w:space="0"/>
              <w:right w:val="single" w:color="auto" w:sz="4" w:space="0"/>
            </w:tcBorders>
            <w:vAlign w:val="center"/>
          </w:tcPr>
          <w:p>
            <w:pPr>
              <w:widowControl/>
              <w:rPr>
                <w:rFonts w:ascii="黑体" w:eastAsia="黑体"/>
                <w:b/>
                <w:bCs/>
                <w:color w:val="auto"/>
                <w:sz w:val="24"/>
                <w:szCs w:val="24"/>
                <w:highlight w:val="none"/>
              </w:rPr>
            </w:pPr>
            <w:r>
              <w:rPr>
                <w:rFonts w:hint="eastAsia" w:ascii="黑体" w:eastAsia="黑体"/>
                <w:b/>
                <w:bCs/>
                <w:color w:val="auto"/>
                <w:sz w:val="24"/>
                <w:szCs w:val="24"/>
                <w:highlight w:val="none"/>
              </w:rPr>
              <w:t>　</w:t>
            </w:r>
          </w:p>
        </w:tc>
        <w:tc>
          <w:tcPr>
            <w:tcW w:w="645" w:type="dxa"/>
            <w:tcBorders>
              <w:top w:val="nil"/>
              <w:left w:val="nil"/>
              <w:bottom w:val="single" w:color="auto" w:sz="4" w:space="0"/>
              <w:right w:val="single" w:color="auto" w:sz="4" w:space="0"/>
            </w:tcBorders>
            <w:noWrap/>
            <w:vAlign w:val="center"/>
          </w:tcPr>
          <w:p>
            <w:pPr>
              <w:widowControl/>
              <w:rPr>
                <w:rFonts w:ascii="黑体" w:eastAsia="黑体"/>
                <w:b/>
                <w:bCs/>
                <w:color w:val="auto"/>
                <w:sz w:val="24"/>
                <w:szCs w:val="24"/>
                <w:highlight w:val="none"/>
              </w:rPr>
            </w:pPr>
            <w:r>
              <w:rPr>
                <w:rFonts w:hint="eastAsia" w:ascii="黑体" w:eastAsia="黑体"/>
                <w:b/>
                <w:bCs/>
                <w:color w:val="auto"/>
                <w:sz w:val="24"/>
                <w:szCs w:val="24"/>
                <w:highlight w:val="none"/>
              </w:rPr>
              <w:t>　</w:t>
            </w:r>
          </w:p>
        </w:tc>
      </w:tr>
      <w:tr>
        <w:tblPrEx>
          <w:tblCellMar>
            <w:top w:w="0" w:type="dxa"/>
            <w:left w:w="108" w:type="dxa"/>
            <w:bottom w:w="0" w:type="dxa"/>
            <w:right w:w="108" w:type="dxa"/>
          </w:tblCellMar>
        </w:tblPrEx>
        <w:trPr>
          <w:trHeight w:val="922" w:hRule="atLeast"/>
          <w:jc w:val="center"/>
        </w:trPr>
        <w:tc>
          <w:tcPr>
            <w:tcW w:w="437" w:type="dxa"/>
            <w:tcBorders>
              <w:top w:val="nil"/>
              <w:left w:val="single" w:color="auto" w:sz="8" w:space="0"/>
              <w:bottom w:val="single" w:color="auto" w:sz="4" w:space="0"/>
              <w:right w:val="single" w:color="auto" w:sz="4" w:space="0"/>
            </w:tcBorders>
            <w:noWrap/>
            <w:vAlign w:val="center"/>
          </w:tcPr>
          <w:p>
            <w:pPr>
              <w:widowControl/>
              <w:jc w:val="center"/>
              <w:rPr>
                <w:color w:val="auto"/>
                <w:sz w:val="18"/>
                <w:szCs w:val="18"/>
                <w:highlight w:val="none"/>
              </w:rPr>
            </w:pPr>
            <w:r>
              <w:rPr>
                <w:rFonts w:hint="eastAsia"/>
                <w:color w:val="auto"/>
                <w:sz w:val="18"/>
                <w:szCs w:val="18"/>
                <w:highlight w:val="none"/>
              </w:rPr>
              <w:t>4</w:t>
            </w:r>
          </w:p>
        </w:tc>
        <w:tc>
          <w:tcPr>
            <w:tcW w:w="915" w:type="dxa"/>
            <w:tcBorders>
              <w:top w:val="nil"/>
              <w:left w:val="nil"/>
              <w:bottom w:val="single" w:color="auto" w:sz="4" w:space="0"/>
              <w:right w:val="single" w:color="auto" w:sz="4" w:space="0"/>
            </w:tcBorders>
            <w:vAlign w:val="center"/>
          </w:tcPr>
          <w:p>
            <w:pPr>
              <w:widowControl/>
              <w:jc w:val="center"/>
              <w:rPr>
                <w:color w:val="auto"/>
                <w:sz w:val="18"/>
                <w:szCs w:val="18"/>
                <w:highlight w:val="none"/>
              </w:rPr>
            </w:pPr>
            <w:r>
              <w:rPr>
                <w:rFonts w:hint="eastAsia"/>
                <w:color w:val="auto"/>
                <w:sz w:val="18"/>
                <w:szCs w:val="18"/>
                <w:highlight w:val="none"/>
              </w:rPr>
              <w:t>施工准备阶段监理</w:t>
            </w:r>
          </w:p>
        </w:tc>
        <w:tc>
          <w:tcPr>
            <w:tcW w:w="576" w:type="dxa"/>
            <w:tcBorders>
              <w:top w:val="nil"/>
              <w:left w:val="nil"/>
              <w:bottom w:val="single" w:color="auto" w:sz="4" w:space="0"/>
              <w:right w:val="single" w:color="auto" w:sz="4" w:space="0"/>
            </w:tcBorders>
            <w:noWrap/>
            <w:vAlign w:val="center"/>
          </w:tcPr>
          <w:p>
            <w:pPr>
              <w:widowControl/>
              <w:jc w:val="center"/>
              <w:rPr>
                <w:color w:val="auto"/>
                <w:sz w:val="18"/>
                <w:szCs w:val="18"/>
                <w:highlight w:val="none"/>
              </w:rPr>
            </w:pPr>
            <w:r>
              <w:rPr>
                <w:rFonts w:hint="eastAsia"/>
                <w:color w:val="auto"/>
                <w:sz w:val="18"/>
                <w:szCs w:val="18"/>
                <w:highlight w:val="none"/>
              </w:rPr>
              <w:t>6</w:t>
            </w:r>
          </w:p>
        </w:tc>
        <w:tc>
          <w:tcPr>
            <w:tcW w:w="7655" w:type="dxa"/>
            <w:tcBorders>
              <w:top w:val="nil"/>
              <w:left w:val="nil"/>
              <w:bottom w:val="single" w:color="auto" w:sz="4" w:space="0"/>
              <w:right w:val="single" w:color="auto" w:sz="4" w:space="0"/>
            </w:tcBorders>
            <w:vAlign w:val="center"/>
          </w:tcPr>
          <w:p>
            <w:pPr>
              <w:widowControl/>
              <w:rPr>
                <w:color w:val="auto"/>
                <w:sz w:val="18"/>
                <w:szCs w:val="18"/>
                <w:highlight w:val="none"/>
              </w:rPr>
            </w:pPr>
            <w:r>
              <w:rPr>
                <w:rFonts w:hint="eastAsia"/>
                <w:color w:val="auto"/>
                <w:sz w:val="18"/>
                <w:szCs w:val="18"/>
                <w:highlight w:val="none"/>
              </w:rPr>
              <w:t>良好6分：能够认真主动地完成监理合同约定的施工准备阶段各项监理工作；                   合格4分：能够完成监理合同约定的施工准备阶段各项监理工作；                           不合格0分：不能够完成监理合同约定的施工准备阶段各项监理工作。</w:t>
            </w:r>
          </w:p>
        </w:tc>
        <w:tc>
          <w:tcPr>
            <w:tcW w:w="645" w:type="dxa"/>
            <w:tcBorders>
              <w:top w:val="nil"/>
              <w:left w:val="nil"/>
              <w:bottom w:val="single" w:color="auto" w:sz="4" w:space="0"/>
              <w:right w:val="single" w:color="auto" w:sz="4" w:space="0"/>
            </w:tcBorders>
            <w:noWrap/>
            <w:vAlign w:val="center"/>
          </w:tcPr>
          <w:p>
            <w:pPr>
              <w:widowControl/>
              <w:rPr>
                <w:color w:val="auto"/>
                <w:sz w:val="18"/>
                <w:szCs w:val="18"/>
                <w:highlight w:val="none"/>
              </w:rPr>
            </w:pPr>
            <w:r>
              <w:rPr>
                <w:rFonts w:hint="eastAsia"/>
                <w:color w:val="auto"/>
                <w:sz w:val="18"/>
                <w:szCs w:val="18"/>
                <w:highlight w:val="none"/>
              </w:rPr>
              <w:t>　</w:t>
            </w:r>
          </w:p>
        </w:tc>
      </w:tr>
      <w:tr>
        <w:tblPrEx>
          <w:tblCellMar>
            <w:top w:w="0" w:type="dxa"/>
            <w:left w:w="108" w:type="dxa"/>
            <w:bottom w:w="0" w:type="dxa"/>
            <w:right w:w="108" w:type="dxa"/>
          </w:tblCellMar>
        </w:tblPrEx>
        <w:trPr>
          <w:trHeight w:val="2356" w:hRule="atLeast"/>
          <w:jc w:val="center"/>
        </w:trPr>
        <w:tc>
          <w:tcPr>
            <w:tcW w:w="437" w:type="dxa"/>
            <w:tcBorders>
              <w:top w:val="nil"/>
              <w:left w:val="single" w:color="auto" w:sz="8" w:space="0"/>
              <w:bottom w:val="single" w:color="auto" w:sz="4" w:space="0"/>
              <w:right w:val="single" w:color="auto" w:sz="4" w:space="0"/>
            </w:tcBorders>
            <w:noWrap/>
            <w:vAlign w:val="center"/>
          </w:tcPr>
          <w:p>
            <w:pPr>
              <w:widowControl/>
              <w:jc w:val="center"/>
              <w:rPr>
                <w:color w:val="auto"/>
                <w:sz w:val="18"/>
                <w:szCs w:val="18"/>
                <w:highlight w:val="none"/>
              </w:rPr>
            </w:pPr>
            <w:r>
              <w:rPr>
                <w:rFonts w:hint="eastAsia"/>
                <w:color w:val="auto"/>
                <w:sz w:val="18"/>
                <w:szCs w:val="18"/>
                <w:highlight w:val="none"/>
              </w:rPr>
              <w:t>5</w:t>
            </w:r>
          </w:p>
        </w:tc>
        <w:tc>
          <w:tcPr>
            <w:tcW w:w="915" w:type="dxa"/>
            <w:tcBorders>
              <w:top w:val="nil"/>
              <w:left w:val="nil"/>
              <w:bottom w:val="single" w:color="auto" w:sz="4" w:space="0"/>
              <w:right w:val="single" w:color="auto" w:sz="4" w:space="0"/>
            </w:tcBorders>
            <w:vAlign w:val="center"/>
          </w:tcPr>
          <w:p>
            <w:pPr>
              <w:widowControl/>
              <w:jc w:val="center"/>
              <w:rPr>
                <w:color w:val="auto"/>
                <w:sz w:val="18"/>
                <w:szCs w:val="18"/>
                <w:highlight w:val="none"/>
              </w:rPr>
            </w:pPr>
            <w:r>
              <w:rPr>
                <w:rFonts w:hint="eastAsia"/>
                <w:color w:val="auto"/>
                <w:sz w:val="18"/>
                <w:szCs w:val="18"/>
                <w:highlight w:val="none"/>
              </w:rPr>
              <w:t>安全</w:t>
            </w:r>
          </w:p>
          <w:p>
            <w:pPr>
              <w:widowControl/>
              <w:jc w:val="center"/>
              <w:rPr>
                <w:color w:val="auto"/>
                <w:sz w:val="18"/>
                <w:szCs w:val="18"/>
                <w:highlight w:val="none"/>
              </w:rPr>
            </w:pPr>
            <w:r>
              <w:rPr>
                <w:rFonts w:hint="eastAsia"/>
                <w:color w:val="auto"/>
                <w:sz w:val="18"/>
                <w:szCs w:val="18"/>
                <w:highlight w:val="none"/>
              </w:rPr>
              <w:t>管理</w:t>
            </w:r>
          </w:p>
        </w:tc>
        <w:tc>
          <w:tcPr>
            <w:tcW w:w="576" w:type="dxa"/>
            <w:tcBorders>
              <w:top w:val="nil"/>
              <w:left w:val="nil"/>
              <w:bottom w:val="single" w:color="auto" w:sz="4" w:space="0"/>
              <w:right w:val="single" w:color="auto" w:sz="4" w:space="0"/>
            </w:tcBorders>
            <w:noWrap/>
            <w:vAlign w:val="center"/>
          </w:tcPr>
          <w:p>
            <w:pPr>
              <w:widowControl/>
              <w:jc w:val="center"/>
              <w:rPr>
                <w:color w:val="auto"/>
                <w:sz w:val="18"/>
                <w:szCs w:val="18"/>
                <w:highlight w:val="none"/>
              </w:rPr>
            </w:pPr>
            <w:r>
              <w:rPr>
                <w:rFonts w:hint="eastAsia"/>
                <w:color w:val="auto"/>
                <w:sz w:val="18"/>
                <w:szCs w:val="18"/>
                <w:highlight w:val="none"/>
              </w:rPr>
              <w:t>10</w:t>
            </w:r>
          </w:p>
        </w:tc>
        <w:tc>
          <w:tcPr>
            <w:tcW w:w="7655" w:type="dxa"/>
            <w:tcBorders>
              <w:top w:val="nil"/>
              <w:left w:val="nil"/>
              <w:bottom w:val="single" w:color="auto" w:sz="4" w:space="0"/>
              <w:right w:val="single" w:color="auto" w:sz="4" w:space="0"/>
            </w:tcBorders>
            <w:vAlign w:val="center"/>
          </w:tcPr>
          <w:p>
            <w:pPr>
              <w:widowControl/>
              <w:rPr>
                <w:rFonts w:hint="eastAsia" w:eastAsia="宋体"/>
                <w:color w:val="auto"/>
                <w:sz w:val="18"/>
                <w:szCs w:val="18"/>
                <w:highlight w:val="none"/>
                <w:lang w:eastAsia="zh-CN"/>
              </w:rPr>
            </w:pPr>
            <w:r>
              <w:rPr>
                <w:rFonts w:hint="eastAsia"/>
                <w:color w:val="auto"/>
                <w:sz w:val="18"/>
                <w:szCs w:val="18"/>
                <w:highlight w:val="none"/>
              </w:rPr>
              <w:t xml:space="preserve">良好 8 分：能够严格地依照有关法律、法规对工程安全实施监理并承担监理责任；对危险性较大分部分项工程，编制安全监理方法和控制要点；能监督施工企业按照施工组织设计中的安全技术措施和安全专项施工方案组织施工，及时制止违规施工作业；                                                    </w:t>
            </w:r>
          </w:p>
          <w:p>
            <w:pPr>
              <w:widowControl/>
              <w:rPr>
                <w:rFonts w:hint="eastAsia" w:eastAsia="宋体"/>
                <w:color w:val="auto"/>
                <w:sz w:val="18"/>
                <w:szCs w:val="18"/>
                <w:highlight w:val="none"/>
                <w:lang w:eastAsia="zh-CN"/>
              </w:rPr>
            </w:pPr>
            <w:r>
              <w:rPr>
                <w:rFonts w:hint="eastAsia"/>
                <w:color w:val="auto"/>
                <w:sz w:val="18"/>
                <w:szCs w:val="18"/>
                <w:highlight w:val="none"/>
              </w:rPr>
              <w:t xml:space="preserve">合格 5 分：基本能够依照有关法律、法规对工程安全实施监理并承担监理责任；对危险性较大分部分项工程，编制安全监理方法和控制要点；基本能监督施工企业按照施工组织设计中的安全技术措施和安全专项施工方案组织施工，制止违规施工作业；                                                                                                       </w:t>
            </w:r>
          </w:p>
          <w:p>
            <w:pPr>
              <w:widowControl/>
              <w:rPr>
                <w:color w:val="auto"/>
                <w:sz w:val="18"/>
                <w:szCs w:val="18"/>
                <w:highlight w:val="none"/>
              </w:rPr>
            </w:pPr>
            <w:r>
              <w:rPr>
                <w:rFonts w:hint="eastAsia"/>
                <w:color w:val="auto"/>
                <w:sz w:val="18"/>
                <w:szCs w:val="18"/>
                <w:highlight w:val="none"/>
              </w:rPr>
              <w:t xml:space="preserve">不合格 0 分：不能够依照有关法律、法规对工程安全实施监理并承担监理责任；对危险性较大分部分项工程，未编制安全监理方法和控制要点；未能监督施工企业按照施工组织设计中的安全技术措施和安全专项施工方案组织施工，未及时制止违规施工作业。                           </w:t>
            </w:r>
          </w:p>
        </w:tc>
        <w:tc>
          <w:tcPr>
            <w:tcW w:w="645" w:type="dxa"/>
            <w:tcBorders>
              <w:top w:val="nil"/>
              <w:left w:val="nil"/>
              <w:bottom w:val="single" w:color="auto" w:sz="4" w:space="0"/>
              <w:right w:val="single" w:color="auto" w:sz="4" w:space="0"/>
            </w:tcBorders>
            <w:noWrap/>
            <w:vAlign w:val="center"/>
          </w:tcPr>
          <w:p>
            <w:pPr>
              <w:widowControl/>
              <w:rPr>
                <w:color w:val="auto"/>
                <w:sz w:val="18"/>
                <w:szCs w:val="18"/>
                <w:highlight w:val="none"/>
              </w:rPr>
            </w:pPr>
          </w:p>
        </w:tc>
      </w:tr>
      <w:tr>
        <w:tblPrEx>
          <w:tblCellMar>
            <w:top w:w="0" w:type="dxa"/>
            <w:left w:w="108" w:type="dxa"/>
            <w:bottom w:w="0" w:type="dxa"/>
            <w:right w:w="108" w:type="dxa"/>
          </w:tblCellMar>
        </w:tblPrEx>
        <w:trPr>
          <w:trHeight w:val="2277" w:hRule="atLeast"/>
          <w:jc w:val="center"/>
        </w:trPr>
        <w:tc>
          <w:tcPr>
            <w:tcW w:w="437" w:type="dxa"/>
            <w:tcBorders>
              <w:top w:val="nil"/>
              <w:left w:val="single" w:color="auto" w:sz="8" w:space="0"/>
              <w:bottom w:val="single" w:color="auto" w:sz="4" w:space="0"/>
              <w:right w:val="single" w:color="auto" w:sz="4" w:space="0"/>
            </w:tcBorders>
            <w:noWrap/>
            <w:vAlign w:val="center"/>
          </w:tcPr>
          <w:p>
            <w:pPr>
              <w:widowControl/>
              <w:jc w:val="center"/>
              <w:rPr>
                <w:color w:val="auto"/>
                <w:sz w:val="18"/>
                <w:szCs w:val="18"/>
                <w:highlight w:val="none"/>
              </w:rPr>
            </w:pPr>
            <w:r>
              <w:rPr>
                <w:rFonts w:hint="eastAsia"/>
                <w:color w:val="auto"/>
                <w:sz w:val="18"/>
                <w:szCs w:val="18"/>
                <w:highlight w:val="none"/>
              </w:rPr>
              <w:t>6</w:t>
            </w:r>
          </w:p>
        </w:tc>
        <w:tc>
          <w:tcPr>
            <w:tcW w:w="915" w:type="dxa"/>
            <w:tcBorders>
              <w:top w:val="nil"/>
              <w:left w:val="nil"/>
              <w:bottom w:val="single" w:color="auto" w:sz="4" w:space="0"/>
              <w:right w:val="single" w:color="auto" w:sz="4" w:space="0"/>
            </w:tcBorders>
            <w:vAlign w:val="center"/>
          </w:tcPr>
          <w:p>
            <w:pPr>
              <w:widowControl/>
              <w:jc w:val="center"/>
              <w:rPr>
                <w:color w:val="auto"/>
                <w:sz w:val="18"/>
                <w:szCs w:val="18"/>
                <w:highlight w:val="none"/>
              </w:rPr>
            </w:pPr>
            <w:r>
              <w:rPr>
                <w:rFonts w:hint="eastAsia"/>
                <w:color w:val="auto"/>
                <w:sz w:val="18"/>
                <w:szCs w:val="18"/>
                <w:highlight w:val="none"/>
              </w:rPr>
              <w:t>工程</w:t>
            </w:r>
          </w:p>
          <w:p>
            <w:pPr>
              <w:widowControl/>
              <w:jc w:val="center"/>
              <w:rPr>
                <w:color w:val="auto"/>
                <w:sz w:val="18"/>
                <w:szCs w:val="18"/>
                <w:highlight w:val="none"/>
              </w:rPr>
            </w:pPr>
            <w:r>
              <w:rPr>
                <w:rFonts w:hint="eastAsia"/>
                <w:color w:val="auto"/>
                <w:sz w:val="18"/>
                <w:szCs w:val="18"/>
                <w:highlight w:val="none"/>
              </w:rPr>
              <w:t>质量</w:t>
            </w:r>
          </w:p>
          <w:p>
            <w:pPr>
              <w:widowControl/>
              <w:jc w:val="center"/>
              <w:rPr>
                <w:color w:val="auto"/>
                <w:sz w:val="18"/>
                <w:szCs w:val="18"/>
                <w:highlight w:val="none"/>
              </w:rPr>
            </w:pPr>
            <w:r>
              <w:rPr>
                <w:rFonts w:hint="eastAsia"/>
                <w:color w:val="auto"/>
                <w:sz w:val="18"/>
                <w:szCs w:val="18"/>
                <w:highlight w:val="none"/>
              </w:rPr>
              <w:t>控制</w:t>
            </w:r>
          </w:p>
        </w:tc>
        <w:tc>
          <w:tcPr>
            <w:tcW w:w="576" w:type="dxa"/>
            <w:tcBorders>
              <w:top w:val="nil"/>
              <w:left w:val="nil"/>
              <w:bottom w:val="single" w:color="auto" w:sz="4" w:space="0"/>
              <w:right w:val="single" w:color="auto" w:sz="4" w:space="0"/>
            </w:tcBorders>
            <w:noWrap/>
            <w:vAlign w:val="center"/>
          </w:tcPr>
          <w:p>
            <w:pPr>
              <w:widowControl/>
              <w:jc w:val="center"/>
              <w:rPr>
                <w:color w:val="auto"/>
                <w:sz w:val="18"/>
                <w:szCs w:val="18"/>
                <w:highlight w:val="none"/>
              </w:rPr>
            </w:pPr>
            <w:r>
              <w:rPr>
                <w:rFonts w:hint="eastAsia"/>
                <w:color w:val="auto"/>
                <w:sz w:val="18"/>
                <w:szCs w:val="18"/>
                <w:highlight w:val="none"/>
              </w:rPr>
              <w:t>12</w:t>
            </w:r>
          </w:p>
        </w:tc>
        <w:tc>
          <w:tcPr>
            <w:tcW w:w="7655" w:type="dxa"/>
            <w:tcBorders>
              <w:top w:val="nil"/>
              <w:left w:val="nil"/>
              <w:bottom w:val="single" w:color="auto" w:sz="4" w:space="0"/>
              <w:right w:val="single" w:color="auto" w:sz="4" w:space="0"/>
            </w:tcBorders>
            <w:vAlign w:val="center"/>
          </w:tcPr>
          <w:p>
            <w:pPr>
              <w:widowControl/>
              <w:rPr>
                <w:rFonts w:hint="eastAsia" w:eastAsia="宋体"/>
                <w:color w:val="auto"/>
                <w:sz w:val="18"/>
                <w:szCs w:val="18"/>
                <w:highlight w:val="none"/>
                <w:lang w:eastAsia="zh-CN"/>
              </w:rPr>
            </w:pPr>
            <w:r>
              <w:rPr>
                <w:rFonts w:hint="eastAsia"/>
                <w:color w:val="auto"/>
                <w:sz w:val="18"/>
                <w:szCs w:val="18"/>
                <w:highlight w:val="none"/>
              </w:rPr>
              <w:t xml:space="preserve">良好 12 分：工程质量控制工作符合监理合同的要求， 监理工程师能够严格地依照有关法律、法规、技术标准以及设计文件、建设工程施工合同和监理合同，对工程施工质量实施有效监理并对施工质量尽到监理责任；                                                       </w:t>
            </w:r>
          </w:p>
          <w:p>
            <w:pPr>
              <w:widowControl/>
              <w:rPr>
                <w:rFonts w:hint="eastAsia" w:eastAsia="宋体"/>
                <w:color w:val="auto"/>
                <w:sz w:val="18"/>
                <w:szCs w:val="18"/>
                <w:highlight w:val="none"/>
                <w:lang w:eastAsia="zh-CN"/>
              </w:rPr>
            </w:pPr>
            <w:r>
              <w:rPr>
                <w:rFonts w:hint="eastAsia"/>
                <w:color w:val="auto"/>
                <w:sz w:val="18"/>
                <w:szCs w:val="18"/>
                <w:highlight w:val="none"/>
              </w:rPr>
              <w:t xml:space="preserve">合格7 分：工程质量控制工作基本符合监理合同的要求， 监理工程师基本能够依照有关法律、法规、技术标准以及设计文件、建设工程施工合同和监理合同，对工程施工质量实施有效监理并对施工质量尽到监理责任；                                                                                                                           </w:t>
            </w:r>
          </w:p>
          <w:p>
            <w:pPr>
              <w:widowControl/>
              <w:rPr>
                <w:color w:val="auto"/>
                <w:sz w:val="18"/>
                <w:szCs w:val="18"/>
                <w:highlight w:val="none"/>
              </w:rPr>
            </w:pPr>
            <w:r>
              <w:rPr>
                <w:rFonts w:hint="eastAsia"/>
                <w:color w:val="auto"/>
                <w:sz w:val="18"/>
                <w:szCs w:val="18"/>
                <w:highlight w:val="none"/>
              </w:rPr>
              <w:t>不合格 0 分：工程质量控制工作不符合监理合同的要求， 监理工程师不能够依照有关法律、法规、技术标准以及设计文件、建设工程施工合同和监理合同，对工程施工质量实施有效监理，以及未对施工质量尽到监理责任。</w:t>
            </w:r>
          </w:p>
        </w:tc>
        <w:tc>
          <w:tcPr>
            <w:tcW w:w="645" w:type="dxa"/>
            <w:tcBorders>
              <w:top w:val="nil"/>
              <w:left w:val="nil"/>
              <w:bottom w:val="single" w:color="auto" w:sz="4" w:space="0"/>
              <w:right w:val="single" w:color="auto" w:sz="4" w:space="0"/>
            </w:tcBorders>
            <w:noWrap/>
            <w:vAlign w:val="center"/>
          </w:tcPr>
          <w:p>
            <w:pPr>
              <w:widowControl/>
              <w:rPr>
                <w:color w:val="auto"/>
                <w:sz w:val="18"/>
                <w:szCs w:val="18"/>
                <w:highlight w:val="none"/>
              </w:rPr>
            </w:pPr>
            <w:r>
              <w:rPr>
                <w:rFonts w:hint="eastAsia"/>
                <w:color w:val="auto"/>
                <w:sz w:val="18"/>
                <w:szCs w:val="18"/>
                <w:highlight w:val="none"/>
              </w:rPr>
              <w:t>　</w:t>
            </w:r>
          </w:p>
        </w:tc>
      </w:tr>
      <w:tr>
        <w:tblPrEx>
          <w:tblCellMar>
            <w:top w:w="0" w:type="dxa"/>
            <w:left w:w="108" w:type="dxa"/>
            <w:bottom w:w="0" w:type="dxa"/>
            <w:right w:w="108" w:type="dxa"/>
          </w:tblCellMar>
        </w:tblPrEx>
        <w:trPr>
          <w:trHeight w:val="1350" w:hRule="atLeast"/>
          <w:jc w:val="center"/>
        </w:trPr>
        <w:tc>
          <w:tcPr>
            <w:tcW w:w="437" w:type="dxa"/>
            <w:tcBorders>
              <w:top w:val="nil"/>
              <w:left w:val="single" w:color="auto" w:sz="8" w:space="0"/>
              <w:bottom w:val="single" w:color="auto" w:sz="4" w:space="0"/>
              <w:right w:val="single" w:color="auto" w:sz="4" w:space="0"/>
            </w:tcBorders>
            <w:noWrap/>
            <w:vAlign w:val="center"/>
          </w:tcPr>
          <w:p>
            <w:pPr>
              <w:widowControl/>
              <w:jc w:val="center"/>
              <w:rPr>
                <w:color w:val="auto"/>
                <w:sz w:val="18"/>
                <w:szCs w:val="18"/>
                <w:highlight w:val="none"/>
              </w:rPr>
            </w:pPr>
            <w:r>
              <w:rPr>
                <w:rFonts w:hint="eastAsia"/>
                <w:color w:val="auto"/>
                <w:sz w:val="18"/>
                <w:szCs w:val="18"/>
                <w:highlight w:val="none"/>
              </w:rPr>
              <w:t>7</w:t>
            </w:r>
          </w:p>
        </w:tc>
        <w:tc>
          <w:tcPr>
            <w:tcW w:w="915" w:type="dxa"/>
            <w:tcBorders>
              <w:top w:val="nil"/>
              <w:left w:val="nil"/>
              <w:bottom w:val="single" w:color="auto" w:sz="4" w:space="0"/>
              <w:right w:val="single" w:color="auto" w:sz="4" w:space="0"/>
            </w:tcBorders>
            <w:vAlign w:val="center"/>
          </w:tcPr>
          <w:p>
            <w:pPr>
              <w:widowControl/>
              <w:jc w:val="center"/>
              <w:rPr>
                <w:color w:val="auto"/>
                <w:sz w:val="18"/>
                <w:szCs w:val="18"/>
                <w:highlight w:val="none"/>
              </w:rPr>
            </w:pPr>
            <w:r>
              <w:rPr>
                <w:rFonts w:hint="eastAsia"/>
                <w:color w:val="auto"/>
                <w:sz w:val="18"/>
                <w:szCs w:val="18"/>
                <w:highlight w:val="none"/>
              </w:rPr>
              <w:t>工程</w:t>
            </w:r>
          </w:p>
          <w:p>
            <w:pPr>
              <w:widowControl/>
              <w:jc w:val="center"/>
              <w:rPr>
                <w:color w:val="auto"/>
                <w:sz w:val="18"/>
                <w:szCs w:val="18"/>
                <w:highlight w:val="none"/>
              </w:rPr>
            </w:pPr>
            <w:r>
              <w:rPr>
                <w:rFonts w:hint="eastAsia"/>
                <w:color w:val="auto"/>
                <w:sz w:val="18"/>
                <w:szCs w:val="18"/>
                <w:highlight w:val="none"/>
              </w:rPr>
              <w:t>投资</w:t>
            </w:r>
          </w:p>
          <w:p>
            <w:pPr>
              <w:widowControl/>
              <w:jc w:val="center"/>
              <w:rPr>
                <w:color w:val="auto"/>
                <w:sz w:val="18"/>
                <w:szCs w:val="18"/>
                <w:highlight w:val="none"/>
              </w:rPr>
            </w:pPr>
            <w:r>
              <w:rPr>
                <w:rFonts w:hint="eastAsia"/>
                <w:color w:val="auto"/>
                <w:sz w:val="18"/>
                <w:szCs w:val="18"/>
                <w:highlight w:val="none"/>
              </w:rPr>
              <w:t>控制</w:t>
            </w:r>
          </w:p>
        </w:tc>
        <w:tc>
          <w:tcPr>
            <w:tcW w:w="576" w:type="dxa"/>
            <w:tcBorders>
              <w:top w:val="nil"/>
              <w:left w:val="nil"/>
              <w:bottom w:val="single" w:color="auto" w:sz="4" w:space="0"/>
              <w:right w:val="single" w:color="auto" w:sz="4" w:space="0"/>
            </w:tcBorders>
            <w:noWrap/>
            <w:vAlign w:val="center"/>
          </w:tcPr>
          <w:p>
            <w:pPr>
              <w:widowControl/>
              <w:jc w:val="center"/>
              <w:rPr>
                <w:color w:val="auto"/>
                <w:sz w:val="18"/>
                <w:szCs w:val="18"/>
                <w:highlight w:val="none"/>
              </w:rPr>
            </w:pPr>
            <w:r>
              <w:rPr>
                <w:rFonts w:hint="eastAsia"/>
                <w:color w:val="auto"/>
                <w:sz w:val="18"/>
                <w:szCs w:val="18"/>
                <w:highlight w:val="none"/>
              </w:rPr>
              <w:t>6</w:t>
            </w:r>
          </w:p>
        </w:tc>
        <w:tc>
          <w:tcPr>
            <w:tcW w:w="7655" w:type="dxa"/>
            <w:tcBorders>
              <w:top w:val="nil"/>
              <w:left w:val="nil"/>
              <w:bottom w:val="single" w:color="auto" w:sz="4" w:space="0"/>
              <w:right w:val="single" w:color="auto" w:sz="4" w:space="0"/>
            </w:tcBorders>
            <w:vAlign w:val="center"/>
          </w:tcPr>
          <w:p>
            <w:pPr>
              <w:widowControl/>
              <w:rPr>
                <w:rFonts w:hint="eastAsia" w:eastAsia="宋体"/>
                <w:color w:val="auto"/>
                <w:sz w:val="18"/>
                <w:szCs w:val="18"/>
                <w:highlight w:val="none"/>
                <w:lang w:eastAsia="zh-CN"/>
              </w:rPr>
            </w:pPr>
            <w:r>
              <w:rPr>
                <w:rFonts w:hint="eastAsia"/>
                <w:color w:val="auto"/>
                <w:sz w:val="18"/>
                <w:szCs w:val="18"/>
                <w:highlight w:val="none"/>
              </w:rPr>
              <w:t>良好 6 分：能够认真及时地完成施工过程的工程计量、工程进度款支付审查、工程变更和签证的规范管理工作；</w:t>
            </w:r>
          </w:p>
          <w:p>
            <w:pPr>
              <w:widowControl/>
              <w:rPr>
                <w:rFonts w:hint="eastAsia" w:eastAsia="宋体"/>
                <w:color w:val="auto"/>
                <w:sz w:val="18"/>
                <w:szCs w:val="18"/>
                <w:highlight w:val="none"/>
                <w:lang w:eastAsia="zh-CN"/>
              </w:rPr>
            </w:pPr>
            <w:r>
              <w:rPr>
                <w:rFonts w:hint="eastAsia"/>
                <w:color w:val="auto"/>
                <w:sz w:val="18"/>
                <w:szCs w:val="18"/>
                <w:highlight w:val="none"/>
              </w:rPr>
              <w:t xml:space="preserve">合格4分：基本能够完成施工过程的工程计量、工程进度款支付审查、工程变更和签证的规范管理工作；                        </w:t>
            </w:r>
          </w:p>
          <w:p>
            <w:pPr>
              <w:widowControl/>
              <w:rPr>
                <w:color w:val="auto"/>
                <w:sz w:val="18"/>
                <w:szCs w:val="18"/>
                <w:highlight w:val="none"/>
              </w:rPr>
            </w:pPr>
            <w:r>
              <w:rPr>
                <w:rFonts w:hint="eastAsia"/>
                <w:color w:val="auto"/>
                <w:sz w:val="18"/>
                <w:szCs w:val="18"/>
                <w:highlight w:val="none"/>
              </w:rPr>
              <w:t>不合格 0 分：不能够完成施工过程的工程计量、工程进度款支付审查、工程变更和签证的规范管理工作。</w:t>
            </w:r>
          </w:p>
        </w:tc>
        <w:tc>
          <w:tcPr>
            <w:tcW w:w="645" w:type="dxa"/>
            <w:tcBorders>
              <w:top w:val="nil"/>
              <w:left w:val="nil"/>
              <w:bottom w:val="single" w:color="auto" w:sz="4" w:space="0"/>
              <w:right w:val="single" w:color="auto" w:sz="4" w:space="0"/>
            </w:tcBorders>
            <w:noWrap/>
            <w:vAlign w:val="center"/>
          </w:tcPr>
          <w:p>
            <w:pPr>
              <w:widowControl/>
              <w:rPr>
                <w:color w:val="auto"/>
                <w:sz w:val="18"/>
                <w:szCs w:val="18"/>
                <w:highlight w:val="none"/>
              </w:rPr>
            </w:pPr>
            <w:r>
              <w:rPr>
                <w:rFonts w:hint="eastAsia"/>
                <w:color w:val="auto"/>
                <w:sz w:val="18"/>
                <w:szCs w:val="18"/>
                <w:highlight w:val="none"/>
              </w:rPr>
              <w:t>　</w:t>
            </w:r>
          </w:p>
        </w:tc>
      </w:tr>
      <w:tr>
        <w:tblPrEx>
          <w:tblCellMar>
            <w:top w:w="0" w:type="dxa"/>
            <w:left w:w="108" w:type="dxa"/>
            <w:bottom w:w="0" w:type="dxa"/>
            <w:right w:w="108" w:type="dxa"/>
          </w:tblCellMar>
        </w:tblPrEx>
        <w:trPr>
          <w:trHeight w:val="1611" w:hRule="atLeast"/>
          <w:jc w:val="center"/>
        </w:trPr>
        <w:tc>
          <w:tcPr>
            <w:tcW w:w="437" w:type="dxa"/>
            <w:tcBorders>
              <w:top w:val="nil"/>
              <w:left w:val="single" w:color="auto" w:sz="8" w:space="0"/>
              <w:bottom w:val="single" w:color="auto" w:sz="4" w:space="0"/>
              <w:right w:val="single" w:color="auto" w:sz="4" w:space="0"/>
            </w:tcBorders>
            <w:noWrap/>
            <w:vAlign w:val="center"/>
          </w:tcPr>
          <w:p>
            <w:pPr>
              <w:widowControl/>
              <w:jc w:val="center"/>
              <w:rPr>
                <w:color w:val="auto"/>
                <w:sz w:val="18"/>
                <w:szCs w:val="18"/>
                <w:highlight w:val="none"/>
              </w:rPr>
            </w:pPr>
            <w:r>
              <w:rPr>
                <w:rFonts w:hint="eastAsia"/>
                <w:color w:val="auto"/>
                <w:sz w:val="18"/>
                <w:szCs w:val="18"/>
                <w:highlight w:val="none"/>
              </w:rPr>
              <w:t>8</w:t>
            </w:r>
          </w:p>
        </w:tc>
        <w:tc>
          <w:tcPr>
            <w:tcW w:w="915" w:type="dxa"/>
            <w:tcBorders>
              <w:top w:val="nil"/>
              <w:left w:val="nil"/>
              <w:bottom w:val="single" w:color="auto" w:sz="4" w:space="0"/>
              <w:right w:val="single" w:color="auto" w:sz="4" w:space="0"/>
            </w:tcBorders>
            <w:vAlign w:val="center"/>
          </w:tcPr>
          <w:p>
            <w:pPr>
              <w:widowControl/>
              <w:rPr>
                <w:color w:val="auto"/>
                <w:sz w:val="18"/>
                <w:szCs w:val="18"/>
                <w:highlight w:val="none"/>
              </w:rPr>
            </w:pPr>
            <w:r>
              <w:rPr>
                <w:rFonts w:hint="eastAsia"/>
                <w:color w:val="auto"/>
                <w:sz w:val="18"/>
                <w:szCs w:val="18"/>
                <w:highlight w:val="none"/>
              </w:rPr>
              <w:t>工程变更、工程签证、工程结算价审核</w:t>
            </w:r>
          </w:p>
        </w:tc>
        <w:tc>
          <w:tcPr>
            <w:tcW w:w="576" w:type="dxa"/>
            <w:tcBorders>
              <w:top w:val="nil"/>
              <w:left w:val="nil"/>
              <w:bottom w:val="single" w:color="auto" w:sz="4" w:space="0"/>
              <w:right w:val="single" w:color="auto" w:sz="4" w:space="0"/>
            </w:tcBorders>
            <w:noWrap/>
            <w:vAlign w:val="center"/>
          </w:tcPr>
          <w:p>
            <w:pPr>
              <w:widowControl/>
              <w:jc w:val="center"/>
              <w:rPr>
                <w:color w:val="auto"/>
                <w:sz w:val="18"/>
                <w:szCs w:val="18"/>
                <w:highlight w:val="none"/>
              </w:rPr>
            </w:pPr>
            <w:r>
              <w:rPr>
                <w:rFonts w:hint="eastAsia"/>
                <w:color w:val="auto"/>
                <w:sz w:val="18"/>
                <w:szCs w:val="18"/>
                <w:highlight w:val="none"/>
              </w:rPr>
              <w:t>6</w:t>
            </w:r>
          </w:p>
        </w:tc>
        <w:tc>
          <w:tcPr>
            <w:tcW w:w="7655" w:type="dxa"/>
            <w:tcBorders>
              <w:top w:val="nil"/>
              <w:left w:val="nil"/>
              <w:bottom w:val="single" w:color="auto" w:sz="4" w:space="0"/>
              <w:right w:val="single" w:color="auto" w:sz="4" w:space="0"/>
            </w:tcBorders>
            <w:vAlign w:val="center"/>
          </w:tcPr>
          <w:p>
            <w:pPr>
              <w:widowControl/>
              <w:rPr>
                <w:color w:val="auto"/>
                <w:sz w:val="18"/>
                <w:szCs w:val="18"/>
                <w:highlight w:val="none"/>
              </w:rPr>
            </w:pPr>
            <w:r>
              <w:rPr>
                <w:rFonts w:hint="eastAsia"/>
                <w:color w:val="auto"/>
                <w:sz w:val="18"/>
                <w:szCs w:val="18"/>
                <w:highlight w:val="none"/>
              </w:rPr>
              <w:t>良好 6 分：能够准确详细地按照监理合同要求审核工程变更、工程签证、工程结算价款，工程结算审核价与最终审定价误差率小于5%（不含5%）                                                                                                                                                                   合格4分：基本能够准确详细地按照监理合同要求审核工程变更、工程签证、工程结算价款，工程结算审核价与最终审定价误差率在 5%--10%之间（不含10%）；                                                                                    不合格 0 分：不能够按照监理合同要求审核工程变更、工程签证、工程结算价款，工程结算审核价与最终审定价误差率在10%以上（含10%）。</w:t>
            </w:r>
          </w:p>
        </w:tc>
        <w:tc>
          <w:tcPr>
            <w:tcW w:w="645" w:type="dxa"/>
            <w:tcBorders>
              <w:top w:val="nil"/>
              <w:left w:val="nil"/>
              <w:bottom w:val="single" w:color="auto" w:sz="4" w:space="0"/>
              <w:right w:val="single" w:color="auto" w:sz="4" w:space="0"/>
            </w:tcBorders>
            <w:noWrap/>
            <w:vAlign w:val="center"/>
          </w:tcPr>
          <w:p>
            <w:pPr>
              <w:widowControl/>
              <w:rPr>
                <w:color w:val="auto"/>
                <w:sz w:val="18"/>
                <w:szCs w:val="18"/>
                <w:highlight w:val="none"/>
              </w:rPr>
            </w:pPr>
          </w:p>
        </w:tc>
      </w:tr>
      <w:tr>
        <w:tblPrEx>
          <w:tblCellMar>
            <w:top w:w="0" w:type="dxa"/>
            <w:left w:w="108" w:type="dxa"/>
            <w:bottom w:w="0" w:type="dxa"/>
            <w:right w:w="108" w:type="dxa"/>
          </w:tblCellMar>
        </w:tblPrEx>
        <w:trPr>
          <w:trHeight w:val="1550" w:hRule="atLeast"/>
          <w:jc w:val="center"/>
        </w:trPr>
        <w:tc>
          <w:tcPr>
            <w:tcW w:w="437" w:type="dxa"/>
            <w:tcBorders>
              <w:top w:val="nil"/>
              <w:left w:val="single" w:color="auto" w:sz="8" w:space="0"/>
              <w:bottom w:val="single" w:color="auto" w:sz="4" w:space="0"/>
              <w:right w:val="single" w:color="auto" w:sz="4" w:space="0"/>
            </w:tcBorders>
            <w:noWrap/>
            <w:vAlign w:val="center"/>
          </w:tcPr>
          <w:p>
            <w:pPr>
              <w:widowControl/>
              <w:jc w:val="center"/>
              <w:rPr>
                <w:color w:val="auto"/>
                <w:sz w:val="18"/>
                <w:szCs w:val="18"/>
                <w:highlight w:val="none"/>
              </w:rPr>
            </w:pPr>
            <w:r>
              <w:rPr>
                <w:rFonts w:hint="eastAsia"/>
                <w:color w:val="auto"/>
                <w:sz w:val="18"/>
                <w:szCs w:val="18"/>
                <w:highlight w:val="none"/>
              </w:rPr>
              <w:t>9</w:t>
            </w:r>
          </w:p>
        </w:tc>
        <w:tc>
          <w:tcPr>
            <w:tcW w:w="915" w:type="dxa"/>
            <w:tcBorders>
              <w:top w:val="nil"/>
              <w:left w:val="nil"/>
              <w:bottom w:val="single" w:color="auto" w:sz="4" w:space="0"/>
              <w:right w:val="single" w:color="auto" w:sz="4" w:space="0"/>
            </w:tcBorders>
            <w:vAlign w:val="center"/>
          </w:tcPr>
          <w:p>
            <w:pPr>
              <w:widowControl/>
              <w:jc w:val="center"/>
              <w:rPr>
                <w:color w:val="auto"/>
                <w:sz w:val="18"/>
                <w:szCs w:val="18"/>
                <w:highlight w:val="none"/>
              </w:rPr>
            </w:pPr>
            <w:r>
              <w:rPr>
                <w:rFonts w:hint="eastAsia"/>
                <w:color w:val="auto"/>
                <w:sz w:val="18"/>
                <w:szCs w:val="18"/>
                <w:highlight w:val="none"/>
              </w:rPr>
              <w:t>进度</w:t>
            </w:r>
          </w:p>
          <w:p>
            <w:pPr>
              <w:widowControl/>
              <w:jc w:val="center"/>
              <w:rPr>
                <w:color w:val="auto"/>
                <w:sz w:val="18"/>
                <w:szCs w:val="18"/>
                <w:highlight w:val="none"/>
              </w:rPr>
            </w:pPr>
            <w:r>
              <w:rPr>
                <w:rFonts w:hint="eastAsia"/>
                <w:color w:val="auto"/>
                <w:sz w:val="18"/>
                <w:szCs w:val="18"/>
                <w:highlight w:val="none"/>
              </w:rPr>
              <w:t>控制</w:t>
            </w:r>
          </w:p>
        </w:tc>
        <w:tc>
          <w:tcPr>
            <w:tcW w:w="576" w:type="dxa"/>
            <w:tcBorders>
              <w:top w:val="nil"/>
              <w:left w:val="nil"/>
              <w:bottom w:val="single" w:color="auto" w:sz="4" w:space="0"/>
              <w:right w:val="single" w:color="auto" w:sz="4" w:space="0"/>
            </w:tcBorders>
            <w:noWrap/>
            <w:vAlign w:val="center"/>
          </w:tcPr>
          <w:p>
            <w:pPr>
              <w:widowControl/>
              <w:jc w:val="center"/>
              <w:rPr>
                <w:color w:val="auto"/>
                <w:sz w:val="18"/>
                <w:szCs w:val="18"/>
                <w:highlight w:val="none"/>
              </w:rPr>
            </w:pPr>
            <w:r>
              <w:rPr>
                <w:rFonts w:hint="eastAsia"/>
                <w:color w:val="auto"/>
                <w:sz w:val="18"/>
                <w:szCs w:val="18"/>
                <w:highlight w:val="none"/>
              </w:rPr>
              <w:t>12</w:t>
            </w:r>
          </w:p>
        </w:tc>
        <w:tc>
          <w:tcPr>
            <w:tcW w:w="7655" w:type="dxa"/>
            <w:tcBorders>
              <w:top w:val="nil"/>
              <w:left w:val="nil"/>
              <w:bottom w:val="single" w:color="auto" w:sz="4" w:space="0"/>
              <w:right w:val="single" w:color="auto" w:sz="4" w:space="0"/>
            </w:tcBorders>
            <w:vAlign w:val="center"/>
          </w:tcPr>
          <w:p>
            <w:pPr>
              <w:widowControl/>
              <w:rPr>
                <w:rFonts w:hint="eastAsia" w:eastAsia="宋体"/>
                <w:color w:val="auto"/>
                <w:sz w:val="18"/>
                <w:szCs w:val="18"/>
                <w:highlight w:val="none"/>
                <w:lang w:eastAsia="zh-CN"/>
              </w:rPr>
            </w:pPr>
            <w:r>
              <w:rPr>
                <w:rFonts w:hint="eastAsia"/>
                <w:color w:val="auto"/>
                <w:sz w:val="18"/>
                <w:szCs w:val="18"/>
                <w:highlight w:val="none"/>
              </w:rPr>
              <w:t xml:space="preserve">良好 12 分：能够认真主动做好项目进度控制工作，实际进度未滞后计划进度且没有因监理工程师的责任造成工期延误；   </w:t>
            </w:r>
          </w:p>
          <w:p>
            <w:pPr>
              <w:widowControl/>
              <w:rPr>
                <w:rFonts w:hint="eastAsia" w:eastAsia="宋体"/>
                <w:color w:val="auto"/>
                <w:sz w:val="18"/>
                <w:szCs w:val="18"/>
                <w:highlight w:val="none"/>
                <w:lang w:eastAsia="zh-CN"/>
              </w:rPr>
            </w:pPr>
            <w:r>
              <w:rPr>
                <w:rFonts w:hint="eastAsia"/>
                <w:color w:val="auto"/>
                <w:sz w:val="18"/>
                <w:szCs w:val="18"/>
                <w:highlight w:val="none"/>
              </w:rPr>
              <w:t xml:space="preserve">合格 7 分：基本能够认真主动做好项目进度控制工作，实际进度基本符合计划进度或没有因监理工程师的责任造成工期延误；                      </w:t>
            </w:r>
          </w:p>
          <w:p>
            <w:pPr>
              <w:widowControl/>
              <w:rPr>
                <w:color w:val="auto"/>
                <w:sz w:val="18"/>
                <w:szCs w:val="18"/>
                <w:highlight w:val="none"/>
              </w:rPr>
            </w:pPr>
            <w:r>
              <w:rPr>
                <w:rFonts w:hint="eastAsia"/>
                <w:color w:val="auto"/>
                <w:sz w:val="18"/>
                <w:szCs w:val="18"/>
                <w:highlight w:val="none"/>
              </w:rPr>
              <w:t>不合格 0 分：不能够认真主动做好项目进度控制工作，实际进度滞后计划进度或因监理工程师的责任造成工期延误。</w:t>
            </w:r>
          </w:p>
        </w:tc>
        <w:tc>
          <w:tcPr>
            <w:tcW w:w="645" w:type="dxa"/>
            <w:tcBorders>
              <w:top w:val="nil"/>
              <w:left w:val="nil"/>
              <w:bottom w:val="single" w:color="auto" w:sz="4" w:space="0"/>
              <w:right w:val="single" w:color="auto" w:sz="4" w:space="0"/>
            </w:tcBorders>
            <w:noWrap/>
            <w:vAlign w:val="center"/>
          </w:tcPr>
          <w:p>
            <w:pPr>
              <w:widowControl/>
              <w:rPr>
                <w:color w:val="auto"/>
                <w:sz w:val="18"/>
                <w:szCs w:val="18"/>
                <w:highlight w:val="none"/>
              </w:rPr>
            </w:pPr>
          </w:p>
        </w:tc>
      </w:tr>
      <w:tr>
        <w:tblPrEx>
          <w:tblCellMar>
            <w:top w:w="0" w:type="dxa"/>
            <w:left w:w="108" w:type="dxa"/>
            <w:bottom w:w="0" w:type="dxa"/>
            <w:right w:w="108" w:type="dxa"/>
          </w:tblCellMar>
        </w:tblPrEx>
        <w:trPr>
          <w:trHeight w:val="1569" w:hRule="atLeast"/>
          <w:jc w:val="center"/>
        </w:trPr>
        <w:tc>
          <w:tcPr>
            <w:tcW w:w="437"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sz w:val="18"/>
                <w:szCs w:val="18"/>
                <w:highlight w:val="none"/>
              </w:rPr>
            </w:pPr>
            <w:r>
              <w:rPr>
                <w:rFonts w:hint="eastAsia"/>
                <w:color w:val="auto"/>
                <w:sz w:val="18"/>
                <w:szCs w:val="18"/>
                <w:highlight w:val="none"/>
              </w:rPr>
              <w:t>10</w:t>
            </w:r>
          </w:p>
        </w:tc>
        <w:tc>
          <w:tcPr>
            <w:tcW w:w="915" w:type="dxa"/>
            <w:tcBorders>
              <w:top w:val="single" w:color="auto" w:sz="4" w:space="0"/>
              <w:left w:val="nil"/>
              <w:bottom w:val="single" w:color="auto" w:sz="4" w:space="0"/>
              <w:right w:val="single" w:color="auto" w:sz="4" w:space="0"/>
            </w:tcBorders>
            <w:vAlign w:val="center"/>
          </w:tcPr>
          <w:p>
            <w:pPr>
              <w:widowControl/>
              <w:jc w:val="center"/>
              <w:rPr>
                <w:color w:val="auto"/>
                <w:sz w:val="18"/>
                <w:szCs w:val="18"/>
                <w:highlight w:val="none"/>
              </w:rPr>
            </w:pPr>
            <w:r>
              <w:rPr>
                <w:rFonts w:hint="eastAsia"/>
                <w:color w:val="auto"/>
                <w:sz w:val="18"/>
                <w:szCs w:val="18"/>
                <w:highlight w:val="none"/>
              </w:rPr>
              <w:t xml:space="preserve"> 合同     管理</w:t>
            </w:r>
          </w:p>
        </w:tc>
        <w:tc>
          <w:tcPr>
            <w:tcW w:w="576" w:type="dxa"/>
            <w:tcBorders>
              <w:top w:val="single" w:color="auto" w:sz="4" w:space="0"/>
              <w:left w:val="nil"/>
              <w:bottom w:val="single" w:color="auto" w:sz="4" w:space="0"/>
              <w:right w:val="single" w:color="auto" w:sz="4" w:space="0"/>
            </w:tcBorders>
            <w:noWrap/>
            <w:vAlign w:val="center"/>
          </w:tcPr>
          <w:p>
            <w:pPr>
              <w:widowControl/>
              <w:jc w:val="center"/>
              <w:rPr>
                <w:color w:val="auto"/>
                <w:sz w:val="18"/>
                <w:szCs w:val="18"/>
                <w:highlight w:val="none"/>
              </w:rPr>
            </w:pPr>
            <w:r>
              <w:rPr>
                <w:rFonts w:hint="eastAsia"/>
                <w:color w:val="auto"/>
                <w:sz w:val="18"/>
                <w:szCs w:val="18"/>
                <w:highlight w:val="none"/>
              </w:rPr>
              <w:t>6</w:t>
            </w:r>
          </w:p>
        </w:tc>
        <w:tc>
          <w:tcPr>
            <w:tcW w:w="7655" w:type="dxa"/>
            <w:tcBorders>
              <w:top w:val="single" w:color="auto" w:sz="4" w:space="0"/>
              <w:left w:val="nil"/>
              <w:bottom w:val="single" w:color="auto" w:sz="4" w:space="0"/>
              <w:right w:val="single" w:color="auto" w:sz="4" w:space="0"/>
            </w:tcBorders>
            <w:vAlign w:val="center"/>
          </w:tcPr>
          <w:p>
            <w:pPr>
              <w:widowControl/>
              <w:rPr>
                <w:rFonts w:hint="eastAsia" w:eastAsia="宋体"/>
                <w:color w:val="auto"/>
                <w:sz w:val="18"/>
                <w:szCs w:val="18"/>
                <w:highlight w:val="none"/>
                <w:lang w:eastAsia="zh-CN"/>
              </w:rPr>
            </w:pPr>
            <w:r>
              <w:rPr>
                <w:rFonts w:hint="eastAsia"/>
                <w:color w:val="auto"/>
                <w:sz w:val="18"/>
                <w:szCs w:val="18"/>
                <w:highlight w:val="none"/>
              </w:rPr>
              <w:t>良好 6 分：能够及时公正地按照施工合同、监理合同及监理规范的要求执行工程变更、工程延期、费用索赔、分包转让、争端仲裁和确认承包人违约等有关合同管理的工作内容；</w:t>
            </w:r>
          </w:p>
          <w:p>
            <w:pPr>
              <w:widowControl/>
              <w:rPr>
                <w:rFonts w:hint="eastAsia" w:eastAsia="宋体"/>
                <w:color w:val="auto"/>
                <w:sz w:val="18"/>
                <w:szCs w:val="18"/>
                <w:highlight w:val="none"/>
                <w:lang w:eastAsia="zh-CN"/>
              </w:rPr>
            </w:pPr>
            <w:r>
              <w:rPr>
                <w:rFonts w:hint="eastAsia"/>
                <w:color w:val="auto"/>
                <w:sz w:val="18"/>
                <w:szCs w:val="18"/>
                <w:highlight w:val="none"/>
              </w:rPr>
              <w:t xml:space="preserve">合格 4分：基本能够按照监理合同及监理规范的要求执行工程变更、工程延期、费用索赔、分包转让、争端仲裁和确认承包人违约等有关合同管理的工作内容；                        </w:t>
            </w:r>
          </w:p>
          <w:p>
            <w:pPr>
              <w:widowControl/>
              <w:rPr>
                <w:color w:val="auto"/>
                <w:sz w:val="18"/>
                <w:szCs w:val="18"/>
                <w:highlight w:val="none"/>
              </w:rPr>
            </w:pPr>
            <w:r>
              <w:rPr>
                <w:rFonts w:hint="eastAsia"/>
                <w:color w:val="auto"/>
                <w:sz w:val="18"/>
                <w:szCs w:val="18"/>
                <w:highlight w:val="none"/>
              </w:rPr>
              <w:t>不合格 0 分：不能够按照监理合同及监理规范的要求执行工程变更、工程延期、费用索赔、分包转让、争端仲裁和确认承包人违约等有关合同管理的工作内容。</w:t>
            </w:r>
          </w:p>
        </w:tc>
        <w:tc>
          <w:tcPr>
            <w:tcW w:w="645" w:type="dxa"/>
            <w:tcBorders>
              <w:top w:val="single" w:color="auto" w:sz="4" w:space="0"/>
              <w:left w:val="nil"/>
              <w:bottom w:val="single" w:color="auto" w:sz="4" w:space="0"/>
              <w:right w:val="single" w:color="auto" w:sz="4" w:space="0"/>
            </w:tcBorders>
            <w:noWrap/>
            <w:vAlign w:val="center"/>
          </w:tcPr>
          <w:p>
            <w:pPr>
              <w:widowControl/>
              <w:rPr>
                <w:color w:val="auto"/>
                <w:sz w:val="18"/>
                <w:szCs w:val="18"/>
                <w:highlight w:val="none"/>
              </w:rPr>
            </w:pPr>
            <w:r>
              <w:rPr>
                <w:rFonts w:hint="eastAsia"/>
                <w:color w:val="auto"/>
                <w:sz w:val="18"/>
                <w:szCs w:val="18"/>
                <w:highlight w:val="none"/>
              </w:rPr>
              <w:t>　</w:t>
            </w:r>
          </w:p>
        </w:tc>
      </w:tr>
      <w:tr>
        <w:tblPrEx>
          <w:tblCellMar>
            <w:top w:w="0" w:type="dxa"/>
            <w:left w:w="108" w:type="dxa"/>
            <w:bottom w:w="0" w:type="dxa"/>
            <w:right w:w="108" w:type="dxa"/>
          </w:tblCellMar>
        </w:tblPrEx>
        <w:trPr>
          <w:trHeight w:val="1536" w:hRule="atLeast"/>
          <w:jc w:val="center"/>
        </w:trPr>
        <w:tc>
          <w:tcPr>
            <w:tcW w:w="437" w:type="dxa"/>
            <w:tcBorders>
              <w:top w:val="nil"/>
              <w:left w:val="single" w:color="auto" w:sz="8" w:space="0"/>
              <w:bottom w:val="single" w:color="auto" w:sz="4" w:space="0"/>
              <w:right w:val="single" w:color="auto" w:sz="4" w:space="0"/>
            </w:tcBorders>
            <w:noWrap/>
            <w:vAlign w:val="center"/>
          </w:tcPr>
          <w:p>
            <w:pPr>
              <w:widowControl/>
              <w:jc w:val="center"/>
              <w:rPr>
                <w:color w:val="auto"/>
                <w:sz w:val="18"/>
                <w:szCs w:val="18"/>
                <w:highlight w:val="none"/>
              </w:rPr>
            </w:pPr>
            <w:r>
              <w:rPr>
                <w:rFonts w:hint="eastAsia"/>
                <w:color w:val="auto"/>
                <w:sz w:val="18"/>
                <w:szCs w:val="18"/>
                <w:highlight w:val="none"/>
              </w:rPr>
              <w:t>11</w:t>
            </w:r>
          </w:p>
        </w:tc>
        <w:tc>
          <w:tcPr>
            <w:tcW w:w="915" w:type="dxa"/>
            <w:tcBorders>
              <w:top w:val="nil"/>
              <w:left w:val="nil"/>
              <w:bottom w:val="single" w:color="auto" w:sz="4" w:space="0"/>
              <w:right w:val="single" w:color="auto" w:sz="4" w:space="0"/>
            </w:tcBorders>
            <w:vAlign w:val="center"/>
          </w:tcPr>
          <w:p>
            <w:pPr>
              <w:widowControl/>
              <w:jc w:val="center"/>
              <w:rPr>
                <w:color w:val="auto"/>
                <w:sz w:val="18"/>
                <w:szCs w:val="18"/>
                <w:highlight w:val="none"/>
              </w:rPr>
            </w:pPr>
            <w:r>
              <w:rPr>
                <w:rFonts w:hint="eastAsia"/>
                <w:color w:val="auto"/>
                <w:sz w:val="18"/>
                <w:szCs w:val="18"/>
                <w:highlight w:val="none"/>
              </w:rPr>
              <w:t>资料</w:t>
            </w:r>
          </w:p>
          <w:p>
            <w:pPr>
              <w:widowControl/>
              <w:jc w:val="center"/>
              <w:rPr>
                <w:color w:val="auto"/>
                <w:sz w:val="18"/>
                <w:szCs w:val="18"/>
                <w:highlight w:val="none"/>
              </w:rPr>
            </w:pPr>
            <w:r>
              <w:rPr>
                <w:rFonts w:hint="eastAsia"/>
                <w:color w:val="auto"/>
                <w:sz w:val="18"/>
                <w:szCs w:val="18"/>
                <w:highlight w:val="none"/>
              </w:rPr>
              <w:t>管理</w:t>
            </w:r>
          </w:p>
        </w:tc>
        <w:tc>
          <w:tcPr>
            <w:tcW w:w="576" w:type="dxa"/>
            <w:tcBorders>
              <w:top w:val="nil"/>
              <w:left w:val="nil"/>
              <w:bottom w:val="single" w:color="auto" w:sz="4" w:space="0"/>
              <w:right w:val="single" w:color="auto" w:sz="4" w:space="0"/>
            </w:tcBorders>
            <w:noWrap/>
            <w:vAlign w:val="center"/>
          </w:tcPr>
          <w:p>
            <w:pPr>
              <w:widowControl/>
              <w:jc w:val="center"/>
              <w:rPr>
                <w:color w:val="auto"/>
                <w:sz w:val="18"/>
                <w:szCs w:val="18"/>
                <w:highlight w:val="none"/>
              </w:rPr>
            </w:pPr>
            <w:r>
              <w:rPr>
                <w:rFonts w:hint="eastAsia"/>
                <w:color w:val="auto"/>
                <w:sz w:val="18"/>
                <w:szCs w:val="18"/>
                <w:highlight w:val="none"/>
              </w:rPr>
              <w:t>6</w:t>
            </w:r>
          </w:p>
        </w:tc>
        <w:tc>
          <w:tcPr>
            <w:tcW w:w="7655" w:type="dxa"/>
            <w:tcBorders>
              <w:top w:val="nil"/>
              <w:left w:val="nil"/>
              <w:bottom w:val="single" w:color="auto" w:sz="4" w:space="0"/>
              <w:right w:val="single" w:color="auto" w:sz="4" w:space="0"/>
            </w:tcBorders>
            <w:vAlign w:val="center"/>
          </w:tcPr>
          <w:p>
            <w:pPr>
              <w:widowControl/>
              <w:rPr>
                <w:rFonts w:hint="eastAsia" w:eastAsia="宋体"/>
                <w:color w:val="auto"/>
                <w:sz w:val="18"/>
                <w:szCs w:val="18"/>
                <w:highlight w:val="none"/>
                <w:lang w:eastAsia="zh-CN"/>
              </w:rPr>
            </w:pPr>
            <w:r>
              <w:rPr>
                <w:rFonts w:hint="eastAsia"/>
                <w:color w:val="auto"/>
                <w:sz w:val="18"/>
                <w:szCs w:val="18"/>
                <w:highlight w:val="none"/>
              </w:rPr>
              <w:t>良好6分：能够认真及时地按照监理合同要求做好监理方案、监理记录、监理月报和各类工程档案资料的编制、审核、管理工作；</w:t>
            </w:r>
          </w:p>
          <w:p>
            <w:pPr>
              <w:widowControl/>
              <w:rPr>
                <w:rFonts w:hint="eastAsia" w:eastAsia="宋体"/>
                <w:color w:val="auto"/>
                <w:sz w:val="18"/>
                <w:szCs w:val="18"/>
                <w:highlight w:val="none"/>
                <w:lang w:eastAsia="zh-CN"/>
              </w:rPr>
            </w:pPr>
            <w:r>
              <w:rPr>
                <w:rFonts w:hint="eastAsia"/>
                <w:color w:val="auto"/>
                <w:sz w:val="18"/>
                <w:szCs w:val="18"/>
                <w:highlight w:val="none"/>
              </w:rPr>
              <w:t>合格 4分：基本能够认真及时地按照监理合同要求做好监理方案、监理记录、监理月报和各类工程档案资料的编制、审核、管理工作；</w:t>
            </w:r>
          </w:p>
          <w:p>
            <w:pPr>
              <w:widowControl/>
              <w:rPr>
                <w:color w:val="auto"/>
                <w:sz w:val="18"/>
                <w:szCs w:val="18"/>
                <w:highlight w:val="none"/>
              </w:rPr>
            </w:pPr>
            <w:r>
              <w:rPr>
                <w:rFonts w:hint="eastAsia"/>
                <w:color w:val="auto"/>
                <w:sz w:val="18"/>
                <w:szCs w:val="18"/>
                <w:highlight w:val="none"/>
              </w:rPr>
              <w:t>不合格 0 分：不能够认真及时地按照监理合同要求做好监理方案、监理记录、监理月报和各类工程档案资料的编制、审核、管理工作。</w:t>
            </w:r>
          </w:p>
        </w:tc>
        <w:tc>
          <w:tcPr>
            <w:tcW w:w="645" w:type="dxa"/>
            <w:tcBorders>
              <w:top w:val="nil"/>
              <w:left w:val="nil"/>
              <w:bottom w:val="single" w:color="auto" w:sz="4" w:space="0"/>
              <w:right w:val="single" w:color="auto" w:sz="4" w:space="0"/>
            </w:tcBorders>
            <w:noWrap/>
            <w:vAlign w:val="center"/>
          </w:tcPr>
          <w:p>
            <w:pPr>
              <w:widowControl/>
              <w:rPr>
                <w:color w:val="auto"/>
                <w:sz w:val="18"/>
                <w:szCs w:val="18"/>
                <w:highlight w:val="none"/>
              </w:rPr>
            </w:pPr>
            <w:r>
              <w:rPr>
                <w:rFonts w:hint="eastAsia"/>
                <w:color w:val="auto"/>
                <w:sz w:val="18"/>
                <w:szCs w:val="18"/>
                <w:highlight w:val="none"/>
              </w:rPr>
              <w:t>　</w:t>
            </w:r>
          </w:p>
        </w:tc>
      </w:tr>
      <w:tr>
        <w:tblPrEx>
          <w:tblCellMar>
            <w:top w:w="0" w:type="dxa"/>
            <w:left w:w="108" w:type="dxa"/>
            <w:bottom w:w="0" w:type="dxa"/>
            <w:right w:w="108" w:type="dxa"/>
          </w:tblCellMar>
        </w:tblPrEx>
        <w:trPr>
          <w:trHeight w:val="1544" w:hRule="atLeast"/>
          <w:jc w:val="center"/>
        </w:trPr>
        <w:tc>
          <w:tcPr>
            <w:tcW w:w="437" w:type="dxa"/>
            <w:tcBorders>
              <w:top w:val="nil"/>
              <w:left w:val="single" w:color="auto" w:sz="8" w:space="0"/>
              <w:bottom w:val="single" w:color="auto" w:sz="4" w:space="0"/>
              <w:right w:val="single" w:color="auto" w:sz="4" w:space="0"/>
            </w:tcBorders>
            <w:noWrap/>
            <w:vAlign w:val="center"/>
          </w:tcPr>
          <w:p>
            <w:pPr>
              <w:widowControl/>
              <w:jc w:val="center"/>
              <w:rPr>
                <w:color w:val="auto"/>
                <w:sz w:val="18"/>
                <w:szCs w:val="18"/>
                <w:highlight w:val="none"/>
              </w:rPr>
            </w:pPr>
            <w:r>
              <w:rPr>
                <w:rFonts w:hint="eastAsia"/>
                <w:color w:val="auto"/>
                <w:sz w:val="18"/>
                <w:szCs w:val="18"/>
                <w:highlight w:val="none"/>
              </w:rPr>
              <w:t>12</w:t>
            </w:r>
          </w:p>
        </w:tc>
        <w:tc>
          <w:tcPr>
            <w:tcW w:w="915" w:type="dxa"/>
            <w:tcBorders>
              <w:top w:val="nil"/>
              <w:left w:val="nil"/>
              <w:bottom w:val="single" w:color="auto" w:sz="4" w:space="0"/>
              <w:right w:val="single" w:color="auto" w:sz="4" w:space="0"/>
            </w:tcBorders>
            <w:vAlign w:val="center"/>
          </w:tcPr>
          <w:p>
            <w:pPr>
              <w:widowControl/>
              <w:jc w:val="center"/>
              <w:rPr>
                <w:color w:val="auto"/>
                <w:sz w:val="18"/>
                <w:szCs w:val="18"/>
                <w:highlight w:val="none"/>
              </w:rPr>
            </w:pPr>
            <w:r>
              <w:rPr>
                <w:rFonts w:hint="eastAsia"/>
                <w:color w:val="auto"/>
                <w:sz w:val="18"/>
                <w:szCs w:val="18"/>
                <w:highlight w:val="none"/>
              </w:rPr>
              <w:t>协调</w:t>
            </w:r>
          </w:p>
          <w:p>
            <w:pPr>
              <w:widowControl/>
              <w:jc w:val="center"/>
              <w:rPr>
                <w:color w:val="auto"/>
                <w:sz w:val="18"/>
                <w:szCs w:val="18"/>
                <w:highlight w:val="none"/>
              </w:rPr>
            </w:pPr>
            <w:r>
              <w:rPr>
                <w:rFonts w:hint="eastAsia"/>
                <w:color w:val="auto"/>
                <w:sz w:val="18"/>
                <w:szCs w:val="18"/>
                <w:highlight w:val="none"/>
              </w:rPr>
              <w:t>配合</w:t>
            </w:r>
          </w:p>
          <w:p>
            <w:pPr>
              <w:widowControl/>
              <w:jc w:val="center"/>
              <w:rPr>
                <w:color w:val="auto"/>
                <w:sz w:val="18"/>
                <w:szCs w:val="18"/>
                <w:highlight w:val="none"/>
              </w:rPr>
            </w:pPr>
            <w:r>
              <w:rPr>
                <w:rFonts w:hint="eastAsia"/>
                <w:color w:val="auto"/>
                <w:sz w:val="18"/>
                <w:szCs w:val="18"/>
                <w:highlight w:val="none"/>
              </w:rPr>
              <w:t>情况</w:t>
            </w:r>
          </w:p>
        </w:tc>
        <w:tc>
          <w:tcPr>
            <w:tcW w:w="576" w:type="dxa"/>
            <w:tcBorders>
              <w:top w:val="nil"/>
              <w:left w:val="nil"/>
              <w:bottom w:val="single" w:color="auto" w:sz="4" w:space="0"/>
              <w:right w:val="single" w:color="auto" w:sz="4" w:space="0"/>
            </w:tcBorders>
            <w:noWrap/>
            <w:vAlign w:val="center"/>
          </w:tcPr>
          <w:p>
            <w:pPr>
              <w:widowControl/>
              <w:jc w:val="center"/>
              <w:rPr>
                <w:color w:val="auto"/>
                <w:sz w:val="18"/>
                <w:szCs w:val="18"/>
                <w:highlight w:val="none"/>
              </w:rPr>
            </w:pPr>
            <w:r>
              <w:rPr>
                <w:rFonts w:hint="eastAsia"/>
                <w:color w:val="auto"/>
                <w:sz w:val="18"/>
                <w:szCs w:val="18"/>
                <w:highlight w:val="none"/>
              </w:rPr>
              <w:t>6</w:t>
            </w:r>
          </w:p>
        </w:tc>
        <w:tc>
          <w:tcPr>
            <w:tcW w:w="7655" w:type="dxa"/>
            <w:tcBorders>
              <w:top w:val="nil"/>
              <w:left w:val="nil"/>
              <w:bottom w:val="single" w:color="auto" w:sz="4" w:space="0"/>
              <w:right w:val="single" w:color="auto" w:sz="4" w:space="0"/>
            </w:tcBorders>
            <w:vAlign w:val="center"/>
          </w:tcPr>
          <w:p>
            <w:pPr>
              <w:widowControl/>
              <w:rPr>
                <w:rFonts w:hint="eastAsia" w:eastAsia="宋体"/>
                <w:color w:val="auto"/>
                <w:sz w:val="18"/>
                <w:szCs w:val="18"/>
                <w:highlight w:val="none"/>
                <w:lang w:eastAsia="zh-CN"/>
              </w:rPr>
            </w:pPr>
            <w:r>
              <w:rPr>
                <w:rFonts w:hint="eastAsia"/>
                <w:color w:val="auto"/>
                <w:sz w:val="18"/>
                <w:szCs w:val="18"/>
                <w:highlight w:val="none"/>
              </w:rPr>
              <w:t xml:space="preserve">良好 8分：能够认真主动地配合建设单位工作、协调项目内外各相关部门和单位，依法合规的推动项目建设工作；                                                                                                                     </w:t>
            </w:r>
          </w:p>
          <w:p>
            <w:pPr>
              <w:widowControl/>
              <w:rPr>
                <w:rFonts w:hint="eastAsia" w:eastAsia="宋体"/>
                <w:color w:val="auto"/>
                <w:sz w:val="18"/>
                <w:szCs w:val="18"/>
                <w:highlight w:val="none"/>
                <w:lang w:eastAsia="zh-CN"/>
              </w:rPr>
            </w:pPr>
            <w:r>
              <w:rPr>
                <w:rFonts w:hint="eastAsia"/>
                <w:color w:val="auto"/>
                <w:sz w:val="18"/>
                <w:szCs w:val="18"/>
                <w:highlight w:val="none"/>
              </w:rPr>
              <w:t xml:space="preserve">合格5分：基本能够认真主动地配合建设单位工作、协调项目内外各相关部门和单位，依法合规的推动项目建设工作；                                                                                                        </w:t>
            </w:r>
          </w:p>
          <w:p>
            <w:pPr>
              <w:widowControl/>
              <w:rPr>
                <w:color w:val="auto"/>
                <w:sz w:val="18"/>
                <w:szCs w:val="18"/>
                <w:highlight w:val="none"/>
              </w:rPr>
            </w:pPr>
            <w:r>
              <w:rPr>
                <w:rFonts w:hint="eastAsia"/>
                <w:color w:val="auto"/>
                <w:sz w:val="18"/>
                <w:szCs w:val="18"/>
                <w:highlight w:val="none"/>
              </w:rPr>
              <w:t xml:space="preserve">不合格 0 分：不能够能够认真主动地配合建设单位工作、协调项目内外各相关部门和单位，依法合规的推动项目建设工作。 </w:t>
            </w:r>
          </w:p>
        </w:tc>
        <w:tc>
          <w:tcPr>
            <w:tcW w:w="645" w:type="dxa"/>
            <w:tcBorders>
              <w:top w:val="nil"/>
              <w:left w:val="nil"/>
              <w:bottom w:val="single" w:color="auto" w:sz="4" w:space="0"/>
              <w:right w:val="single" w:color="auto" w:sz="4" w:space="0"/>
            </w:tcBorders>
            <w:noWrap/>
            <w:vAlign w:val="center"/>
          </w:tcPr>
          <w:p>
            <w:pPr>
              <w:widowControl/>
              <w:rPr>
                <w:color w:val="auto"/>
                <w:sz w:val="18"/>
                <w:szCs w:val="18"/>
                <w:highlight w:val="none"/>
              </w:rPr>
            </w:pPr>
          </w:p>
        </w:tc>
      </w:tr>
      <w:tr>
        <w:tblPrEx>
          <w:tblCellMar>
            <w:top w:w="0" w:type="dxa"/>
            <w:left w:w="108" w:type="dxa"/>
            <w:bottom w:w="0" w:type="dxa"/>
            <w:right w:w="108" w:type="dxa"/>
          </w:tblCellMar>
        </w:tblPrEx>
        <w:trPr>
          <w:trHeight w:val="943" w:hRule="atLeast"/>
          <w:jc w:val="center"/>
        </w:trPr>
        <w:tc>
          <w:tcPr>
            <w:tcW w:w="437" w:type="dxa"/>
            <w:tcBorders>
              <w:top w:val="nil"/>
              <w:left w:val="single" w:color="auto" w:sz="8" w:space="0"/>
              <w:bottom w:val="single" w:color="auto" w:sz="4" w:space="0"/>
              <w:right w:val="single" w:color="auto" w:sz="4" w:space="0"/>
            </w:tcBorders>
            <w:noWrap/>
            <w:vAlign w:val="center"/>
          </w:tcPr>
          <w:p>
            <w:pPr>
              <w:widowControl/>
              <w:jc w:val="center"/>
              <w:rPr>
                <w:rFonts w:ascii="黑体" w:eastAsia="黑体"/>
                <w:b/>
                <w:bCs/>
                <w:color w:val="auto"/>
                <w:highlight w:val="none"/>
              </w:rPr>
            </w:pPr>
            <w:r>
              <w:rPr>
                <w:rFonts w:hint="eastAsia" w:ascii="黑体" w:eastAsia="黑体"/>
                <w:b/>
                <w:bCs/>
                <w:color w:val="auto"/>
                <w:highlight w:val="none"/>
              </w:rPr>
              <w:t>三</w:t>
            </w:r>
          </w:p>
        </w:tc>
        <w:tc>
          <w:tcPr>
            <w:tcW w:w="915" w:type="dxa"/>
            <w:tcBorders>
              <w:top w:val="nil"/>
              <w:left w:val="nil"/>
              <w:bottom w:val="single" w:color="auto" w:sz="4" w:space="0"/>
              <w:right w:val="single" w:color="auto" w:sz="4" w:space="0"/>
            </w:tcBorders>
            <w:vAlign w:val="center"/>
          </w:tcPr>
          <w:p>
            <w:pPr>
              <w:widowControl/>
              <w:jc w:val="center"/>
              <w:rPr>
                <w:rFonts w:ascii="黑体" w:eastAsia="黑体"/>
                <w:b/>
                <w:bCs/>
                <w:color w:val="auto"/>
                <w:highlight w:val="none"/>
              </w:rPr>
            </w:pPr>
            <w:r>
              <w:rPr>
                <w:rFonts w:hint="eastAsia" w:ascii="黑体" w:eastAsia="黑体"/>
                <w:b/>
                <w:bCs/>
                <w:color w:val="auto"/>
                <w:highlight w:val="none"/>
              </w:rPr>
              <w:t>诚信和职业</w:t>
            </w:r>
          </w:p>
          <w:p>
            <w:pPr>
              <w:widowControl/>
              <w:jc w:val="center"/>
              <w:rPr>
                <w:rFonts w:ascii="黑体" w:eastAsia="黑体"/>
                <w:b/>
                <w:bCs/>
                <w:color w:val="auto"/>
                <w:highlight w:val="none"/>
              </w:rPr>
            </w:pPr>
            <w:r>
              <w:rPr>
                <w:rFonts w:hint="eastAsia" w:ascii="黑体" w:eastAsia="黑体"/>
                <w:b/>
                <w:bCs/>
                <w:color w:val="auto"/>
                <w:highlight w:val="none"/>
              </w:rPr>
              <w:t>道德</w:t>
            </w:r>
          </w:p>
        </w:tc>
        <w:tc>
          <w:tcPr>
            <w:tcW w:w="576" w:type="dxa"/>
            <w:tcBorders>
              <w:top w:val="nil"/>
              <w:left w:val="nil"/>
              <w:bottom w:val="single" w:color="auto" w:sz="4" w:space="0"/>
              <w:right w:val="single" w:color="auto" w:sz="4" w:space="0"/>
            </w:tcBorders>
            <w:noWrap/>
            <w:vAlign w:val="center"/>
          </w:tcPr>
          <w:p>
            <w:pPr>
              <w:widowControl/>
              <w:jc w:val="center"/>
              <w:rPr>
                <w:rFonts w:ascii="黑体" w:eastAsia="黑体"/>
                <w:b/>
                <w:bCs/>
                <w:color w:val="auto"/>
                <w:highlight w:val="none"/>
              </w:rPr>
            </w:pPr>
            <w:r>
              <w:rPr>
                <w:rFonts w:hint="eastAsia" w:ascii="黑体" w:eastAsia="黑体"/>
                <w:b/>
                <w:bCs/>
                <w:color w:val="auto"/>
                <w:highlight w:val="none"/>
              </w:rPr>
              <w:t>12</w:t>
            </w:r>
          </w:p>
        </w:tc>
        <w:tc>
          <w:tcPr>
            <w:tcW w:w="7655" w:type="dxa"/>
            <w:tcBorders>
              <w:top w:val="nil"/>
              <w:left w:val="nil"/>
              <w:bottom w:val="single" w:color="auto" w:sz="4" w:space="0"/>
              <w:right w:val="single" w:color="auto" w:sz="4" w:space="0"/>
            </w:tcBorders>
            <w:vAlign w:val="center"/>
          </w:tcPr>
          <w:p>
            <w:pPr>
              <w:widowControl/>
              <w:rPr>
                <w:rFonts w:ascii="黑体" w:eastAsia="黑体"/>
                <w:b/>
                <w:bCs/>
                <w:color w:val="auto"/>
                <w:sz w:val="24"/>
                <w:szCs w:val="24"/>
                <w:highlight w:val="none"/>
              </w:rPr>
            </w:pPr>
            <w:r>
              <w:rPr>
                <w:rFonts w:hint="eastAsia" w:ascii="黑体" w:eastAsia="黑体"/>
                <w:b/>
                <w:bCs/>
                <w:color w:val="auto"/>
                <w:sz w:val="24"/>
                <w:szCs w:val="24"/>
                <w:highlight w:val="none"/>
              </w:rPr>
              <w:t>　</w:t>
            </w:r>
          </w:p>
        </w:tc>
        <w:tc>
          <w:tcPr>
            <w:tcW w:w="645" w:type="dxa"/>
            <w:tcBorders>
              <w:top w:val="nil"/>
              <w:left w:val="nil"/>
              <w:bottom w:val="single" w:color="auto" w:sz="4" w:space="0"/>
              <w:right w:val="single" w:color="auto" w:sz="4" w:space="0"/>
            </w:tcBorders>
            <w:noWrap/>
            <w:vAlign w:val="center"/>
          </w:tcPr>
          <w:p>
            <w:pPr>
              <w:widowControl/>
              <w:rPr>
                <w:rFonts w:ascii="黑体" w:eastAsia="黑体"/>
                <w:b/>
                <w:bCs/>
                <w:color w:val="auto"/>
                <w:sz w:val="24"/>
                <w:szCs w:val="24"/>
                <w:highlight w:val="none"/>
              </w:rPr>
            </w:pPr>
            <w:r>
              <w:rPr>
                <w:rFonts w:hint="eastAsia" w:ascii="黑体" w:eastAsia="黑体"/>
                <w:b/>
                <w:bCs/>
                <w:color w:val="auto"/>
                <w:sz w:val="24"/>
                <w:szCs w:val="24"/>
                <w:highlight w:val="none"/>
              </w:rPr>
              <w:t>　</w:t>
            </w:r>
          </w:p>
        </w:tc>
      </w:tr>
      <w:tr>
        <w:tblPrEx>
          <w:tblCellMar>
            <w:top w:w="0" w:type="dxa"/>
            <w:left w:w="108" w:type="dxa"/>
            <w:bottom w:w="0" w:type="dxa"/>
            <w:right w:w="108" w:type="dxa"/>
          </w:tblCellMar>
        </w:tblPrEx>
        <w:trPr>
          <w:trHeight w:val="675" w:hRule="atLeast"/>
          <w:jc w:val="center"/>
        </w:trPr>
        <w:tc>
          <w:tcPr>
            <w:tcW w:w="437" w:type="dxa"/>
            <w:tcBorders>
              <w:top w:val="nil"/>
              <w:left w:val="single" w:color="auto" w:sz="8" w:space="0"/>
              <w:bottom w:val="single" w:color="auto" w:sz="4" w:space="0"/>
              <w:right w:val="single" w:color="auto" w:sz="4" w:space="0"/>
            </w:tcBorders>
            <w:noWrap/>
            <w:vAlign w:val="center"/>
          </w:tcPr>
          <w:p>
            <w:pPr>
              <w:widowControl/>
              <w:jc w:val="center"/>
              <w:rPr>
                <w:color w:val="auto"/>
                <w:sz w:val="18"/>
                <w:szCs w:val="18"/>
                <w:highlight w:val="none"/>
              </w:rPr>
            </w:pPr>
            <w:r>
              <w:rPr>
                <w:rFonts w:hint="eastAsia"/>
                <w:color w:val="auto"/>
                <w:sz w:val="18"/>
                <w:szCs w:val="18"/>
                <w:highlight w:val="none"/>
              </w:rPr>
              <w:t>13</w:t>
            </w:r>
          </w:p>
        </w:tc>
        <w:tc>
          <w:tcPr>
            <w:tcW w:w="915" w:type="dxa"/>
            <w:tcBorders>
              <w:top w:val="nil"/>
              <w:left w:val="nil"/>
              <w:bottom w:val="single" w:color="auto" w:sz="4" w:space="0"/>
              <w:right w:val="single" w:color="auto" w:sz="4" w:space="0"/>
            </w:tcBorders>
            <w:vAlign w:val="center"/>
          </w:tcPr>
          <w:p>
            <w:pPr>
              <w:widowControl/>
              <w:jc w:val="center"/>
              <w:rPr>
                <w:color w:val="auto"/>
                <w:sz w:val="18"/>
                <w:szCs w:val="18"/>
                <w:highlight w:val="none"/>
              </w:rPr>
            </w:pPr>
            <w:r>
              <w:rPr>
                <w:rFonts w:hint="eastAsia"/>
                <w:color w:val="auto"/>
                <w:sz w:val="18"/>
                <w:szCs w:val="18"/>
                <w:highlight w:val="none"/>
              </w:rPr>
              <w:t>廉洁</w:t>
            </w:r>
          </w:p>
          <w:p>
            <w:pPr>
              <w:widowControl/>
              <w:jc w:val="center"/>
              <w:rPr>
                <w:color w:val="auto"/>
                <w:sz w:val="18"/>
                <w:szCs w:val="18"/>
                <w:highlight w:val="none"/>
              </w:rPr>
            </w:pPr>
            <w:r>
              <w:rPr>
                <w:rFonts w:hint="eastAsia"/>
                <w:color w:val="auto"/>
                <w:sz w:val="18"/>
                <w:szCs w:val="18"/>
                <w:highlight w:val="none"/>
              </w:rPr>
              <w:t>自律</w:t>
            </w:r>
          </w:p>
        </w:tc>
        <w:tc>
          <w:tcPr>
            <w:tcW w:w="576" w:type="dxa"/>
            <w:tcBorders>
              <w:top w:val="nil"/>
              <w:left w:val="nil"/>
              <w:bottom w:val="single" w:color="auto" w:sz="4" w:space="0"/>
              <w:right w:val="single" w:color="auto" w:sz="4" w:space="0"/>
            </w:tcBorders>
            <w:noWrap/>
            <w:vAlign w:val="center"/>
          </w:tcPr>
          <w:p>
            <w:pPr>
              <w:widowControl/>
              <w:jc w:val="center"/>
              <w:rPr>
                <w:color w:val="auto"/>
                <w:sz w:val="18"/>
                <w:szCs w:val="18"/>
                <w:highlight w:val="none"/>
              </w:rPr>
            </w:pPr>
            <w:r>
              <w:rPr>
                <w:rFonts w:hint="eastAsia"/>
                <w:color w:val="auto"/>
                <w:sz w:val="18"/>
                <w:szCs w:val="18"/>
                <w:highlight w:val="none"/>
              </w:rPr>
              <w:t>6</w:t>
            </w:r>
          </w:p>
        </w:tc>
        <w:tc>
          <w:tcPr>
            <w:tcW w:w="7655" w:type="dxa"/>
            <w:tcBorders>
              <w:top w:val="nil"/>
              <w:left w:val="nil"/>
              <w:bottom w:val="single" w:color="auto" w:sz="4" w:space="0"/>
              <w:right w:val="single" w:color="auto" w:sz="4" w:space="0"/>
            </w:tcBorders>
            <w:vAlign w:val="center"/>
          </w:tcPr>
          <w:p>
            <w:pPr>
              <w:widowControl/>
              <w:rPr>
                <w:rFonts w:hint="eastAsia" w:eastAsia="宋体"/>
                <w:color w:val="auto"/>
                <w:sz w:val="18"/>
                <w:szCs w:val="18"/>
                <w:highlight w:val="none"/>
                <w:lang w:eastAsia="zh-CN"/>
              </w:rPr>
            </w:pPr>
            <w:r>
              <w:rPr>
                <w:rFonts w:hint="eastAsia"/>
                <w:color w:val="auto"/>
                <w:sz w:val="18"/>
                <w:szCs w:val="18"/>
                <w:highlight w:val="none"/>
              </w:rPr>
              <w:t xml:space="preserve">良好 6分：严格遵守工程建设廉洁协议书，不存在接受参建单位各种形式贿赂的现象；                                                                                                                                                                                            </w:t>
            </w:r>
          </w:p>
          <w:p>
            <w:pPr>
              <w:widowControl/>
              <w:rPr>
                <w:color w:val="auto"/>
                <w:sz w:val="18"/>
                <w:szCs w:val="18"/>
                <w:highlight w:val="none"/>
              </w:rPr>
            </w:pPr>
            <w:r>
              <w:rPr>
                <w:rFonts w:hint="eastAsia"/>
                <w:color w:val="auto"/>
                <w:sz w:val="18"/>
                <w:szCs w:val="18"/>
                <w:highlight w:val="none"/>
              </w:rPr>
              <w:t>不合格 0 分：未能遵守工程建设廉洁协议书，存在接受参建单位各种形式贿赂的现象。</w:t>
            </w:r>
          </w:p>
        </w:tc>
        <w:tc>
          <w:tcPr>
            <w:tcW w:w="645" w:type="dxa"/>
            <w:tcBorders>
              <w:top w:val="nil"/>
              <w:left w:val="nil"/>
              <w:bottom w:val="single" w:color="auto" w:sz="4" w:space="0"/>
              <w:right w:val="single" w:color="auto" w:sz="4" w:space="0"/>
            </w:tcBorders>
            <w:noWrap/>
            <w:vAlign w:val="center"/>
          </w:tcPr>
          <w:p>
            <w:pPr>
              <w:widowControl/>
              <w:rPr>
                <w:color w:val="auto"/>
                <w:sz w:val="18"/>
                <w:szCs w:val="18"/>
                <w:highlight w:val="none"/>
              </w:rPr>
            </w:pPr>
            <w:r>
              <w:rPr>
                <w:rFonts w:hint="eastAsia"/>
                <w:color w:val="auto"/>
                <w:sz w:val="18"/>
                <w:szCs w:val="18"/>
                <w:highlight w:val="none"/>
              </w:rPr>
              <w:t>　</w:t>
            </w:r>
          </w:p>
        </w:tc>
      </w:tr>
      <w:tr>
        <w:tblPrEx>
          <w:tblCellMar>
            <w:top w:w="0" w:type="dxa"/>
            <w:left w:w="108" w:type="dxa"/>
            <w:bottom w:w="0" w:type="dxa"/>
            <w:right w:w="108" w:type="dxa"/>
          </w:tblCellMar>
        </w:tblPrEx>
        <w:trPr>
          <w:trHeight w:val="1080" w:hRule="atLeast"/>
          <w:jc w:val="center"/>
        </w:trPr>
        <w:tc>
          <w:tcPr>
            <w:tcW w:w="437" w:type="dxa"/>
            <w:tcBorders>
              <w:top w:val="nil"/>
              <w:left w:val="single" w:color="auto" w:sz="8" w:space="0"/>
              <w:bottom w:val="single" w:color="auto" w:sz="4" w:space="0"/>
              <w:right w:val="single" w:color="auto" w:sz="4" w:space="0"/>
            </w:tcBorders>
            <w:noWrap/>
            <w:vAlign w:val="center"/>
          </w:tcPr>
          <w:p>
            <w:pPr>
              <w:widowControl/>
              <w:jc w:val="center"/>
              <w:rPr>
                <w:color w:val="auto"/>
                <w:sz w:val="18"/>
                <w:szCs w:val="18"/>
                <w:highlight w:val="none"/>
              </w:rPr>
            </w:pPr>
            <w:r>
              <w:rPr>
                <w:rFonts w:hint="eastAsia"/>
                <w:color w:val="auto"/>
                <w:sz w:val="18"/>
                <w:szCs w:val="18"/>
                <w:highlight w:val="none"/>
              </w:rPr>
              <w:t>14</w:t>
            </w:r>
          </w:p>
        </w:tc>
        <w:tc>
          <w:tcPr>
            <w:tcW w:w="915" w:type="dxa"/>
            <w:tcBorders>
              <w:top w:val="nil"/>
              <w:left w:val="nil"/>
              <w:bottom w:val="single" w:color="auto" w:sz="4" w:space="0"/>
              <w:right w:val="single" w:color="auto" w:sz="4" w:space="0"/>
            </w:tcBorders>
            <w:vAlign w:val="center"/>
          </w:tcPr>
          <w:p>
            <w:pPr>
              <w:widowControl/>
              <w:jc w:val="center"/>
              <w:rPr>
                <w:color w:val="auto"/>
                <w:sz w:val="18"/>
                <w:szCs w:val="18"/>
                <w:highlight w:val="none"/>
              </w:rPr>
            </w:pPr>
            <w:r>
              <w:rPr>
                <w:rFonts w:hint="eastAsia"/>
                <w:color w:val="auto"/>
                <w:sz w:val="18"/>
                <w:szCs w:val="18"/>
                <w:highlight w:val="none"/>
              </w:rPr>
              <w:t>诚信</w:t>
            </w:r>
          </w:p>
        </w:tc>
        <w:tc>
          <w:tcPr>
            <w:tcW w:w="576" w:type="dxa"/>
            <w:tcBorders>
              <w:top w:val="nil"/>
              <w:left w:val="nil"/>
              <w:bottom w:val="single" w:color="auto" w:sz="4" w:space="0"/>
              <w:right w:val="single" w:color="auto" w:sz="4" w:space="0"/>
            </w:tcBorders>
            <w:noWrap/>
            <w:vAlign w:val="center"/>
          </w:tcPr>
          <w:p>
            <w:pPr>
              <w:widowControl/>
              <w:jc w:val="center"/>
              <w:rPr>
                <w:color w:val="auto"/>
                <w:sz w:val="18"/>
                <w:szCs w:val="18"/>
                <w:highlight w:val="none"/>
              </w:rPr>
            </w:pPr>
            <w:r>
              <w:rPr>
                <w:rFonts w:hint="eastAsia"/>
                <w:color w:val="auto"/>
                <w:sz w:val="18"/>
                <w:szCs w:val="18"/>
                <w:highlight w:val="none"/>
              </w:rPr>
              <w:t>6</w:t>
            </w:r>
          </w:p>
        </w:tc>
        <w:tc>
          <w:tcPr>
            <w:tcW w:w="7655" w:type="dxa"/>
            <w:tcBorders>
              <w:top w:val="nil"/>
              <w:left w:val="nil"/>
              <w:bottom w:val="single" w:color="auto" w:sz="4" w:space="0"/>
              <w:right w:val="single" w:color="auto" w:sz="4" w:space="0"/>
            </w:tcBorders>
            <w:vAlign w:val="center"/>
          </w:tcPr>
          <w:p>
            <w:pPr>
              <w:widowControl/>
              <w:rPr>
                <w:color w:val="auto"/>
                <w:sz w:val="18"/>
                <w:szCs w:val="18"/>
                <w:highlight w:val="none"/>
              </w:rPr>
            </w:pPr>
            <w:r>
              <w:rPr>
                <w:rFonts w:hint="eastAsia"/>
                <w:color w:val="auto"/>
                <w:sz w:val="18"/>
                <w:szCs w:val="18"/>
                <w:highlight w:val="none"/>
              </w:rPr>
              <w:t xml:space="preserve">良好6 分：无串通施工、设计等参建单位弄虚作假的现象；在没有得到相应许可的情况下，不泄露保密的文件资料和信息；                                                                                     </w:t>
            </w:r>
          </w:p>
          <w:p>
            <w:pPr>
              <w:widowControl/>
              <w:rPr>
                <w:color w:val="auto"/>
                <w:sz w:val="18"/>
                <w:szCs w:val="18"/>
                <w:highlight w:val="none"/>
              </w:rPr>
            </w:pPr>
            <w:r>
              <w:rPr>
                <w:rFonts w:hint="eastAsia"/>
                <w:color w:val="auto"/>
                <w:sz w:val="18"/>
                <w:szCs w:val="18"/>
                <w:highlight w:val="none"/>
              </w:rPr>
              <w:t>不合格 0 分：存在串通施工、设计等参建单位弄虚作假的现象；在没有得到相应许可的情况下，泄露保密的文件资料和信息。</w:t>
            </w:r>
          </w:p>
        </w:tc>
        <w:tc>
          <w:tcPr>
            <w:tcW w:w="645" w:type="dxa"/>
            <w:tcBorders>
              <w:top w:val="nil"/>
              <w:left w:val="nil"/>
              <w:bottom w:val="single" w:color="auto" w:sz="4" w:space="0"/>
              <w:right w:val="single" w:color="auto" w:sz="4" w:space="0"/>
            </w:tcBorders>
            <w:noWrap/>
            <w:vAlign w:val="center"/>
          </w:tcPr>
          <w:p>
            <w:pPr>
              <w:widowControl/>
              <w:rPr>
                <w:color w:val="auto"/>
                <w:sz w:val="18"/>
                <w:szCs w:val="18"/>
                <w:highlight w:val="none"/>
              </w:rPr>
            </w:pPr>
            <w:r>
              <w:rPr>
                <w:rFonts w:hint="eastAsia"/>
                <w:color w:val="auto"/>
                <w:sz w:val="18"/>
                <w:szCs w:val="18"/>
                <w:highlight w:val="none"/>
              </w:rPr>
              <w:t>　</w:t>
            </w:r>
          </w:p>
        </w:tc>
      </w:tr>
      <w:tr>
        <w:tblPrEx>
          <w:tblCellMar>
            <w:top w:w="0" w:type="dxa"/>
            <w:left w:w="108" w:type="dxa"/>
            <w:bottom w:w="0" w:type="dxa"/>
            <w:right w:w="108" w:type="dxa"/>
          </w:tblCellMar>
        </w:tblPrEx>
        <w:trPr>
          <w:trHeight w:val="508" w:hRule="atLeast"/>
          <w:jc w:val="center"/>
        </w:trPr>
        <w:tc>
          <w:tcPr>
            <w:tcW w:w="437" w:type="dxa"/>
            <w:tcBorders>
              <w:top w:val="nil"/>
              <w:left w:val="single" w:color="auto" w:sz="8" w:space="0"/>
              <w:bottom w:val="single" w:color="auto" w:sz="8" w:space="0"/>
              <w:right w:val="single" w:color="auto" w:sz="4" w:space="0"/>
            </w:tcBorders>
            <w:noWrap/>
            <w:vAlign w:val="center"/>
          </w:tcPr>
          <w:p>
            <w:pPr>
              <w:widowControl/>
              <w:jc w:val="center"/>
              <w:rPr>
                <w:color w:val="auto"/>
                <w:sz w:val="18"/>
                <w:szCs w:val="18"/>
                <w:highlight w:val="none"/>
              </w:rPr>
            </w:pPr>
            <w:r>
              <w:rPr>
                <w:rFonts w:hint="eastAsia"/>
                <w:color w:val="auto"/>
                <w:sz w:val="18"/>
                <w:szCs w:val="18"/>
                <w:highlight w:val="none"/>
              </w:rPr>
              <w:t xml:space="preserve">  </w:t>
            </w:r>
          </w:p>
        </w:tc>
        <w:tc>
          <w:tcPr>
            <w:tcW w:w="915" w:type="dxa"/>
            <w:tcBorders>
              <w:top w:val="nil"/>
              <w:left w:val="nil"/>
              <w:bottom w:val="single" w:color="auto" w:sz="8" w:space="0"/>
              <w:right w:val="single" w:color="auto" w:sz="4" w:space="0"/>
            </w:tcBorders>
            <w:vAlign w:val="center"/>
          </w:tcPr>
          <w:p>
            <w:pPr>
              <w:widowControl/>
              <w:jc w:val="center"/>
              <w:rPr>
                <w:color w:val="auto"/>
                <w:sz w:val="18"/>
                <w:szCs w:val="18"/>
                <w:highlight w:val="none"/>
              </w:rPr>
            </w:pPr>
            <w:r>
              <w:rPr>
                <w:rFonts w:hint="eastAsia"/>
                <w:color w:val="auto"/>
                <w:sz w:val="18"/>
                <w:szCs w:val="18"/>
                <w:highlight w:val="none"/>
              </w:rPr>
              <w:t>合计</w:t>
            </w:r>
          </w:p>
        </w:tc>
        <w:tc>
          <w:tcPr>
            <w:tcW w:w="576" w:type="dxa"/>
            <w:tcBorders>
              <w:top w:val="nil"/>
              <w:left w:val="nil"/>
              <w:bottom w:val="single" w:color="auto" w:sz="8" w:space="0"/>
              <w:right w:val="single" w:color="auto" w:sz="4" w:space="0"/>
            </w:tcBorders>
            <w:noWrap/>
            <w:vAlign w:val="center"/>
          </w:tcPr>
          <w:p>
            <w:pPr>
              <w:widowControl/>
              <w:jc w:val="center"/>
              <w:rPr>
                <w:color w:val="auto"/>
                <w:sz w:val="18"/>
                <w:szCs w:val="18"/>
                <w:highlight w:val="none"/>
              </w:rPr>
            </w:pPr>
            <w:r>
              <w:rPr>
                <w:rFonts w:hint="eastAsia"/>
                <w:color w:val="auto"/>
                <w:sz w:val="18"/>
                <w:szCs w:val="18"/>
                <w:highlight w:val="none"/>
              </w:rPr>
              <w:t>100</w:t>
            </w:r>
          </w:p>
        </w:tc>
        <w:tc>
          <w:tcPr>
            <w:tcW w:w="7655" w:type="dxa"/>
            <w:tcBorders>
              <w:top w:val="nil"/>
              <w:left w:val="nil"/>
              <w:bottom w:val="single" w:color="auto" w:sz="8" w:space="0"/>
              <w:right w:val="single" w:color="auto" w:sz="4" w:space="0"/>
            </w:tcBorders>
            <w:vAlign w:val="center"/>
          </w:tcPr>
          <w:p>
            <w:pPr>
              <w:widowControl/>
              <w:rPr>
                <w:color w:val="auto"/>
                <w:sz w:val="18"/>
                <w:szCs w:val="18"/>
                <w:highlight w:val="none"/>
              </w:rPr>
            </w:pPr>
            <w:r>
              <w:rPr>
                <w:rFonts w:hint="eastAsia"/>
                <w:color w:val="auto"/>
                <w:sz w:val="18"/>
                <w:szCs w:val="18"/>
                <w:highlight w:val="none"/>
              </w:rPr>
              <w:t>　</w:t>
            </w:r>
          </w:p>
        </w:tc>
        <w:tc>
          <w:tcPr>
            <w:tcW w:w="645" w:type="dxa"/>
            <w:tcBorders>
              <w:top w:val="nil"/>
              <w:left w:val="nil"/>
              <w:bottom w:val="single" w:color="auto" w:sz="4" w:space="0"/>
              <w:right w:val="single" w:color="auto" w:sz="4" w:space="0"/>
            </w:tcBorders>
            <w:noWrap/>
            <w:vAlign w:val="center"/>
          </w:tcPr>
          <w:p>
            <w:pPr>
              <w:widowControl/>
              <w:rPr>
                <w:color w:val="auto"/>
                <w:sz w:val="18"/>
                <w:szCs w:val="18"/>
                <w:highlight w:val="none"/>
              </w:rPr>
            </w:pPr>
            <w:r>
              <w:rPr>
                <w:rFonts w:hint="eastAsia"/>
                <w:color w:val="auto"/>
                <w:sz w:val="18"/>
                <w:szCs w:val="18"/>
                <w:highlight w:val="none"/>
              </w:rPr>
              <w:t>　</w:t>
            </w:r>
          </w:p>
        </w:tc>
      </w:tr>
    </w:tbl>
    <w:p>
      <w:pPr>
        <w:jc w:val="center"/>
      </w:pPr>
      <w:r>
        <w:rPr>
          <w:rFonts w:hint="eastAsia" w:ascii="仿宋" w:hAnsi="仿宋" w:eastAsia="仿宋"/>
          <w:color w:val="auto"/>
          <w:sz w:val="18"/>
          <w:szCs w:val="18"/>
          <w:highlight w:val="none"/>
        </w:rPr>
        <w:t>备注：评分第13和第14项建立扣分制度，扣分等级分为15分、30分两挡，根据具体事件严重情形扣。</w:t>
      </w:r>
      <w:bookmarkEnd w:id="5"/>
    </w:p>
    <w:p>
      <w:pPr>
        <w:pStyle w:val="4"/>
        <w:ind w:firstLine="480"/>
        <w:rPr>
          <w:lang w:val="en-US"/>
        </w:rPr>
      </w:pPr>
    </w:p>
    <w:sectPr>
      <w:pgSz w:w="11910" w:h="16840"/>
      <w:pgMar w:top="1120" w:right="900" w:bottom="1100" w:left="1080" w:header="0" w:footer="91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C5E39E-CE37-4ABC-B14E-B538778AD5B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64C830B-A6F4-42B8-9148-1F4BB324AE19}"/>
  </w:font>
  <w:font w:name="仿宋">
    <w:panose1 w:val="02010609060101010101"/>
    <w:charset w:val="86"/>
    <w:family w:val="modern"/>
    <w:pitch w:val="default"/>
    <w:sig w:usb0="800002BF" w:usb1="38CF7CFA" w:usb2="00000016" w:usb3="00000000" w:csb0="00040001" w:csb1="00000000"/>
    <w:embedRegular r:id="rId3" w:fontKey="{F01954C6-D37F-46F7-BFDF-C0467DF40BBA}"/>
  </w:font>
  <w:font w:name="华文中宋">
    <w:panose1 w:val="02010600040101010101"/>
    <w:charset w:val="86"/>
    <w:family w:val="auto"/>
    <w:pitch w:val="default"/>
    <w:sig w:usb0="00000287" w:usb1="080F0000" w:usb2="00000000" w:usb3="00000000" w:csb0="0004009F" w:csb1="DFD70000"/>
    <w:embedRegular r:id="rId4" w:fontKey="{67648B3E-2B3A-4CF7-8665-53C9B6302D89}"/>
  </w:font>
  <w:font w:name="??_GB2312">
    <w:altName w:val="Times New Roman"/>
    <w:panose1 w:val="00000000000000000000"/>
    <w:charset w:val="00"/>
    <w:family w:val="auto"/>
    <w:pitch w:val="default"/>
    <w:sig w:usb0="00000000" w:usb1="00000000" w:usb2="00000000" w:usb3="00000000" w:csb0="0000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12"/>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3750945</wp:posOffset>
              </wp:positionH>
              <wp:positionV relativeFrom="page">
                <wp:posOffset>9919335</wp:posOffset>
              </wp:positionV>
              <wp:extent cx="167005"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5.35pt;margin-top:781.05pt;height:12pt;width:13.15pt;mso-position-horizontal-relative:page;mso-position-vertical-relative:page;z-index:-251657216;mso-width-relative:page;mso-height-relative:page;" filled="f" stroked="f" coordsize="21600,21600" o:gfxdata="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BaSDx2gAAAA0BAAAPAAAAAAAAAAEAIAAAACIAAABkcnMvZG93bnJldi54bWxQSwEC&#10;FAAUAAAACACHTuJA2flLcLkBAABxAwAADgAAAAAAAAABACAAAAApAQAAZHJzL2Uyb0RvYy54bWxQ&#10;SwUGAAAAAAYABgBZAQAAVAU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lowerLetter"/>
      <w:lvlText w:val="%1."/>
      <w:lvlJc w:val="left"/>
      <w:pPr>
        <w:ind w:left="1144" w:hanging="303"/>
      </w:pPr>
      <w:rPr>
        <w:rFonts w:hint="default" w:ascii="Times New Roman" w:hAnsi="Times New Roman" w:eastAsia="Times New Roman" w:cs="Times New Roman"/>
        <w:spacing w:val="0"/>
        <w:w w:val="100"/>
        <w:sz w:val="24"/>
        <w:szCs w:val="24"/>
        <w:lang w:val="zh-CN" w:eastAsia="zh-CN" w:bidi="zh-CN"/>
      </w:rPr>
    </w:lvl>
    <w:lvl w:ilvl="1" w:tentative="0">
      <w:start w:val="0"/>
      <w:numFmt w:val="bullet"/>
      <w:lvlText w:val="•"/>
      <w:lvlJc w:val="left"/>
      <w:pPr>
        <w:ind w:left="2018" w:hanging="303"/>
      </w:pPr>
      <w:rPr>
        <w:rFonts w:hint="default"/>
        <w:lang w:val="zh-CN" w:eastAsia="zh-CN" w:bidi="zh-CN"/>
      </w:rPr>
    </w:lvl>
    <w:lvl w:ilvl="2" w:tentative="0">
      <w:start w:val="0"/>
      <w:numFmt w:val="bullet"/>
      <w:lvlText w:val="•"/>
      <w:lvlJc w:val="left"/>
      <w:pPr>
        <w:ind w:left="2897" w:hanging="303"/>
      </w:pPr>
      <w:rPr>
        <w:rFonts w:hint="default"/>
        <w:lang w:val="zh-CN" w:eastAsia="zh-CN" w:bidi="zh-CN"/>
      </w:rPr>
    </w:lvl>
    <w:lvl w:ilvl="3" w:tentative="0">
      <w:start w:val="0"/>
      <w:numFmt w:val="bullet"/>
      <w:lvlText w:val="•"/>
      <w:lvlJc w:val="left"/>
      <w:pPr>
        <w:ind w:left="3775" w:hanging="303"/>
      </w:pPr>
      <w:rPr>
        <w:rFonts w:hint="default"/>
        <w:lang w:val="zh-CN" w:eastAsia="zh-CN" w:bidi="zh-CN"/>
      </w:rPr>
    </w:lvl>
    <w:lvl w:ilvl="4" w:tentative="0">
      <w:start w:val="0"/>
      <w:numFmt w:val="bullet"/>
      <w:lvlText w:val="•"/>
      <w:lvlJc w:val="left"/>
      <w:pPr>
        <w:ind w:left="4654" w:hanging="303"/>
      </w:pPr>
      <w:rPr>
        <w:rFonts w:hint="default"/>
        <w:lang w:val="zh-CN" w:eastAsia="zh-CN" w:bidi="zh-CN"/>
      </w:rPr>
    </w:lvl>
    <w:lvl w:ilvl="5" w:tentative="0">
      <w:start w:val="0"/>
      <w:numFmt w:val="bullet"/>
      <w:lvlText w:val="•"/>
      <w:lvlJc w:val="left"/>
      <w:pPr>
        <w:ind w:left="5533" w:hanging="303"/>
      </w:pPr>
      <w:rPr>
        <w:rFonts w:hint="default"/>
        <w:lang w:val="zh-CN" w:eastAsia="zh-CN" w:bidi="zh-CN"/>
      </w:rPr>
    </w:lvl>
    <w:lvl w:ilvl="6" w:tentative="0">
      <w:start w:val="0"/>
      <w:numFmt w:val="bullet"/>
      <w:lvlText w:val="•"/>
      <w:lvlJc w:val="left"/>
      <w:pPr>
        <w:ind w:left="6411" w:hanging="303"/>
      </w:pPr>
      <w:rPr>
        <w:rFonts w:hint="default"/>
        <w:lang w:val="zh-CN" w:eastAsia="zh-CN" w:bidi="zh-CN"/>
      </w:rPr>
    </w:lvl>
    <w:lvl w:ilvl="7" w:tentative="0">
      <w:start w:val="0"/>
      <w:numFmt w:val="bullet"/>
      <w:lvlText w:val="•"/>
      <w:lvlJc w:val="left"/>
      <w:pPr>
        <w:ind w:left="7290" w:hanging="303"/>
      </w:pPr>
      <w:rPr>
        <w:rFonts w:hint="default"/>
        <w:lang w:val="zh-CN" w:eastAsia="zh-CN" w:bidi="zh-CN"/>
      </w:rPr>
    </w:lvl>
    <w:lvl w:ilvl="8" w:tentative="0">
      <w:start w:val="0"/>
      <w:numFmt w:val="bullet"/>
      <w:lvlText w:val="•"/>
      <w:lvlJc w:val="left"/>
      <w:pPr>
        <w:ind w:left="8169" w:hanging="303"/>
      </w:pPr>
      <w:rPr>
        <w:rFonts w:hint="default"/>
        <w:lang w:val="zh-CN" w:eastAsia="zh-CN" w:bidi="zh-CN"/>
      </w:rPr>
    </w:lvl>
  </w:abstractNum>
  <w:abstractNum w:abstractNumId="1">
    <w:nsid w:val="845B5372"/>
    <w:multiLevelType w:val="multilevel"/>
    <w:tmpl w:val="845B5372"/>
    <w:lvl w:ilvl="0" w:tentative="0">
      <w:start w:val="1"/>
      <w:numFmt w:val="decimal"/>
      <w:lvlText w:val="（%1）"/>
      <w:lvlJc w:val="left"/>
      <w:pPr>
        <w:ind w:left="223" w:hanging="624"/>
      </w:pPr>
      <w:rPr>
        <w:rFonts w:hint="default" w:ascii="宋体" w:hAnsi="宋体" w:eastAsia="宋体" w:cs="宋体"/>
        <w:spacing w:val="0"/>
        <w:w w:val="100"/>
        <w:sz w:val="22"/>
        <w:szCs w:val="22"/>
        <w:lang w:val="zh-CN" w:eastAsia="zh-CN" w:bidi="zh-CN"/>
      </w:rPr>
    </w:lvl>
    <w:lvl w:ilvl="1" w:tentative="0">
      <w:start w:val="1"/>
      <w:numFmt w:val="decimal"/>
      <w:lvlText w:val="%2）"/>
      <w:lvlJc w:val="left"/>
      <w:pPr>
        <w:ind w:left="223" w:hanging="366"/>
      </w:pPr>
      <w:rPr>
        <w:rFonts w:hint="default" w:ascii="Times New Roman" w:hAnsi="Times New Roman" w:eastAsia="Times New Roman" w:cs="Times New Roman"/>
        <w:spacing w:val="-32"/>
        <w:w w:val="100"/>
        <w:sz w:val="22"/>
        <w:szCs w:val="22"/>
        <w:lang w:val="zh-CN" w:eastAsia="zh-CN" w:bidi="zh-CN"/>
      </w:rPr>
    </w:lvl>
    <w:lvl w:ilvl="2" w:tentative="0">
      <w:start w:val="0"/>
      <w:numFmt w:val="bullet"/>
      <w:lvlText w:val="•"/>
      <w:lvlJc w:val="left"/>
      <w:pPr>
        <w:ind w:left="2161" w:hanging="366"/>
      </w:pPr>
      <w:rPr>
        <w:rFonts w:hint="default"/>
        <w:lang w:val="zh-CN" w:eastAsia="zh-CN" w:bidi="zh-CN"/>
      </w:rPr>
    </w:lvl>
    <w:lvl w:ilvl="3" w:tentative="0">
      <w:start w:val="0"/>
      <w:numFmt w:val="bullet"/>
      <w:lvlText w:val="•"/>
      <w:lvlJc w:val="left"/>
      <w:pPr>
        <w:ind w:left="3131" w:hanging="366"/>
      </w:pPr>
      <w:rPr>
        <w:rFonts w:hint="default"/>
        <w:lang w:val="zh-CN" w:eastAsia="zh-CN" w:bidi="zh-CN"/>
      </w:rPr>
    </w:lvl>
    <w:lvl w:ilvl="4" w:tentative="0">
      <w:start w:val="0"/>
      <w:numFmt w:val="bullet"/>
      <w:lvlText w:val="•"/>
      <w:lvlJc w:val="left"/>
      <w:pPr>
        <w:ind w:left="4102" w:hanging="366"/>
      </w:pPr>
      <w:rPr>
        <w:rFonts w:hint="default"/>
        <w:lang w:val="zh-CN" w:eastAsia="zh-CN" w:bidi="zh-CN"/>
      </w:rPr>
    </w:lvl>
    <w:lvl w:ilvl="5" w:tentative="0">
      <w:start w:val="0"/>
      <w:numFmt w:val="bullet"/>
      <w:lvlText w:val="•"/>
      <w:lvlJc w:val="left"/>
      <w:pPr>
        <w:ind w:left="5073" w:hanging="366"/>
      </w:pPr>
      <w:rPr>
        <w:rFonts w:hint="default"/>
        <w:lang w:val="zh-CN" w:eastAsia="zh-CN" w:bidi="zh-CN"/>
      </w:rPr>
    </w:lvl>
    <w:lvl w:ilvl="6" w:tentative="0">
      <w:start w:val="0"/>
      <w:numFmt w:val="bullet"/>
      <w:lvlText w:val="•"/>
      <w:lvlJc w:val="left"/>
      <w:pPr>
        <w:ind w:left="6043" w:hanging="366"/>
      </w:pPr>
      <w:rPr>
        <w:rFonts w:hint="default"/>
        <w:lang w:val="zh-CN" w:eastAsia="zh-CN" w:bidi="zh-CN"/>
      </w:rPr>
    </w:lvl>
    <w:lvl w:ilvl="7" w:tentative="0">
      <w:start w:val="0"/>
      <w:numFmt w:val="bullet"/>
      <w:lvlText w:val="•"/>
      <w:lvlJc w:val="left"/>
      <w:pPr>
        <w:ind w:left="7014" w:hanging="366"/>
      </w:pPr>
      <w:rPr>
        <w:rFonts w:hint="default"/>
        <w:lang w:val="zh-CN" w:eastAsia="zh-CN" w:bidi="zh-CN"/>
      </w:rPr>
    </w:lvl>
    <w:lvl w:ilvl="8" w:tentative="0">
      <w:start w:val="0"/>
      <w:numFmt w:val="bullet"/>
      <w:lvlText w:val="•"/>
      <w:lvlJc w:val="left"/>
      <w:pPr>
        <w:ind w:left="7985" w:hanging="366"/>
      </w:pPr>
      <w:rPr>
        <w:rFonts w:hint="default"/>
        <w:lang w:val="zh-CN" w:eastAsia="zh-CN" w:bidi="zh-CN"/>
      </w:rPr>
    </w:lvl>
  </w:abstractNum>
  <w:abstractNum w:abstractNumId="2">
    <w:nsid w:val="8461FADE"/>
    <w:multiLevelType w:val="multilevel"/>
    <w:tmpl w:val="8461FADE"/>
    <w:lvl w:ilvl="0" w:tentative="0">
      <w:start w:val="1"/>
      <w:numFmt w:val="decimal"/>
      <w:lvlText w:val="%1）"/>
      <w:lvlJc w:val="left"/>
      <w:pPr>
        <w:ind w:left="223" w:hanging="366"/>
      </w:pPr>
      <w:rPr>
        <w:rFonts w:hint="default" w:ascii="Times New Roman" w:hAnsi="Times New Roman" w:eastAsia="Times New Roman" w:cs="Times New Roman"/>
        <w:spacing w:val="-20"/>
        <w:w w:val="100"/>
        <w:sz w:val="22"/>
        <w:szCs w:val="22"/>
        <w:lang w:val="zh-CN" w:eastAsia="zh-CN" w:bidi="zh-CN"/>
      </w:rPr>
    </w:lvl>
    <w:lvl w:ilvl="1" w:tentative="0">
      <w:start w:val="0"/>
      <w:numFmt w:val="bullet"/>
      <w:lvlText w:val="•"/>
      <w:lvlJc w:val="left"/>
      <w:pPr>
        <w:ind w:left="1190" w:hanging="366"/>
      </w:pPr>
      <w:rPr>
        <w:rFonts w:hint="default"/>
        <w:lang w:val="zh-CN" w:eastAsia="zh-CN" w:bidi="zh-CN"/>
      </w:rPr>
    </w:lvl>
    <w:lvl w:ilvl="2" w:tentative="0">
      <w:start w:val="0"/>
      <w:numFmt w:val="bullet"/>
      <w:lvlText w:val="•"/>
      <w:lvlJc w:val="left"/>
      <w:pPr>
        <w:ind w:left="2161" w:hanging="366"/>
      </w:pPr>
      <w:rPr>
        <w:rFonts w:hint="default"/>
        <w:lang w:val="zh-CN" w:eastAsia="zh-CN" w:bidi="zh-CN"/>
      </w:rPr>
    </w:lvl>
    <w:lvl w:ilvl="3" w:tentative="0">
      <w:start w:val="0"/>
      <w:numFmt w:val="bullet"/>
      <w:lvlText w:val="•"/>
      <w:lvlJc w:val="left"/>
      <w:pPr>
        <w:ind w:left="3131" w:hanging="366"/>
      </w:pPr>
      <w:rPr>
        <w:rFonts w:hint="default"/>
        <w:lang w:val="zh-CN" w:eastAsia="zh-CN" w:bidi="zh-CN"/>
      </w:rPr>
    </w:lvl>
    <w:lvl w:ilvl="4" w:tentative="0">
      <w:start w:val="0"/>
      <w:numFmt w:val="bullet"/>
      <w:lvlText w:val="•"/>
      <w:lvlJc w:val="left"/>
      <w:pPr>
        <w:ind w:left="4102" w:hanging="366"/>
      </w:pPr>
      <w:rPr>
        <w:rFonts w:hint="default"/>
        <w:lang w:val="zh-CN" w:eastAsia="zh-CN" w:bidi="zh-CN"/>
      </w:rPr>
    </w:lvl>
    <w:lvl w:ilvl="5" w:tentative="0">
      <w:start w:val="0"/>
      <w:numFmt w:val="bullet"/>
      <w:lvlText w:val="•"/>
      <w:lvlJc w:val="left"/>
      <w:pPr>
        <w:ind w:left="5073" w:hanging="366"/>
      </w:pPr>
      <w:rPr>
        <w:rFonts w:hint="default"/>
        <w:lang w:val="zh-CN" w:eastAsia="zh-CN" w:bidi="zh-CN"/>
      </w:rPr>
    </w:lvl>
    <w:lvl w:ilvl="6" w:tentative="0">
      <w:start w:val="0"/>
      <w:numFmt w:val="bullet"/>
      <w:lvlText w:val="•"/>
      <w:lvlJc w:val="left"/>
      <w:pPr>
        <w:ind w:left="6043" w:hanging="366"/>
      </w:pPr>
      <w:rPr>
        <w:rFonts w:hint="default"/>
        <w:lang w:val="zh-CN" w:eastAsia="zh-CN" w:bidi="zh-CN"/>
      </w:rPr>
    </w:lvl>
    <w:lvl w:ilvl="7" w:tentative="0">
      <w:start w:val="0"/>
      <w:numFmt w:val="bullet"/>
      <w:lvlText w:val="•"/>
      <w:lvlJc w:val="left"/>
      <w:pPr>
        <w:ind w:left="7014" w:hanging="366"/>
      </w:pPr>
      <w:rPr>
        <w:rFonts w:hint="default"/>
        <w:lang w:val="zh-CN" w:eastAsia="zh-CN" w:bidi="zh-CN"/>
      </w:rPr>
    </w:lvl>
    <w:lvl w:ilvl="8" w:tentative="0">
      <w:start w:val="0"/>
      <w:numFmt w:val="bullet"/>
      <w:lvlText w:val="•"/>
      <w:lvlJc w:val="left"/>
      <w:pPr>
        <w:ind w:left="7985" w:hanging="366"/>
      </w:pPr>
      <w:rPr>
        <w:rFonts w:hint="default"/>
        <w:lang w:val="zh-CN" w:eastAsia="zh-CN" w:bidi="zh-CN"/>
      </w:rPr>
    </w:lvl>
  </w:abstractNum>
  <w:abstractNum w:abstractNumId="3">
    <w:nsid w:val="8CAEB125"/>
    <w:multiLevelType w:val="multilevel"/>
    <w:tmpl w:val="8CAEB125"/>
    <w:lvl w:ilvl="0" w:tentative="0">
      <w:start w:val="1"/>
      <w:numFmt w:val="decimal"/>
      <w:lvlText w:val="%1）"/>
      <w:lvlJc w:val="left"/>
      <w:pPr>
        <w:ind w:left="1092" w:hanging="372"/>
      </w:pPr>
      <w:rPr>
        <w:rFonts w:hint="default" w:ascii="Times New Roman" w:hAnsi="Times New Roman" w:eastAsia="Times New Roman" w:cs="Times New Roman"/>
        <w:spacing w:val="4"/>
        <w:w w:val="100"/>
        <w:sz w:val="22"/>
        <w:szCs w:val="22"/>
        <w:lang w:val="zh-CN" w:eastAsia="zh-CN" w:bidi="zh-CN"/>
      </w:rPr>
    </w:lvl>
    <w:lvl w:ilvl="1" w:tentative="0">
      <w:start w:val="0"/>
      <w:numFmt w:val="bullet"/>
      <w:lvlText w:val="•"/>
      <w:lvlJc w:val="left"/>
      <w:pPr>
        <w:ind w:left="1982" w:hanging="372"/>
      </w:pPr>
      <w:rPr>
        <w:rFonts w:hint="default"/>
        <w:lang w:val="zh-CN" w:eastAsia="zh-CN" w:bidi="zh-CN"/>
      </w:rPr>
    </w:lvl>
    <w:lvl w:ilvl="2" w:tentative="0">
      <w:start w:val="0"/>
      <w:numFmt w:val="bullet"/>
      <w:lvlText w:val="•"/>
      <w:lvlJc w:val="left"/>
      <w:pPr>
        <w:ind w:left="2865" w:hanging="372"/>
      </w:pPr>
      <w:rPr>
        <w:rFonts w:hint="default"/>
        <w:lang w:val="zh-CN" w:eastAsia="zh-CN" w:bidi="zh-CN"/>
      </w:rPr>
    </w:lvl>
    <w:lvl w:ilvl="3" w:tentative="0">
      <w:start w:val="0"/>
      <w:numFmt w:val="bullet"/>
      <w:lvlText w:val="•"/>
      <w:lvlJc w:val="left"/>
      <w:pPr>
        <w:ind w:left="3747" w:hanging="372"/>
      </w:pPr>
      <w:rPr>
        <w:rFonts w:hint="default"/>
        <w:lang w:val="zh-CN" w:eastAsia="zh-CN" w:bidi="zh-CN"/>
      </w:rPr>
    </w:lvl>
    <w:lvl w:ilvl="4" w:tentative="0">
      <w:start w:val="0"/>
      <w:numFmt w:val="bullet"/>
      <w:lvlText w:val="•"/>
      <w:lvlJc w:val="left"/>
      <w:pPr>
        <w:ind w:left="4630" w:hanging="372"/>
      </w:pPr>
      <w:rPr>
        <w:rFonts w:hint="default"/>
        <w:lang w:val="zh-CN" w:eastAsia="zh-CN" w:bidi="zh-CN"/>
      </w:rPr>
    </w:lvl>
    <w:lvl w:ilvl="5" w:tentative="0">
      <w:start w:val="0"/>
      <w:numFmt w:val="bullet"/>
      <w:lvlText w:val="•"/>
      <w:lvlJc w:val="left"/>
      <w:pPr>
        <w:ind w:left="5513" w:hanging="372"/>
      </w:pPr>
      <w:rPr>
        <w:rFonts w:hint="default"/>
        <w:lang w:val="zh-CN" w:eastAsia="zh-CN" w:bidi="zh-CN"/>
      </w:rPr>
    </w:lvl>
    <w:lvl w:ilvl="6" w:tentative="0">
      <w:start w:val="0"/>
      <w:numFmt w:val="bullet"/>
      <w:lvlText w:val="•"/>
      <w:lvlJc w:val="left"/>
      <w:pPr>
        <w:ind w:left="6395" w:hanging="372"/>
      </w:pPr>
      <w:rPr>
        <w:rFonts w:hint="default"/>
        <w:lang w:val="zh-CN" w:eastAsia="zh-CN" w:bidi="zh-CN"/>
      </w:rPr>
    </w:lvl>
    <w:lvl w:ilvl="7" w:tentative="0">
      <w:start w:val="0"/>
      <w:numFmt w:val="bullet"/>
      <w:lvlText w:val="•"/>
      <w:lvlJc w:val="left"/>
      <w:pPr>
        <w:ind w:left="7278" w:hanging="372"/>
      </w:pPr>
      <w:rPr>
        <w:rFonts w:hint="default"/>
        <w:lang w:val="zh-CN" w:eastAsia="zh-CN" w:bidi="zh-CN"/>
      </w:rPr>
    </w:lvl>
    <w:lvl w:ilvl="8" w:tentative="0">
      <w:start w:val="0"/>
      <w:numFmt w:val="bullet"/>
      <w:lvlText w:val="•"/>
      <w:lvlJc w:val="left"/>
      <w:pPr>
        <w:ind w:left="8161" w:hanging="372"/>
      </w:pPr>
      <w:rPr>
        <w:rFonts w:hint="default"/>
        <w:lang w:val="zh-CN" w:eastAsia="zh-CN" w:bidi="zh-CN"/>
      </w:rPr>
    </w:lvl>
  </w:abstractNum>
  <w:abstractNum w:abstractNumId="4">
    <w:nsid w:val="91995D4F"/>
    <w:multiLevelType w:val="multilevel"/>
    <w:tmpl w:val="91995D4F"/>
    <w:lvl w:ilvl="0" w:tentative="0">
      <w:start w:val="1"/>
      <w:numFmt w:val="decimal"/>
      <w:lvlText w:val="%1）"/>
      <w:lvlJc w:val="left"/>
      <w:pPr>
        <w:ind w:left="1092" w:hanging="372"/>
      </w:pPr>
      <w:rPr>
        <w:rFonts w:hint="default" w:ascii="Times New Roman" w:hAnsi="Times New Roman" w:eastAsia="Times New Roman" w:cs="Times New Roman"/>
        <w:spacing w:val="4"/>
        <w:w w:val="100"/>
        <w:sz w:val="22"/>
        <w:szCs w:val="22"/>
        <w:lang w:val="zh-CN" w:eastAsia="zh-CN" w:bidi="zh-CN"/>
      </w:rPr>
    </w:lvl>
    <w:lvl w:ilvl="1" w:tentative="0">
      <w:start w:val="0"/>
      <w:numFmt w:val="bullet"/>
      <w:lvlText w:val="•"/>
      <w:lvlJc w:val="left"/>
      <w:pPr>
        <w:ind w:left="1982" w:hanging="372"/>
      </w:pPr>
      <w:rPr>
        <w:rFonts w:hint="default"/>
        <w:lang w:val="zh-CN" w:eastAsia="zh-CN" w:bidi="zh-CN"/>
      </w:rPr>
    </w:lvl>
    <w:lvl w:ilvl="2" w:tentative="0">
      <w:start w:val="0"/>
      <w:numFmt w:val="bullet"/>
      <w:lvlText w:val="•"/>
      <w:lvlJc w:val="left"/>
      <w:pPr>
        <w:ind w:left="2865" w:hanging="372"/>
      </w:pPr>
      <w:rPr>
        <w:rFonts w:hint="default"/>
        <w:lang w:val="zh-CN" w:eastAsia="zh-CN" w:bidi="zh-CN"/>
      </w:rPr>
    </w:lvl>
    <w:lvl w:ilvl="3" w:tentative="0">
      <w:start w:val="0"/>
      <w:numFmt w:val="bullet"/>
      <w:lvlText w:val="•"/>
      <w:lvlJc w:val="left"/>
      <w:pPr>
        <w:ind w:left="3747" w:hanging="372"/>
      </w:pPr>
      <w:rPr>
        <w:rFonts w:hint="default"/>
        <w:lang w:val="zh-CN" w:eastAsia="zh-CN" w:bidi="zh-CN"/>
      </w:rPr>
    </w:lvl>
    <w:lvl w:ilvl="4" w:tentative="0">
      <w:start w:val="0"/>
      <w:numFmt w:val="bullet"/>
      <w:lvlText w:val="•"/>
      <w:lvlJc w:val="left"/>
      <w:pPr>
        <w:ind w:left="4630" w:hanging="372"/>
      </w:pPr>
      <w:rPr>
        <w:rFonts w:hint="default"/>
        <w:lang w:val="zh-CN" w:eastAsia="zh-CN" w:bidi="zh-CN"/>
      </w:rPr>
    </w:lvl>
    <w:lvl w:ilvl="5" w:tentative="0">
      <w:start w:val="0"/>
      <w:numFmt w:val="bullet"/>
      <w:lvlText w:val="•"/>
      <w:lvlJc w:val="left"/>
      <w:pPr>
        <w:ind w:left="5513" w:hanging="372"/>
      </w:pPr>
      <w:rPr>
        <w:rFonts w:hint="default"/>
        <w:lang w:val="zh-CN" w:eastAsia="zh-CN" w:bidi="zh-CN"/>
      </w:rPr>
    </w:lvl>
    <w:lvl w:ilvl="6" w:tentative="0">
      <w:start w:val="0"/>
      <w:numFmt w:val="bullet"/>
      <w:lvlText w:val="•"/>
      <w:lvlJc w:val="left"/>
      <w:pPr>
        <w:ind w:left="6395" w:hanging="372"/>
      </w:pPr>
      <w:rPr>
        <w:rFonts w:hint="default"/>
        <w:lang w:val="zh-CN" w:eastAsia="zh-CN" w:bidi="zh-CN"/>
      </w:rPr>
    </w:lvl>
    <w:lvl w:ilvl="7" w:tentative="0">
      <w:start w:val="0"/>
      <w:numFmt w:val="bullet"/>
      <w:lvlText w:val="•"/>
      <w:lvlJc w:val="left"/>
      <w:pPr>
        <w:ind w:left="7278" w:hanging="372"/>
      </w:pPr>
      <w:rPr>
        <w:rFonts w:hint="default"/>
        <w:lang w:val="zh-CN" w:eastAsia="zh-CN" w:bidi="zh-CN"/>
      </w:rPr>
    </w:lvl>
    <w:lvl w:ilvl="8" w:tentative="0">
      <w:start w:val="0"/>
      <w:numFmt w:val="bullet"/>
      <w:lvlText w:val="•"/>
      <w:lvlJc w:val="left"/>
      <w:pPr>
        <w:ind w:left="8161" w:hanging="372"/>
      </w:pPr>
      <w:rPr>
        <w:rFonts w:hint="default"/>
        <w:lang w:val="zh-CN" w:eastAsia="zh-CN" w:bidi="zh-CN"/>
      </w:rPr>
    </w:lvl>
  </w:abstractNum>
  <w:abstractNum w:abstractNumId="5">
    <w:nsid w:val="91B69C97"/>
    <w:multiLevelType w:val="multilevel"/>
    <w:tmpl w:val="91B69C97"/>
    <w:lvl w:ilvl="0" w:tentative="0">
      <w:start w:val="1"/>
      <w:numFmt w:val="decimal"/>
      <w:lvlText w:val="%1."/>
      <w:lvlJc w:val="left"/>
      <w:pPr>
        <w:ind w:left="223" w:hanging="243"/>
      </w:pPr>
      <w:rPr>
        <w:rFonts w:hint="default" w:ascii="宋体" w:hAnsi="宋体" w:eastAsia="宋体" w:cs="宋体"/>
        <w:w w:val="100"/>
        <w:sz w:val="22"/>
        <w:szCs w:val="22"/>
        <w:lang w:val="zh-CN" w:eastAsia="zh-CN" w:bidi="zh-CN"/>
      </w:rPr>
    </w:lvl>
    <w:lvl w:ilvl="1" w:tentative="0">
      <w:start w:val="0"/>
      <w:numFmt w:val="bullet"/>
      <w:lvlText w:val="•"/>
      <w:lvlJc w:val="left"/>
      <w:pPr>
        <w:ind w:left="1190" w:hanging="243"/>
      </w:pPr>
      <w:rPr>
        <w:rFonts w:hint="default"/>
        <w:lang w:val="zh-CN" w:eastAsia="zh-CN" w:bidi="zh-CN"/>
      </w:rPr>
    </w:lvl>
    <w:lvl w:ilvl="2" w:tentative="0">
      <w:start w:val="0"/>
      <w:numFmt w:val="bullet"/>
      <w:lvlText w:val="•"/>
      <w:lvlJc w:val="left"/>
      <w:pPr>
        <w:ind w:left="2161" w:hanging="243"/>
      </w:pPr>
      <w:rPr>
        <w:rFonts w:hint="default"/>
        <w:lang w:val="zh-CN" w:eastAsia="zh-CN" w:bidi="zh-CN"/>
      </w:rPr>
    </w:lvl>
    <w:lvl w:ilvl="3" w:tentative="0">
      <w:start w:val="0"/>
      <w:numFmt w:val="bullet"/>
      <w:lvlText w:val="•"/>
      <w:lvlJc w:val="left"/>
      <w:pPr>
        <w:ind w:left="3131" w:hanging="243"/>
      </w:pPr>
      <w:rPr>
        <w:rFonts w:hint="default"/>
        <w:lang w:val="zh-CN" w:eastAsia="zh-CN" w:bidi="zh-CN"/>
      </w:rPr>
    </w:lvl>
    <w:lvl w:ilvl="4" w:tentative="0">
      <w:start w:val="0"/>
      <w:numFmt w:val="bullet"/>
      <w:lvlText w:val="•"/>
      <w:lvlJc w:val="left"/>
      <w:pPr>
        <w:ind w:left="4102" w:hanging="243"/>
      </w:pPr>
      <w:rPr>
        <w:rFonts w:hint="default"/>
        <w:lang w:val="zh-CN" w:eastAsia="zh-CN" w:bidi="zh-CN"/>
      </w:rPr>
    </w:lvl>
    <w:lvl w:ilvl="5" w:tentative="0">
      <w:start w:val="0"/>
      <w:numFmt w:val="bullet"/>
      <w:lvlText w:val="•"/>
      <w:lvlJc w:val="left"/>
      <w:pPr>
        <w:ind w:left="5073" w:hanging="243"/>
      </w:pPr>
      <w:rPr>
        <w:rFonts w:hint="default"/>
        <w:lang w:val="zh-CN" w:eastAsia="zh-CN" w:bidi="zh-CN"/>
      </w:rPr>
    </w:lvl>
    <w:lvl w:ilvl="6" w:tentative="0">
      <w:start w:val="0"/>
      <w:numFmt w:val="bullet"/>
      <w:lvlText w:val="•"/>
      <w:lvlJc w:val="left"/>
      <w:pPr>
        <w:ind w:left="6043" w:hanging="243"/>
      </w:pPr>
      <w:rPr>
        <w:rFonts w:hint="default"/>
        <w:lang w:val="zh-CN" w:eastAsia="zh-CN" w:bidi="zh-CN"/>
      </w:rPr>
    </w:lvl>
    <w:lvl w:ilvl="7" w:tentative="0">
      <w:start w:val="0"/>
      <w:numFmt w:val="bullet"/>
      <w:lvlText w:val="•"/>
      <w:lvlJc w:val="left"/>
      <w:pPr>
        <w:ind w:left="7014" w:hanging="243"/>
      </w:pPr>
      <w:rPr>
        <w:rFonts w:hint="default"/>
        <w:lang w:val="zh-CN" w:eastAsia="zh-CN" w:bidi="zh-CN"/>
      </w:rPr>
    </w:lvl>
    <w:lvl w:ilvl="8" w:tentative="0">
      <w:start w:val="0"/>
      <w:numFmt w:val="bullet"/>
      <w:lvlText w:val="•"/>
      <w:lvlJc w:val="left"/>
      <w:pPr>
        <w:ind w:left="7985" w:hanging="243"/>
      </w:pPr>
      <w:rPr>
        <w:rFonts w:hint="default"/>
        <w:lang w:val="zh-CN" w:eastAsia="zh-CN" w:bidi="zh-CN"/>
      </w:rPr>
    </w:lvl>
  </w:abstractNum>
  <w:abstractNum w:abstractNumId="6">
    <w:nsid w:val="9239341B"/>
    <w:multiLevelType w:val="multilevel"/>
    <w:tmpl w:val="9239341B"/>
    <w:lvl w:ilvl="0" w:tentative="0">
      <w:start w:val="1"/>
      <w:numFmt w:val="decimal"/>
      <w:lvlText w:val="（%1）"/>
      <w:lvlJc w:val="left"/>
      <w:pPr>
        <w:ind w:left="1304"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162" w:hanging="601"/>
      </w:pPr>
      <w:rPr>
        <w:rFonts w:hint="default"/>
        <w:lang w:val="zh-CN" w:eastAsia="zh-CN" w:bidi="zh-CN"/>
      </w:rPr>
    </w:lvl>
    <w:lvl w:ilvl="2" w:tentative="0">
      <w:start w:val="0"/>
      <w:numFmt w:val="bullet"/>
      <w:lvlText w:val="•"/>
      <w:lvlJc w:val="left"/>
      <w:pPr>
        <w:ind w:left="3025" w:hanging="601"/>
      </w:pPr>
      <w:rPr>
        <w:rFonts w:hint="default"/>
        <w:lang w:val="zh-CN" w:eastAsia="zh-CN" w:bidi="zh-CN"/>
      </w:rPr>
    </w:lvl>
    <w:lvl w:ilvl="3" w:tentative="0">
      <w:start w:val="0"/>
      <w:numFmt w:val="bullet"/>
      <w:lvlText w:val="•"/>
      <w:lvlJc w:val="left"/>
      <w:pPr>
        <w:ind w:left="3887" w:hanging="601"/>
      </w:pPr>
      <w:rPr>
        <w:rFonts w:hint="default"/>
        <w:lang w:val="zh-CN" w:eastAsia="zh-CN" w:bidi="zh-CN"/>
      </w:rPr>
    </w:lvl>
    <w:lvl w:ilvl="4" w:tentative="0">
      <w:start w:val="0"/>
      <w:numFmt w:val="bullet"/>
      <w:lvlText w:val="•"/>
      <w:lvlJc w:val="left"/>
      <w:pPr>
        <w:ind w:left="4750" w:hanging="601"/>
      </w:pPr>
      <w:rPr>
        <w:rFonts w:hint="default"/>
        <w:lang w:val="zh-CN" w:eastAsia="zh-CN" w:bidi="zh-CN"/>
      </w:rPr>
    </w:lvl>
    <w:lvl w:ilvl="5" w:tentative="0">
      <w:start w:val="0"/>
      <w:numFmt w:val="bullet"/>
      <w:lvlText w:val="•"/>
      <w:lvlJc w:val="left"/>
      <w:pPr>
        <w:ind w:left="5613" w:hanging="601"/>
      </w:pPr>
      <w:rPr>
        <w:rFonts w:hint="default"/>
        <w:lang w:val="zh-CN" w:eastAsia="zh-CN" w:bidi="zh-CN"/>
      </w:rPr>
    </w:lvl>
    <w:lvl w:ilvl="6" w:tentative="0">
      <w:start w:val="0"/>
      <w:numFmt w:val="bullet"/>
      <w:lvlText w:val="•"/>
      <w:lvlJc w:val="left"/>
      <w:pPr>
        <w:ind w:left="6475" w:hanging="601"/>
      </w:pPr>
      <w:rPr>
        <w:rFonts w:hint="default"/>
        <w:lang w:val="zh-CN" w:eastAsia="zh-CN" w:bidi="zh-CN"/>
      </w:rPr>
    </w:lvl>
    <w:lvl w:ilvl="7" w:tentative="0">
      <w:start w:val="0"/>
      <w:numFmt w:val="bullet"/>
      <w:lvlText w:val="•"/>
      <w:lvlJc w:val="left"/>
      <w:pPr>
        <w:ind w:left="7338" w:hanging="601"/>
      </w:pPr>
      <w:rPr>
        <w:rFonts w:hint="default"/>
        <w:lang w:val="zh-CN" w:eastAsia="zh-CN" w:bidi="zh-CN"/>
      </w:rPr>
    </w:lvl>
    <w:lvl w:ilvl="8" w:tentative="0">
      <w:start w:val="0"/>
      <w:numFmt w:val="bullet"/>
      <w:lvlText w:val="•"/>
      <w:lvlJc w:val="left"/>
      <w:pPr>
        <w:ind w:left="8201" w:hanging="601"/>
      </w:pPr>
      <w:rPr>
        <w:rFonts w:hint="default"/>
        <w:lang w:val="zh-CN" w:eastAsia="zh-CN" w:bidi="zh-CN"/>
      </w:rPr>
    </w:lvl>
  </w:abstractNum>
  <w:abstractNum w:abstractNumId="7">
    <w:nsid w:val="9288B902"/>
    <w:multiLevelType w:val="multilevel"/>
    <w:tmpl w:val="9288B902"/>
    <w:lvl w:ilvl="0" w:tentative="0">
      <w:start w:val="1"/>
      <w:numFmt w:val="lowerLetter"/>
      <w:lvlText w:val="%1."/>
      <w:lvlJc w:val="left"/>
      <w:pPr>
        <w:ind w:left="1144" w:hanging="303"/>
      </w:pPr>
      <w:rPr>
        <w:rFonts w:hint="default" w:ascii="Times New Roman" w:hAnsi="Times New Roman" w:eastAsia="Times New Roman" w:cs="Times New Roman"/>
        <w:spacing w:val="0"/>
        <w:w w:val="100"/>
        <w:sz w:val="24"/>
        <w:szCs w:val="24"/>
        <w:lang w:val="zh-CN" w:eastAsia="zh-CN" w:bidi="zh-CN"/>
      </w:rPr>
    </w:lvl>
    <w:lvl w:ilvl="1" w:tentative="0">
      <w:start w:val="0"/>
      <w:numFmt w:val="bullet"/>
      <w:lvlText w:val="•"/>
      <w:lvlJc w:val="left"/>
      <w:pPr>
        <w:ind w:left="2018" w:hanging="303"/>
      </w:pPr>
      <w:rPr>
        <w:rFonts w:hint="default"/>
        <w:lang w:val="zh-CN" w:eastAsia="zh-CN" w:bidi="zh-CN"/>
      </w:rPr>
    </w:lvl>
    <w:lvl w:ilvl="2" w:tentative="0">
      <w:start w:val="0"/>
      <w:numFmt w:val="bullet"/>
      <w:lvlText w:val="•"/>
      <w:lvlJc w:val="left"/>
      <w:pPr>
        <w:ind w:left="2897" w:hanging="303"/>
      </w:pPr>
      <w:rPr>
        <w:rFonts w:hint="default"/>
        <w:lang w:val="zh-CN" w:eastAsia="zh-CN" w:bidi="zh-CN"/>
      </w:rPr>
    </w:lvl>
    <w:lvl w:ilvl="3" w:tentative="0">
      <w:start w:val="0"/>
      <w:numFmt w:val="bullet"/>
      <w:lvlText w:val="•"/>
      <w:lvlJc w:val="left"/>
      <w:pPr>
        <w:ind w:left="3775" w:hanging="303"/>
      </w:pPr>
      <w:rPr>
        <w:rFonts w:hint="default"/>
        <w:lang w:val="zh-CN" w:eastAsia="zh-CN" w:bidi="zh-CN"/>
      </w:rPr>
    </w:lvl>
    <w:lvl w:ilvl="4" w:tentative="0">
      <w:start w:val="0"/>
      <w:numFmt w:val="bullet"/>
      <w:lvlText w:val="•"/>
      <w:lvlJc w:val="left"/>
      <w:pPr>
        <w:ind w:left="4654" w:hanging="303"/>
      </w:pPr>
      <w:rPr>
        <w:rFonts w:hint="default"/>
        <w:lang w:val="zh-CN" w:eastAsia="zh-CN" w:bidi="zh-CN"/>
      </w:rPr>
    </w:lvl>
    <w:lvl w:ilvl="5" w:tentative="0">
      <w:start w:val="0"/>
      <w:numFmt w:val="bullet"/>
      <w:lvlText w:val="•"/>
      <w:lvlJc w:val="left"/>
      <w:pPr>
        <w:ind w:left="5533" w:hanging="303"/>
      </w:pPr>
      <w:rPr>
        <w:rFonts w:hint="default"/>
        <w:lang w:val="zh-CN" w:eastAsia="zh-CN" w:bidi="zh-CN"/>
      </w:rPr>
    </w:lvl>
    <w:lvl w:ilvl="6" w:tentative="0">
      <w:start w:val="0"/>
      <w:numFmt w:val="bullet"/>
      <w:lvlText w:val="•"/>
      <w:lvlJc w:val="left"/>
      <w:pPr>
        <w:ind w:left="6411" w:hanging="303"/>
      </w:pPr>
      <w:rPr>
        <w:rFonts w:hint="default"/>
        <w:lang w:val="zh-CN" w:eastAsia="zh-CN" w:bidi="zh-CN"/>
      </w:rPr>
    </w:lvl>
    <w:lvl w:ilvl="7" w:tentative="0">
      <w:start w:val="0"/>
      <w:numFmt w:val="bullet"/>
      <w:lvlText w:val="•"/>
      <w:lvlJc w:val="left"/>
      <w:pPr>
        <w:ind w:left="7290" w:hanging="303"/>
      </w:pPr>
      <w:rPr>
        <w:rFonts w:hint="default"/>
        <w:lang w:val="zh-CN" w:eastAsia="zh-CN" w:bidi="zh-CN"/>
      </w:rPr>
    </w:lvl>
    <w:lvl w:ilvl="8" w:tentative="0">
      <w:start w:val="0"/>
      <w:numFmt w:val="bullet"/>
      <w:lvlText w:val="•"/>
      <w:lvlJc w:val="left"/>
      <w:pPr>
        <w:ind w:left="8169" w:hanging="303"/>
      </w:pPr>
      <w:rPr>
        <w:rFonts w:hint="default"/>
        <w:lang w:val="zh-CN" w:eastAsia="zh-CN" w:bidi="zh-CN"/>
      </w:rPr>
    </w:lvl>
  </w:abstractNum>
  <w:abstractNum w:abstractNumId="8">
    <w:nsid w:val="9377BC45"/>
    <w:multiLevelType w:val="multilevel"/>
    <w:tmpl w:val="9377BC45"/>
    <w:lvl w:ilvl="0" w:tentative="0">
      <w:start w:val="6"/>
      <w:numFmt w:val="decimal"/>
      <w:lvlText w:val="%1"/>
      <w:lvlJc w:val="left"/>
      <w:pPr>
        <w:ind w:left="223" w:hanging="660"/>
      </w:pPr>
      <w:rPr>
        <w:rFonts w:hint="default"/>
        <w:lang w:val="zh-CN" w:eastAsia="zh-CN" w:bidi="zh-CN"/>
      </w:rPr>
    </w:lvl>
    <w:lvl w:ilvl="1" w:tentative="0">
      <w:start w:val="2"/>
      <w:numFmt w:val="decimal"/>
      <w:lvlText w:val="%1.%2"/>
      <w:lvlJc w:val="left"/>
      <w:pPr>
        <w:ind w:left="223" w:hanging="660"/>
      </w:pPr>
      <w:rPr>
        <w:rFonts w:hint="default"/>
        <w:lang w:val="zh-CN" w:eastAsia="zh-CN" w:bidi="zh-CN"/>
      </w:rPr>
    </w:lvl>
    <w:lvl w:ilvl="2" w:tentative="0">
      <w:start w:val="2"/>
      <w:numFmt w:val="decimal"/>
      <w:lvlText w:val="%1.%2.%3"/>
      <w:lvlJc w:val="left"/>
      <w:pPr>
        <w:ind w:left="223"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3131" w:hanging="660"/>
      </w:pPr>
      <w:rPr>
        <w:rFonts w:hint="default"/>
        <w:lang w:val="zh-CN" w:eastAsia="zh-CN" w:bidi="zh-CN"/>
      </w:rPr>
    </w:lvl>
    <w:lvl w:ilvl="4" w:tentative="0">
      <w:start w:val="0"/>
      <w:numFmt w:val="bullet"/>
      <w:lvlText w:val="•"/>
      <w:lvlJc w:val="left"/>
      <w:pPr>
        <w:ind w:left="4102" w:hanging="660"/>
      </w:pPr>
      <w:rPr>
        <w:rFonts w:hint="default"/>
        <w:lang w:val="zh-CN" w:eastAsia="zh-CN" w:bidi="zh-CN"/>
      </w:rPr>
    </w:lvl>
    <w:lvl w:ilvl="5" w:tentative="0">
      <w:start w:val="0"/>
      <w:numFmt w:val="bullet"/>
      <w:lvlText w:val="•"/>
      <w:lvlJc w:val="left"/>
      <w:pPr>
        <w:ind w:left="5073" w:hanging="660"/>
      </w:pPr>
      <w:rPr>
        <w:rFonts w:hint="default"/>
        <w:lang w:val="zh-CN" w:eastAsia="zh-CN" w:bidi="zh-CN"/>
      </w:rPr>
    </w:lvl>
    <w:lvl w:ilvl="6" w:tentative="0">
      <w:start w:val="0"/>
      <w:numFmt w:val="bullet"/>
      <w:lvlText w:val="•"/>
      <w:lvlJc w:val="left"/>
      <w:pPr>
        <w:ind w:left="6043" w:hanging="660"/>
      </w:pPr>
      <w:rPr>
        <w:rFonts w:hint="default"/>
        <w:lang w:val="zh-CN" w:eastAsia="zh-CN" w:bidi="zh-CN"/>
      </w:rPr>
    </w:lvl>
    <w:lvl w:ilvl="7" w:tentative="0">
      <w:start w:val="0"/>
      <w:numFmt w:val="bullet"/>
      <w:lvlText w:val="•"/>
      <w:lvlJc w:val="left"/>
      <w:pPr>
        <w:ind w:left="7014" w:hanging="660"/>
      </w:pPr>
      <w:rPr>
        <w:rFonts w:hint="default"/>
        <w:lang w:val="zh-CN" w:eastAsia="zh-CN" w:bidi="zh-CN"/>
      </w:rPr>
    </w:lvl>
    <w:lvl w:ilvl="8" w:tentative="0">
      <w:start w:val="0"/>
      <w:numFmt w:val="bullet"/>
      <w:lvlText w:val="•"/>
      <w:lvlJc w:val="left"/>
      <w:pPr>
        <w:ind w:left="7985" w:hanging="660"/>
      </w:pPr>
      <w:rPr>
        <w:rFonts w:hint="default"/>
        <w:lang w:val="zh-CN" w:eastAsia="zh-CN" w:bidi="zh-CN"/>
      </w:rPr>
    </w:lvl>
  </w:abstractNum>
  <w:abstractNum w:abstractNumId="9">
    <w:nsid w:val="9ACF65A0"/>
    <w:multiLevelType w:val="multilevel"/>
    <w:tmpl w:val="9ACF65A0"/>
    <w:lvl w:ilvl="0" w:tentative="0">
      <w:start w:val="14"/>
      <w:numFmt w:val="decimal"/>
      <w:lvlText w:val="（%1）"/>
      <w:lvlJc w:val="left"/>
      <w:pPr>
        <w:ind w:left="223" w:hanging="721"/>
      </w:pPr>
      <w:rPr>
        <w:rFonts w:hint="default" w:ascii="宋体" w:hAnsi="宋体" w:eastAsia="宋体" w:cs="宋体"/>
        <w:spacing w:val="-8"/>
        <w:w w:val="100"/>
        <w:sz w:val="22"/>
        <w:szCs w:val="22"/>
        <w:lang w:val="zh-CN" w:eastAsia="zh-CN" w:bidi="zh-CN"/>
      </w:rPr>
    </w:lvl>
    <w:lvl w:ilvl="1" w:tentative="0">
      <w:start w:val="1"/>
      <w:numFmt w:val="decimal"/>
      <w:lvlText w:val="%2）"/>
      <w:lvlJc w:val="left"/>
      <w:pPr>
        <w:ind w:left="1064" w:hanging="361"/>
      </w:pPr>
      <w:rPr>
        <w:rFonts w:hint="default" w:ascii="宋体" w:hAnsi="宋体" w:eastAsia="宋体" w:cs="宋体"/>
        <w:w w:val="100"/>
        <w:sz w:val="22"/>
        <w:szCs w:val="22"/>
        <w:lang w:val="zh-CN" w:eastAsia="zh-CN" w:bidi="zh-CN"/>
      </w:rPr>
    </w:lvl>
    <w:lvl w:ilvl="2" w:tentative="0">
      <w:start w:val="0"/>
      <w:numFmt w:val="bullet"/>
      <w:lvlText w:val="•"/>
      <w:lvlJc w:val="left"/>
      <w:pPr>
        <w:ind w:left="2045" w:hanging="361"/>
      </w:pPr>
      <w:rPr>
        <w:rFonts w:hint="default"/>
        <w:lang w:val="zh-CN" w:eastAsia="zh-CN" w:bidi="zh-CN"/>
      </w:rPr>
    </w:lvl>
    <w:lvl w:ilvl="3" w:tentative="0">
      <w:start w:val="0"/>
      <w:numFmt w:val="bullet"/>
      <w:lvlText w:val="•"/>
      <w:lvlJc w:val="left"/>
      <w:pPr>
        <w:ind w:left="3030" w:hanging="361"/>
      </w:pPr>
      <w:rPr>
        <w:rFonts w:hint="default"/>
        <w:lang w:val="zh-CN" w:eastAsia="zh-CN" w:bidi="zh-CN"/>
      </w:rPr>
    </w:lvl>
    <w:lvl w:ilvl="4" w:tentative="0">
      <w:start w:val="0"/>
      <w:numFmt w:val="bullet"/>
      <w:lvlText w:val="•"/>
      <w:lvlJc w:val="left"/>
      <w:pPr>
        <w:ind w:left="4015" w:hanging="361"/>
      </w:pPr>
      <w:rPr>
        <w:rFonts w:hint="default"/>
        <w:lang w:val="zh-CN" w:eastAsia="zh-CN" w:bidi="zh-CN"/>
      </w:rPr>
    </w:lvl>
    <w:lvl w:ilvl="5" w:tentative="0">
      <w:start w:val="0"/>
      <w:numFmt w:val="bullet"/>
      <w:lvlText w:val="•"/>
      <w:lvlJc w:val="left"/>
      <w:pPr>
        <w:ind w:left="5000" w:hanging="361"/>
      </w:pPr>
      <w:rPr>
        <w:rFonts w:hint="default"/>
        <w:lang w:val="zh-CN" w:eastAsia="zh-CN" w:bidi="zh-CN"/>
      </w:rPr>
    </w:lvl>
    <w:lvl w:ilvl="6" w:tentative="0">
      <w:start w:val="0"/>
      <w:numFmt w:val="bullet"/>
      <w:lvlText w:val="•"/>
      <w:lvlJc w:val="left"/>
      <w:pPr>
        <w:ind w:left="5985" w:hanging="361"/>
      </w:pPr>
      <w:rPr>
        <w:rFonts w:hint="default"/>
        <w:lang w:val="zh-CN" w:eastAsia="zh-CN" w:bidi="zh-CN"/>
      </w:rPr>
    </w:lvl>
    <w:lvl w:ilvl="7" w:tentative="0">
      <w:start w:val="0"/>
      <w:numFmt w:val="bullet"/>
      <w:lvlText w:val="•"/>
      <w:lvlJc w:val="left"/>
      <w:pPr>
        <w:ind w:left="6970" w:hanging="361"/>
      </w:pPr>
      <w:rPr>
        <w:rFonts w:hint="default"/>
        <w:lang w:val="zh-CN" w:eastAsia="zh-CN" w:bidi="zh-CN"/>
      </w:rPr>
    </w:lvl>
    <w:lvl w:ilvl="8" w:tentative="0">
      <w:start w:val="0"/>
      <w:numFmt w:val="bullet"/>
      <w:lvlText w:val="•"/>
      <w:lvlJc w:val="left"/>
      <w:pPr>
        <w:ind w:left="7956" w:hanging="361"/>
      </w:pPr>
      <w:rPr>
        <w:rFonts w:hint="default"/>
        <w:lang w:val="zh-CN" w:eastAsia="zh-CN" w:bidi="zh-CN"/>
      </w:rPr>
    </w:lvl>
  </w:abstractNum>
  <w:abstractNum w:abstractNumId="10">
    <w:nsid w:val="9C8AC8EF"/>
    <w:multiLevelType w:val="multilevel"/>
    <w:tmpl w:val="9C8AC8EF"/>
    <w:lvl w:ilvl="0" w:tentative="0">
      <w:start w:val="1"/>
      <w:numFmt w:val="decimal"/>
      <w:lvlText w:val="（%1）"/>
      <w:lvlJc w:val="left"/>
      <w:pPr>
        <w:ind w:left="1184" w:hanging="601"/>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2054" w:hanging="601"/>
      </w:pPr>
      <w:rPr>
        <w:rFonts w:hint="default"/>
        <w:lang w:val="zh-CN" w:eastAsia="zh-CN" w:bidi="zh-CN"/>
      </w:rPr>
    </w:lvl>
    <w:lvl w:ilvl="2" w:tentative="0">
      <w:start w:val="0"/>
      <w:numFmt w:val="bullet"/>
      <w:lvlText w:val="•"/>
      <w:lvlJc w:val="left"/>
      <w:pPr>
        <w:ind w:left="2929" w:hanging="601"/>
      </w:pPr>
      <w:rPr>
        <w:rFonts w:hint="default"/>
        <w:lang w:val="zh-CN" w:eastAsia="zh-CN" w:bidi="zh-CN"/>
      </w:rPr>
    </w:lvl>
    <w:lvl w:ilvl="3" w:tentative="0">
      <w:start w:val="0"/>
      <w:numFmt w:val="bullet"/>
      <w:lvlText w:val="•"/>
      <w:lvlJc w:val="left"/>
      <w:pPr>
        <w:ind w:left="3803" w:hanging="601"/>
      </w:pPr>
      <w:rPr>
        <w:rFonts w:hint="default"/>
        <w:lang w:val="zh-CN" w:eastAsia="zh-CN" w:bidi="zh-CN"/>
      </w:rPr>
    </w:lvl>
    <w:lvl w:ilvl="4" w:tentative="0">
      <w:start w:val="0"/>
      <w:numFmt w:val="bullet"/>
      <w:lvlText w:val="•"/>
      <w:lvlJc w:val="left"/>
      <w:pPr>
        <w:ind w:left="4678" w:hanging="601"/>
      </w:pPr>
      <w:rPr>
        <w:rFonts w:hint="default"/>
        <w:lang w:val="zh-CN" w:eastAsia="zh-CN" w:bidi="zh-CN"/>
      </w:rPr>
    </w:lvl>
    <w:lvl w:ilvl="5" w:tentative="0">
      <w:start w:val="0"/>
      <w:numFmt w:val="bullet"/>
      <w:lvlText w:val="•"/>
      <w:lvlJc w:val="left"/>
      <w:pPr>
        <w:ind w:left="5553" w:hanging="601"/>
      </w:pPr>
      <w:rPr>
        <w:rFonts w:hint="default"/>
        <w:lang w:val="zh-CN" w:eastAsia="zh-CN" w:bidi="zh-CN"/>
      </w:rPr>
    </w:lvl>
    <w:lvl w:ilvl="6" w:tentative="0">
      <w:start w:val="0"/>
      <w:numFmt w:val="bullet"/>
      <w:lvlText w:val="•"/>
      <w:lvlJc w:val="left"/>
      <w:pPr>
        <w:ind w:left="6427" w:hanging="601"/>
      </w:pPr>
      <w:rPr>
        <w:rFonts w:hint="default"/>
        <w:lang w:val="zh-CN" w:eastAsia="zh-CN" w:bidi="zh-CN"/>
      </w:rPr>
    </w:lvl>
    <w:lvl w:ilvl="7" w:tentative="0">
      <w:start w:val="0"/>
      <w:numFmt w:val="bullet"/>
      <w:lvlText w:val="•"/>
      <w:lvlJc w:val="left"/>
      <w:pPr>
        <w:ind w:left="7302" w:hanging="601"/>
      </w:pPr>
      <w:rPr>
        <w:rFonts w:hint="default"/>
        <w:lang w:val="zh-CN" w:eastAsia="zh-CN" w:bidi="zh-CN"/>
      </w:rPr>
    </w:lvl>
    <w:lvl w:ilvl="8" w:tentative="0">
      <w:start w:val="0"/>
      <w:numFmt w:val="bullet"/>
      <w:lvlText w:val="•"/>
      <w:lvlJc w:val="left"/>
      <w:pPr>
        <w:ind w:left="8177" w:hanging="601"/>
      </w:pPr>
      <w:rPr>
        <w:rFonts w:hint="default"/>
        <w:lang w:val="zh-CN" w:eastAsia="zh-CN" w:bidi="zh-CN"/>
      </w:rPr>
    </w:lvl>
  </w:abstractNum>
  <w:abstractNum w:abstractNumId="11">
    <w:nsid w:val="9D5D7490"/>
    <w:multiLevelType w:val="multilevel"/>
    <w:tmpl w:val="9D5D7490"/>
    <w:lvl w:ilvl="0" w:tentative="0">
      <w:start w:val="7"/>
      <w:numFmt w:val="decimal"/>
      <w:lvlText w:val="%1"/>
      <w:lvlJc w:val="left"/>
      <w:pPr>
        <w:ind w:left="1130" w:hanging="425"/>
      </w:pPr>
      <w:rPr>
        <w:rFonts w:hint="default"/>
        <w:lang w:val="zh-CN" w:eastAsia="zh-CN" w:bidi="zh-CN"/>
      </w:rPr>
    </w:lvl>
    <w:lvl w:ilvl="1" w:tentative="0">
      <w:start w:val="2"/>
      <w:numFmt w:val="decimal"/>
      <w:lvlText w:val="%1.%2"/>
      <w:lvlJc w:val="left"/>
      <w:pPr>
        <w:ind w:left="1130" w:hanging="425"/>
      </w:pPr>
      <w:rPr>
        <w:rFonts w:hint="default" w:ascii="宋体" w:hAnsi="宋体" w:eastAsia="宋体" w:cs="宋体"/>
        <w:b/>
        <w:bCs/>
        <w:spacing w:val="0"/>
        <w:w w:val="99"/>
        <w:sz w:val="24"/>
        <w:szCs w:val="24"/>
        <w:lang w:val="zh-CN" w:eastAsia="zh-CN" w:bidi="zh-CN"/>
      </w:rPr>
    </w:lvl>
    <w:lvl w:ilvl="2" w:tentative="0">
      <w:start w:val="0"/>
      <w:numFmt w:val="bullet"/>
      <w:lvlText w:val="•"/>
      <w:lvlJc w:val="left"/>
      <w:pPr>
        <w:ind w:left="2897" w:hanging="425"/>
      </w:pPr>
      <w:rPr>
        <w:rFonts w:hint="default"/>
        <w:lang w:val="zh-CN" w:eastAsia="zh-CN" w:bidi="zh-CN"/>
      </w:rPr>
    </w:lvl>
    <w:lvl w:ilvl="3" w:tentative="0">
      <w:start w:val="0"/>
      <w:numFmt w:val="bullet"/>
      <w:lvlText w:val="•"/>
      <w:lvlJc w:val="left"/>
      <w:pPr>
        <w:ind w:left="3775" w:hanging="425"/>
      </w:pPr>
      <w:rPr>
        <w:rFonts w:hint="default"/>
        <w:lang w:val="zh-CN" w:eastAsia="zh-CN" w:bidi="zh-CN"/>
      </w:rPr>
    </w:lvl>
    <w:lvl w:ilvl="4" w:tentative="0">
      <w:start w:val="0"/>
      <w:numFmt w:val="bullet"/>
      <w:lvlText w:val="•"/>
      <w:lvlJc w:val="left"/>
      <w:pPr>
        <w:ind w:left="4654" w:hanging="425"/>
      </w:pPr>
      <w:rPr>
        <w:rFonts w:hint="default"/>
        <w:lang w:val="zh-CN" w:eastAsia="zh-CN" w:bidi="zh-CN"/>
      </w:rPr>
    </w:lvl>
    <w:lvl w:ilvl="5" w:tentative="0">
      <w:start w:val="0"/>
      <w:numFmt w:val="bullet"/>
      <w:lvlText w:val="•"/>
      <w:lvlJc w:val="left"/>
      <w:pPr>
        <w:ind w:left="5533" w:hanging="425"/>
      </w:pPr>
      <w:rPr>
        <w:rFonts w:hint="default"/>
        <w:lang w:val="zh-CN" w:eastAsia="zh-CN" w:bidi="zh-CN"/>
      </w:rPr>
    </w:lvl>
    <w:lvl w:ilvl="6" w:tentative="0">
      <w:start w:val="0"/>
      <w:numFmt w:val="bullet"/>
      <w:lvlText w:val="•"/>
      <w:lvlJc w:val="left"/>
      <w:pPr>
        <w:ind w:left="6411" w:hanging="425"/>
      </w:pPr>
      <w:rPr>
        <w:rFonts w:hint="default"/>
        <w:lang w:val="zh-CN" w:eastAsia="zh-CN" w:bidi="zh-CN"/>
      </w:rPr>
    </w:lvl>
    <w:lvl w:ilvl="7" w:tentative="0">
      <w:start w:val="0"/>
      <w:numFmt w:val="bullet"/>
      <w:lvlText w:val="•"/>
      <w:lvlJc w:val="left"/>
      <w:pPr>
        <w:ind w:left="7290" w:hanging="425"/>
      </w:pPr>
      <w:rPr>
        <w:rFonts w:hint="default"/>
        <w:lang w:val="zh-CN" w:eastAsia="zh-CN" w:bidi="zh-CN"/>
      </w:rPr>
    </w:lvl>
    <w:lvl w:ilvl="8" w:tentative="0">
      <w:start w:val="0"/>
      <w:numFmt w:val="bullet"/>
      <w:lvlText w:val="•"/>
      <w:lvlJc w:val="left"/>
      <w:pPr>
        <w:ind w:left="8169" w:hanging="425"/>
      </w:pPr>
      <w:rPr>
        <w:rFonts w:hint="default"/>
        <w:lang w:val="zh-CN" w:eastAsia="zh-CN" w:bidi="zh-CN"/>
      </w:rPr>
    </w:lvl>
  </w:abstractNum>
  <w:abstractNum w:abstractNumId="12">
    <w:nsid w:val="A0C93552"/>
    <w:multiLevelType w:val="multilevel"/>
    <w:tmpl w:val="A0C93552"/>
    <w:lvl w:ilvl="0" w:tentative="0">
      <w:start w:val="3"/>
      <w:numFmt w:val="decimal"/>
      <w:lvlText w:val="%1"/>
      <w:lvlJc w:val="left"/>
      <w:pPr>
        <w:ind w:left="1130" w:hanging="425"/>
      </w:pPr>
      <w:rPr>
        <w:rFonts w:hint="default"/>
        <w:lang w:val="zh-CN" w:eastAsia="zh-CN" w:bidi="zh-CN"/>
      </w:rPr>
    </w:lvl>
    <w:lvl w:ilvl="1" w:tentative="0">
      <w:start w:val="2"/>
      <w:numFmt w:val="decimal"/>
      <w:lvlText w:val="%1.%2"/>
      <w:lvlJc w:val="left"/>
      <w:pPr>
        <w:ind w:left="1130" w:hanging="42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23"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3092" w:hanging="660"/>
      </w:pPr>
      <w:rPr>
        <w:rFonts w:hint="default"/>
        <w:lang w:val="zh-CN" w:eastAsia="zh-CN" w:bidi="zh-CN"/>
      </w:rPr>
    </w:lvl>
    <w:lvl w:ilvl="4" w:tentative="0">
      <w:start w:val="0"/>
      <w:numFmt w:val="bullet"/>
      <w:lvlText w:val="•"/>
      <w:lvlJc w:val="left"/>
      <w:pPr>
        <w:ind w:left="4068" w:hanging="660"/>
      </w:pPr>
      <w:rPr>
        <w:rFonts w:hint="default"/>
        <w:lang w:val="zh-CN" w:eastAsia="zh-CN" w:bidi="zh-CN"/>
      </w:rPr>
    </w:lvl>
    <w:lvl w:ilvl="5" w:tentative="0">
      <w:start w:val="0"/>
      <w:numFmt w:val="bullet"/>
      <w:lvlText w:val="•"/>
      <w:lvlJc w:val="left"/>
      <w:pPr>
        <w:ind w:left="5045" w:hanging="660"/>
      </w:pPr>
      <w:rPr>
        <w:rFonts w:hint="default"/>
        <w:lang w:val="zh-CN" w:eastAsia="zh-CN" w:bidi="zh-CN"/>
      </w:rPr>
    </w:lvl>
    <w:lvl w:ilvl="6" w:tentative="0">
      <w:start w:val="0"/>
      <w:numFmt w:val="bullet"/>
      <w:lvlText w:val="•"/>
      <w:lvlJc w:val="left"/>
      <w:pPr>
        <w:ind w:left="6021" w:hanging="660"/>
      </w:pPr>
      <w:rPr>
        <w:rFonts w:hint="default"/>
        <w:lang w:val="zh-CN" w:eastAsia="zh-CN" w:bidi="zh-CN"/>
      </w:rPr>
    </w:lvl>
    <w:lvl w:ilvl="7" w:tentative="0">
      <w:start w:val="0"/>
      <w:numFmt w:val="bullet"/>
      <w:lvlText w:val="•"/>
      <w:lvlJc w:val="left"/>
      <w:pPr>
        <w:ind w:left="6997" w:hanging="660"/>
      </w:pPr>
      <w:rPr>
        <w:rFonts w:hint="default"/>
        <w:lang w:val="zh-CN" w:eastAsia="zh-CN" w:bidi="zh-CN"/>
      </w:rPr>
    </w:lvl>
    <w:lvl w:ilvl="8" w:tentative="0">
      <w:start w:val="0"/>
      <w:numFmt w:val="bullet"/>
      <w:lvlText w:val="•"/>
      <w:lvlJc w:val="left"/>
      <w:pPr>
        <w:ind w:left="7973" w:hanging="660"/>
      </w:pPr>
      <w:rPr>
        <w:rFonts w:hint="default"/>
        <w:lang w:val="zh-CN" w:eastAsia="zh-CN" w:bidi="zh-CN"/>
      </w:rPr>
    </w:lvl>
  </w:abstractNum>
  <w:abstractNum w:abstractNumId="13">
    <w:nsid w:val="A0F05207"/>
    <w:multiLevelType w:val="multilevel"/>
    <w:tmpl w:val="A0F05207"/>
    <w:lvl w:ilvl="0" w:tentative="0">
      <w:start w:val="1"/>
      <w:numFmt w:val="decimal"/>
      <w:lvlText w:val="（%1）"/>
      <w:lvlJc w:val="left"/>
      <w:pPr>
        <w:ind w:left="1216" w:hanging="622"/>
      </w:pPr>
      <w:rPr>
        <w:rFonts w:hint="default" w:ascii="宋体" w:hAnsi="宋体" w:eastAsia="宋体" w:cs="宋体"/>
        <w:spacing w:val="0"/>
        <w:w w:val="100"/>
        <w:sz w:val="22"/>
        <w:szCs w:val="22"/>
        <w:lang w:val="zh-CN" w:eastAsia="zh-CN" w:bidi="zh-CN"/>
      </w:rPr>
    </w:lvl>
    <w:lvl w:ilvl="1" w:tentative="0">
      <w:start w:val="1"/>
      <w:numFmt w:val="decimal"/>
      <w:lvlText w:val="%2）"/>
      <w:lvlJc w:val="left"/>
      <w:pPr>
        <w:ind w:left="223" w:hanging="366"/>
      </w:pPr>
      <w:rPr>
        <w:rFonts w:hint="default" w:ascii="Times New Roman" w:hAnsi="Times New Roman" w:eastAsia="Times New Roman" w:cs="Times New Roman"/>
        <w:spacing w:val="-5"/>
        <w:w w:val="100"/>
        <w:sz w:val="22"/>
        <w:szCs w:val="22"/>
        <w:lang w:val="zh-CN" w:eastAsia="zh-CN" w:bidi="zh-CN"/>
      </w:rPr>
    </w:lvl>
    <w:lvl w:ilvl="2" w:tentative="0">
      <w:start w:val="0"/>
      <w:numFmt w:val="bullet"/>
      <w:lvlText w:val="•"/>
      <w:lvlJc w:val="left"/>
      <w:pPr>
        <w:ind w:left="2187" w:hanging="366"/>
      </w:pPr>
      <w:rPr>
        <w:rFonts w:hint="default"/>
        <w:lang w:val="zh-CN" w:eastAsia="zh-CN" w:bidi="zh-CN"/>
      </w:rPr>
    </w:lvl>
    <w:lvl w:ilvl="3" w:tentative="0">
      <w:start w:val="0"/>
      <w:numFmt w:val="bullet"/>
      <w:lvlText w:val="•"/>
      <w:lvlJc w:val="left"/>
      <w:pPr>
        <w:ind w:left="3154" w:hanging="366"/>
      </w:pPr>
      <w:rPr>
        <w:rFonts w:hint="default"/>
        <w:lang w:val="zh-CN" w:eastAsia="zh-CN" w:bidi="zh-CN"/>
      </w:rPr>
    </w:lvl>
    <w:lvl w:ilvl="4" w:tentative="0">
      <w:start w:val="0"/>
      <w:numFmt w:val="bullet"/>
      <w:lvlText w:val="•"/>
      <w:lvlJc w:val="left"/>
      <w:pPr>
        <w:ind w:left="4122" w:hanging="366"/>
      </w:pPr>
      <w:rPr>
        <w:rFonts w:hint="default"/>
        <w:lang w:val="zh-CN" w:eastAsia="zh-CN" w:bidi="zh-CN"/>
      </w:rPr>
    </w:lvl>
    <w:lvl w:ilvl="5" w:tentative="0">
      <w:start w:val="0"/>
      <w:numFmt w:val="bullet"/>
      <w:lvlText w:val="•"/>
      <w:lvlJc w:val="left"/>
      <w:pPr>
        <w:ind w:left="5089" w:hanging="366"/>
      </w:pPr>
      <w:rPr>
        <w:rFonts w:hint="default"/>
        <w:lang w:val="zh-CN" w:eastAsia="zh-CN" w:bidi="zh-CN"/>
      </w:rPr>
    </w:lvl>
    <w:lvl w:ilvl="6" w:tentative="0">
      <w:start w:val="0"/>
      <w:numFmt w:val="bullet"/>
      <w:lvlText w:val="•"/>
      <w:lvlJc w:val="left"/>
      <w:pPr>
        <w:ind w:left="6056" w:hanging="366"/>
      </w:pPr>
      <w:rPr>
        <w:rFonts w:hint="default"/>
        <w:lang w:val="zh-CN" w:eastAsia="zh-CN" w:bidi="zh-CN"/>
      </w:rPr>
    </w:lvl>
    <w:lvl w:ilvl="7" w:tentative="0">
      <w:start w:val="0"/>
      <w:numFmt w:val="bullet"/>
      <w:lvlText w:val="•"/>
      <w:lvlJc w:val="left"/>
      <w:pPr>
        <w:ind w:left="7024" w:hanging="366"/>
      </w:pPr>
      <w:rPr>
        <w:rFonts w:hint="default"/>
        <w:lang w:val="zh-CN" w:eastAsia="zh-CN" w:bidi="zh-CN"/>
      </w:rPr>
    </w:lvl>
    <w:lvl w:ilvl="8" w:tentative="0">
      <w:start w:val="0"/>
      <w:numFmt w:val="bullet"/>
      <w:lvlText w:val="•"/>
      <w:lvlJc w:val="left"/>
      <w:pPr>
        <w:ind w:left="7991" w:hanging="366"/>
      </w:pPr>
      <w:rPr>
        <w:rFonts w:hint="default"/>
        <w:lang w:val="zh-CN" w:eastAsia="zh-CN" w:bidi="zh-CN"/>
      </w:rPr>
    </w:lvl>
  </w:abstractNum>
  <w:abstractNum w:abstractNumId="14">
    <w:nsid w:val="AAF3F3FA"/>
    <w:multiLevelType w:val="multilevel"/>
    <w:tmpl w:val="AAF3F3FA"/>
    <w:lvl w:ilvl="0" w:tentative="0">
      <w:start w:val="1"/>
      <w:numFmt w:val="decimal"/>
      <w:lvlText w:val="%1."/>
      <w:lvlJc w:val="left"/>
      <w:pPr>
        <w:ind w:left="223" w:hanging="243"/>
      </w:pPr>
      <w:rPr>
        <w:rFonts w:hint="default" w:ascii="宋体" w:hAnsi="宋体" w:eastAsia="宋体" w:cs="宋体"/>
        <w:w w:val="100"/>
        <w:sz w:val="22"/>
        <w:szCs w:val="22"/>
        <w:lang w:val="zh-CN" w:eastAsia="zh-CN" w:bidi="zh-CN"/>
      </w:rPr>
    </w:lvl>
    <w:lvl w:ilvl="1" w:tentative="0">
      <w:start w:val="0"/>
      <w:numFmt w:val="bullet"/>
      <w:lvlText w:val="•"/>
      <w:lvlJc w:val="left"/>
      <w:pPr>
        <w:ind w:left="1190" w:hanging="243"/>
      </w:pPr>
      <w:rPr>
        <w:rFonts w:hint="default"/>
        <w:lang w:val="zh-CN" w:eastAsia="zh-CN" w:bidi="zh-CN"/>
      </w:rPr>
    </w:lvl>
    <w:lvl w:ilvl="2" w:tentative="0">
      <w:start w:val="0"/>
      <w:numFmt w:val="bullet"/>
      <w:lvlText w:val="•"/>
      <w:lvlJc w:val="left"/>
      <w:pPr>
        <w:ind w:left="2161" w:hanging="243"/>
      </w:pPr>
      <w:rPr>
        <w:rFonts w:hint="default"/>
        <w:lang w:val="zh-CN" w:eastAsia="zh-CN" w:bidi="zh-CN"/>
      </w:rPr>
    </w:lvl>
    <w:lvl w:ilvl="3" w:tentative="0">
      <w:start w:val="0"/>
      <w:numFmt w:val="bullet"/>
      <w:lvlText w:val="•"/>
      <w:lvlJc w:val="left"/>
      <w:pPr>
        <w:ind w:left="3131" w:hanging="243"/>
      </w:pPr>
      <w:rPr>
        <w:rFonts w:hint="default"/>
        <w:lang w:val="zh-CN" w:eastAsia="zh-CN" w:bidi="zh-CN"/>
      </w:rPr>
    </w:lvl>
    <w:lvl w:ilvl="4" w:tentative="0">
      <w:start w:val="0"/>
      <w:numFmt w:val="bullet"/>
      <w:lvlText w:val="•"/>
      <w:lvlJc w:val="left"/>
      <w:pPr>
        <w:ind w:left="4102" w:hanging="243"/>
      </w:pPr>
      <w:rPr>
        <w:rFonts w:hint="default"/>
        <w:lang w:val="zh-CN" w:eastAsia="zh-CN" w:bidi="zh-CN"/>
      </w:rPr>
    </w:lvl>
    <w:lvl w:ilvl="5" w:tentative="0">
      <w:start w:val="0"/>
      <w:numFmt w:val="bullet"/>
      <w:lvlText w:val="•"/>
      <w:lvlJc w:val="left"/>
      <w:pPr>
        <w:ind w:left="5073" w:hanging="243"/>
      </w:pPr>
      <w:rPr>
        <w:rFonts w:hint="default"/>
        <w:lang w:val="zh-CN" w:eastAsia="zh-CN" w:bidi="zh-CN"/>
      </w:rPr>
    </w:lvl>
    <w:lvl w:ilvl="6" w:tentative="0">
      <w:start w:val="0"/>
      <w:numFmt w:val="bullet"/>
      <w:lvlText w:val="•"/>
      <w:lvlJc w:val="left"/>
      <w:pPr>
        <w:ind w:left="6043" w:hanging="243"/>
      </w:pPr>
      <w:rPr>
        <w:rFonts w:hint="default"/>
        <w:lang w:val="zh-CN" w:eastAsia="zh-CN" w:bidi="zh-CN"/>
      </w:rPr>
    </w:lvl>
    <w:lvl w:ilvl="7" w:tentative="0">
      <w:start w:val="0"/>
      <w:numFmt w:val="bullet"/>
      <w:lvlText w:val="•"/>
      <w:lvlJc w:val="left"/>
      <w:pPr>
        <w:ind w:left="7014" w:hanging="243"/>
      </w:pPr>
      <w:rPr>
        <w:rFonts w:hint="default"/>
        <w:lang w:val="zh-CN" w:eastAsia="zh-CN" w:bidi="zh-CN"/>
      </w:rPr>
    </w:lvl>
    <w:lvl w:ilvl="8" w:tentative="0">
      <w:start w:val="0"/>
      <w:numFmt w:val="bullet"/>
      <w:lvlText w:val="•"/>
      <w:lvlJc w:val="left"/>
      <w:pPr>
        <w:ind w:left="7985" w:hanging="243"/>
      </w:pPr>
      <w:rPr>
        <w:rFonts w:hint="default"/>
        <w:lang w:val="zh-CN" w:eastAsia="zh-CN" w:bidi="zh-CN"/>
      </w:rPr>
    </w:lvl>
  </w:abstractNum>
  <w:abstractNum w:abstractNumId="15">
    <w:nsid w:val="B0ED9BEA"/>
    <w:multiLevelType w:val="multilevel"/>
    <w:tmpl w:val="B0ED9BEA"/>
    <w:lvl w:ilvl="0" w:tentative="0">
      <w:start w:val="6"/>
      <w:numFmt w:val="decimal"/>
      <w:lvlText w:val="%1"/>
      <w:lvlJc w:val="left"/>
      <w:pPr>
        <w:ind w:left="1130" w:hanging="425"/>
      </w:pPr>
      <w:rPr>
        <w:rFonts w:hint="default"/>
        <w:lang w:val="zh-CN" w:eastAsia="zh-CN" w:bidi="zh-CN"/>
      </w:rPr>
    </w:lvl>
    <w:lvl w:ilvl="1" w:tentative="0">
      <w:start w:val="2"/>
      <w:numFmt w:val="decimal"/>
      <w:lvlText w:val="%1.%2"/>
      <w:lvlJc w:val="left"/>
      <w:pPr>
        <w:ind w:left="1130" w:hanging="42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387" w:hanging="684"/>
      </w:pPr>
      <w:rPr>
        <w:rFonts w:hint="default" w:ascii="宋体" w:hAnsi="宋体" w:eastAsia="宋体" w:cs="宋体"/>
        <w:w w:val="100"/>
        <w:sz w:val="24"/>
        <w:szCs w:val="24"/>
        <w:lang w:val="zh-CN" w:eastAsia="zh-CN" w:bidi="zh-CN"/>
      </w:rPr>
    </w:lvl>
    <w:lvl w:ilvl="3" w:tentative="0">
      <w:start w:val="0"/>
      <w:numFmt w:val="bullet"/>
      <w:lvlText w:val="•"/>
      <w:lvlJc w:val="left"/>
      <w:pPr>
        <w:ind w:left="3279" w:hanging="684"/>
      </w:pPr>
      <w:rPr>
        <w:rFonts w:hint="default"/>
        <w:lang w:val="zh-CN" w:eastAsia="zh-CN" w:bidi="zh-CN"/>
      </w:rPr>
    </w:lvl>
    <w:lvl w:ilvl="4" w:tentative="0">
      <w:start w:val="0"/>
      <w:numFmt w:val="bullet"/>
      <w:lvlText w:val="•"/>
      <w:lvlJc w:val="left"/>
      <w:pPr>
        <w:ind w:left="4228" w:hanging="684"/>
      </w:pPr>
      <w:rPr>
        <w:rFonts w:hint="default"/>
        <w:lang w:val="zh-CN" w:eastAsia="zh-CN" w:bidi="zh-CN"/>
      </w:rPr>
    </w:lvl>
    <w:lvl w:ilvl="5" w:tentative="0">
      <w:start w:val="0"/>
      <w:numFmt w:val="bullet"/>
      <w:lvlText w:val="•"/>
      <w:lvlJc w:val="left"/>
      <w:pPr>
        <w:ind w:left="5178" w:hanging="684"/>
      </w:pPr>
      <w:rPr>
        <w:rFonts w:hint="default"/>
        <w:lang w:val="zh-CN" w:eastAsia="zh-CN" w:bidi="zh-CN"/>
      </w:rPr>
    </w:lvl>
    <w:lvl w:ilvl="6" w:tentative="0">
      <w:start w:val="0"/>
      <w:numFmt w:val="bullet"/>
      <w:lvlText w:val="•"/>
      <w:lvlJc w:val="left"/>
      <w:pPr>
        <w:ind w:left="6128" w:hanging="684"/>
      </w:pPr>
      <w:rPr>
        <w:rFonts w:hint="default"/>
        <w:lang w:val="zh-CN" w:eastAsia="zh-CN" w:bidi="zh-CN"/>
      </w:rPr>
    </w:lvl>
    <w:lvl w:ilvl="7" w:tentative="0">
      <w:start w:val="0"/>
      <w:numFmt w:val="bullet"/>
      <w:lvlText w:val="•"/>
      <w:lvlJc w:val="left"/>
      <w:pPr>
        <w:ind w:left="7077" w:hanging="684"/>
      </w:pPr>
      <w:rPr>
        <w:rFonts w:hint="default"/>
        <w:lang w:val="zh-CN" w:eastAsia="zh-CN" w:bidi="zh-CN"/>
      </w:rPr>
    </w:lvl>
    <w:lvl w:ilvl="8" w:tentative="0">
      <w:start w:val="0"/>
      <w:numFmt w:val="bullet"/>
      <w:lvlText w:val="•"/>
      <w:lvlJc w:val="left"/>
      <w:pPr>
        <w:ind w:left="8027" w:hanging="684"/>
      </w:pPr>
      <w:rPr>
        <w:rFonts w:hint="default"/>
        <w:lang w:val="zh-CN" w:eastAsia="zh-CN" w:bidi="zh-CN"/>
      </w:rPr>
    </w:lvl>
  </w:abstractNum>
  <w:abstractNum w:abstractNumId="16">
    <w:nsid w:val="B0F1ACD9"/>
    <w:multiLevelType w:val="multilevel"/>
    <w:tmpl w:val="B0F1ACD9"/>
    <w:lvl w:ilvl="0" w:tentative="0">
      <w:start w:val="1"/>
      <w:numFmt w:val="decimal"/>
      <w:lvlText w:val="%1）"/>
      <w:lvlJc w:val="left"/>
      <w:pPr>
        <w:ind w:left="1092" w:hanging="372"/>
      </w:pPr>
      <w:rPr>
        <w:rFonts w:hint="default" w:ascii="Times New Roman" w:hAnsi="Times New Roman" w:eastAsia="Times New Roman" w:cs="Times New Roman"/>
        <w:spacing w:val="4"/>
        <w:w w:val="100"/>
        <w:sz w:val="22"/>
        <w:szCs w:val="22"/>
        <w:lang w:val="zh-CN" w:eastAsia="zh-CN" w:bidi="zh-CN"/>
      </w:rPr>
    </w:lvl>
    <w:lvl w:ilvl="1" w:tentative="0">
      <w:start w:val="0"/>
      <w:numFmt w:val="bullet"/>
      <w:lvlText w:val="•"/>
      <w:lvlJc w:val="left"/>
      <w:pPr>
        <w:ind w:left="1982" w:hanging="372"/>
      </w:pPr>
      <w:rPr>
        <w:rFonts w:hint="default"/>
        <w:lang w:val="zh-CN" w:eastAsia="zh-CN" w:bidi="zh-CN"/>
      </w:rPr>
    </w:lvl>
    <w:lvl w:ilvl="2" w:tentative="0">
      <w:start w:val="0"/>
      <w:numFmt w:val="bullet"/>
      <w:lvlText w:val="•"/>
      <w:lvlJc w:val="left"/>
      <w:pPr>
        <w:ind w:left="2865" w:hanging="372"/>
      </w:pPr>
      <w:rPr>
        <w:rFonts w:hint="default"/>
        <w:lang w:val="zh-CN" w:eastAsia="zh-CN" w:bidi="zh-CN"/>
      </w:rPr>
    </w:lvl>
    <w:lvl w:ilvl="3" w:tentative="0">
      <w:start w:val="0"/>
      <w:numFmt w:val="bullet"/>
      <w:lvlText w:val="•"/>
      <w:lvlJc w:val="left"/>
      <w:pPr>
        <w:ind w:left="3747" w:hanging="372"/>
      </w:pPr>
      <w:rPr>
        <w:rFonts w:hint="default"/>
        <w:lang w:val="zh-CN" w:eastAsia="zh-CN" w:bidi="zh-CN"/>
      </w:rPr>
    </w:lvl>
    <w:lvl w:ilvl="4" w:tentative="0">
      <w:start w:val="0"/>
      <w:numFmt w:val="bullet"/>
      <w:lvlText w:val="•"/>
      <w:lvlJc w:val="left"/>
      <w:pPr>
        <w:ind w:left="4630" w:hanging="372"/>
      </w:pPr>
      <w:rPr>
        <w:rFonts w:hint="default"/>
        <w:lang w:val="zh-CN" w:eastAsia="zh-CN" w:bidi="zh-CN"/>
      </w:rPr>
    </w:lvl>
    <w:lvl w:ilvl="5" w:tentative="0">
      <w:start w:val="0"/>
      <w:numFmt w:val="bullet"/>
      <w:lvlText w:val="•"/>
      <w:lvlJc w:val="left"/>
      <w:pPr>
        <w:ind w:left="5513" w:hanging="372"/>
      </w:pPr>
      <w:rPr>
        <w:rFonts w:hint="default"/>
        <w:lang w:val="zh-CN" w:eastAsia="zh-CN" w:bidi="zh-CN"/>
      </w:rPr>
    </w:lvl>
    <w:lvl w:ilvl="6" w:tentative="0">
      <w:start w:val="0"/>
      <w:numFmt w:val="bullet"/>
      <w:lvlText w:val="•"/>
      <w:lvlJc w:val="left"/>
      <w:pPr>
        <w:ind w:left="6395" w:hanging="372"/>
      </w:pPr>
      <w:rPr>
        <w:rFonts w:hint="default"/>
        <w:lang w:val="zh-CN" w:eastAsia="zh-CN" w:bidi="zh-CN"/>
      </w:rPr>
    </w:lvl>
    <w:lvl w:ilvl="7" w:tentative="0">
      <w:start w:val="0"/>
      <w:numFmt w:val="bullet"/>
      <w:lvlText w:val="•"/>
      <w:lvlJc w:val="left"/>
      <w:pPr>
        <w:ind w:left="7278" w:hanging="372"/>
      </w:pPr>
      <w:rPr>
        <w:rFonts w:hint="default"/>
        <w:lang w:val="zh-CN" w:eastAsia="zh-CN" w:bidi="zh-CN"/>
      </w:rPr>
    </w:lvl>
    <w:lvl w:ilvl="8" w:tentative="0">
      <w:start w:val="0"/>
      <w:numFmt w:val="bullet"/>
      <w:lvlText w:val="•"/>
      <w:lvlJc w:val="left"/>
      <w:pPr>
        <w:ind w:left="8161" w:hanging="372"/>
      </w:pPr>
      <w:rPr>
        <w:rFonts w:hint="default"/>
        <w:lang w:val="zh-CN" w:eastAsia="zh-CN" w:bidi="zh-CN"/>
      </w:rPr>
    </w:lvl>
  </w:abstractNum>
  <w:abstractNum w:abstractNumId="17">
    <w:nsid w:val="B23A94A9"/>
    <w:multiLevelType w:val="multilevel"/>
    <w:tmpl w:val="B23A94A9"/>
    <w:lvl w:ilvl="0" w:tentative="0">
      <w:start w:val="1"/>
      <w:numFmt w:val="decimal"/>
      <w:lvlText w:val="（%1）"/>
      <w:lvlJc w:val="left"/>
      <w:pPr>
        <w:ind w:left="1216" w:hanging="622"/>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2090" w:hanging="622"/>
      </w:pPr>
      <w:rPr>
        <w:rFonts w:hint="default"/>
        <w:lang w:val="zh-CN" w:eastAsia="zh-CN" w:bidi="zh-CN"/>
      </w:rPr>
    </w:lvl>
    <w:lvl w:ilvl="2" w:tentative="0">
      <w:start w:val="0"/>
      <w:numFmt w:val="bullet"/>
      <w:lvlText w:val="•"/>
      <w:lvlJc w:val="left"/>
      <w:pPr>
        <w:ind w:left="2961" w:hanging="622"/>
      </w:pPr>
      <w:rPr>
        <w:rFonts w:hint="default"/>
        <w:lang w:val="zh-CN" w:eastAsia="zh-CN" w:bidi="zh-CN"/>
      </w:rPr>
    </w:lvl>
    <w:lvl w:ilvl="3" w:tentative="0">
      <w:start w:val="0"/>
      <w:numFmt w:val="bullet"/>
      <w:lvlText w:val="•"/>
      <w:lvlJc w:val="left"/>
      <w:pPr>
        <w:ind w:left="3831" w:hanging="622"/>
      </w:pPr>
      <w:rPr>
        <w:rFonts w:hint="default"/>
        <w:lang w:val="zh-CN" w:eastAsia="zh-CN" w:bidi="zh-CN"/>
      </w:rPr>
    </w:lvl>
    <w:lvl w:ilvl="4" w:tentative="0">
      <w:start w:val="0"/>
      <w:numFmt w:val="bullet"/>
      <w:lvlText w:val="•"/>
      <w:lvlJc w:val="left"/>
      <w:pPr>
        <w:ind w:left="4702" w:hanging="622"/>
      </w:pPr>
      <w:rPr>
        <w:rFonts w:hint="default"/>
        <w:lang w:val="zh-CN" w:eastAsia="zh-CN" w:bidi="zh-CN"/>
      </w:rPr>
    </w:lvl>
    <w:lvl w:ilvl="5" w:tentative="0">
      <w:start w:val="0"/>
      <w:numFmt w:val="bullet"/>
      <w:lvlText w:val="•"/>
      <w:lvlJc w:val="left"/>
      <w:pPr>
        <w:ind w:left="5573" w:hanging="622"/>
      </w:pPr>
      <w:rPr>
        <w:rFonts w:hint="default"/>
        <w:lang w:val="zh-CN" w:eastAsia="zh-CN" w:bidi="zh-CN"/>
      </w:rPr>
    </w:lvl>
    <w:lvl w:ilvl="6" w:tentative="0">
      <w:start w:val="0"/>
      <w:numFmt w:val="bullet"/>
      <w:lvlText w:val="•"/>
      <w:lvlJc w:val="left"/>
      <w:pPr>
        <w:ind w:left="6443" w:hanging="622"/>
      </w:pPr>
      <w:rPr>
        <w:rFonts w:hint="default"/>
        <w:lang w:val="zh-CN" w:eastAsia="zh-CN" w:bidi="zh-CN"/>
      </w:rPr>
    </w:lvl>
    <w:lvl w:ilvl="7" w:tentative="0">
      <w:start w:val="0"/>
      <w:numFmt w:val="bullet"/>
      <w:lvlText w:val="•"/>
      <w:lvlJc w:val="left"/>
      <w:pPr>
        <w:ind w:left="7314" w:hanging="622"/>
      </w:pPr>
      <w:rPr>
        <w:rFonts w:hint="default"/>
        <w:lang w:val="zh-CN" w:eastAsia="zh-CN" w:bidi="zh-CN"/>
      </w:rPr>
    </w:lvl>
    <w:lvl w:ilvl="8" w:tentative="0">
      <w:start w:val="0"/>
      <w:numFmt w:val="bullet"/>
      <w:lvlText w:val="•"/>
      <w:lvlJc w:val="left"/>
      <w:pPr>
        <w:ind w:left="8185" w:hanging="622"/>
      </w:pPr>
      <w:rPr>
        <w:rFonts w:hint="default"/>
        <w:lang w:val="zh-CN" w:eastAsia="zh-CN" w:bidi="zh-CN"/>
      </w:rPr>
    </w:lvl>
  </w:abstractNum>
  <w:abstractNum w:abstractNumId="18">
    <w:nsid w:val="B53F3350"/>
    <w:multiLevelType w:val="multilevel"/>
    <w:tmpl w:val="B53F3350"/>
    <w:lvl w:ilvl="0" w:tentative="0">
      <w:start w:val="1"/>
      <w:numFmt w:val="decimal"/>
      <w:lvlText w:val="%1）"/>
      <w:lvlJc w:val="left"/>
      <w:pPr>
        <w:ind w:left="1092" w:hanging="372"/>
      </w:pPr>
      <w:rPr>
        <w:rFonts w:hint="default" w:ascii="Times New Roman" w:hAnsi="Times New Roman" w:eastAsia="Times New Roman" w:cs="Times New Roman"/>
        <w:spacing w:val="4"/>
        <w:w w:val="100"/>
        <w:sz w:val="22"/>
        <w:szCs w:val="22"/>
        <w:lang w:val="zh-CN" w:eastAsia="zh-CN" w:bidi="zh-CN"/>
      </w:rPr>
    </w:lvl>
    <w:lvl w:ilvl="1" w:tentative="0">
      <w:start w:val="0"/>
      <w:numFmt w:val="bullet"/>
      <w:lvlText w:val="•"/>
      <w:lvlJc w:val="left"/>
      <w:pPr>
        <w:ind w:left="1982" w:hanging="372"/>
      </w:pPr>
      <w:rPr>
        <w:rFonts w:hint="default"/>
        <w:lang w:val="zh-CN" w:eastAsia="zh-CN" w:bidi="zh-CN"/>
      </w:rPr>
    </w:lvl>
    <w:lvl w:ilvl="2" w:tentative="0">
      <w:start w:val="0"/>
      <w:numFmt w:val="bullet"/>
      <w:lvlText w:val="•"/>
      <w:lvlJc w:val="left"/>
      <w:pPr>
        <w:ind w:left="2865" w:hanging="372"/>
      </w:pPr>
      <w:rPr>
        <w:rFonts w:hint="default"/>
        <w:lang w:val="zh-CN" w:eastAsia="zh-CN" w:bidi="zh-CN"/>
      </w:rPr>
    </w:lvl>
    <w:lvl w:ilvl="3" w:tentative="0">
      <w:start w:val="0"/>
      <w:numFmt w:val="bullet"/>
      <w:lvlText w:val="•"/>
      <w:lvlJc w:val="left"/>
      <w:pPr>
        <w:ind w:left="3747" w:hanging="372"/>
      </w:pPr>
      <w:rPr>
        <w:rFonts w:hint="default"/>
        <w:lang w:val="zh-CN" w:eastAsia="zh-CN" w:bidi="zh-CN"/>
      </w:rPr>
    </w:lvl>
    <w:lvl w:ilvl="4" w:tentative="0">
      <w:start w:val="0"/>
      <w:numFmt w:val="bullet"/>
      <w:lvlText w:val="•"/>
      <w:lvlJc w:val="left"/>
      <w:pPr>
        <w:ind w:left="4630" w:hanging="372"/>
      </w:pPr>
      <w:rPr>
        <w:rFonts w:hint="default"/>
        <w:lang w:val="zh-CN" w:eastAsia="zh-CN" w:bidi="zh-CN"/>
      </w:rPr>
    </w:lvl>
    <w:lvl w:ilvl="5" w:tentative="0">
      <w:start w:val="0"/>
      <w:numFmt w:val="bullet"/>
      <w:lvlText w:val="•"/>
      <w:lvlJc w:val="left"/>
      <w:pPr>
        <w:ind w:left="5513" w:hanging="372"/>
      </w:pPr>
      <w:rPr>
        <w:rFonts w:hint="default"/>
        <w:lang w:val="zh-CN" w:eastAsia="zh-CN" w:bidi="zh-CN"/>
      </w:rPr>
    </w:lvl>
    <w:lvl w:ilvl="6" w:tentative="0">
      <w:start w:val="0"/>
      <w:numFmt w:val="bullet"/>
      <w:lvlText w:val="•"/>
      <w:lvlJc w:val="left"/>
      <w:pPr>
        <w:ind w:left="6395" w:hanging="372"/>
      </w:pPr>
      <w:rPr>
        <w:rFonts w:hint="default"/>
        <w:lang w:val="zh-CN" w:eastAsia="zh-CN" w:bidi="zh-CN"/>
      </w:rPr>
    </w:lvl>
    <w:lvl w:ilvl="7" w:tentative="0">
      <w:start w:val="0"/>
      <w:numFmt w:val="bullet"/>
      <w:lvlText w:val="•"/>
      <w:lvlJc w:val="left"/>
      <w:pPr>
        <w:ind w:left="7278" w:hanging="372"/>
      </w:pPr>
      <w:rPr>
        <w:rFonts w:hint="default"/>
        <w:lang w:val="zh-CN" w:eastAsia="zh-CN" w:bidi="zh-CN"/>
      </w:rPr>
    </w:lvl>
    <w:lvl w:ilvl="8" w:tentative="0">
      <w:start w:val="0"/>
      <w:numFmt w:val="bullet"/>
      <w:lvlText w:val="•"/>
      <w:lvlJc w:val="left"/>
      <w:pPr>
        <w:ind w:left="8161" w:hanging="372"/>
      </w:pPr>
      <w:rPr>
        <w:rFonts w:hint="default"/>
        <w:lang w:val="zh-CN" w:eastAsia="zh-CN" w:bidi="zh-CN"/>
      </w:rPr>
    </w:lvl>
  </w:abstractNum>
  <w:abstractNum w:abstractNumId="19">
    <w:nsid w:val="B5E306ED"/>
    <w:multiLevelType w:val="multilevel"/>
    <w:tmpl w:val="B5E306ED"/>
    <w:lvl w:ilvl="0" w:tentative="0">
      <w:start w:val="3"/>
      <w:numFmt w:val="decimal"/>
      <w:lvlText w:val="%1"/>
      <w:lvlJc w:val="left"/>
      <w:pPr>
        <w:ind w:left="1130" w:hanging="425"/>
      </w:pPr>
      <w:rPr>
        <w:rFonts w:hint="default"/>
        <w:lang w:val="zh-CN" w:eastAsia="zh-CN" w:bidi="zh-CN"/>
      </w:rPr>
    </w:lvl>
    <w:lvl w:ilvl="1" w:tentative="0">
      <w:start w:val="1"/>
      <w:numFmt w:val="decimal"/>
      <w:lvlText w:val="%1.%2"/>
      <w:lvlJc w:val="left"/>
      <w:pPr>
        <w:ind w:left="1130" w:hanging="42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23"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3092" w:hanging="660"/>
      </w:pPr>
      <w:rPr>
        <w:rFonts w:hint="default"/>
        <w:lang w:val="zh-CN" w:eastAsia="zh-CN" w:bidi="zh-CN"/>
      </w:rPr>
    </w:lvl>
    <w:lvl w:ilvl="4" w:tentative="0">
      <w:start w:val="0"/>
      <w:numFmt w:val="bullet"/>
      <w:lvlText w:val="•"/>
      <w:lvlJc w:val="left"/>
      <w:pPr>
        <w:ind w:left="4068" w:hanging="660"/>
      </w:pPr>
      <w:rPr>
        <w:rFonts w:hint="default"/>
        <w:lang w:val="zh-CN" w:eastAsia="zh-CN" w:bidi="zh-CN"/>
      </w:rPr>
    </w:lvl>
    <w:lvl w:ilvl="5" w:tentative="0">
      <w:start w:val="0"/>
      <w:numFmt w:val="bullet"/>
      <w:lvlText w:val="•"/>
      <w:lvlJc w:val="left"/>
      <w:pPr>
        <w:ind w:left="5045" w:hanging="660"/>
      </w:pPr>
      <w:rPr>
        <w:rFonts w:hint="default"/>
        <w:lang w:val="zh-CN" w:eastAsia="zh-CN" w:bidi="zh-CN"/>
      </w:rPr>
    </w:lvl>
    <w:lvl w:ilvl="6" w:tentative="0">
      <w:start w:val="0"/>
      <w:numFmt w:val="bullet"/>
      <w:lvlText w:val="•"/>
      <w:lvlJc w:val="left"/>
      <w:pPr>
        <w:ind w:left="6021" w:hanging="660"/>
      </w:pPr>
      <w:rPr>
        <w:rFonts w:hint="default"/>
        <w:lang w:val="zh-CN" w:eastAsia="zh-CN" w:bidi="zh-CN"/>
      </w:rPr>
    </w:lvl>
    <w:lvl w:ilvl="7" w:tentative="0">
      <w:start w:val="0"/>
      <w:numFmt w:val="bullet"/>
      <w:lvlText w:val="•"/>
      <w:lvlJc w:val="left"/>
      <w:pPr>
        <w:ind w:left="6997" w:hanging="660"/>
      </w:pPr>
      <w:rPr>
        <w:rFonts w:hint="default"/>
        <w:lang w:val="zh-CN" w:eastAsia="zh-CN" w:bidi="zh-CN"/>
      </w:rPr>
    </w:lvl>
    <w:lvl w:ilvl="8" w:tentative="0">
      <w:start w:val="0"/>
      <w:numFmt w:val="bullet"/>
      <w:lvlText w:val="•"/>
      <w:lvlJc w:val="left"/>
      <w:pPr>
        <w:ind w:left="7973" w:hanging="660"/>
      </w:pPr>
      <w:rPr>
        <w:rFonts w:hint="default"/>
        <w:lang w:val="zh-CN" w:eastAsia="zh-CN" w:bidi="zh-CN"/>
      </w:rPr>
    </w:lvl>
  </w:abstractNum>
  <w:abstractNum w:abstractNumId="20">
    <w:nsid w:val="B88D21A8"/>
    <w:multiLevelType w:val="multilevel"/>
    <w:tmpl w:val="B88D21A8"/>
    <w:lvl w:ilvl="0" w:tentative="0">
      <w:start w:val="1"/>
      <w:numFmt w:val="decimal"/>
      <w:lvlText w:val="（%1）"/>
      <w:lvlJc w:val="left"/>
      <w:pPr>
        <w:ind w:left="223" w:hanging="608"/>
      </w:pPr>
      <w:rPr>
        <w:rFonts w:hint="default" w:ascii="宋体" w:hAnsi="宋体" w:eastAsia="宋体" w:cs="宋体"/>
        <w:spacing w:val="-14"/>
        <w:w w:val="100"/>
        <w:sz w:val="22"/>
        <w:szCs w:val="22"/>
        <w:lang w:val="zh-CN" w:eastAsia="zh-CN" w:bidi="zh-CN"/>
      </w:rPr>
    </w:lvl>
    <w:lvl w:ilvl="1" w:tentative="0">
      <w:start w:val="0"/>
      <w:numFmt w:val="bullet"/>
      <w:lvlText w:val="•"/>
      <w:lvlJc w:val="left"/>
      <w:pPr>
        <w:ind w:left="1190" w:hanging="608"/>
      </w:pPr>
      <w:rPr>
        <w:rFonts w:hint="default"/>
        <w:lang w:val="zh-CN" w:eastAsia="zh-CN" w:bidi="zh-CN"/>
      </w:rPr>
    </w:lvl>
    <w:lvl w:ilvl="2" w:tentative="0">
      <w:start w:val="0"/>
      <w:numFmt w:val="bullet"/>
      <w:lvlText w:val="•"/>
      <w:lvlJc w:val="left"/>
      <w:pPr>
        <w:ind w:left="2161" w:hanging="608"/>
      </w:pPr>
      <w:rPr>
        <w:rFonts w:hint="default"/>
        <w:lang w:val="zh-CN" w:eastAsia="zh-CN" w:bidi="zh-CN"/>
      </w:rPr>
    </w:lvl>
    <w:lvl w:ilvl="3" w:tentative="0">
      <w:start w:val="0"/>
      <w:numFmt w:val="bullet"/>
      <w:lvlText w:val="•"/>
      <w:lvlJc w:val="left"/>
      <w:pPr>
        <w:ind w:left="3131" w:hanging="608"/>
      </w:pPr>
      <w:rPr>
        <w:rFonts w:hint="default"/>
        <w:lang w:val="zh-CN" w:eastAsia="zh-CN" w:bidi="zh-CN"/>
      </w:rPr>
    </w:lvl>
    <w:lvl w:ilvl="4" w:tentative="0">
      <w:start w:val="0"/>
      <w:numFmt w:val="bullet"/>
      <w:lvlText w:val="•"/>
      <w:lvlJc w:val="left"/>
      <w:pPr>
        <w:ind w:left="4102" w:hanging="608"/>
      </w:pPr>
      <w:rPr>
        <w:rFonts w:hint="default"/>
        <w:lang w:val="zh-CN" w:eastAsia="zh-CN" w:bidi="zh-CN"/>
      </w:rPr>
    </w:lvl>
    <w:lvl w:ilvl="5" w:tentative="0">
      <w:start w:val="0"/>
      <w:numFmt w:val="bullet"/>
      <w:lvlText w:val="•"/>
      <w:lvlJc w:val="left"/>
      <w:pPr>
        <w:ind w:left="5073" w:hanging="608"/>
      </w:pPr>
      <w:rPr>
        <w:rFonts w:hint="default"/>
        <w:lang w:val="zh-CN" w:eastAsia="zh-CN" w:bidi="zh-CN"/>
      </w:rPr>
    </w:lvl>
    <w:lvl w:ilvl="6" w:tentative="0">
      <w:start w:val="0"/>
      <w:numFmt w:val="bullet"/>
      <w:lvlText w:val="•"/>
      <w:lvlJc w:val="left"/>
      <w:pPr>
        <w:ind w:left="6043" w:hanging="608"/>
      </w:pPr>
      <w:rPr>
        <w:rFonts w:hint="default"/>
        <w:lang w:val="zh-CN" w:eastAsia="zh-CN" w:bidi="zh-CN"/>
      </w:rPr>
    </w:lvl>
    <w:lvl w:ilvl="7" w:tentative="0">
      <w:start w:val="0"/>
      <w:numFmt w:val="bullet"/>
      <w:lvlText w:val="•"/>
      <w:lvlJc w:val="left"/>
      <w:pPr>
        <w:ind w:left="7014" w:hanging="608"/>
      </w:pPr>
      <w:rPr>
        <w:rFonts w:hint="default"/>
        <w:lang w:val="zh-CN" w:eastAsia="zh-CN" w:bidi="zh-CN"/>
      </w:rPr>
    </w:lvl>
    <w:lvl w:ilvl="8" w:tentative="0">
      <w:start w:val="0"/>
      <w:numFmt w:val="bullet"/>
      <w:lvlText w:val="•"/>
      <w:lvlJc w:val="left"/>
      <w:pPr>
        <w:ind w:left="7985" w:hanging="608"/>
      </w:pPr>
      <w:rPr>
        <w:rFonts w:hint="default"/>
        <w:lang w:val="zh-CN" w:eastAsia="zh-CN" w:bidi="zh-CN"/>
      </w:rPr>
    </w:lvl>
  </w:abstractNum>
  <w:abstractNum w:abstractNumId="21">
    <w:nsid w:val="B8CEF35B"/>
    <w:multiLevelType w:val="multilevel"/>
    <w:tmpl w:val="B8CEF35B"/>
    <w:lvl w:ilvl="0" w:tentative="0">
      <w:start w:val="1"/>
      <w:numFmt w:val="decimal"/>
      <w:lvlText w:val="%1）"/>
      <w:lvlJc w:val="left"/>
      <w:pPr>
        <w:ind w:left="1092" w:hanging="372"/>
      </w:pPr>
      <w:rPr>
        <w:rFonts w:hint="default" w:ascii="Times New Roman" w:hAnsi="Times New Roman" w:eastAsia="Times New Roman" w:cs="Times New Roman"/>
        <w:spacing w:val="4"/>
        <w:w w:val="100"/>
        <w:sz w:val="22"/>
        <w:szCs w:val="22"/>
        <w:lang w:val="zh-CN" w:eastAsia="zh-CN" w:bidi="zh-CN"/>
      </w:rPr>
    </w:lvl>
    <w:lvl w:ilvl="1" w:tentative="0">
      <w:start w:val="0"/>
      <w:numFmt w:val="bullet"/>
      <w:lvlText w:val="•"/>
      <w:lvlJc w:val="left"/>
      <w:pPr>
        <w:ind w:left="1982" w:hanging="372"/>
      </w:pPr>
      <w:rPr>
        <w:rFonts w:hint="default"/>
        <w:lang w:val="zh-CN" w:eastAsia="zh-CN" w:bidi="zh-CN"/>
      </w:rPr>
    </w:lvl>
    <w:lvl w:ilvl="2" w:tentative="0">
      <w:start w:val="0"/>
      <w:numFmt w:val="bullet"/>
      <w:lvlText w:val="•"/>
      <w:lvlJc w:val="left"/>
      <w:pPr>
        <w:ind w:left="2865" w:hanging="372"/>
      </w:pPr>
      <w:rPr>
        <w:rFonts w:hint="default"/>
        <w:lang w:val="zh-CN" w:eastAsia="zh-CN" w:bidi="zh-CN"/>
      </w:rPr>
    </w:lvl>
    <w:lvl w:ilvl="3" w:tentative="0">
      <w:start w:val="0"/>
      <w:numFmt w:val="bullet"/>
      <w:lvlText w:val="•"/>
      <w:lvlJc w:val="left"/>
      <w:pPr>
        <w:ind w:left="3747" w:hanging="372"/>
      </w:pPr>
      <w:rPr>
        <w:rFonts w:hint="default"/>
        <w:lang w:val="zh-CN" w:eastAsia="zh-CN" w:bidi="zh-CN"/>
      </w:rPr>
    </w:lvl>
    <w:lvl w:ilvl="4" w:tentative="0">
      <w:start w:val="0"/>
      <w:numFmt w:val="bullet"/>
      <w:lvlText w:val="•"/>
      <w:lvlJc w:val="left"/>
      <w:pPr>
        <w:ind w:left="4630" w:hanging="372"/>
      </w:pPr>
      <w:rPr>
        <w:rFonts w:hint="default"/>
        <w:lang w:val="zh-CN" w:eastAsia="zh-CN" w:bidi="zh-CN"/>
      </w:rPr>
    </w:lvl>
    <w:lvl w:ilvl="5" w:tentative="0">
      <w:start w:val="0"/>
      <w:numFmt w:val="bullet"/>
      <w:lvlText w:val="•"/>
      <w:lvlJc w:val="left"/>
      <w:pPr>
        <w:ind w:left="5513" w:hanging="372"/>
      </w:pPr>
      <w:rPr>
        <w:rFonts w:hint="default"/>
        <w:lang w:val="zh-CN" w:eastAsia="zh-CN" w:bidi="zh-CN"/>
      </w:rPr>
    </w:lvl>
    <w:lvl w:ilvl="6" w:tentative="0">
      <w:start w:val="0"/>
      <w:numFmt w:val="bullet"/>
      <w:lvlText w:val="•"/>
      <w:lvlJc w:val="left"/>
      <w:pPr>
        <w:ind w:left="6395" w:hanging="372"/>
      </w:pPr>
      <w:rPr>
        <w:rFonts w:hint="default"/>
        <w:lang w:val="zh-CN" w:eastAsia="zh-CN" w:bidi="zh-CN"/>
      </w:rPr>
    </w:lvl>
    <w:lvl w:ilvl="7" w:tentative="0">
      <w:start w:val="0"/>
      <w:numFmt w:val="bullet"/>
      <w:lvlText w:val="•"/>
      <w:lvlJc w:val="left"/>
      <w:pPr>
        <w:ind w:left="7278" w:hanging="372"/>
      </w:pPr>
      <w:rPr>
        <w:rFonts w:hint="default"/>
        <w:lang w:val="zh-CN" w:eastAsia="zh-CN" w:bidi="zh-CN"/>
      </w:rPr>
    </w:lvl>
    <w:lvl w:ilvl="8" w:tentative="0">
      <w:start w:val="0"/>
      <w:numFmt w:val="bullet"/>
      <w:lvlText w:val="•"/>
      <w:lvlJc w:val="left"/>
      <w:pPr>
        <w:ind w:left="8161" w:hanging="372"/>
      </w:pPr>
      <w:rPr>
        <w:rFonts w:hint="default"/>
        <w:lang w:val="zh-CN" w:eastAsia="zh-CN" w:bidi="zh-CN"/>
      </w:rPr>
    </w:lvl>
  </w:abstractNum>
  <w:abstractNum w:abstractNumId="22">
    <w:nsid w:val="BB64CFA9"/>
    <w:multiLevelType w:val="multilevel"/>
    <w:tmpl w:val="BB64CFA9"/>
    <w:lvl w:ilvl="0" w:tentative="0">
      <w:start w:val="1"/>
      <w:numFmt w:val="decimal"/>
      <w:lvlText w:val="%1）"/>
      <w:lvlJc w:val="left"/>
      <w:pPr>
        <w:ind w:left="1092" w:hanging="372"/>
      </w:pPr>
      <w:rPr>
        <w:rFonts w:hint="default" w:ascii="Times New Roman" w:hAnsi="Times New Roman" w:eastAsia="Times New Roman" w:cs="Times New Roman"/>
        <w:spacing w:val="4"/>
        <w:w w:val="100"/>
        <w:sz w:val="22"/>
        <w:szCs w:val="22"/>
        <w:lang w:val="zh-CN" w:eastAsia="zh-CN" w:bidi="zh-CN"/>
      </w:rPr>
    </w:lvl>
    <w:lvl w:ilvl="1" w:tentative="0">
      <w:start w:val="0"/>
      <w:numFmt w:val="bullet"/>
      <w:lvlText w:val="•"/>
      <w:lvlJc w:val="left"/>
      <w:pPr>
        <w:ind w:left="1982" w:hanging="372"/>
      </w:pPr>
      <w:rPr>
        <w:rFonts w:hint="default"/>
        <w:lang w:val="zh-CN" w:eastAsia="zh-CN" w:bidi="zh-CN"/>
      </w:rPr>
    </w:lvl>
    <w:lvl w:ilvl="2" w:tentative="0">
      <w:start w:val="0"/>
      <w:numFmt w:val="bullet"/>
      <w:lvlText w:val="•"/>
      <w:lvlJc w:val="left"/>
      <w:pPr>
        <w:ind w:left="2865" w:hanging="372"/>
      </w:pPr>
      <w:rPr>
        <w:rFonts w:hint="default"/>
        <w:lang w:val="zh-CN" w:eastAsia="zh-CN" w:bidi="zh-CN"/>
      </w:rPr>
    </w:lvl>
    <w:lvl w:ilvl="3" w:tentative="0">
      <w:start w:val="0"/>
      <w:numFmt w:val="bullet"/>
      <w:lvlText w:val="•"/>
      <w:lvlJc w:val="left"/>
      <w:pPr>
        <w:ind w:left="3747" w:hanging="372"/>
      </w:pPr>
      <w:rPr>
        <w:rFonts w:hint="default"/>
        <w:lang w:val="zh-CN" w:eastAsia="zh-CN" w:bidi="zh-CN"/>
      </w:rPr>
    </w:lvl>
    <w:lvl w:ilvl="4" w:tentative="0">
      <w:start w:val="0"/>
      <w:numFmt w:val="bullet"/>
      <w:lvlText w:val="•"/>
      <w:lvlJc w:val="left"/>
      <w:pPr>
        <w:ind w:left="4630" w:hanging="372"/>
      </w:pPr>
      <w:rPr>
        <w:rFonts w:hint="default"/>
        <w:lang w:val="zh-CN" w:eastAsia="zh-CN" w:bidi="zh-CN"/>
      </w:rPr>
    </w:lvl>
    <w:lvl w:ilvl="5" w:tentative="0">
      <w:start w:val="0"/>
      <w:numFmt w:val="bullet"/>
      <w:lvlText w:val="•"/>
      <w:lvlJc w:val="left"/>
      <w:pPr>
        <w:ind w:left="5513" w:hanging="372"/>
      </w:pPr>
      <w:rPr>
        <w:rFonts w:hint="default"/>
        <w:lang w:val="zh-CN" w:eastAsia="zh-CN" w:bidi="zh-CN"/>
      </w:rPr>
    </w:lvl>
    <w:lvl w:ilvl="6" w:tentative="0">
      <w:start w:val="0"/>
      <w:numFmt w:val="bullet"/>
      <w:lvlText w:val="•"/>
      <w:lvlJc w:val="left"/>
      <w:pPr>
        <w:ind w:left="6395" w:hanging="372"/>
      </w:pPr>
      <w:rPr>
        <w:rFonts w:hint="default"/>
        <w:lang w:val="zh-CN" w:eastAsia="zh-CN" w:bidi="zh-CN"/>
      </w:rPr>
    </w:lvl>
    <w:lvl w:ilvl="7" w:tentative="0">
      <w:start w:val="0"/>
      <w:numFmt w:val="bullet"/>
      <w:lvlText w:val="•"/>
      <w:lvlJc w:val="left"/>
      <w:pPr>
        <w:ind w:left="7278" w:hanging="372"/>
      </w:pPr>
      <w:rPr>
        <w:rFonts w:hint="default"/>
        <w:lang w:val="zh-CN" w:eastAsia="zh-CN" w:bidi="zh-CN"/>
      </w:rPr>
    </w:lvl>
    <w:lvl w:ilvl="8" w:tentative="0">
      <w:start w:val="0"/>
      <w:numFmt w:val="bullet"/>
      <w:lvlText w:val="•"/>
      <w:lvlJc w:val="left"/>
      <w:pPr>
        <w:ind w:left="8161" w:hanging="372"/>
      </w:pPr>
      <w:rPr>
        <w:rFonts w:hint="default"/>
        <w:lang w:val="zh-CN" w:eastAsia="zh-CN" w:bidi="zh-CN"/>
      </w:rPr>
    </w:lvl>
  </w:abstractNum>
  <w:abstractNum w:abstractNumId="23">
    <w:nsid w:val="BDA1395C"/>
    <w:multiLevelType w:val="multilevel"/>
    <w:tmpl w:val="BDA1395C"/>
    <w:lvl w:ilvl="0" w:tentative="0">
      <w:start w:val="1"/>
      <w:numFmt w:val="decimal"/>
      <w:lvlText w:val="（%1）"/>
      <w:lvlJc w:val="left"/>
      <w:pPr>
        <w:ind w:left="1184" w:hanging="601"/>
      </w:pPr>
      <w:rPr>
        <w:rFonts w:hint="default" w:ascii="宋体" w:hAnsi="宋体" w:eastAsia="宋体" w:cs="宋体"/>
        <w:w w:val="100"/>
        <w:sz w:val="22"/>
        <w:szCs w:val="22"/>
        <w:lang w:val="zh-CN" w:eastAsia="zh-CN" w:bidi="zh-CN"/>
      </w:rPr>
    </w:lvl>
    <w:lvl w:ilvl="1" w:tentative="0">
      <w:start w:val="1"/>
      <w:numFmt w:val="decimal"/>
      <w:lvlText w:val="%2）"/>
      <w:lvlJc w:val="left"/>
      <w:pPr>
        <w:ind w:left="1064" w:hanging="361"/>
      </w:pPr>
      <w:rPr>
        <w:rFonts w:hint="default" w:ascii="宋体" w:hAnsi="宋体" w:eastAsia="宋体" w:cs="宋体"/>
        <w:w w:val="100"/>
        <w:sz w:val="22"/>
        <w:szCs w:val="22"/>
        <w:lang w:val="zh-CN" w:eastAsia="zh-CN" w:bidi="zh-CN"/>
      </w:rPr>
    </w:lvl>
    <w:lvl w:ilvl="2" w:tentative="0">
      <w:start w:val="0"/>
      <w:numFmt w:val="bullet"/>
      <w:lvlText w:val="•"/>
      <w:lvlJc w:val="left"/>
      <w:pPr>
        <w:ind w:left="2151" w:hanging="361"/>
      </w:pPr>
      <w:rPr>
        <w:rFonts w:hint="default"/>
        <w:lang w:val="zh-CN" w:eastAsia="zh-CN" w:bidi="zh-CN"/>
      </w:rPr>
    </w:lvl>
    <w:lvl w:ilvl="3" w:tentative="0">
      <w:start w:val="0"/>
      <w:numFmt w:val="bullet"/>
      <w:lvlText w:val="•"/>
      <w:lvlJc w:val="left"/>
      <w:pPr>
        <w:ind w:left="3123" w:hanging="361"/>
      </w:pPr>
      <w:rPr>
        <w:rFonts w:hint="default"/>
        <w:lang w:val="zh-CN" w:eastAsia="zh-CN" w:bidi="zh-CN"/>
      </w:rPr>
    </w:lvl>
    <w:lvl w:ilvl="4" w:tentative="0">
      <w:start w:val="0"/>
      <w:numFmt w:val="bullet"/>
      <w:lvlText w:val="•"/>
      <w:lvlJc w:val="left"/>
      <w:pPr>
        <w:ind w:left="4095" w:hanging="361"/>
      </w:pPr>
      <w:rPr>
        <w:rFonts w:hint="default"/>
        <w:lang w:val="zh-CN" w:eastAsia="zh-CN" w:bidi="zh-CN"/>
      </w:rPr>
    </w:lvl>
    <w:lvl w:ilvl="5" w:tentative="0">
      <w:start w:val="0"/>
      <w:numFmt w:val="bullet"/>
      <w:lvlText w:val="•"/>
      <w:lvlJc w:val="left"/>
      <w:pPr>
        <w:ind w:left="5067" w:hanging="361"/>
      </w:pPr>
      <w:rPr>
        <w:rFonts w:hint="default"/>
        <w:lang w:val="zh-CN" w:eastAsia="zh-CN" w:bidi="zh-CN"/>
      </w:rPr>
    </w:lvl>
    <w:lvl w:ilvl="6" w:tentative="0">
      <w:start w:val="0"/>
      <w:numFmt w:val="bullet"/>
      <w:lvlText w:val="•"/>
      <w:lvlJc w:val="left"/>
      <w:pPr>
        <w:ind w:left="6039" w:hanging="361"/>
      </w:pPr>
      <w:rPr>
        <w:rFonts w:hint="default"/>
        <w:lang w:val="zh-CN" w:eastAsia="zh-CN" w:bidi="zh-CN"/>
      </w:rPr>
    </w:lvl>
    <w:lvl w:ilvl="7" w:tentative="0">
      <w:start w:val="0"/>
      <w:numFmt w:val="bullet"/>
      <w:lvlText w:val="•"/>
      <w:lvlJc w:val="left"/>
      <w:pPr>
        <w:ind w:left="7010" w:hanging="361"/>
      </w:pPr>
      <w:rPr>
        <w:rFonts w:hint="default"/>
        <w:lang w:val="zh-CN" w:eastAsia="zh-CN" w:bidi="zh-CN"/>
      </w:rPr>
    </w:lvl>
    <w:lvl w:ilvl="8" w:tentative="0">
      <w:start w:val="0"/>
      <w:numFmt w:val="bullet"/>
      <w:lvlText w:val="•"/>
      <w:lvlJc w:val="left"/>
      <w:pPr>
        <w:ind w:left="7982" w:hanging="361"/>
      </w:pPr>
      <w:rPr>
        <w:rFonts w:hint="default"/>
        <w:lang w:val="zh-CN" w:eastAsia="zh-CN" w:bidi="zh-CN"/>
      </w:rPr>
    </w:lvl>
  </w:abstractNum>
  <w:abstractNum w:abstractNumId="24">
    <w:nsid w:val="BE8A4F4C"/>
    <w:multiLevelType w:val="multilevel"/>
    <w:tmpl w:val="BE8A4F4C"/>
    <w:lvl w:ilvl="0" w:tentative="0">
      <w:start w:val="1"/>
      <w:numFmt w:val="decimal"/>
      <w:lvlText w:val="%1."/>
      <w:lvlJc w:val="left"/>
      <w:pPr>
        <w:ind w:left="223" w:hanging="243"/>
      </w:pPr>
      <w:rPr>
        <w:rFonts w:hint="default" w:ascii="宋体" w:hAnsi="宋体" w:eastAsia="宋体" w:cs="宋体"/>
        <w:w w:val="100"/>
        <w:sz w:val="22"/>
        <w:szCs w:val="22"/>
        <w:lang w:val="zh-CN" w:eastAsia="zh-CN" w:bidi="zh-CN"/>
      </w:rPr>
    </w:lvl>
    <w:lvl w:ilvl="1" w:tentative="0">
      <w:start w:val="0"/>
      <w:numFmt w:val="bullet"/>
      <w:lvlText w:val="•"/>
      <w:lvlJc w:val="left"/>
      <w:pPr>
        <w:ind w:left="1190" w:hanging="243"/>
      </w:pPr>
      <w:rPr>
        <w:rFonts w:hint="default"/>
        <w:lang w:val="zh-CN" w:eastAsia="zh-CN" w:bidi="zh-CN"/>
      </w:rPr>
    </w:lvl>
    <w:lvl w:ilvl="2" w:tentative="0">
      <w:start w:val="0"/>
      <w:numFmt w:val="bullet"/>
      <w:lvlText w:val="•"/>
      <w:lvlJc w:val="left"/>
      <w:pPr>
        <w:ind w:left="2161" w:hanging="243"/>
      </w:pPr>
      <w:rPr>
        <w:rFonts w:hint="default"/>
        <w:lang w:val="zh-CN" w:eastAsia="zh-CN" w:bidi="zh-CN"/>
      </w:rPr>
    </w:lvl>
    <w:lvl w:ilvl="3" w:tentative="0">
      <w:start w:val="0"/>
      <w:numFmt w:val="bullet"/>
      <w:lvlText w:val="•"/>
      <w:lvlJc w:val="left"/>
      <w:pPr>
        <w:ind w:left="3131" w:hanging="243"/>
      </w:pPr>
      <w:rPr>
        <w:rFonts w:hint="default"/>
        <w:lang w:val="zh-CN" w:eastAsia="zh-CN" w:bidi="zh-CN"/>
      </w:rPr>
    </w:lvl>
    <w:lvl w:ilvl="4" w:tentative="0">
      <w:start w:val="0"/>
      <w:numFmt w:val="bullet"/>
      <w:lvlText w:val="•"/>
      <w:lvlJc w:val="left"/>
      <w:pPr>
        <w:ind w:left="4102" w:hanging="243"/>
      </w:pPr>
      <w:rPr>
        <w:rFonts w:hint="default"/>
        <w:lang w:val="zh-CN" w:eastAsia="zh-CN" w:bidi="zh-CN"/>
      </w:rPr>
    </w:lvl>
    <w:lvl w:ilvl="5" w:tentative="0">
      <w:start w:val="0"/>
      <w:numFmt w:val="bullet"/>
      <w:lvlText w:val="•"/>
      <w:lvlJc w:val="left"/>
      <w:pPr>
        <w:ind w:left="5073" w:hanging="243"/>
      </w:pPr>
      <w:rPr>
        <w:rFonts w:hint="default"/>
        <w:lang w:val="zh-CN" w:eastAsia="zh-CN" w:bidi="zh-CN"/>
      </w:rPr>
    </w:lvl>
    <w:lvl w:ilvl="6" w:tentative="0">
      <w:start w:val="0"/>
      <w:numFmt w:val="bullet"/>
      <w:lvlText w:val="•"/>
      <w:lvlJc w:val="left"/>
      <w:pPr>
        <w:ind w:left="6043" w:hanging="243"/>
      </w:pPr>
      <w:rPr>
        <w:rFonts w:hint="default"/>
        <w:lang w:val="zh-CN" w:eastAsia="zh-CN" w:bidi="zh-CN"/>
      </w:rPr>
    </w:lvl>
    <w:lvl w:ilvl="7" w:tentative="0">
      <w:start w:val="0"/>
      <w:numFmt w:val="bullet"/>
      <w:lvlText w:val="•"/>
      <w:lvlJc w:val="left"/>
      <w:pPr>
        <w:ind w:left="7014" w:hanging="243"/>
      </w:pPr>
      <w:rPr>
        <w:rFonts w:hint="default"/>
        <w:lang w:val="zh-CN" w:eastAsia="zh-CN" w:bidi="zh-CN"/>
      </w:rPr>
    </w:lvl>
    <w:lvl w:ilvl="8" w:tentative="0">
      <w:start w:val="0"/>
      <w:numFmt w:val="bullet"/>
      <w:lvlText w:val="•"/>
      <w:lvlJc w:val="left"/>
      <w:pPr>
        <w:ind w:left="7985" w:hanging="243"/>
      </w:pPr>
      <w:rPr>
        <w:rFonts w:hint="default"/>
        <w:lang w:val="zh-CN" w:eastAsia="zh-CN" w:bidi="zh-CN"/>
      </w:rPr>
    </w:lvl>
  </w:abstractNum>
  <w:abstractNum w:abstractNumId="25">
    <w:nsid w:val="BE923771"/>
    <w:multiLevelType w:val="multilevel"/>
    <w:tmpl w:val="BE923771"/>
    <w:lvl w:ilvl="0" w:tentative="0">
      <w:start w:val="1"/>
      <w:numFmt w:val="lowerLetter"/>
      <w:lvlText w:val="%1."/>
      <w:lvlJc w:val="left"/>
      <w:pPr>
        <w:ind w:left="1144" w:hanging="303"/>
      </w:pPr>
      <w:rPr>
        <w:rFonts w:hint="default" w:ascii="Times New Roman" w:hAnsi="Times New Roman" w:eastAsia="Times New Roman" w:cs="Times New Roman"/>
        <w:spacing w:val="0"/>
        <w:w w:val="100"/>
        <w:sz w:val="24"/>
        <w:szCs w:val="24"/>
        <w:lang w:val="zh-CN" w:eastAsia="zh-CN" w:bidi="zh-CN"/>
      </w:rPr>
    </w:lvl>
    <w:lvl w:ilvl="1" w:tentative="0">
      <w:start w:val="0"/>
      <w:numFmt w:val="bullet"/>
      <w:lvlText w:val="•"/>
      <w:lvlJc w:val="left"/>
      <w:pPr>
        <w:ind w:left="2018" w:hanging="303"/>
      </w:pPr>
      <w:rPr>
        <w:rFonts w:hint="default"/>
        <w:lang w:val="zh-CN" w:eastAsia="zh-CN" w:bidi="zh-CN"/>
      </w:rPr>
    </w:lvl>
    <w:lvl w:ilvl="2" w:tentative="0">
      <w:start w:val="0"/>
      <w:numFmt w:val="bullet"/>
      <w:lvlText w:val="•"/>
      <w:lvlJc w:val="left"/>
      <w:pPr>
        <w:ind w:left="2897" w:hanging="303"/>
      </w:pPr>
      <w:rPr>
        <w:rFonts w:hint="default"/>
        <w:lang w:val="zh-CN" w:eastAsia="zh-CN" w:bidi="zh-CN"/>
      </w:rPr>
    </w:lvl>
    <w:lvl w:ilvl="3" w:tentative="0">
      <w:start w:val="0"/>
      <w:numFmt w:val="bullet"/>
      <w:lvlText w:val="•"/>
      <w:lvlJc w:val="left"/>
      <w:pPr>
        <w:ind w:left="3775" w:hanging="303"/>
      </w:pPr>
      <w:rPr>
        <w:rFonts w:hint="default"/>
        <w:lang w:val="zh-CN" w:eastAsia="zh-CN" w:bidi="zh-CN"/>
      </w:rPr>
    </w:lvl>
    <w:lvl w:ilvl="4" w:tentative="0">
      <w:start w:val="0"/>
      <w:numFmt w:val="bullet"/>
      <w:lvlText w:val="•"/>
      <w:lvlJc w:val="left"/>
      <w:pPr>
        <w:ind w:left="4654" w:hanging="303"/>
      </w:pPr>
      <w:rPr>
        <w:rFonts w:hint="default"/>
        <w:lang w:val="zh-CN" w:eastAsia="zh-CN" w:bidi="zh-CN"/>
      </w:rPr>
    </w:lvl>
    <w:lvl w:ilvl="5" w:tentative="0">
      <w:start w:val="0"/>
      <w:numFmt w:val="bullet"/>
      <w:lvlText w:val="•"/>
      <w:lvlJc w:val="left"/>
      <w:pPr>
        <w:ind w:left="5533" w:hanging="303"/>
      </w:pPr>
      <w:rPr>
        <w:rFonts w:hint="default"/>
        <w:lang w:val="zh-CN" w:eastAsia="zh-CN" w:bidi="zh-CN"/>
      </w:rPr>
    </w:lvl>
    <w:lvl w:ilvl="6" w:tentative="0">
      <w:start w:val="0"/>
      <w:numFmt w:val="bullet"/>
      <w:lvlText w:val="•"/>
      <w:lvlJc w:val="left"/>
      <w:pPr>
        <w:ind w:left="6411" w:hanging="303"/>
      </w:pPr>
      <w:rPr>
        <w:rFonts w:hint="default"/>
        <w:lang w:val="zh-CN" w:eastAsia="zh-CN" w:bidi="zh-CN"/>
      </w:rPr>
    </w:lvl>
    <w:lvl w:ilvl="7" w:tentative="0">
      <w:start w:val="0"/>
      <w:numFmt w:val="bullet"/>
      <w:lvlText w:val="•"/>
      <w:lvlJc w:val="left"/>
      <w:pPr>
        <w:ind w:left="7290" w:hanging="303"/>
      </w:pPr>
      <w:rPr>
        <w:rFonts w:hint="default"/>
        <w:lang w:val="zh-CN" w:eastAsia="zh-CN" w:bidi="zh-CN"/>
      </w:rPr>
    </w:lvl>
    <w:lvl w:ilvl="8" w:tentative="0">
      <w:start w:val="0"/>
      <w:numFmt w:val="bullet"/>
      <w:lvlText w:val="•"/>
      <w:lvlJc w:val="left"/>
      <w:pPr>
        <w:ind w:left="8169" w:hanging="303"/>
      </w:pPr>
      <w:rPr>
        <w:rFonts w:hint="default"/>
        <w:lang w:val="zh-CN" w:eastAsia="zh-CN" w:bidi="zh-CN"/>
      </w:rPr>
    </w:lvl>
  </w:abstractNum>
  <w:abstractNum w:abstractNumId="26">
    <w:nsid w:val="C0915F4F"/>
    <w:multiLevelType w:val="multilevel"/>
    <w:tmpl w:val="C0915F4F"/>
    <w:lvl w:ilvl="0" w:tentative="0">
      <w:start w:val="1"/>
      <w:numFmt w:val="decimal"/>
      <w:lvlText w:val="%1）"/>
      <w:lvlJc w:val="left"/>
      <w:pPr>
        <w:ind w:left="223" w:hanging="366"/>
      </w:pPr>
      <w:rPr>
        <w:rFonts w:hint="default" w:ascii="Times New Roman" w:hAnsi="Times New Roman" w:eastAsia="Times New Roman" w:cs="Times New Roman"/>
        <w:spacing w:val="-20"/>
        <w:w w:val="100"/>
        <w:sz w:val="22"/>
        <w:szCs w:val="22"/>
        <w:lang w:val="zh-CN" w:eastAsia="zh-CN" w:bidi="zh-CN"/>
      </w:rPr>
    </w:lvl>
    <w:lvl w:ilvl="1" w:tentative="0">
      <w:start w:val="0"/>
      <w:numFmt w:val="bullet"/>
      <w:lvlText w:val="•"/>
      <w:lvlJc w:val="left"/>
      <w:pPr>
        <w:ind w:left="1190" w:hanging="366"/>
      </w:pPr>
      <w:rPr>
        <w:rFonts w:hint="default"/>
        <w:lang w:val="zh-CN" w:eastAsia="zh-CN" w:bidi="zh-CN"/>
      </w:rPr>
    </w:lvl>
    <w:lvl w:ilvl="2" w:tentative="0">
      <w:start w:val="0"/>
      <w:numFmt w:val="bullet"/>
      <w:lvlText w:val="•"/>
      <w:lvlJc w:val="left"/>
      <w:pPr>
        <w:ind w:left="2161" w:hanging="366"/>
      </w:pPr>
      <w:rPr>
        <w:rFonts w:hint="default"/>
        <w:lang w:val="zh-CN" w:eastAsia="zh-CN" w:bidi="zh-CN"/>
      </w:rPr>
    </w:lvl>
    <w:lvl w:ilvl="3" w:tentative="0">
      <w:start w:val="0"/>
      <w:numFmt w:val="bullet"/>
      <w:lvlText w:val="•"/>
      <w:lvlJc w:val="left"/>
      <w:pPr>
        <w:ind w:left="3131" w:hanging="366"/>
      </w:pPr>
      <w:rPr>
        <w:rFonts w:hint="default"/>
        <w:lang w:val="zh-CN" w:eastAsia="zh-CN" w:bidi="zh-CN"/>
      </w:rPr>
    </w:lvl>
    <w:lvl w:ilvl="4" w:tentative="0">
      <w:start w:val="0"/>
      <w:numFmt w:val="bullet"/>
      <w:lvlText w:val="•"/>
      <w:lvlJc w:val="left"/>
      <w:pPr>
        <w:ind w:left="4102" w:hanging="366"/>
      </w:pPr>
      <w:rPr>
        <w:rFonts w:hint="default"/>
        <w:lang w:val="zh-CN" w:eastAsia="zh-CN" w:bidi="zh-CN"/>
      </w:rPr>
    </w:lvl>
    <w:lvl w:ilvl="5" w:tentative="0">
      <w:start w:val="0"/>
      <w:numFmt w:val="bullet"/>
      <w:lvlText w:val="•"/>
      <w:lvlJc w:val="left"/>
      <w:pPr>
        <w:ind w:left="5073" w:hanging="366"/>
      </w:pPr>
      <w:rPr>
        <w:rFonts w:hint="default"/>
        <w:lang w:val="zh-CN" w:eastAsia="zh-CN" w:bidi="zh-CN"/>
      </w:rPr>
    </w:lvl>
    <w:lvl w:ilvl="6" w:tentative="0">
      <w:start w:val="0"/>
      <w:numFmt w:val="bullet"/>
      <w:lvlText w:val="•"/>
      <w:lvlJc w:val="left"/>
      <w:pPr>
        <w:ind w:left="6043" w:hanging="366"/>
      </w:pPr>
      <w:rPr>
        <w:rFonts w:hint="default"/>
        <w:lang w:val="zh-CN" w:eastAsia="zh-CN" w:bidi="zh-CN"/>
      </w:rPr>
    </w:lvl>
    <w:lvl w:ilvl="7" w:tentative="0">
      <w:start w:val="0"/>
      <w:numFmt w:val="bullet"/>
      <w:lvlText w:val="•"/>
      <w:lvlJc w:val="left"/>
      <w:pPr>
        <w:ind w:left="7014" w:hanging="366"/>
      </w:pPr>
      <w:rPr>
        <w:rFonts w:hint="default"/>
        <w:lang w:val="zh-CN" w:eastAsia="zh-CN" w:bidi="zh-CN"/>
      </w:rPr>
    </w:lvl>
    <w:lvl w:ilvl="8" w:tentative="0">
      <w:start w:val="0"/>
      <w:numFmt w:val="bullet"/>
      <w:lvlText w:val="•"/>
      <w:lvlJc w:val="left"/>
      <w:pPr>
        <w:ind w:left="7985" w:hanging="366"/>
      </w:pPr>
      <w:rPr>
        <w:rFonts w:hint="default"/>
        <w:lang w:val="zh-CN" w:eastAsia="zh-CN" w:bidi="zh-CN"/>
      </w:rPr>
    </w:lvl>
  </w:abstractNum>
  <w:abstractNum w:abstractNumId="27">
    <w:nsid w:val="C4E0D24A"/>
    <w:multiLevelType w:val="multilevel"/>
    <w:tmpl w:val="C4E0D24A"/>
    <w:lvl w:ilvl="0" w:tentative="0">
      <w:start w:val="2"/>
      <w:numFmt w:val="decimal"/>
      <w:lvlText w:val="%1"/>
      <w:lvlJc w:val="left"/>
      <w:pPr>
        <w:ind w:left="1130" w:hanging="425"/>
      </w:pPr>
      <w:rPr>
        <w:rFonts w:hint="default"/>
        <w:lang w:val="zh-CN" w:eastAsia="zh-CN" w:bidi="zh-CN"/>
      </w:rPr>
    </w:lvl>
    <w:lvl w:ilvl="1" w:tentative="0">
      <w:start w:val="8"/>
      <w:numFmt w:val="decimal"/>
      <w:lvlText w:val="%1.%2"/>
      <w:lvlJc w:val="left"/>
      <w:pPr>
        <w:ind w:left="1130" w:hanging="425"/>
      </w:pPr>
      <w:rPr>
        <w:rFonts w:hint="default" w:ascii="宋体" w:hAnsi="宋体" w:eastAsia="宋体" w:cs="宋体"/>
        <w:b/>
        <w:bCs/>
        <w:spacing w:val="0"/>
        <w:w w:val="99"/>
        <w:sz w:val="24"/>
        <w:szCs w:val="24"/>
        <w:lang w:val="zh-CN" w:eastAsia="zh-CN" w:bidi="zh-CN"/>
      </w:rPr>
    </w:lvl>
    <w:lvl w:ilvl="2" w:tentative="0">
      <w:start w:val="0"/>
      <w:numFmt w:val="bullet"/>
      <w:lvlText w:val="•"/>
      <w:lvlJc w:val="left"/>
      <w:pPr>
        <w:ind w:left="2897" w:hanging="425"/>
      </w:pPr>
      <w:rPr>
        <w:rFonts w:hint="default"/>
        <w:lang w:val="zh-CN" w:eastAsia="zh-CN" w:bidi="zh-CN"/>
      </w:rPr>
    </w:lvl>
    <w:lvl w:ilvl="3" w:tentative="0">
      <w:start w:val="0"/>
      <w:numFmt w:val="bullet"/>
      <w:lvlText w:val="•"/>
      <w:lvlJc w:val="left"/>
      <w:pPr>
        <w:ind w:left="3775" w:hanging="425"/>
      </w:pPr>
      <w:rPr>
        <w:rFonts w:hint="default"/>
        <w:lang w:val="zh-CN" w:eastAsia="zh-CN" w:bidi="zh-CN"/>
      </w:rPr>
    </w:lvl>
    <w:lvl w:ilvl="4" w:tentative="0">
      <w:start w:val="0"/>
      <w:numFmt w:val="bullet"/>
      <w:lvlText w:val="•"/>
      <w:lvlJc w:val="left"/>
      <w:pPr>
        <w:ind w:left="4654" w:hanging="425"/>
      </w:pPr>
      <w:rPr>
        <w:rFonts w:hint="default"/>
        <w:lang w:val="zh-CN" w:eastAsia="zh-CN" w:bidi="zh-CN"/>
      </w:rPr>
    </w:lvl>
    <w:lvl w:ilvl="5" w:tentative="0">
      <w:start w:val="0"/>
      <w:numFmt w:val="bullet"/>
      <w:lvlText w:val="•"/>
      <w:lvlJc w:val="left"/>
      <w:pPr>
        <w:ind w:left="5533" w:hanging="425"/>
      </w:pPr>
      <w:rPr>
        <w:rFonts w:hint="default"/>
        <w:lang w:val="zh-CN" w:eastAsia="zh-CN" w:bidi="zh-CN"/>
      </w:rPr>
    </w:lvl>
    <w:lvl w:ilvl="6" w:tentative="0">
      <w:start w:val="0"/>
      <w:numFmt w:val="bullet"/>
      <w:lvlText w:val="•"/>
      <w:lvlJc w:val="left"/>
      <w:pPr>
        <w:ind w:left="6411" w:hanging="425"/>
      </w:pPr>
      <w:rPr>
        <w:rFonts w:hint="default"/>
        <w:lang w:val="zh-CN" w:eastAsia="zh-CN" w:bidi="zh-CN"/>
      </w:rPr>
    </w:lvl>
    <w:lvl w:ilvl="7" w:tentative="0">
      <w:start w:val="0"/>
      <w:numFmt w:val="bullet"/>
      <w:lvlText w:val="•"/>
      <w:lvlJc w:val="left"/>
      <w:pPr>
        <w:ind w:left="7290" w:hanging="425"/>
      </w:pPr>
      <w:rPr>
        <w:rFonts w:hint="default"/>
        <w:lang w:val="zh-CN" w:eastAsia="zh-CN" w:bidi="zh-CN"/>
      </w:rPr>
    </w:lvl>
    <w:lvl w:ilvl="8" w:tentative="0">
      <w:start w:val="0"/>
      <w:numFmt w:val="bullet"/>
      <w:lvlText w:val="•"/>
      <w:lvlJc w:val="left"/>
      <w:pPr>
        <w:ind w:left="8169" w:hanging="425"/>
      </w:pPr>
      <w:rPr>
        <w:rFonts w:hint="default"/>
        <w:lang w:val="zh-CN" w:eastAsia="zh-CN" w:bidi="zh-CN"/>
      </w:rPr>
    </w:lvl>
  </w:abstractNum>
  <w:abstractNum w:abstractNumId="28">
    <w:nsid w:val="C8879AEF"/>
    <w:multiLevelType w:val="multilevel"/>
    <w:tmpl w:val="C8879AEF"/>
    <w:lvl w:ilvl="0" w:tentative="0">
      <w:start w:val="1"/>
      <w:numFmt w:val="decimal"/>
      <w:lvlText w:val="（%1）"/>
      <w:lvlJc w:val="left"/>
      <w:pPr>
        <w:ind w:left="1304"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162" w:hanging="601"/>
      </w:pPr>
      <w:rPr>
        <w:rFonts w:hint="default"/>
        <w:lang w:val="zh-CN" w:eastAsia="zh-CN" w:bidi="zh-CN"/>
      </w:rPr>
    </w:lvl>
    <w:lvl w:ilvl="2" w:tentative="0">
      <w:start w:val="0"/>
      <w:numFmt w:val="bullet"/>
      <w:lvlText w:val="•"/>
      <w:lvlJc w:val="left"/>
      <w:pPr>
        <w:ind w:left="3025" w:hanging="601"/>
      </w:pPr>
      <w:rPr>
        <w:rFonts w:hint="default"/>
        <w:lang w:val="zh-CN" w:eastAsia="zh-CN" w:bidi="zh-CN"/>
      </w:rPr>
    </w:lvl>
    <w:lvl w:ilvl="3" w:tentative="0">
      <w:start w:val="0"/>
      <w:numFmt w:val="bullet"/>
      <w:lvlText w:val="•"/>
      <w:lvlJc w:val="left"/>
      <w:pPr>
        <w:ind w:left="3887" w:hanging="601"/>
      </w:pPr>
      <w:rPr>
        <w:rFonts w:hint="default"/>
        <w:lang w:val="zh-CN" w:eastAsia="zh-CN" w:bidi="zh-CN"/>
      </w:rPr>
    </w:lvl>
    <w:lvl w:ilvl="4" w:tentative="0">
      <w:start w:val="0"/>
      <w:numFmt w:val="bullet"/>
      <w:lvlText w:val="•"/>
      <w:lvlJc w:val="left"/>
      <w:pPr>
        <w:ind w:left="4750" w:hanging="601"/>
      </w:pPr>
      <w:rPr>
        <w:rFonts w:hint="default"/>
        <w:lang w:val="zh-CN" w:eastAsia="zh-CN" w:bidi="zh-CN"/>
      </w:rPr>
    </w:lvl>
    <w:lvl w:ilvl="5" w:tentative="0">
      <w:start w:val="0"/>
      <w:numFmt w:val="bullet"/>
      <w:lvlText w:val="•"/>
      <w:lvlJc w:val="left"/>
      <w:pPr>
        <w:ind w:left="5613" w:hanging="601"/>
      </w:pPr>
      <w:rPr>
        <w:rFonts w:hint="default"/>
        <w:lang w:val="zh-CN" w:eastAsia="zh-CN" w:bidi="zh-CN"/>
      </w:rPr>
    </w:lvl>
    <w:lvl w:ilvl="6" w:tentative="0">
      <w:start w:val="0"/>
      <w:numFmt w:val="bullet"/>
      <w:lvlText w:val="•"/>
      <w:lvlJc w:val="left"/>
      <w:pPr>
        <w:ind w:left="6475" w:hanging="601"/>
      </w:pPr>
      <w:rPr>
        <w:rFonts w:hint="default"/>
        <w:lang w:val="zh-CN" w:eastAsia="zh-CN" w:bidi="zh-CN"/>
      </w:rPr>
    </w:lvl>
    <w:lvl w:ilvl="7" w:tentative="0">
      <w:start w:val="0"/>
      <w:numFmt w:val="bullet"/>
      <w:lvlText w:val="•"/>
      <w:lvlJc w:val="left"/>
      <w:pPr>
        <w:ind w:left="7338" w:hanging="601"/>
      </w:pPr>
      <w:rPr>
        <w:rFonts w:hint="default"/>
        <w:lang w:val="zh-CN" w:eastAsia="zh-CN" w:bidi="zh-CN"/>
      </w:rPr>
    </w:lvl>
    <w:lvl w:ilvl="8" w:tentative="0">
      <w:start w:val="0"/>
      <w:numFmt w:val="bullet"/>
      <w:lvlText w:val="•"/>
      <w:lvlJc w:val="left"/>
      <w:pPr>
        <w:ind w:left="8201" w:hanging="601"/>
      </w:pPr>
      <w:rPr>
        <w:rFonts w:hint="default"/>
        <w:lang w:val="zh-CN" w:eastAsia="zh-CN" w:bidi="zh-CN"/>
      </w:rPr>
    </w:lvl>
  </w:abstractNum>
  <w:abstractNum w:abstractNumId="29">
    <w:nsid w:val="CF092B84"/>
    <w:multiLevelType w:val="multilevel"/>
    <w:tmpl w:val="CF092B84"/>
    <w:lvl w:ilvl="0" w:tentative="0">
      <w:start w:val="2"/>
      <w:numFmt w:val="decimal"/>
      <w:lvlText w:val="%1"/>
      <w:lvlJc w:val="left"/>
      <w:pPr>
        <w:ind w:left="1130" w:hanging="425"/>
      </w:pPr>
      <w:rPr>
        <w:rFonts w:hint="default"/>
        <w:lang w:val="zh-CN" w:eastAsia="zh-CN" w:bidi="zh-CN"/>
      </w:rPr>
    </w:lvl>
    <w:lvl w:ilvl="1" w:tentative="0">
      <w:start w:val="1"/>
      <w:numFmt w:val="decimal"/>
      <w:lvlText w:val="%1.%2"/>
      <w:lvlJc w:val="left"/>
      <w:pPr>
        <w:ind w:left="1130" w:hanging="425"/>
      </w:pPr>
      <w:rPr>
        <w:rFonts w:hint="default" w:ascii="宋体" w:hAnsi="宋体" w:eastAsia="宋体" w:cs="宋体"/>
        <w:b/>
        <w:bCs/>
        <w:spacing w:val="0"/>
        <w:w w:val="99"/>
        <w:sz w:val="24"/>
        <w:szCs w:val="24"/>
        <w:lang w:val="zh-CN" w:eastAsia="zh-CN" w:bidi="zh-CN"/>
      </w:rPr>
    </w:lvl>
    <w:lvl w:ilvl="2" w:tentative="0">
      <w:start w:val="0"/>
      <w:numFmt w:val="bullet"/>
      <w:lvlText w:val="•"/>
      <w:lvlJc w:val="left"/>
      <w:pPr>
        <w:ind w:left="2897" w:hanging="425"/>
      </w:pPr>
      <w:rPr>
        <w:rFonts w:hint="default"/>
        <w:lang w:val="zh-CN" w:eastAsia="zh-CN" w:bidi="zh-CN"/>
      </w:rPr>
    </w:lvl>
    <w:lvl w:ilvl="3" w:tentative="0">
      <w:start w:val="0"/>
      <w:numFmt w:val="bullet"/>
      <w:lvlText w:val="•"/>
      <w:lvlJc w:val="left"/>
      <w:pPr>
        <w:ind w:left="3775" w:hanging="425"/>
      </w:pPr>
      <w:rPr>
        <w:rFonts w:hint="default"/>
        <w:lang w:val="zh-CN" w:eastAsia="zh-CN" w:bidi="zh-CN"/>
      </w:rPr>
    </w:lvl>
    <w:lvl w:ilvl="4" w:tentative="0">
      <w:start w:val="0"/>
      <w:numFmt w:val="bullet"/>
      <w:lvlText w:val="•"/>
      <w:lvlJc w:val="left"/>
      <w:pPr>
        <w:ind w:left="4654" w:hanging="425"/>
      </w:pPr>
      <w:rPr>
        <w:rFonts w:hint="default"/>
        <w:lang w:val="zh-CN" w:eastAsia="zh-CN" w:bidi="zh-CN"/>
      </w:rPr>
    </w:lvl>
    <w:lvl w:ilvl="5" w:tentative="0">
      <w:start w:val="0"/>
      <w:numFmt w:val="bullet"/>
      <w:lvlText w:val="•"/>
      <w:lvlJc w:val="left"/>
      <w:pPr>
        <w:ind w:left="5533" w:hanging="425"/>
      </w:pPr>
      <w:rPr>
        <w:rFonts w:hint="default"/>
        <w:lang w:val="zh-CN" w:eastAsia="zh-CN" w:bidi="zh-CN"/>
      </w:rPr>
    </w:lvl>
    <w:lvl w:ilvl="6" w:tentative="0">
      <w:start w:val="0"/>
      <w:numFmt w:val="bullet"/>
      <w:lvlText w:val="•"/>
      <w:lvlJc w:val="left"/>
      <w:pPr>
        <w:ind w:left="6411" w:hanging="425"/>
      </w:pPr>
      <w:rPr>
        <w:rFonts w:hint="default"/>
        <w:lang w:val="zh-CN" w:eastAsia="zh-CN" w:bidi="zh-CN"/>
      </w:rPr>
    </w:lvl>
    <w:lvl w:ilvl="7" w:tentative="0">
      <w:start w:val="0"/>
      <w:numFmt w:val="bullet"/>
      <w:lvlText w:val="•"/>
      <w:lvlJc w:val="left"/>
      <w:pPr>
        <w:ind w:left="7290" w:hanging="425"/>
      </w:pPr>
      <w:rPr>
        <w:rFonts w:hint="default"/>
        <w:lang w:val="zh-CN" w:eastAsia="zh-CN" w:bidi="zh-CN"/>
      </w:rPr>
    </w:lvl>
    <w:lvl w:ilvl="8" w:tentative="0">
      <w:start w:val="0"/>
      <w:numFmt w:val="bullet"/>
      <w:lvlText w:val="•"/>
      <w:lvlJc w:val="left"/>
      <w:pPr>
        <w:ind w:left="8169" w:hanging="425"/>
      </w:pPr>
      <w:rPr>
        <w:rFonts w:hint="default"/>
        <w:lang w:val="zh-CN" w:eastAsia="zh-CN" w:bidi="zh-CN"/>
      </w:rPr>
    </w:lvl>
  </w:abstractNum>
  <w:abstractNum w:abstractNumId="30">
    <w:nsid w:val="D7D140E4"/>
    <w:multiLevelType w:val="multilevel"/>
    <w:tmpl w:val="D7D140E4"/>
    <w:lvl w:ilvl="0" w:tentative="0">
      <w:start w:val="1"/>
      <w:numFmt w:val="decimal"/>
      <w:lvlText w:val="%1）"/>
      <w:lvlJc w:val="left"/>
      <w:pPr>
        <w:ind w:left="1092" w:hanging="372"/>
      </w:pPr>
      <w:rPr>
        <w:rFonts w:hint="default" w:ascii="Times New Roman" w:hAnsi="Times New Roman" w:eastAsia="Times New Roman" w:cs="Times New Roman"/>
        <w:spacing w:val="4"/>
        <w:w w:val="100"/>
        <w:sz w:val="22"/>
        <w:szCs w:val="22"/>
        <w:lang w:val="zh-CN" w:eastAsia="zh-CN" w:bidi="zh-CN"/>
      </w:rPr>
    </w:lvl>
    <w:lvl w:ilvl="1" w:tentative="0">
      <w:start w:val="0"/>
      <w:numFmt w:val="bullet"/>
      <w:lvlText w:val="•"/>
      <w:lvlJc w:val="left"/>
      <w:pPr>
        <w:ind w:left="1982" w:hanging="372"/>
      </w:pPr>
      <w:rPr>
        <w:rFonts w:hint="default"/>
        <w:lang w:val="zh-CN" w:eastAsia="zh-CN" w:bidi="zh-CN"/>
      </w:rPr>
    </w:lvl>
    <w:lvl w:ilvl="2" w:tentative="0">
      <w:start w:val="0"/>
      <w:numFmt w:val="bullet"/>
      <w:lvlText w:val="•"/>
      <w:lvlJc w:val="left"/>
      <w:pPr>
        <w:ind w:left="2865" w:hanging="372"/>
      </w:pPr>
      <w:rPr>
        <w:rFonts w:hint="default"/>
        <w:lang w:val="zh-CN" w:eastAsia="zh-CN" w:bidi="zh-CN"/>
      </w:rPr>
    </w:lvl>
    <w:lvl w:ilvl="3" w:tentative="0">
      <w:start w:val="0"/>
      <w:numFmt w:val="bullet"/>
      <w:lvlText w:val="•"/>
      <w:lvlJc w:val="left"/>
      <w:pPr>
        <w:ind w:left="3747" w:hanging="372"/>
      </w:pPr>
      <w:rPr>
        <w:rFonts w:hint="default"/>
        <w:lang w:val="zh-CN" w:eastAsia="zh-CN" w:bidi="zh-CN"/>
      </w:rPr>
    </w:lvl>
    <w:lvl w:ilvl="4" w:tentative="0">
      <w:start w:val="0"/>
      <w:numFmt w:val="bullet"/>
      <w:lvlText w:val="•"/>
      <w:lvlJc w:val="left"/>
      <w:pPr>
        <w:ind w:left="4630" w:hanging="372"/>
      </w:pPr>
      <w:rPr>
        <w:rFonts w:hint="default"/>
        <w:lang w:val="zh-CN" w:eastAsia="zh-CN" w:bidi="zh-CN"/>
      </w:rPr>
    </w:lvl>
    <w:lvl w:ilvl="5" w:tentative="0">
      <w:start w:val="0"/>
      <w:numFmt w:val="bullet"/>
      <w:lvlText w:val="•"/>
      <w:lvlJc w:val="left"/>
      <w:pPr>
        <w:ind w:left="5513" w:hanging="372"/>
      </w:pPr>
      <w:rPr>
        <w:rFonts w:hint="default"/>
        <w:lang w:val="zh-CN" w:eastAsia="zh-CN" w:bidi="zh-CN"/>
      </w:rPr>
    </w:lvl>
    <w:lvl w:ilvl="6" w:tentative="0">
      <w:start w:val="0"/>
      <w:numFmt w:val="bullet"/>
      <w:lvlText w:val="•"/>
      <w:lvlJc w:val="left"/>
      <w:pPr>
        <w:ind w:left="6395" w:hanging="372"/>
      </w:pPr>
      <w:rPr>
        <w:rFonts w:hint="default"/>
        <w:lang w:val="zh-CN" w:eastAsia="zh-CN" w:bidi="zh-CN"/>
      </w:rPr>
    </w:lvl>
    <w:lvl w:ilvl="7" w:tentative="0">
      <w:start w:val="0"/>
      <w:numFmt w:val="bullet"/>
      <w:lvlText w:val="•"/>
      <w:lvlJc w:val="left"/>
      <w:pPr>
        <w:ind w:left="7278" w:hanging="372"/>
      </w:pPr>
      <w:rPr>
        <w:rFonts w:hint="default"/>
        <w:lang w:val="zh-CN" w:eastAsia="zh-CN" w:bidi="zh-CN"/>
      </w:rPr>
    </w:lvl>
    <w:lvl w:ilvl="8" w:tentative="0">
      <w:start w:val="0"/>
      <w:numFmt w:val="bullet"/>
      <w:lvlText w:val="•"/>
      <w:lvlJc w:val="left"/>
      <w:pPr>
        <w:ind w:left="8161" w:hanging="372"/>
      </w:pPr>
      <w:rPr>
        <w:rFonts w:hint="default"/>
        <w:lang w:val="zh-CN" w:eastAsia="zh-CN" w:bidi="zh-CN"/>
      </w:rPr>
    </w:lvl>
  </w:abstractNum>
  <w:abstractNum w:abstractNumId="31">
    <w:nsid w:val="D7F9FE59"/>
    <w:multiLevelType w:val="multilevel"/>
    <w:tmpl w:val="D7F9FE59"/>
    <w:lvl w:ilvl="0" w:tentative="0">
      <w:start w:val="1"/>
      <w:numFmt w:val="decimal"/>
      <w:lvlText w:val="%1"/>
      <w:lvlJc w:val="left"/>
      <w:pPr>
        <w:ind w:left="223" w:hanging="850"/>
      </w:pPr>
      <w:rPr>
        <w:rFonts w:hint="default"/>
        <w:lang w:val="zh-CN" w:eastAsia="zh-CN" w:bidi="zh-CN"/>
      </w:rPr>
    </w:lvl>
    <w:lvl w:ilvl="1" w:tentative="0">
      <w:start w:val="1"/>
      <w:numFmt w:val="decimal"/>
      <w:lvlText w:val="%1.%2"/>
      <w:lvlJc w:val="left"/>
      <w:pPr>
        <w:ind w:left="223" w:hanging="850"/>
      </w:pPr>
      <w:rPr>
        <w:rFonts w:hint="default"/>
        <w:lang w:val="zh-CN" w:eastAsia="zh-CN" w:bidi="zh-CN"/>
      </w:rPr>
    </w:lvl>
    <w:lvl w:ilvl="2" w:tentative="0">
      <w:start w:val="38"/>
      <w:numFmt w:val="decimal"/>
      <w:lvlText w:val="%1.%2.%3"/>
      <w:lvlJc w:val="left"/>
      <w:pPr>
        <w:ind w:left="223" w:hanging="850"/>
      </w:pPr>
      <w:rPr>
        <w:rFonts w:hint="default" w:ascii="宋体" w:hAnsi="宋体" w:eastAsia="宋体" w:cs="宋体"/>
        <w:w w:val="100"/>
        <w:sz w:val="24"/>
        <w:szCs w:val="24"/>
        <w:lang w:val="zh-CN" w:eastAsia="zh-CN" w:bidi="zh-CN"/>
      </w:rPr>
    </w:lvl>
    <w:lvl w:ilvl="3" w:tentative="0">
      <w:start w:val="1"/>
      <w:numFmt w:val="decimal"/>
      <w:lvlText w:val="%1.%2.%3.%4"/>
      <w:lvlJc w:val="left"/>
      <w:pPr>
        <w:ind w:left="223" w:hanging="1121"/>
      </w:pPr>
      <w:rPr>
        <w:rFonts w:hint="default" w:ascii="宋体" w:hAnsi="宋体" w:eastAsia="宋体" w:cs="宋体"/>
        <w:spacing w:val="0"/>
        <w:w w:val="100"/>
        <w:sz w:val="24"/>
        <w:szCs w:val="24"/>
        <w:lang w:val="zh-CN" w:eastAsia="zh-CN" w:bidi="zh-CN"/>
      </w:rPr>
    </w:lvl>
    <w:lvl w:ilvl="4" w:tentative="0">
      <w:start w:val="0"/>
      <w:numFmt w:val="bullet"/>
      <w:lvlText w:val="•"/>
      <w:lvlJc w:val="left"/>
      <w:pPr>
        <w:ind w:left="4102" w:hanging="1121"/>
      </w:pPr>
      <w:rPr>
        <w:rFonts w:hint="default"/>
        <w:lang w:val="zh-CN" w:eastAsia="zh-CN" w:bidi="zh-CN"/>
      </w:rPr>
    </w:lvl>
    <w:lvl w:ilvl="5" w:tentative="0">
      <w:start w:val="0"/>
      <w:numFmt w:val="bullet"/>
      <w:lvlText w:val="•"/>
      <w:lvlJc w:val="left"/>
      <w:pPr>
        <w:ind w:left="5073" w:hanging="1121"/>
      </w:pPr>
      <w:rPr>
        <w:rFonts w:hint="default"/>
        <w:lang w:val="zh-CN" w:eastAsia="zh-CN" w:bidi="zh-CN"/>
      </w:rPr>
    </w:lvl>
    <w:lvl w:ilvl="6" w:tentative="0">
      <w:start w:val="0"/>
      <w:numFmt w:val="bullet"/>
      <w:lvlText w:val="•"/>
      <w:lvlJc w:val="left"/>
      <w:pPr>
        <w:ind w:left="6043" w:hanging="1121"/>
      </w:pPr>
      <w:rPr>
        <w:rFonts w:hint="default"/>
        <w:lang w:val="zh-CN" w:eastAsia="zh-CN" w:bidi="zh-CN"/>
      </w:rPr>
    </w:lvl>
    <w:lvl w:ilvl="7" w:tentative="0">
      <w:start w:val="0"/>
      <w:numFmt w:val="bullet"/>
      <w:lvlText w:val="•"/>
      <w:lvlJc w:val="left"/>
      <w:pPr>
        <w:ind w:left="7014" w:hanging="1121"/>
      </w:pPr>
      <w:rPr>
        <w:rFonts w:hint="default"/>
        <w:lang w:val="zh-CN" w:eastAsia="zh-CN" w:bidi="zh-CN"/>
      </w:rPr>
    </w:lvl>
    <w:lvl w:ilvl="8" w:tentative="0">
      <w:start w:val="0"/>
      <w:numFmt w:val="bullet"/>
      <w:lvlText w:val="•"/>
      <w:lvlJc w:val="left"/>
      <w:pPr>
        <w:ind w:left="7985" w:hanging="1121"/>
      </w:pPr>
      <w:rPr>
        <w:rFonts w:hint="default"/>
        <w:lang w:val="zh-CN" w:eastAsia="zh-CN" w:bidi="zh-CN"/>
      </w:rPr>
    </w:lvl>
  </w:abstractNum>
  <w:abstractNum w:abstractNumId="32">
    <w:nsid w:val="DAD3A854"/>
    <w:multiLevelType w:val="multilevel"/>
    <w:tmpl w:val="DAD3A854"/>
    <w:lvl w:ilvl="0" w:tentative="0">
      <w:start w:val="1"/>
      <w:numFmt w:val="decimal"/>
      <w:lvlText w:val="（%1）"/>
      <w:lvlJc w:val="left"/>
      <w:pPr>
        <w:ind w:left="223" w:hanging="608"/>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1190" w:hanging="608"/>
      </w:pPr>
      <w:rPr>
        <w:rFonts w:hint="default"/>
        <w:lang w:val="zh-CN" w:eastAsia="zh-CN" w:bidi="zh-CN"/>
      </w:rPr>
    </w:lvl>
    <w:lvl w:ilvl="2" w:tentative="0">
      <w:start w:val="0"/>
      <w:numFmt w:val="bullet"/>
      <w:lvlText w:val="•"/>
      <w:lvlJc w:val="left"/>
      <w:pPr>
        <w:ind w:left="2161" w:hanging="608"/>
      </w:pPr>
      <w:rPr>
        <w:rFonts w:hint="default"/>
        <w:lang w:val="zh-CN" w:eastAsia="zh-CN" w:bidi="zh-CN"/>
      </w:rPr>
    </w:lvl>
    <w:lvl w:ilvl="3" w:tentative="0">
      <w:start w:val="0"/>
      <w:numFmt w:val="bullet"/>
      <w:lvlText w:val="•"/>
      <w:lvlJc w:val="left"/>
      <w:pPr>
        <w:ind w:left="3131" w:hanging="608"/>
      </w:pPr>
      <w:rPr>
        <w:rFonts w:hint="default"/>
        <w:lang w:val="zh-CN" w:eastAsia="zh-CN" w:bidi="zh-CN"/>
      </w:rPr>
    </w:lvl>
    <w:lvl w:ilvl="4" w:tentative="0">
      <w:start w:val="0"/>
      <w:numFmt w:val="bullet"/>
      <w:lvlText w:val="•"/>
      <w:lvlJc w:val="left"/>
      <w:pPr>
        <w:ind w:left="4102" w:hanging="608"/>
      </w:pPr>
      <w:rPr>
        <w:rFonts w:hint="default"/>
        <w:lang w:val="zh-CN" w:eastAsia="zh-CN" w:bidi="zh-CN"/>
      </w:rPr>
    </w:lvl>
    <w:lvl w:ilvl="5" w:tentative="0">
      <w:start w:val="0"/>
      <w:numFmt w:val="bullet"/>
      <w:lvlText w:val="•"/>
      <w:lvlJc w:val="left"/>
      <w:pPr>
        <w:ind w:left="5073" w:hanging="608"/>
      </w:pPr>
      <w:rPr>
        <w:rFonts w:hint="default"/>
        <w:lang w:val="zh-CN" w:eastAsia="zh-CN" w:bidi="zh-CN"/>
      </w:rPr>
    </w:lvl>
    <w:lvl w:ilvl="6" w:tentative="0">
      <w:start w:val="0"/>
      <w:numFmt w:val="bullet"/>
      <w:lvlText w:val="•"/>
      <w:lvlJc w:val="left"/>
      <w:pPr>
        <w:ind w:left="6043" w:hanging="608"/>
      </w:pPr>
      <w:rPr>
        <w:rFonts w:hint="default"/>
        <w:lang w:val="zh-CN" w:eastAsia="zh-CN" w:bidi="zh-CN"/>
      </w:rPr>
    </w:lvl>
    <w:lvl w:ilvl="7" w:tentative="0">
      <w:start w:val="0"/>
      <w:numFmt w:val="bullet"/>
      <w:lvlText w:val="•"/>
      <w:lvlJc w:val="left"/>
      <w:pPr>
        <w:ind w:left="7014" w:hanging="608"/>
      </w:pPr>
      <w:rPr>
        <w:rFonts w:hint="default"/>
        <w:lang w:val="zh-CN" w:eastAsia="zh-CN" w:bidi="zh-CN"/>
      </w:rPr>
    </w:lvl>
    <w:lvl w:ilvl="8" w:tentative="0">
      <w:start w:val="0"/>
      <w:numFmt w:val="bullet"/>
      <w:lvlText w:val="•"/>
      <w:lvlJc w:val="left"/>
      <w:pPr>
        <w:ind w:left="7985" w:hanging="608"/>
      </w:pPr>
      <w:rPr>
        <w:rFonts w:hint="default"/>
        <w:lang w:val="zh-CN" w:eastAsia="zh-CN" w:bidi="zh-CN"/>
      </w:rPr>
    </w:lvl>
  </w:abstractNum>
  <w:abstractNum w:abstractNumId="33">
    <w:nsid w:val="DCBA6B53"/>
    <w:multiLevelType w:val="multilevel"/>
    <w:tmpl w:val="DCBA6B53"/>
    <w:lvl w:ilvl="0" w:tentative="0">
      <w:start w:val="1"/>
      <w:numFmt w:val="decimal"/>
      <w:lvlText w:val="%1"/>
      <w:lvlJc w:val="left"/>
      <w:pPr>
        <w:ind w:left="223" w:hanging="828"/>
      </w:pPr>
      <w:rPr>
        <w:rFonts w:hint="default"/>
        <w:lang w:val="zh-CN" w:eastAsia="zh-CN" w:bidi="zh-CN"/>
      </w:rPr>
    </w:lvl>
    <w:lvl w:ilvl="1" w:tentative="0">
      <w:start w:val="1"/>
      <w:numFmt w:val="decimal"/>
      <w:lvlText w:val="%1.%2"/>
      <w:lvlJc w:val="left"/>
      <w:pPr>
        <w:ind w:left="223" w:hanging="828"/>
      </w:pPr>
      <w:rPr>
        <w:rFonts w:hint="default"/>
        <w:lang w:val="zh-CN" w:eastAsia="zh-CN" w:bidi="zh-CN"/>
      </w:rPr>
    </w:lvl>
    <w:lvl w:ilvl="2" w:tentative="0">
      <w:start w:val="13"/>
      <w:numFmt w:val="decimal"/>
      <w:lvlText w:val="%1.%2.%3"/>
      <w:lvlJc w:val="left"/>
      <w:pPr>
        <w:ind w:left="223" w:hanging="828"/>
      </w:pPr>
      <w:rPr>
        <w:rFonts w:hint="default" w:ascii="宋体" w:hAnsi="宋体" w:eastAsia="宋体" w:cs="宋体"/>
        <w:w w:val="100"/>
        <w:sz w:val="24"/>
        <w:szCs w:val="24"/>
        <w:lang w:val="zh-CN" w:eastAsia="zh-CN" w:bidi="zh-CN"/>
      </w:rPr>
    </w:lvl>
    <w:lvl w:ilvl="3" w:tentative="0">
      <w:start w:val="0"/>
      <w:numFmt w:val="bullet"/>
      <w:lvlText w:val="•"/>
      <w:lvlJc w:val="left"/>
      <w:pPr>
        <w:ind w:left="3131" w:hanging="828"/>
      </w:pPr>
      <w:rPr>
        <w:rFonts w:hint="default"/>
        <w:lang w:val="zh-CN" w:eastAsia="zh-CN" w:bidi="zh-CN"/>
      </w:rPr>
    </w:lvl>
    <w:lvl w:ilvl="4" w:tentative="0">
      <w:start w:val="0"/>
      <w:numFmt w:val="bullet"/>
      <w:lvlText w:val="•"/>
      <w:lvlJc w:val="left"/>
      <w:pPr>
        <w:ind w:left="4102" w:hanging="828"/>
      </w:pPr>
      <w:rPr>
        <w:rFonts w:hint="default"/>
        <w:lang w:val="zh-CN" w:eastAsia="zh-CN" w:bidi="zh-CN"/>
      </w:rPr>
    </w:lvl>
    <w:lvl w:ilvl="5" w:tentative="0">
      <w:start w:val="0"/>
      <w:numFmt w:val="bullet"/>
      <w:lvlText w:val="•"/>
      <w:lvlJc w:val="left"/>
      <w:pPr>
        <w:ind w:left="5073" w:hanging="828"/>
      </w:pPr>
      <w:rPr>
        <w:rFonts w:hint="default"/>
        <w:lang w:val="zh-CN" w:eastAsia="zh-CN" w:bidi="zh-CN"/>
      </w:rPr>
    </w:lvl>
    <w:lvl w:ilvl="6" w:tentative="0">
      <w:start w:val="0"/>
      <w:numFmt w:val="bullet"/>
      <w:lvlText w:val="•"/>
      <w:lvlJc w:val="left"/>
      <w:pPr>
        <w:ind w:left="6043" w:hanging="828"/>
      </w:pPr>
      <w:rPr>
        <w:rFonts w:hint="default"/>
        <w:lang w:val="zh-CN" w:eastAsia="zh-CN" w:bidi="zh-CN"/>
      </w:rPr>
    </w:lvl>
    <w:lvl w:ilvl="7" w:tentative="0">
      <w:start w:val="0"/>
      <w:numFmt w:val="bullet"/>
      <w:lvlText w:val="•"/>
      <w:lvlJc w:val="left"/>
      <w:pPr>
        <w:ind w:left="7014" w:hanging="828"/>
      </w:pPr>
      <w:rPr>
        <w:rFonts w:hint="default"/>
        <w:lang w:val="zh-CN" w:eastAsia="zh-CN" w:bidi="zh-CN"/>
      </w:rPr>
    </w:lvl>
    <w:lvl w:ilvl="8" w:tentative="0">
      <w:start w:val="0"/>
      <w:numFmt w:val="bullet"/>
      <w:lvlText w:val="•"/>
      <w:lvlJc w:val="left"/>
      <w:pPr>
        <w:ind w:left="7985" w:hanging="828"/>
      </w:pPr>
      <w:rPr>
        <w:rFonts w:hint="default"/>
        <w:lang w:val="zh-CN" w:eastAsia="zh-CN" w:bidi="zh-CN"/>
      </w:rPr>
    </w:lvl>
  </w:abstractNum>
  <w:abstractNum w:abstractNumId="34">
    <w:nsid w:val="E093A4B0"/>
    <w:multiLevelType w:val="multilevel"/>
    <w:tmpl w:val="E093A4B0"/>
    <w:lvl w:ilvl="0" w:tentative="0">
      <w:start w:val="1"/>
      <w:numFmt w:val="decimal"/>
      <w:lvlText w:val="%1）"/>
      <w:lvlJc w:val="left"/>
      <w:pPr>
        <w:ind w:left="1092" w:hanging="372"/>
      </w:pPr>
      <w:rPr>
        <w:rFonts w:hint="default" w:ascii="Times New Roman" w:hAnsi="Times New Roman" w:eastAsia="Times New Roman" w:cs="Times New Roman"/>
        <w:spacing w:val="4"/>
        <w:w w:val="100"/>
        <w:sz w:val="22"/>
        <w:szCs w:val="22"/>
        <w:lang w:val="zh-CN" w:eastAsia="zh-CN" w:bidi="zh-CN"/>
      </w:rPr>
    </w:lvl>
    <w:lvl w:ilvl="1" w:tentative="0">
      <w:start w:val="0"/>
      <w:numFmt w:val="bullet"/>
      <w:lvlText w:val="•"/>
      <w:lvlJc w:val="left"/>
      <w:pPr>
        <w:ind w:left="1982" w:hanging="372"/>
      </w:pPr>
      <w:rPr>
        <w:rFonts w:hint="default"/>
        <w:lang w:val="zh-CN" w:eastAsia="zh-CN" w:bidi="zh-CN"/>
      </w:rPr>
    </w:lvl>
    <w:lvl w:ilvl="2" w:tentative="0">
      <w:start w:val="0"/>
      <w:numFmt w:val="bullet"/>
      <w:lvlText w:val="•"/>
      <w:lvlJc w:val="left"/>
      <w:pPr>
        <w:ind w:left="2865" w:hanging="372"/>
      </w:pPr>
      <w:rPr>
        <w:rFonts w:hint="default"/>
        <w:lang w:val="zh-CN" w:eastAsia="zh-CN" w:bidi="zh-CN"/>
      </w:rPr>
    </w:lvl>
    <w:lvl w:ilvl="3" w:tentative="0">
      <w:start w:val="0"/>
      <w:numFmt w:val="bullet"/>
      <w:lvlText w:val="•"/>
      <w:lvlJc w:val="left"/>
      <w:pPr>
        <w:ind w:left="3747" w:hanging="372"/>
      </w:pPr>
      <w:rPr>
        <w:rFonts w:hint="default"/>
        <w:lang w:val="zh-CN" w:eastAsia="zh-CN" w:bidi="zh-CN"/>
      </w:rPr>
    </w:lvl>
    <w:lvl w:ilvl="4" w:tentative="0">
      <w:start w:val="0"/>
      <w:numFmt w:val="bullet"/>
      <w:lvlText w:val="•"/>
      <w:lvlJc w:val="left"/>
      <w:pPr>
        <w:ind w:left="4630" w:hanging="372"/>
      </w:pPr>
      <w:rPr>
        <w:rFonts w:hint="default"/>
        <w:lang w:val="zh-CN" w:eastAsia="zh-CN" w:bidi="zh-CN"/>
      </w:rPr>
    </w:lvl>
    <w:lvl w:ilvl="5" w:tentative="0">
      <w:start w:val="0"/>
      <w:numFmt w:val="bullet"/>
      <w:lvlText w:val="•"/>
      <w:lvlJc w:val="left"/>
      <w:pPr>
        <w:ind w:left="5513" w:hanging="372"/>
      </w:pPr>
      <w:rPr>
        <w:rFonts w:hint="default"/>
        <w:lang w:val="zh-CN" w:eastAsia="zh-CN" w:bidi="zh-CN"/>
      </w:rPr>
    </w:lvl>
    <w:lvl w:ilvl="6" w:tentative="0">
      <w:start w:val="0"/>
      <w:numFmt w:val="bullet"/>
      <w:lvlText w:val="•"/>
      <w:lvlJc w:val="left"/>
      <w:pPr>
        <w:ind w:left="6395" w:hanging="372"/>
      </w:pPr>
      <w:rPr>
        <w:rFonts w:hint="default"/>
        <w:lang w:val="zh-CN" w:eastAsia="zh-CN" w:bidi="zh-CN"/>
      </w:rPr>
    </w:lvl>
    <w:lvl w:ilvl="7" w:tentative="0">
      <w:start w:val="0"/>
      <w:numFmt w:val="bullet"/>
      <w:lvlText w:val="•"/>
      <w:lvlJc w:val="left"/>
      <w:pPr>
        <w:ind w:left="7278" w:hanging="372"/>
      </w:pPr>
      <w:rPr>
        <w:rFonts w:hint="default"/>
        <w:lang w:val="zh-CN" w:eastAsia="zh-CN" w:bidi="zh-CN"/>
      </w:rPr>
    </w:lvl>
    <w:lvl w:ilvl="8" w:tentative="0">
      <w:start w:val="0"/>
      <w:numFmt w:val="bullet"/>
      <w:lvlText w:val="•"/>
      <w:lvlJc w:val="left"/>
      <w:pPr>
        <w:ind w:left="8161" w:hanging="372"/>
      </w:pPr>
      <w:rPr>
        <w:rFonts w:hint="default"/>
        <w:lang w:val="zh-CN" w:eastAsia="zh-CN" w:bidi="zh-CN"/>
      </w:rPr>
    </w:lvl>
  </w:abstractNum>
  <w:abstractNum w:abstractNumId="35">
    <w:nsid w:val="E504947C"/>
    <w:multiLevelType w:val="multilevel"/>
    <w:tmpl w:val="E504947C"/>
    <w:lvl w:ilvl="0" w:tentative="0">
      <w:start w:val="1"/>
      <w:numFmt w:val="decimal"/>
      <w:lvlText w:val="（%1）"/>
      <w:lvlJc w:val="left"/>
      <w:pPr>
        <w:ind w:left="223" w:hanging="608"/>
      </w:pPr>
      <w:rPr>
        <w:rFonts w:hint="default" w:ascii="宋体" w:hAnsi="宋体" w:eastAsia="宋体" w:cs="宋体"/>
        <w:spacing w:val="-18"/>
        <w:w w:val="100"/>
        <w:sz w:val="22"/>
        <w:szCs w:val="22"/>
        <w:lang w:val="zh-CN" w:eastAsia="zh-CN" w:bidi="zh-CN"/>
      </w:rPr>
    </w:lvl>
    <w:lvl w:ilvl="1" w:tentative="0">
      <w:start w:val="0"/>
      <w:numFmt w:val="bullet"/>
      <w:lvlText w:val="•"/>
      <w:lvlJc w:val="left"/>
      <w:pPr>
        <w:ind w:left="1190" w:hanging="608"/>
      </w:pPr>
      <w:rPr>
        <w:rFonts w:hint="default"/>
        <w:lang w:val="zh-CN" w:eastAsia="zh-CN" w:bidi="zh-CN"/>
      </w:rPr>
    </w:lvl>
    <w:lvl w:ilvl="2" w:tentative="0">
      <w:start w:val="0"/>
      <w:numFmt w:val="bullet"/>
      <w:lvlText w:val="•"/>
      <w:lvlJc w:val="left"/>
      <w:pPr>
        <w:ind w:left="2161" w:hanging="608"/>
      </w:pPr>
      <w:rPr>
        <w:rFonts w:hint="default"/>
        <w:lang w:val="zh-CN" w:eastAsia="zh-CN" w:bidi="zh-CN"/>
      </w:rPr>
    </w:lvl>
    <w:lvl w:ilvl="3" w:tentative="0">
      <w:start w:val="0"/>
      <w:numFmt w:val="bullet"/>
      <w:lvlText w:val="•"/>
      <w:lvlJc w:val="left"/>
      <w:pPr>
        <w:ind w:left="3131" w:hanging="608"/>
      </w:pPr>
      <w:rPr>
        <w:rFonts w:hint="default"/>
        <w:lang w:val="zh-CN" w:eastAsia="zh-CN" w:bidi="zh-CN"/>
      </w:rPr>
    </w:lvl>
    <w:lvl w:ilvl="4" w:tentative="0">
      <w:start w:val="0"/>
      <w:numFmt w:val="bullet"/>
      <w:lvlText w:val="•"/>
      <w:lvlJc w:val="left"/>
      <w:pPr>
        <w:ind w:left="4102" w:hanging="608"/>
      </w:pPr>
      <w:rPr>
        <w:rFonts w:hint="default"/>
        <w:lang w:val="zh-CN" w:eastAsia="zh-CN" w:bidi="zh-CN"/>
      </w:rPr>
    </w:lvl>
    <w:lvl w:ilvl="5" w:tentative="0">
      <w:start w:val="0"/>
      <w:numFmt w:val="bullet"/>
      <w:lvlText w:val="•"/>
      <w:lvlJc w:val="left"/>
      <w:pPr>
        <w:ind w:left="5073" w:hanging="608"/>
      </w:pPr>
      <w:rPr>
        <w:rFonts w:hint="default"/>
        <w:lang w:val="zh-CN" w:eastAsia="zh-CN" w:bidi="zh-CN"/>
      </w:rPr>
    </w:lvl>
    <w:lvl w:ilvl="6" w:tentative="0">
      <w:start w:val="0"/>
      <w:numFmt w:val="bullet"/>
      <w:lvlText w:val="•"/>
      <w:lvlJc w:val="left"/>
      <w:pPr>
        <w:ind w:left="6043" w:hanging="608"/>
      </w:pPr>
      <w:rPr>
        <w:rFonts w:hint="default"/>
        <w:lang w:val="zh-CN" w:eastAsia="zh-CN" w:bidi="zh-CN"/>
      </w:rPr>
    </w:lvl>
    <w:lvl w:ilvl="7" w:tentative="0">
      <w:start w:val="0"/>
      <w:numFmt w:val="bullet"/>
      <w:lvlText w:val="•"/>
      <w:lvlJc w:val="left"/>
      <w:pPr>
        <w:ind w:left="7014" w:hanging="608"/>
      </w:pPr>
      <w:rPr>
        <w:rFonts w:hint="default"/>
        <w:lang w:val="zh-CN" w:eastAsia="zh-CN" w:bidi="zh-CN"/>
      </w:rPr>
    </w:lvl>
    <w:lvl w:ilvl="8" w:tentative="0">
      <w:start w:val="0"/>
      <w:numFmt w:val="bullet"/>
      <w:lvlText w:val="•"/>
      <w:lvlJc w:val="left"/>
      <w:pPr>
        <w:ind w:left="7985" w:hanging="608"/>
      </w:pPr>
      <w:rPr>
        <w:rFonts w:hint="default"/>
        <w:lang w:val="zh-CN" w:eastAsia="zh-CN" w:bidi="zh-CN"/>
      </w:rPr>
    </w:lvl>
  </w:abstractNum>
  <w:abstractNum w:abstractNumId="36">
    <w:nsid w:val="E7B27C5B"/>
    <w:multiLevelType w:val="multilevel"/>
    <w:tmpl w:val="E7B27C5B"/>
    <w:lvl w:ilvl="0" w:tentative="0">
      <w:start w:val="1"/>
      <w:numFmt w:val="decimal"/>
      <w:lvlText w:val="（%1）"/>
      <w:lvlJc w:val="left"/>
      <w:pPr>
        <w:ind w:left="223" w:hanging="608"/>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1190" w:hanging="608"/>
      </w:pPr>
      <w:rPr>
        <w:rFonts w:hint="default"/>
        <w:lang w:val="zh-CN" w:eastAsia="zh-CN" w:bidi="zh-CN"/>
      </w:rPr>
    </w:lvl>
    <w:lvl w:ilvl="2" w:tentative="0">
      <w:start w:val="0"/>
      <w:numFmt w:val="bullet"/>
      <w:lvlText w:val="•"/>
      <w:lvlJc w:val="left"/>
      <w:pPr>
        <w:ind w:left="2161" w:hanging="608"/>
      </w:pPr>
      <w:rPr>
        <w:rFonts w:hint="default"/>
        <w:lang w:val="zh-CN" w:eastAsia="zh-CN" w:bidi="zh-CN"/>
      </w:rPr>
    </w:lvl>
    <w:lvl w:ilvl="3" w:tentative="0">
      <w:start w:val="0"/>
      <w:numFmt w:val="bullet"/>
      <w:lvlText w:val="•"/>
      <w:lvlJc w:val="left"/>
      <w:pPr>
        <w:ind w:left="3131" w:hanging="608"/>
      </w:pPr>
      <w:rPr>
        <w:rFonts w:hint="default"/>
        <w:lang w:val="zh-CN" w:eastAsia="zh-CN" w:bidi="zh-CN"/>
      </w:rPr>
    </w:lvl>
    <w:lvl w:ilvl="4" w:tentative="0">
      <w:start w:val="0"/>
      <w:numFmt w:val="bullet"/>
      <w:lvlText w:val="•"/>
      <w:lvlJc w:val="left"/>
      <w:pPr>
        <w:ind w:left="4102" w:hanging="608"/>
      </w:pPr>
      <w:rPr>
        <w:rFonts w:hint="default"/>
        <w:lang w:val="zh-CN" w:eastAsia="zh-CN" w:bidi="zh-CN"/>
      </w:rPr>
    </w:lvl>
    <w:lvl w:ilvl="5" w:tentative="0">
      <w:start w:val="0"/>
      <w:numFmt w:val="bullet"/>
      <w:lvlText w:val="•"/>
      <w:lvlJc w:val="left"/>
      <w:pPr>
        <w:ind w:left="5073" w:hanging="608"/>
      </w:pPr>
      <w:rPr>
        <w:rFonts w:hint="default"/>
        <w:lang w:val="zh-CN" w:eastAsia="zh-CN" w:bidi="zh-CN"/>
      </w:rPr>
    </w:lvl>
    <w:lvl w:ilvl="6" w:tentative="0">
      <w:start w:val="0"/>
      <w:numFmt w:val="bullet"/>
      <w:lvlText w:val="•"/>
      <w:lvlJc w:val="left"/>
      <w:pPr>
        <w:ind w:left="6043" w:hanging="608"/>
      </w:pPr>
      <w:rPr>
        <w:rFonts w:hint="default"/>
        <w:lang w:val="zh-CN" w:eastAsia="zh-CN" w:bidi="zh-CN"/>
      </w:rPr>
    </w:lvl>
    <w:lvl w:ilvl="7" w:tentative="0">
      <w:start w:val="0"/>
      <w:numFmt w:val="bullet"/>
      <w:lvlText w:val="•"/>
      <w:lvlJc w:val="left"/>
      <w:pPr>
        <w:ind w:left="7014" w:hanging="608"/>
      </w:pPr>
      <w:rPr>
        <w:rFonts w:hint="default"/>
        <w:lang w:val="zh-CN" w:eastAsia="zh-CN" w:bidi="zh-CN"/>
      </w:rPr>
    </w:lvl>
    <w:lvl w:ilvl="8" w:tentative="0">
      <w:start w:val="0"/>
      <w:numFmt w:val="bullet"/>
      <w:lvlText w:val="•"/>
      <w:lvlJc w:val="left"/>
      <w:pPr>
        <w:ind w:left="7985" w:hanging="608"/>
      </w:pPr>
      <w:rPr>
        <w:rFonts w:hint="default"/>
        <w:lang w:val="zh-CN" w:eastAsia="zh-CN" w:bidi="zh-CN"/>
      </w:rPr>
    </w:lvl>
  </w:abstractNum>
  <w:abstractNum w:abstractNumId="37">
    <w:nsid w:val="F0E89278"/>
    <w:multiLevelType w:val="multilevel"/>
    <w:tmpl w:val="F0E89278"/>
    <w:lvl w:ilvl="0" w:tentative="0">
      <w:start w:val="1"/>
      <w:numFmt w:val="decimal"/>
      <w:lvlText w:val="（%1）"/>
      <w:lvlJc w:val="left"/>
      <w:pPr>
        <w:ind w:left="1216" w:hanging="622"/>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2090" w:hanging="622"/>
      </w:pPr>
      <w:rPr>
        <w:rFonts w:hint="default"/>
        <w:lang w:val="zh-CN" w:eastAsia="zh-CN" w:bidi="zh-CN"/>
      </w:rPr>
    </w:lvl>
    <w:lvl w:ilvl="2" w:tentative="0">
      <w:start w:val="0"/>
      <w:numFmt w:val="bullet"/>
      <w:lvlText w:val="•"/>
      <w:lvlJc w:val="left"/>
      <w:pPr>
        <w:ind w:left="2961" w:hanging="622"/>
      </w:pPr>
      <w:rPr>
        <w:rFonts w:hint="default"/>
        <w:lang w:val="zh-CN" w:eastAsia="zh-CN" w:bidi="zh-CN"/>
      </w:rPr>
    </w:lvl>
    <w:lvl w:ilvl="3" w:tentative="0">
      <w:start w:val="0"/>
      <w:numFmt w:val="bullet"/>
      <w:lvlText w:val="•"/>
      <w:lvlJc w:val="left"/>
      <w:pPr>
        <w:ind w:left="3831" w:hanging="622"/>
      </w:pPr>
      <w:rPr>
        <w:rFonts w:hint="default"/>
        <w:lang w:val="zh-CN" w:eastAsia="zh-CN" w:bidi="zh-CN"/>
      </w:rPr>
    </w:lvl>
    <w:lvl w:ilvl="4" w:tentative="0">
      <w:start w:val="0"/>
      <w:numFmt w:val="bullet"/>
      <w:lvlText w:val="•"/>
      <w:lvlJc w:val="left"/>
      <w:pPr>
        <w:ind w:left="4702" w:hanging="622"/>
      </w:pPr>
      <w:rPr>
        <w:rFonts w:hint="default"/>
        <w:lang w:val="zh-CN" w:eastAsia="zh-CN" w:bidi="zh-CN"/>
      </w:rPr>
    </w:lvl>
    <w:lvl w:ilvl="5" w:tentative="0">
      <w:start w:val="0"/>
      <w:numFmt w:val="bullet"/>
      <w:lvlText w:val="•"/>
      <w:lvlJc w:val="left"/>
      <w:pPr>
        <w:ind w:left="5573" w:hanging="622"/>
      </w:pPr>
      <w:rPr>
        <w:rFonts w:hint="default"/>
        <w:lang w:val="zh-CN" w:eastAsia="zh-CN" w:bidi="zh-CN"/>
      </w:rPr>
    </w:lvl>
    <w:lvl w:ilvl="6" w:tentative="0">
      <w:start w:val="0"/>
      <w:numFmt w:val="bullet"/>
      <w:lvlText w:val="•"/>
      <w:lvlJc w:val="left"/>
      <w:pPr>
        <w:ind w:left="6443" w:hanging="622"/>
      </w:pPr>
      <w:rPr>
        <w:rFonts w:hint="default"/>
        <w:lang w:val="zh-CN" w:eastAsia="zh-CN" w:bidi="zh-CN"/>
      </w:rPr>
    </w:lvl>
    <w:lvl w:ilvl="7" w:tentative="0">
      <w:start w:val="0"/>
      <w:numFmt w:val="bullet"/>
      <w:lvlText w:val="•"/>
      <w:lvlJc w:val="left"/>
      <w:pPr>
        <w:ind w:left="7314" w:hanging="622"/>
      </w:pPr>
      <w:rPr>
        <w:rFonts w:hint="default"/>
        <w:lang w:val="zh-CN" w:eastAsia="zh-CN" w:bidi="zh-CN"/>
      </w:rPr>
    </w:lvl>
    <w:lvl w:ilvl="8" w:tentative="0">
      <w:start w:val="0"/>
      <w:numFmt w:val="bullet"/>
      <w:lvlText w:val="•"/>
      <w:lvlJc w:val="left"/>
      <w:pPr>
        <w:ind w:left="8185" w:hanging="622"/>
      </w:pPr>
      <w:rPr>
        <w:rFonts w:hint="default"/>
        <w:lang w:val="zh-CN" w:eastAsia="zh-CN" w:bidi="zh-CN"/>
      </w:rPr>
    </w:lvl>
  </w:abstractNum>
  <w:abstractNum w:abstractNumId="38">
    <w:nsid w:val="F4B5D9F5"/>
    <w:multiLevelType w:val="multilevel"/>
    <w:tmpl w:val="F4B5D9F5"/>
    <w:lvl w:ilvl="0" w:tentative="0">
      <w:start w:val="1"/>
      <w:numFmt w:val="decimal"/>
      <w:lvlText w:val="（%1）"/>
      <w:lvlJc w:val="left"/>
      <w:pPr>
        <w:ind w:left="1304"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162" w:hanging="601"/>
      </w:pPr>
      <w:rPr>
        <w:rFonts w:hint="default"/>
        <w:lang w:val="zh-CN" w:eastAsia="zh-CN" w:bidi="zh-CN"/>
      </w:rPr>
    </w:lvl>
    <w:lvl w:ilvl="2" w:tentative="0">
      <w:start w:val="0"/>
      <w:numFmt w:val="bullet"/>
      <w:lvlText w:val="•"/>
      <w:lvlJc w:val="left"/>
      <w:pPr>
        <w:ind w:left="3025" w:hanging="601"/>
      </w:pPr>
      <w:rPr>
        <w:rFonts w:hint="default"/>
        <w:lang w:val="zh-CN" w:eastAsia="zh-CN" w:bidi="zh-CN"/>
      </w:rPr>
    </w:lvl>
    <w:lvl w:ilvl="3" w:tentative="0">
      <w:start w:val="0"/>
      <w:numFmt w:val="bullet"/>
      <w:lvlText w:val="•"/>
      <w:lvlJc w:val="left"/>
      <w:pPr>
        <w:ind w:left="3887" w:hanging="601"/>
      </w:pPr>
      <w:rPr>
        <w:rFonts w:hint="default"/>
        <w:lang w:val="zh-CN" w:eastAsia="zh-CN" w:bidi="zh-CN"/>
      </w:rPr>
    </w:lvl>
    <w:lvl w:ilvl="4" w:tentative="0">
      <w:start w:val="0"/>
      <w:numFmt w:val="bullet"/>
      <w:lvlText w:val="•"/>
      <w:lvlJc w:val="left"/>
      <w:pPr>
        <w:ind w:left="4750" w:hanging="601"/>
      </w:pPr>
      <w:rPr>
        <w:rFonts w:hint="default"/>
        <w:lang w:val="zh-CN" w:eastAsia="zh-CN" w:bidi="zh-CN"/>
      </w:rPr>
    </w:lvl>
    <w:lvl w:ilvl="5" w:tentative="0">
      <w:start w:val="0"/>
      <w:numFmt w:val="bullet"/>
      <w:lvlText w:val="•"/>
      <w:lvlJc w:val="left"/>
      <w:pPr>
        <w:ind w:left="5613" w:hanging="601"/>
      </w:pPr>
      <w:rPr>
        <w:rFonts w:hint="default"/>
        <w:lang w:val="zh-CN" w:eastAsia="zh-CN" w:bidi="zh-CN"/>
      </w:rPr>
    </w:lvl>
    <w:lvl w:ilvl="6" w:tentative="0">
      <w:start w:val="0"/>
      <w:numFmt w:val="bullet"/>
      <w:lvlText w:val="•"/>
      <w:lvlJc w:val="left"/>
      <w:pPr>
        <w:ind w:left="6475" w:hanging="601"/>
      </w:pPr>
      <w:rPr>
        <w:rFonts w:hint="default"/>
        <w:lang w:val="zh-CN" w:eastAsia="zh-CN" w:bidi="zh-CN"/>
      </w:rPr>
    </w:lvl>
    <w:lvl w:ilvl="7" w:tentative="0">
      <w:start w:val="0"/>
      <w:numFmt w:val="bullet"/>
      <w:lvlText w:val="•"/>
      <w:lvlJc w:val="left"/>
      <w:pPr>
        <w:ind w:left="7338" w:hanging="601"/>
      </w:pPr>
      <w:rPr>
        <w:rFonts w:hint="default"/>
        <w:lang w:val="zh-CN" w:eastAsia="zh-CN" w:bidi="zh-CN"/>
      </w:rPr>
    </w:lvl>
    <w:lvl w:ilvl="8" w:tentative="0">
      <w:start w:val="0"/>
      <w:numFmt w:val="bullet"/>
      <w:lvlText w:val="•"/>
      <w:lvlJc w:val="left"/>
      <w:pPr>
        <w:ind w:left="8201" w:hanging="601"/>
      </w:pPr>
      <w:rPr>
        <w:rFonts w:hint="default"/>
        <w:lang w:val="zh-CN" w:eastAsia="zh-CN" w:bidi="zh-CN"/>
      </w:rPr>
    </w:lvl>
  </w:abstractNum>
  <w:abstractNum w:abstractNumId="39">
    <w:nsid w:val="F689643B"/>
    <w:multiLevelType w:val="multilevel"/>
    <w:tmpl w:val="F689643B"/>
    <w:lvl w:ilvl="0" w:tentative="0">
      <w:start w:val="1"/>
      <w:numFmt w:val="decimal"/>
      <w:lvlText w:val="%1）"/>
      <w:lvlJc w:val="left"/>
      <w:pPr>
        <w:ind w:left="223" w:hanging="366"/>
      </w:pPr>
      <w:rPr>
        <w:rFonts w:hint="default" w:ascii="Times New Roman" w:hAnsi="Times New Roman" w:eastAsia="Times New Roman" w:cs="Times New Roman"/>
        <w:spacing w:val="-32"/>
        <w:w w:val="100"/>
        <w:sz w:val="22"/>
        <w:szCs w:val="22"/>
        <w:lang w:val="zh-CN" w:eastAsia="zh-CN" w:bidi="zh-CN"/>
      </w:rPr>
    </w:lvl>
    <w:lvl w:ilvl="1" w:tentative="0">
      <w:start w:val="0"/>
      <w:numFmt w:val="bullet"/>
      <w:lvlText w:val="•"/>
      <w:lvlJc w:val="left"/>
      <w:pPr>
        <w:ind w:left="1190" w:hanging="366"/>
      </w:pPr>
      <w:rPr>
        <w:rFonts w:hint="default"/>
        <w:lang w:val="zh-CN" w:eastAsia="zh-CN" w:bidi="zh-CN"/>
      </w:rPr>
    </w:lvl>
    <w:lvl w:ilvl="2" w:tentative="0">
      <w:start w:val="0"/>
      <w:numFmt w:val="bullet"/>
      <w:lvlText w:val="•"/>
      <w:lvlJc w:val="left"/>
      <w:pPr>
        <w:ind w:left="2161" w:hanging="366"/>
      </w:pPr>
      <w:rPr>
        <w:rFonts w:hint="default"/>
        <w:lang w:val="zh-CN" w:eastAsia="zh-CN" w:bidi="zh-CN"/>
      </w:rPr>
    </w:lvl>
    <w:lvl w:ilvl="3" w:tentative="0">
      <w:start w:val="0"/>
      <w:numFmt w:val="bullet"/>
      <w:lvlText w:val="•"/>
      <w:lvlJc w:val="left"/>
      <w:pPr>
        <w:ind w:left="3131" w:hanging="366"/>
      </w:pPr>
      <w:rPr>
        <w:rFonts w:hint="default"/>
        <w:lang w:val="zh-CN" w:eastAsia="zh-CN" w:bidi="zh-CN"/>
      </w:rPr>
    </w:lvl>
    <w:lvl w:ilvl="4" w:tentative="0">
      <w:start w:val="0"/>
      <w:numFmt w:val="bullet"/>
      <w:lvlText w:val="•"/>
      <w:lvlJc w:val="left"/>
      <w:pPr>
        <w:ind w:left="4102" w:hanging="366"/>
      </w:pPr>
      <w:rPr>
        <w:rFonts w:hint="default"/>
        <w:lang w:val="zh-CN" w:eastAsia="zh-CN" w:bidi="zh-CN"/>
      </w:rPr>
    </w:lvl>
    <w:lvl w:ilvl="5" w:tentative="0">
      <w:start w:val="0"/>
      <w:numFmt w:val="bullet"/>
      <w:lvlText w:val="•"/>
      <w:lvlJc w:val="left"/>
      <w:pPr>
        <w:ind w:left="5073" w:hanging="366"/>
      </w:pPr>
      <w:rPr>
        <w:rFonts w:hint="default"/>
        <w:lang w:val="zh-CN" w:eastAsia="zh-CN" w:bidi="zh-CN"/>
      </w:rPr>
    </w:lvl>
    <w:lvl w:ilvl="6" w:tentative="0">
      <w:start w:val="0"/>
      <w:numFmt w:val="bullet"/>
      <w:lvlText w:val="•"/>
      <w:lvlJc w:val="left"/>
      <w:pPr>
        <w:ind w:left="6043" w:hanging="366"/>
      </w:pPr>
      <w:rPr>
        <w:rFonts w:hint="default"/>
        <w:lang w:val="zh-CN" w:eastAsia="zh-CN" w:bidi="zh-CN"/>
      </w:rPr>
    </w:lvl>
    <w:lvl w:ilvl="7" w:tentative="0">
      <w:start w:val="0"/>
      <w:numFmt w:val="bullet"/>
      <w:lvlText w:val="•"/>
      <w:lvlJc w:val="left"/>
      <w:pPr>
        <w:ind w:left="7014" w:hanging="366"/>
      </w:pPr>
      <w:rPr>
        <w:rFonts w:hint="default"/>
        <w:lang w:val="zh-CN" w:eastAsia="zh-CN" w:bidi="zh-CN"/>
      </w:rPr>
    </w:lvl>
    <w:lvl w:ilvl="8" w:tentative="0">
      <w:start w:val="0"/>
      <w:numFmt w:val="bullet"/>
      <w:lvlText w:val="•"/>
      <w:lvlJc w:val="left"/>
      <w:pPr>
        <w:ind w:left="7985" w:hanging="366"/>
      </w:pPr>
      <w:rPr>
        <w:rFonts w:hint="default"/>
        <w:lang w:val="zh-CN" w:eastAsia="zh-CN" w:bidi="zh-CN"/>
      </w:rPr>
    </w:lvl>
  </w:abstractNum>
  <w:abstractNum w:abstractNumId="40">
    <w:nsid w:val="F7735DC9"/>
    <w:multiLevelType w:val="multilevel"/>
    <w:tmpl w:val="F7735DC9"/>
    <w:lvl w:ilvl="0" w:tentative="0">
      <w:start w:val="1"/>
      <w:numFmt w:val="decimal"/>
      <w:lvlText w:val="（%1）"/>
      <w:lvlJc w:val="left"/>
      <w:pPr>
        <w:ind w:left="1216" w:hanging="622"/>
      </w:pPr>
      <w:rPr>
        <w:rFonts w:hint="default" w:ascii="宋体" w:hAnsi="宋体" w:eastAsia="宋体" w:cs="宋体"/>
        <w:spacing w:val="0"/>
        <w:w w:val="100"/>
        <w:sz w:val="22"/>
        <w:szCs w:val="22"/>
        <w:lang w:val="zh-CN" w:eastAsia="zh-CN" w:bidi="zh-CN"/>
      </w:rPr>
    </w:lvl>
    <w:lvl w:ilvl="1" w:tentative="0">
      <w:start w:val="1"/>
      <w:numFmt w:val="decimal"/>
      <w:lvlText w:val="%2）"/>
      <w:lvlJc w:val="left"/>
      <w:pPr>
        <w:ind w:left="1092" w:hanging="372"/>
      </w:pPr>
      <w:rPr>
        <w:rFonts w:hint="default" w:ascii="Times New Roman" w:hAnsi="Times New Roman" w:eastAsia="Times New Roman" w:cs="Times New Roman"/>
        <w:spacing w:val="4"/>
        <w:w w:val="100"/>
        <w:sz w:val="22"/>
        <w:szCs w:val="22"/>
        <w:lang w:val="zh-CN" w:eastAsia="zh-CN" w:bidi="zh-CN"/>
      </w:rPr>
    </w:lvl>
    <w:lvl w:ilvl="2" w:tentative="0">
      <w:start w:val="0"/>
      <w:numFmt w:val="bullet"/>
      <w:lvlText w:val="•"/>
      <w:lvlJc w:val="left"/>
      <w:pPr>
        <w:ind w:left="2187" w:hanging="372"/>
      </w:pPr>
      <w:rPr>
        <w:rFonts w:hint="default"/>
        <w:lang w:val="zh-CN" w:eastAsia="zh-CN" w:bidi="zh-CN"/>
      </w:rPr>
    </w:lvl>
    <w:lvl w:ilvl="3" w:tentative="0">
      <w:start w:val="0"/>
      <w:numFmt w:val="bullet"/>
      <w:lvlText w:val="•"/>
      <w:lvlJc w:val="left"/>
      <w:pPr>
        <w:ind w:left="3154" w:hanging="372"/>
      </w:pPr>
      <w:rPr>
        <w:rFonts w:hint="default"/>
        <w:lang w:val="zh-CN" w:eastAsia="zh-CN" w:bidi="zh-CN"/>
      </w:rPr>
    </w:lvl>
    <w:lvl w:ilvl="4" w:tentative="0">
      <w:start w:val="0"/>
      <w:numFmt w:val="bullet"/>
      <w:lvlText w:val="•"/>
      <w:lvlJc w:val="left"/>
      <w:pPr>
        <w:ind w:left="4122" w:hanging="372"/>
      </w:pPr>
      <w:rPr>
        <w:rFonts w:hint="default"/>
        <w:lang w:val="zh-CN" w:eastAsia="zh-CN" w:bidi="zh-CN"/>
      </w:rPr>
    </w:lvl>
    <w:lvl w:ilvl="5" w:tentative="0">
      <w:start w:val="0"/>
      <w:numFmt w:val="bullet"/>
      <w:lvlText w:val="•"/>
      <w:lvlJc w:val="left"/>
      <w:pPr>
        <w:ind w:left="5089" w:hanging="372"/>
      </w:pPr>
      <w:rPr>
        <w:rFonts w:hint="default"/>
        <w:lang w:val="zh-CN" w:eastAsia="zh-CN" w:bidi="zh-CN"/>
      </w:rPr>
    </w:lvl>
    <w:lvl w:ilvl="6" w:tentative="0">
      <w:start w:val="0"/>
      <w:numFmt w:val="bullet"/>
      <w:lvlText w:val="•"/>
      <w:lvlJc w:val="left"/>
      <w:pPr>
        <w:ind w:left="6056" w:hanging="372"/>
      </w:pPr>
      <w:rPr>
        <w:rFonts w:hint="default"/>
        <w:lang w:val="zh-CN" w:eastAsia="zh-CN" w:bidi="zh-CN"/>
      </w:rPr>
    </w:lvl>
    <w:lvl w:ilvl="7" w:tentative="0">
      <w:start w:val="0"/>
      <w:numFmt w:val="bullet"/>
      <w:lvlText w:val="•"/>
      <w:lvlJc w:val="left"/>
      <w:pPr>
        <w:ind w:left="7024" w:hanging="372"/>
      </w:pPr>
      <w:rPr>
        <w:rFonts w:hint="default"/>
        <w:lang w:val="zh-CN" w:eastAsia="zh-CN" w:bidi="zh-CN"/>
      </w:rPr>
    </w:lvl>
    <w:lvl w:ilvl="8" w:tentative="0">
      <w:start w:val="0"/>
      <w:numFmt w:val="bullet"/>
      <w:lvlText w:val="•"/>
      <w:lvlJc w:val="left"/>
      <w:pPr>
        <w:ind w:left="7991" w:hanging="372"/>
      </w:pPr>
      <w:rPr>
        <w:rFonts w:hint="default"/>
        <w:lang w:val="zh-CN" w:eastAsia="zh-CN" w:bidi="zh-CN"/>
      </w:rPr>
    </w:lvl>
  </w:abstractNum>
  <w:abstractNum w:abstractNumId="41">
    <w:nsid w:val="FEC2EA36"/>
    <w:multiLevelType w:val="multilevel"/>
    <w:tmpl w:val="FEC2EA36"/>
    <w:lvl w:ilvl="0" w:tentative="0">
      <w:start w:val="1"/>
      <w:numFmt w:val="decimal"/>
      <w:lvlText w:val="（%1）"/>
      <w:lvlJc w:val="left"/>
      <w:pPr>
        <w:ind w:left="223" w:hanging="601"/>
        <w:jc w:val="right"/>
      </w:pPr>
      <w:rPr>
        <w:rFonts w:hint="default" w:ascii="宋体" w:hAnsi="宋体" w:eastAsia="宋体" w:cs="宋体"/>
        <w:spacing w:val="-8"/>
        <w:w w:val="100"/>
        <w:sz w:val="22"/>
        <w:szCs w:val="22"/>
        <w:lang w:val="zh-CN" w:eastAsia="zh-CN" w:bidi="zh-CN"/>
      </w:rPr>
    </w:lvl>
    <w:lvl w:ilvl="1" w:tentative="0">
      <w:start w:val="0"/>
      <w:numFmt w:val="bullet"/>
      <w:lvlText w:val="•"/>
      <w:lvlJc w:val="left"/>
      <w:pPr>
        <w:ind w:left="1190" w:hanging="601"/>
      </w:pPr>
      <w:rPr>
        <w:rFonts w:hint="default"/>
        <w:lang w:val="zh-CN" w:eastAsia="zh-CN" w:bidi="zh-CN"/>
      </w:rPr>
    </w:lvl>
    <w:lvl w:ilvl="2" w:tentative="0">
      <w:start w:val="0"/>
      <w:numFmt w:val="bullet"/>
      <w:lvlText w:val="•"/>
      <w:lvlJc w:val="left"/>
      <w:pPr>
        <w:ind w:left="2161" w:hanging="601"/>
      </w:pPr>
      <w:rPr>
        <w:rFonts w:hint="default"/>
        <w:lang w:val="zh-CN" w:eastAsia="zh-CN" w:bidi="zh-CN"/>
      </w:rPr>
    </w:lvl>
    <w:lvl w:ilvl="3" w:tentative="0">
      <w:start w:val="0"/>
      <w:numFmt w:val="bullet"/>
      <w:lvlText w:val="•"/>
      <w:lvlJc w:val="left"/>
      <w:pPr>
        <w:ind w:left="3131" w:hanging="601"/>
      </w:pPr>
      <w:rPr>
        <w:rFonts w:hint="default"/>
        <w:lang w:val="zh-CN" w:eastAsia="zh-CN" w:bidi="zh-CN"/>
      </w:rPr>
    </w:lvl>
    <w:lvl w:ilvl="4" w:tentative="0">
      <w:start w:val="0"/>
      <w:numFmt w:val="bullet"/>
      <w:lvlText w:val="•"/>
      <w:lvlJc w:val="left"/>
      <w:pPr>
        <w:ind w:left="4102"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6043" w:hanging="601"/>
      </w:pPr>
      <w:rPr>
        <w:rFonts w:hint="default"/>
        <w:lang w:val="zh-CN" w:eastAsia="zh-CN" w:bidi="zh-CN"/>
      </w:rPr>
    </w:lvl>
    <w:lvl w:ilvl="7" w:tentative="0">
      <w:start w:val="0"/>
      <w:numFmt w:val="bullet"/>
      <w:lvlText w:val="•"/>
      <w:lvlJc w:val="left"/>
      <w:pPr>
        <w:ind w:left="7014" w:hanging="601"/>
      </w:pPr>
      <w:rPr>
        <w:rFonts w:hint="default"/>
        <w:lang w:val="zh-CN" w:eastAsia="zh-CN" w:bidi="zh-CN"/>
      </w:rPr>
    </w:lvl>
    <w:lvl w:ilvl="8" w:tentative="0">
      <w:start w:val="0"/>
      <w:numFmt w:val="bullet"/>
      <w:lvlText w:val="•"/>
      <w:lvlJc w:val="left"/>
      <w:pPr>
        <w:ind w:left="7985" w:hanging="601"/>
      </w:pPr>
      <w:rPr>
        <w:rFonts w:hint="default"/>
        <w:lang w:val="zh-CN" w:eastAsia="zh-CN" w:bidi="zh-CN"/>
      </w:rPr>
    </w:lvl>
  </w:abstractNum>
  <w:abstractNum w:abstractNumId="42">
    <w:nsid w:val="0248C179"/>
    <w:multiLevelType w:val="multilevel"/>
    <w:tmpl w:val="0248C179"/>
    <w:lvl w:ilvl="0" w:tentative="0">
      <w:start w:val="1"/>
      <w:numFmt w:val="decimal"/>
      <w:lvlText w:val="%1."/>
      <w:lvlJc w:val="left"/>
      <w:pPr>
        <w:ind w:left="506" w:hanging="284"/>
      </w:pPr>
      <w:rPr>
        <w:rFonts w:hint="default" w:ascii="宋体" w:hAnsi="宋体" w:eastAsia="宋体" w:cs="宋体"/>
        <w:b/>
        <w:bCs/>
        <w:spacing w:val="1"/>
        <w:w w:val="99"/>
        <w:sz w:val="26"/>
        <w:szCs w:val="26"/>
        <w:lang w:val="zh-CN" w:eastAsia="zh-CN" w:bidi="zh-CN"/>
      </w:rPr>
    </w:lvl>
    <w:lvl w:ilvl="1" w:tentative="0">
      <w:start w:val="1"/>
      <w:numFmt w:val="decimal"/>
      <w:lvlText w:val="%1.%2"/>
      <w:lvlJc w:val="left"/>
      <w:pPr>
        <w:ind w:left="984"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1304" w:hanging="601"/>
      </w:pPr>
      <w:rPr>
        <w:rFonts w:hint="default" w:ascii="宋体" w:hAnsi="宋体" w:eastAsia="宋体" w:cs="宋体"/>
        <w:w w:val="100"/>
        <w:sz w:val="22"/>
        <w:szCs w:val="22"/>
        <w:lang w:val="zh-CN" w:eastAsia="zh-CN" w:bidi="zh-CN"/>
      </w:rPr>
    </w:lvl>
    <w:lvl w:ilvl="3" w:tentative="0">
      <w:start w:val="1"/>
      <w:numFmt w:val="decimal"/>
      <w:lvlText w:val="（%4）"/>
      <w:lvlJc w:val="left"/>
      <w:pPr>
        <w:ind w:left="1424" w:hanging="601"/>
      </w:pPr>
      <w:rPr>
        <w:rFonts w:hint="default" w:ascii="宋体" w:hAnsi="宋体" w:eastAsia="宋体" w:cs="宋体"/>
        <w:w w:val="100"/>
        <w:sz w:val="22"/>
        <w:szCs w:val="22"/>
        <w:lang w:val="zh-CN" w:eastAsia="zh-CN" w:bidi="zh-CN"/>
      </w:rPr>
    </w:lvl>
    <w:lvl w:ilvl="4" w:tentative="0">
      <w:start w:val="0"/>
      <w:numFmt w:val="bullet"/>
      <w:lvlText w:val="•"/>
      <w:lvlJc w:val="left"/>
      <w:pPr>
        <w:ind w:left="1360" w:hanging="601"/>
      </w:pPr>
      <w:rPr>
        <w:rFonts w:hint="default"/>
        <w:lang w:val="zh-CN" w:eastAsia="zh-CN" w:bidi="zh-CN"/>
      </w:rPr>
    </w:lvl>
    <w:lvl w:ilvl="5" w:tentative="0">
      <w:start w:val="0"/>
      <w:numFmt w:val="bullet"/>
      <w:lvlText w:val="•"/>
      <w:lvlJc w:val="left"/>
      <w:pPr>
        <w:ind w:left="1420" w:hanging="601"/>
      </w:pPr>
      <w:rPr>
        <w:rFonts w:hint="default"/>
        <w:lang w:val="zh-CN" w:eastAsia="zh-CN" w:bidi="zh-CN"/>
      </w:rPr>
    </w:lvl>
    <w:lvl w:ilvl="6" w:tentative="0">
      <w:start w:val="0"/>
      <w:numFmt w:val="bullet"/>
      <w:lvlText w:val="•"/>
      <w:lvlJc w:val="left"/>
      <w:pPr>
        <w:ind w:left="1560" w:hanging="601"/>
      </w:pPr>
      <w:rPr>
        <w:rFonts w:hint="default"/>
        <w:lang w:val="zh-CN" w:eastAsia="zh-CN" w:bidi="zh-CN"/>
      </w:rPr>
    </w:lvl>
    <w:lvl w:ilvl="7" w:tentative="0">
      <w:start w:val="0"/>
      <w:numFmt w:val="bullet"/>
      <w:lvlText w:val="•"/>
      <w:lvlJc w:val="left"/>
      <w:pPr>
        <w:ind w:left="3651" w:hanging="601"/>
      </w:pPr>
      <w:rPr>
        <w:rFonts w:hint="default"/>
        <w:lang w:val="zh-CN" w:eastAsia="zh-CN" w:bidi="zh-CN"/>
      </w:rPr>
    </w:lvl>
    <w:lvl w:ilvl="8" w:tentative="0">
      <w:start w:val="0"/>
      <w:numFmt w:val="bullet"/>
      <w:lvlText w:val="•"/>
      <w:lvlJc w:val="left"/>
      <w:pPr>
        <w:ind w:left="5743" w:hanging="601"/>
      </w:pPr>
      <w:rPr>
        <w:rFonts w:hint="default"/>
        <w:lang w:val="zh-CN" w:eastAsia="zh-CN" w:bidi="zh-CN"/>
      </w:rPr>
    </w:lvl>
  </w:abstractNum>
  <w:abstractNum w:abstractNumId="43">
    <w:nsid w:val="03A63A41"/>
    <w:multiLevelType w:val="multilevel"/>
    <w:tmpl w:val="03A63A41"/>
    <w:lvl w:ilvl="0" w:tentative="0">
      <w:start w:val="1"/>
      <w:numFmt w:val="decimal"/>
      <w:lvlText w:val="（%1）"/>
      <w:lvlJc w:val="left"/>
      <w:pPr>
        <w:ind w:left="1216" w:hanging="622"/>
      </w:pPr>
      <w:rPr>
        <w:rFonts w:hint="default" w:ascii="宋体" w:hAnsi="宋体" w:eastAsia="宋体" w:cs="宋体"/>
        <w:spacing w:val="0"/>
        <w:w w:val="100"/>
        <w:sz w:val="22"/>
        <w:szCs w:val="22"/>
        <w:lang w:val="zh-CN" w:eastAsia="zh-CN" w:bidi="zh-CN"/>
      </w:rPr>
    </w:lvl>
    <w:lvl w:ilvl="1" w:tentative="0">
      <w:start w:val="1"/>
      <w:numFmt w:val="decimal"/>
      <w:lvlText w:val="%2）"/>
      <w:lvlJc w:val="left"/>
      <w:pPr>
        <w:ind w:left="223" w:hanging="366"/>
      </w:pPr>
      <w:rPr>
        <w:rFonts w:hint="default" w:ascii="Times New Roman" w:hAnsi="Times New Roman" w:eastAsia="Times New Roman" w:cs="Times New Roman"/>
        <w:spacing w:val="-20"/>
        <w:w w:val="100"/>
        <w:sz w:val="22"/>
        <w:szCs w:val="22"/>
        <w:lang w:val="zh-CN" w:eastAsia="zh-CN" w:bidi="zh-CN"/>
      </w:rPr>
    </w:lvl>
    <w:lvl w:ilvl="2" w:tentative="0">
      <w:start w:val="0"/>
      <w:numFmt w:val="bullet"/>
      <w:lvlText w:val="•"/>
      <w:lvlJc w:val="left"/>
      <w:pPr>
        <w:ind w:left="2187" w:hanging="366"/>
      </w:pPr>
      <w:rPr>
        <w:rFonts w:hint="default"/>
        <w:lang w:val="zh-CN" w:eastAsia="zh-CN" w:bidi="zh-CN"/>
      </w:rPr>
    </w:lvl>
    <w:lvl w:ilvl="3" w:tentative="0">
      <w:start w:val="0"/>
      <w:numFmt w:val="bullet"/>
      <w:lvlText w:val="•"/>
      <w:lvlJc w:val="left"/>
      <w:pPr>
        <w:ind w:left="3154" w:hanging="366"/>
      </w:pPr>
      <w:rPr>
        <w:rFonts w:hint="default"/>
        <w:lang w:val="zh-CN" w:eastAsia="zh-CN" w:bidi="zh-CN"/>
      </w:rPr>
    </w:lvl>
    <w:lvl w:ilvl="4" w:tentative="0">
      <w:start w:val="0"/>
      <w:numFmt w:val="bullet"/>
      <w:lvlText w:val="•"/>
      <w:lvlJc w:val="left"/>
      <w:pPr>
        <w:ind w:left="4122" w:hanging="366"/>
      </w:pPr>
      <w:rPr>
        <w:rFonts w:hint="default"/>
        <w:lang w:val="zh-CN" w:eastAsia="zh-CN" w:bidi="zh-CN"/>
      </w:rPr>
    </w:lvl>
    <w:lvl w:ilvl="5" w:tentative="0">
      <w:start w:val="0"/>
      <w:numFmt w:val="bullet"/>
      <w:lvlText w:val="•"/>
      <w:lvlJc w:val="left"/>
      <w:pPr>
        <w:ind w:left="5089" w:hanging="366"/>
      </w:pPr>
      <w:rPr>
        <w:rFonts w:hint="default"/>
        <w:lang w:val="zh-CN" w:eastAsia="zh-CN" w:bidi="zh-CN"/>
      </w:rPr>
    </w:lvl>
    <w:lvl w:ilvl="6" w:tentative="0">
      <w:start w:val="0"/>
      <w:numFmt w:val="bullet"/>
      <w:lvlText w:val="•"/>
      <w:lvlJc w:val="left"/>
      <w:pPr>
        <w:ind w:left="6056" w:hanging="366"/>
      </w:pPr>
      <w:rPr>
        <w:rFonts w:hint="default"/>
        <w:lang w:val="zh-CN" w:eastAsia="zh-CN" w:bidi="zh-CN"/>
      </w:rPr>
    </w:lvl>
    <w:lvl w:ilvl="7" w:tentative="0">
      <w:start w:val="0"/>
      <w:numFmt w:val="bullet"/>
      <w:lvlText w:val="•"/>
      <w:lvlJc w:val="left"/>
      <w:pPr>
        <w:ind w:left="7024" w:hanging="366"/>
      </w:pPr>
      <w:rPr>
        <w:rFonts w:hint="default"/>
        <w:lang w:val="zh-CN" w:eastAsia="zh-CN" w:bidi="zh-CN"/>
      </w:rPr>
    </w:lvl>
    <w:lvl w:ilvl="8" w:tentative="0">
      <w:start w:val="0"/>
      <w:numFmt w:val="bullet"/>
      <w:lvlText w:val="•"/>
      <w:lvlJc w:val="left"/>
      <w:pPr>
        <w:ind w:left="7991" w:hanging="366"/>
      </w:pPr>
      <w:rPr>
        <w:rFonts w:hint="default"/>
        <w:lang w:val="zh-CN" w:eastAsia="zh-CN" w:bidi="zh-CN"/>
      </w:rPr>
    </w:lvl>
  </w:abstractNum>
  <w:abstractNum w:abstractNumId="44">
    <w:nsid w:val="0709FD3E"/>
    <w:multiLevelType w:val="multilevel"/>
    <w:tmpl w:val="0709FD3E"/>
    <w:lvl w:ilvl="0" w:tentative="0">
      <w:start w:val="1"/>
      <w:numFmt w:val="lowerLetter"/>
      <w:lvlText w:val="%1."/>
      <w:lvlJc w:val="left"/>
      <w:pPr>
        <w:ind w:left="223" w:hanging="308"/>
      </w:pPr>
      <w:rPr>
        <w:rFonts w:hint="default" w:ascii="Times New Roman" w:hAnsi="Times New Roman" w:eastAsia="Times New Roman" w:cs="Times New Roman"/>
        <w:spacing w:val="-11"/>
        <w:w w:val="100"/>
        <w:sz w:val="24"/>
        <w:szCs w:val="24"/>
        <w:lang w:val="zh-CN" w:eastAsia="zh-CN" w:bidi="zh-CN"/>
      </w:rPr>
    </w:lvl>
    <w:lvl w:ilvl="1" w:tentative="0">
      <w:start w:val="0"/>
      <w:numFmt w:val="bullet"/>
      <w:lvlText w:val="•"/>
      <w:lvlJc w:val="left"/>
      <w:pPr>
        <w:ind w:left="1190" w:hanging="308"/>
      </w:pPr>
      <w:rPr>
        <w:rFonts w:hint="default"/>
        <w:lang w:val="zh-CN" w:eastAsia="zh-CN" w:bidi="zh-CN"/>
      </w:rPr>
    </w:lvl>
    <w:lvl w:ilvl="2" w:tentative="0">
      <w:start w:val="0"/>
      <w:numFmt w:val="bullet"/>
      <w:lvlText w:val="•"/>
      <w:lvlJc w:val="left"/>
      <w:pPr>
        <w:ind w:left="2161" w:hanging="308"/>
      </w:pPr>
      <w:rPr>
        <w:rFonts w:hint="default"/>
        <w:lang w:val="zh-CN" w:eastAsia="zh-CN" w:bidi="zh-CN"/>
      </w:rPr>
    </w:lvl>
    <w:lvl w:ilvl="3" w:tentative="0">
      <w:start w:val="0"/>
      <w:numFmt w:val="bullet"/>
      <w:lvlText w:val="•"/>
      <w:lvlJc w:val="left"/>
      <w:pPr>
        <w:ind w:left="3131" w:hanging="308"/>
      </w:pPr>
      <w:rPr>
        <w:rFonts w:hint="default"/>
        <w:lang w:val="zh-CN" w:eastAsia="zh-CN" w:bidi="zh-CN"/>
      </w:rPr>
    </w:lvl>
    <w:lvl w:ilvl="4" w:tentative="0">
      <w:start w:val="0"/>
      <w:numFmt w:val="bullet"/>
      <w:lvlText w:val="•"/>
      <w:lvlJc w:val="left"/>
      <w:pPr>
        <w:ind w:left="4102" w:hanging="308"/>
      </w:pPr>
      <w:rPr>
        <w:rFonts w:hint="default"/>
        <w:lang w:val="zh-CN" w:eastAsia="zh-CN" w:bidi="zh-CN"/>
      </w:rPr>
    </w:lvl>
    <w:lvl w:ilvl="5" w:tentative="0">
      <w:start w:val="0"/>
      <w:numFmt w:val="bullet"/>
      <w:lvlText w:val="•"/>
      <w:lvlJc w:val="left"/>
      <w:pPr>
        <w:ind w:left="5073" w:hanging="308"/>
      </w:pPr>
      <w:rPr>
        <w:rFonts w:hint="default"/>
        <w:lang w:val="zh-CN" w:eastAsia="zh-CN" w:bidi="zh-CN"/>
      </w:rPr>
    </w:lvl>
    <w:lvl w:ilvl="6" w:tentative="0">
      <w:start w:val="0"/>
      <w:numFmt w:val="bullet"/>
      <w:lvlText w:val="•"/>
      <w:lvlJc w:val="left"/>
      <w:pPr>
        <w:ind w:left="6043" w:hanging="308"/>
      </w:pPr>
      <w:rPr>
        <w:rFonts w:hint="default"/>
        <w:lang w:val="zh-CN" w:eastAsia="zh-CN" w:bidi="zh-CN"/>
      </w:rPr>
    </w:lvl>
    <w:lvl w:ilvl="7" w:tentative="0">
      <w:start w:val="0"/>
      <w:numFmt w:val="bullet"/>
      <w:lvlText w:val="•"/>
      <w:lvlJc w:val="left"/>
      <w:pPr>
        <w:ind w:left="7014" w:hanging="308"/>
      </w:pPr>
      <w:rPr>
        <w:rFonts w:hint="default"/>
        <w:lang w:val="zh-CN" w:eastAsia="zh-CN" w:bidi="zh-CN"/>
      </w:rPr>
    </w:lvl>
    <w:lvl w:ilvl="8" w:tentative="0">
      <w:start w:val="0"/>
      <w:numFmt w:val="bullet"/>
      <w:lvlText w:val="•"/>
      <w:lvlJc w:val="left"/>
      <w:pPr>
        <w:ind w:left="7985" w:hanging="308"/>
      </w:pPr>
      <w:rPr>
        <w:rFonts w:hint="default"/>
        <w:lang w:val="zh-CN" w:eastAsia="zh-CN" w:bidi="zh-CN"/>
      </w:rPr>
    </w:lvl>
  </w:abstractNum>
  <w:abstractNum w:abstractNumId="45">
    <w:nsid w:val="0CEF100B"/>
    <w:multiLevelType w:val="multilevel"/>
    <w:tmpl w:val="0CEF100B"/>
    <w:lvl w:ilvl="0" w:tentative="0">
      <w:start w:val="1"/>
      <w:numFmt w:val="decimal"/>
      <w:lvlText w:val="（%1）"/>
      <w:lvlJc w:val="left"/>
      <w:pPr>
        <w:ind w:left="223" w:hanging="624"/>
      </w:pPr>
      <w:rPr>
        <w:rFonts w:hint="default" w:ascii="宋体" w:hAnsi="宋体" w:eastAsia="宋体" w:cs="宋体"/>
        <w:spacing w:val="0"/>
        <w:w w:val="100"/>
        <w:sz w:val="22"/>
        <w:szCs w:val="22"/>
        <w:lang w:val="zh-CN" w:eastAsia="zh-CN" w:bidi="zh-CN"/>
      </w:rPr>
    </w:lvl>
    <w:lvl w:ilvl="1" w:tentative="0">
      <w:start w:val="1"/>
      <w:numFmt w:val="decimal"/>
      <w:lvlText w:val="%2）"/>
      <w:lvlJc w:val="left"/>
      <w:pPr>
        <w:ind w:left="1092" w:hanging="372"/>
      </w:pPr>
      <w:rPr>
        <w:rFonts w:hint="default" w:ascii="Times New Roman" w:hAnsi="Times New Roman" w:eastAsia="Times New Roman" w:cs="Times New Roman"/>
        <w:spacing w:val="4"/>
        <w:w w:val="100"/>
        <w:sz w:val="22"/>
        <w:szCs w:val="22"/>
        <w:lang w:val="zh-CN" w:eastAsia="zh-CN" w:bidi="zh-CN"/>
      </w:rPr>
    </w:lvl>
    <w:lvl w:ilvl="2" w:tentative="0">
      <w:start w:val="0"/>
      <w:numFmt w:val="bullet"/>
      <w:lvlText w:val="•"/>
      <w:lvlJc w:val="left"/>
      <w:pPr>
        <w:ind w:left="2080" w:hanging="372"/>
      </w:pPr>
      <w:rPr>
        <w:rFonts w:hint="default"/>
        <w:lang w:val="zh-CN" w:eastAsia="zh-CN" w:bidi="zh-CN"/>
      </w:rPr>
    </w:lvl>
    <w:lvl w:ilvl="3" w:tentative="0">
      <w:start w:val="0"/>
      <w:numFmt w:val="bullet"/>
      <w:lvlText w:val="•"/>
      <w:lvlJc w:val="left"/>
      <w:pPr>
        <w:ind w:left="3061" w:hanging="372"/>
      </w:pPr>
      <w:rPr>
        <w:rFonts w:hint="default"/>
        <w:lang w:val="zh-CN" w:eastAsia="zh-CN" w:bidi="zh-CN"/>
      </w:rPr>
    </w:lvl>
    <w:lvl w:ilvl="4" w:tentative="0">
      <w:start w:val="0"/>
      <w:numFmt w:val="bullet"/>
      <w:lvlText w:val="•"/>
      <w:lvlJc w:val="left"/>
      <w:pPr>
        <w:ind w:left="4042" w:hanging="372"/>
      </w:pPr>
      <w:rPr>
        <w:rFonts w:hint="default"/>
        <w:lang w:val="zh-CN" w:eastAsia="zh-CN" w:bidi="zh-CN"/>
      </w:rPr>
    </w:lvl>
    <w:lvl w:ilvl="5" w:tentative="0">
      <w:start w:val="0"/>
      <w:numFmt w:val="bullet"/>
      <w:lvlText w:val="•"/>
      <w:lvlJc w:val="left"/>
      <w:pPr>
        <w:ind w:left="5022" w:hanging="372"/>
      </w:pPr>
      <w:rPr>
        <w:rFonts w:hint="default"/>
        <w:lang w:val="zh-CN" w:eastAsia="zh-CN" w:bidi="zh-CN"/>
      </w:rPr>
    </w:lvl>
    <w:lvl w:ilvl="6" w:tentative="0">
      <w:start w:val="0"/>
      <w:numFmt w:val="bullet"/>
      <w:lvlText w:val="•"/>
      <w:lvlJc w:val="left"/>
      <w:pPr>
        <w:ind w:left="6003" w:hanging="372"/>
      </w:pPr>
      <w:rPr>
        <w:rFonts w:hint="default"/>
        <w:lang w:val="zh-CN" w:eastAsia="zh-CN" w:bidi="zh-CN"/>
      </w:rPr>
    </w:lvl>
    <w:lvl w:ilvl="7" w:tentative="0">
      <w:start w:val="0"/>
      <w:numFmt w:val="bullet"/>
      <w:lvlText w:val="•"/>
      <w:lvlJc w:val="left"/>
      <w:pPr>
        <w:ind w:left="6984" w:hanging="372"/>
      </w:pPr>
      <w:rPr>
        <w:rFonts w:hint="default"/>
        <w:lang w:val="zh-CN" w:eastAsia="zh-CN" w:bidi="zh-CN"/>
      </w:rPr>
    </w:lvl>
    <w:lvl w:ilvl="8" w:tentative="0">
      <w:start w:val="0"/>
      <w:numFmt w:val="bullet"/>
      <w:lvlText w:val="•"/>
      <w:lvlJc w:val="left"/>
      <w:pPr>
        <w:ind w:left="7964" w:hanging="372"/>
      </w:pPr>
      <w:rPr>
        <w:rFonts w:hint="default"/>
        <w:lang w:val="zh-CN" w:eastAsia="zh-CN" w:bidi="zh-CN"/>
      </w:rPr>
    </w:lvl>
  </w:abstractNum>
  <w:abstractNum w:abstractNumId="46">
    <w:nsid w:val="0E640482"/>
    <w:multiLevelType w:val="multilevel"/>
    <w:tmpl w:val="0E640482"/>
    <w:lvl w:ilvl="0" w:tentative="0">
      <w:start w:val="1"/>
      <w:numFmt w:val="decimal"/>
      <w:lvlText w:val="%1）"/>
      <w:lvlJc w:val="left"/>
      <w:pPr>
        <w:ind w:left="223" w:hanging="372"/>
      </w:pPr>
      <w:rPr>
        <w:rFonts w:hint="default" w:ascii="Times New Roman" w:hAnsi="Times New Roman" w:eastAsia="Times New Roman" w:cs="Times New Roman"/>
        <w:spacing w:val="4"/>
        <w:w w:val="100"/>
        <w:sz w:val="22"/>
        <w:szCs w:val="22"/>
        <w:lang w:val="zh-CN" w:eastAsia="zh-CN" w:bidi="zh-CN"/>
      </w:rPr>
    </w:lvl>
    <w:lvl w:ilvl="1" w:tentative="0">
      <w:start w:val="0"/>
      <w:numFmt w:val="bullet"/>
      <w:lvlText w:val="•"/>
      <w:lvlJc w:val="left"/>
      <w:pPr>
        <w:ind w:left="1190" w:hanging="372"/>
      </w:pPr>
      <w:rPr>
        <w:rFonts w:hint="default"/>
        <w:lang w:val="zh-CN" w:eastAsia="zh-CN" w:bidi="zh-CN"/>
      </w:rPr>
    </w:lvl>
    <w:lvl w:ilvl="2" w:tentative="0">
      <w:start w:val="0"/>
      <w:numFmt w:val="bullet"/>
      <w:lvlText w:val="•"/>
      <w:lvlJc w:val="left"/>
      <w:pPr>
        <w:ind w:left="2161" w:hanging="372"/>
      </w:pPr>
      <w:rPr>
        <w:rFonts w:hint="default"/>
        <w:lang w:val="zh-CN" w:eastAsia="zh-CN" w:bidi="zh-CN"/>
      </w:rPr>
    </w:lvl>
    <w:lvl w:ilvl="3" w:tentative="0">
      <w:start w:val="0"/>
      <w:numFmt w:val="bullet"/>
      <w:lvlText w:val="•"/>
      <w:lvlJc w:val="left"/>
      <w:pPr>
        <w:ind w:left="3131" w:hanging="372"/>
      </w:pPr>
      <w:rPr>
        <w:rFonts w:hint="default"/>
        <w:lang w:val="zh-CN" w:eastAsia="zh-CN" w:bidi="zh-CN"/>
      </w:rPr>
    </w:lvl>
    <w:lvl w:ilvl="4" w:tentative="0">
      <w:start w:val="0"/>
      <w:numFmt w:val="bullet"/>
      <w:lvlText w:val="•"/>
      <w:lvlJc w:val="left"/>
      <w:pPr>
        <w:ind w:left="4102" w:hanging="372"/>
      </w:pPr>
      <w:rPr>
        <w:rFonts w:hint="default"/>
        <w:lang w:val="zh-CN" w:eastAsia="zh-CN" w:bidi="zh-CN"/>
      </w:rPr>
    </w:lvl>
    <w:lvl w:ilvl="5" w:tentative="0">
      <w:start w:val="0"/>
      <w:numFmt w:val="bullet"/>
      <w:lvlText w:val="•"/>
      <w:lvlJc w:val="left"/>
      <w:pPr>
        <w:ind w:left="5073" w:hanging="372"/>
      </w:pPr>
      <w:rPr>
        <w:rFonts w:hint="default"/>
        <w:lang w:val="zh-CN" w:eastAsia="zh-CN" w:bidi="zh-CN"/>
      </w:rPr>
    </w:lvl>
    <w:lvl w:ilvl="6" w:tentative="0">
      <w:start w:val="0"/>
      <w:numFmt w:val="bullet"/>
      <w:lvlText w:val="•"/>
      <w:lvlJc w:val="left"/>
      <w:pPr>
        <w:ind w:left="6043" w:hanging="372"/>
      </w:pPr>
      <w:rPr>
        <w:rFonts w:hint="default"/>
        <w:lang w:val="zh-CN" w:eastAsia="zh-CN" w:bidi="zh-CN"/>
      </w:rPr>
    </w:lvl>
    <w:lvl w:ilvl="7" w:tentative="0">
      <w:start w:val="0"/>
      <w:numFmt w:val="bullet"/>
      <w:lvlText w:val="•"/>
      <w:lvlJc w:val="left"/>
      <w:pPr>
        <w:ind w:left="7014" w:hanging="372"/>
      </w:pPr>
      <w:rPr>
        <w:rFonts w:hint="default"/>
        <w:lang w:val="zh-CN" w:eastAsia="zh-CN" w:bidi="zh-CN"/>
      </w:rPr>
    </w:lvl>
    <w:lvl w:ilvl="8" w:tentative="0">
      <w:start w:val="0"/>
      <w:numFmt w:val="bullet"/>
      <w:lvlText w:val="•"/>
      <w:lvlJc w:val="left"/>
      <w:pPr>
        <w:ind w:left="7985" w:hanging="372"/>
      </w:pPr>
      <w:rPr>
        <w:rFonts w:hint="default"/>
        <w:lang w:val="zh-CN" w:eastAsia="zh-CN" w:bidi="zh-CN"/>
      </w:rPr>
    </w:lvl>
  </w:abstractNum>
  <w:abstractNum w:abstractNumId="47">
    <w:nsid w:val="0F9F9CCA"/>
    <w:multiLevelType w:val="multilevel"/>
    <w:tmpl w:val="0F9F9CCA"/>
    <w:lvl w:ilvl="0" w:tentative="0">
      <w:start w:val="1"/>
      <w:numFmt w:val="decimal"/>
      <w:lvlText w:val="%1）"/>
      <w:lvlJc w:val="left"/>
      <w:pPr>
        <w:ind w:left="1092" w:hanging="372"/>
      </w:pPr>
      <w:rPr>
        <w:rFonts w:hint="default" w:ascii="Times New Roman" w:hAnsi="Times New Roman" w:eastAsia="Times New Roman" w:cs="Times New Roman"/>
        <w:spacing w:val="4"/>
        <w:w w:val="100"/>
        <w:sz w:val="22"/>
        <w:szCs w:val="22"/>
        <w:lang w:val="zh-CN" w:eastAsia="zh-CN" w:bidi="zh-CN"/>
      </w:rPr>
    </w:lvl>
    <w:lvl w:ilvl="1" w:tentative="0">
      <w:start w:val="0"/>
      <w:numFmt w:val="bullet"/>
      <w:lvlText w:val="•"/>
      <w:lvlJc w:val="left"/>
      <w:pPr>
        <w:ind w:left="1982" w:hanging="372"/>
      </w:pPr>
      <w:rPr>
        <w:rFonts w:hint="default"/>
        <w:lang w:val="zh-CN" w:eastAsia="zh-CN" w:bidi="zh-CN"/>
      </w:rPr>
    </w:lvl>
    <w:lvl w:ilvl="2" w:tentative="0">
      <w:start w:val="0"/>
      <w:numFmt w:val="bullet"/>
      <w:lvlText w:val="•"/>
      <w:lvlJc w:val="left"/>
      <w:pPr>
        <w:ind w:left="2865" w:hanging="372"/>
      </w:pPr>
      <w:rPr>
        <w:rFonts w:hint="default"/>
        <w:lang w:val="zh-CN" w:eastAsia="zh-CN" w:bidi="zh-CN"/>
      </w:rPr>
    </w:lvl>
    <w:lvl w:ilvl="3" w:tentative="0">
      <w:start w:val="0"/>
      <w:numFmt w:val="bullet"/>
      <w:lvlText w:val="•"/>
      <w:lvlJc w:val="left"/>
      <w:pPr>
        <w:ind w:left="3747" w:hanging="372"/>
      </w:pPr>
      <w:rPr>
        <w:rFonts w:hint="default"/>
        <w:lang w:val="zh-CN" w:eastAsia="zh-CN" w:bidi="zh-CN"/>
      </w:rPr>
    </w:lvl>
    <w:lvl w:ilvl="4" w:tentative="0">
      <w:start w:val="0"/>
      <w:numFmt w:val="bullet"/>
      <w:lvlText w:val="•"/>
      <w:lvlJc w:val="left"/>
      <w:pPr>
        <w:ind w:left="4630" w:hanging="372"/>
      </w:pPr>
      <w:rPr>
        <w:rFonts w:hint="default"/>
        <w:lang w:val="zh-CN" w:eastAsia="zh-CN" w:bidi="zh-CN"/>
      </w:rPr>
    </w:lvl>
    <w:lvl w:ilvl="5" w:tentative="0">
      <w:start w:val="0"/>
      <w:numFmt w:val="bullet"/>
      <w:lvlText w:val="•"/>
      <w:lvlJc w:val="left"/>
      <w:pPr>
        <w:ind w:left="5513" w:hanging="372"/>
      </w:pPr>
      <w:rPr>
        <w:rFonts w:hint="default"/>
        <w:lang w:val="zh-CN" w:eastAsia="zh-CN" w:bidi="zh-CN"/>
      </w:rPr>
    </w:lvl>
    <w:lvl w:ilvl="6" w:tentative="0">
      <w:start w:val="0"/>
      <w:numFmt w:val="bullet"/>
      <w:lvlText w:val="•"/>
      <w:lvlJc w:val="left"/>
      <w:pPr>
        <w:ind w:left="6395" w:hanging="372"/>
      </w:pPr>
      <w:rPr>
        <w:rFonts w:hint="default"/>
        <w:lang w:val="zh-CN" w:eastAsia="zh-CN" w:bidi="zh-CN"/>
      </w:rPr>
    </w:lvl>
    <w:lvl w:ilvl="7" w:tentative="0">
      <w:start w:val="0"/>
      <w:numFmt w:val="bullet"/>
      <w:lvlText w:val="•"/>
      <w:lvlJc w:val="left"/>
      <w:pPr>
        <w:ind w:left="7278" w:hanging="372"/>
      </w:pPr>
      <w:rPr>
        <w:rFonts w:hint="default"/>
        <w:lang w:val="zh-CN" w:eastAsia="zh-CN" w:bidi="zh-CN"/>
      </w:rPr>
    </w:lvl>
    <w:lvl w:ilvl="8" w:tentative="0">
      <w:start w:val="0"/>
      <w:numFmt w:val="bullet"/>
      <w:lvlText w:val="•"/>
      <w:lvlJc w:val="left"/>
      <w:pPr>
        <w:ind w:left="8161" w:hanging="372"/>
      </w:pPr>
      <w:rPr>
        <w:rFonts w:hint="default"/>
        <w:lang w:val="zh-CN" w:eastAsia="zh-CN" w:bidi="zh-CN"/>
      </w:rPr>
    </w:lvl>
  </w:abstractNum>
  <w:abstractNum w:abstractNumId="48">
    <w:nsid w:val="12EADF99"/>
    <w:multiLevelType w:val="multilevel"/>
    <w:tmpl w:val="12EADF99"/>
    <w:lvl w:ilvl="0" w:tentative="0">
      <w:start w:val="1"/>
      <w:numFmt w:val="decimal"/>
      <w:lvlText w:val="%1）"/>
      <w:lvlJc w:val="left"/>
      <w:pPr>
        <w:ind w:left="223" w:hanging="366"/>
      </w:pPr>
      <w:rPr>
        <w:rFonts w:hint="default"/>
        <w:spacing w:val="-32"/>
        <w:w w:val="100"/>
        <w:lang w:val="zh-CN" w:eastAsia="zh-CN" w:bidi="zh-CN"/>
      </w:rPr>
    </w:lvl>
    <w:lvl w:ilvl="1" w:tentative="0">
      <w:start w:val="0"/>
      <w:numFmt w:val="bullet"/>
      <w:lvlText w:val="•"/>
      <w:lvlJc w:val="left"/>
      <w:pPr>
        <w:ind w:left="1190" w:hanging="366"/>
      </w:pPr>
      <w:rPr>
        <w:rFonts w:hint="default"/>
        <w:lang w:val="zh-CN" w:eastAsia="zh-CN" w:bidi="zh-CN"/>
      </w:rPr>
    </w:lvl>
    <w:lvl w:ilvl="2" w:tentative="0">
      <w:start w:val="0"/>
      <w:numFmt w:val="bullet"/>
      <w:lvlText w:val="•"/>
      <w:lvlJc w:val="left"/>
      <w:pPr>
        <w:ind w:left="2161" w:hanging="366"/>
      </w:pPr>
      <w:rPr>
        <w:rFonts w:hint="default"/>
        <w:lang w:val="zh-CN" w:eastAsia="zh-CN" w:bidi="zh-CN"/>
      </w:rPr>
    </w:lvl>
    <w:lvl w:ilvl="3" w:tentative="0">
      <w:start w:val="0"/>
      <w:numFmt w:val="bullet"/>
      <w:lvlText w:val="•"/>
      <w:lvlJc w:val="left"/>
      <w:pPr>
        <w:ind w:left="3131" w:hanging="366"/>
      </w:pPr>
      <w:rPr>
        <w:rFonts w:hint="default"/>
        <w:lang w:val="zh-CN" w:eastAsia="zh-CN" w:bidi="zh-CN"/>
      </w:rPr>
    </w:lvl>
    <w:lvl w:ilvl="4" w:tentative="0">
      <w:start w:val="0"/>
      <w:numFmt w:val="bullet"/>
      <w:lvlText w:val="•"/>
      <w:lvlJc w:val="left"/>
      <w:pPr>
        <w:ind w:left="4102" w:hanging="366"/>
      </w:pPr>
      <w:rPr>
        <w:rFonts w:hint="default"/>
        <w:lang w:val="zh-CN" w:eastAsia="zh-CN" w:bidi="zh-CN"/>
      </w:rPr>
    </w:lvl>
    <w:lvl w:ilvl="5" w:tentative="0">
      <w:start w:val="0"/>
      <w:numFmt w:val="bullet"/>
      <w:lvlText w:val="•"/>
      <w:lvlJc w:val="left"/>
      <w:pPr>
        <w:ind w:left="5073" w:hanging="366"/>
      </w:pPr>
      <w:rPr>
        <w:rFonts w:hint="default"/>
        <w:lang w:val="zh-CN" w:eastAsia="zh-CN" w:bidi="zh-CN"/>
      </w:rPr>
    </w:lvl>
    <w:lvl w:ilvl="6" w:tentative="0">
      <w:start w:val="0"/>
      <w:numFmt w:val="bullet"/>
      <w:lvlText w:val="•"/>
      <w:lvlJc w:val="left"/>
      <w:pPr>
        <w:ind w:left="6043" w:hanging="366"/>
      </w:pPr>
      <w:rPr>
        <w:rFonts w:hint="default"/>
        <w:lang w:val="zh-CN" w:eastAsia="zh-CN" w:bidi="zh-CN"/>
      </w:rPr>
    </w:lvl>
    <w:lvl w:ilvl="7" w:tentative="0">
      <w:start w:val="0"/>
      <w:numFmt w:val="bullet"/>
      <w:lvlText w:val="•"/>
      <w:lvlJc w:val="left"/>
      <w:pPr>
        <w:ind w:left="7014" w:hanging="366"/>
      </w:pPr>
      <w:rPr>
        <w:rFonts w:hint="default"/>
        <w:lang w:val="zh-CN" w:eastAsia="zh-CN" w:bidi="zh-CN"/>
      </w:rPr>
    </w:lvl>
    <w:lvl w:ilvl="8" w:tentative="0">
      <w:start w:val="0"/>
      <w:numFmt w:val="bullet"/>
      <w:lvlText w:val="•"/>
      <w:lvlJc w:val="left"/>
      <w:pPr>
        <w:ind w:left="7985" w:hanging="366"/>
      </w:pPr>
      <w:rPr>
        <w:rFonts w:hint="default"/>
        <w:lang w:val="zh-CN" w:eastAsia="zh-CN" w:bidi="zh-CN"/>
      </w:rPr>
    </w:lvl>
  </w:abstractNum>
  <w:abstractNum w:abstractNumId="49">
    <w:nsid w:val="1450273B"/>
    <w:multiLevelType w:val="multilevel"/>
    <w:tmpl w:val="1450273B"/>
    <w:lvl w:ilvl="0" w:tentative="0">
      <w:start w:val="1"/>
      <w:numFmt w:val="decimal"/>
      <w:lvlText w:val="%1."/>
      <w:lvlJc w:val="left"/>
      <w:pPr>
        <w:ind w:left="944"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838" w:hanging="241"/>
      </w:pPr>
      <w:rPr>
        <w:rFonts w:hint="default"/>
        <w:lang w:val="zh-CN" w:eastAsia="zh-CN" w:bidi="zh-CN"/>
      </w:rPr>
    </w:lvl>
    <w:lvl w:ilvl="2" w:tentative="0">
      <w:start w:val="0"/>
      <w:numFmt w:val="bullet"/>
      <w:lvlText w:val="•"/>
      <w:lvlJc w:val="left"/>
      <w:pPr>
        <w:ind w:left="2737" w:hanging="241"/>
      </w:pPr>
      <w:rPr>
        <w:rFonts w:hint="default"/>
        <w:lang w:val="zh-CN" w:eastAsia="zh-CN" w:bidi="zh-CN"/>
      </w:rPr>
    </w:lvl>
    <w:lvl w:ilvl="3" w:tentative="0">
      <w:start w:val="0"/>
      <w:numFmt w:val="bullet"/>
      <w:lvlText w:val="•"/>
      <w:lvlJc w:val="left"/>
      <w:pPr>
        <w:ind w:left="3635" w:hanging="241"/>
      </w:pPr>
      <w:rPr>
        <w:rFonts w:hint="default"/>
        <w:lang w:val="zh-CN" w:eastAsia="zh-CN" w:bidi="zh-CN"/>
      </w:rPr>
    </w:lvl>
    <w:lvl w:ilvl="4" w:tentative="0">
      <w:start w:val="0"/>
      <w:numFmt w:val="bullet"/>
      <w:lvlText w:val="•"/>
      <w:lvlJc w:val="left"/>
      <w:pPr>
        <w:ind w:left="4534" w:hanging="241"/>
      </w:pPr>
      <w:rPr>
        <w:rFonts w:hint="default"/>
        <w:lang w:val="zh-CN" w:eastAsia="zh-CN" w:bidi="zh-CN"/>
      </w:rPr>
    </w:lvl>
    <w:lvl w:ilvl="5" w:tentative="0">
      <w:start w:val="0"/>
      <w:numFmt w:val="bullet"/>
      <w:lvlText w:val="•"/>
      <w:lvlJc w:val="left"/>
      <w:pPr>
        <w:ind w:left="5433" w:hanging="241"/>
      </w:pPr>
      <w:rPr>
        <w:rFonts w:hint="default"/>
        <w:lang w:val="zh-CN" w:eastAsia="zh-CN" w:bidi="zh-CN"/>
      </w:rPr>
    </w:lvl>
    <w:lvl w:ilvl="6" w:tentative="0">
      <w:start w:val="0"/>
      <w:numFmt w:val="bullet"/>
      <w:lvlText w:val="•"/>
      <w:lvlJc w:val="left"/>
      <w:pPr>
        <w:ind w:left="6331" w:hanging="241"/>
      </w:pPr>
      <w:rPr>
        <w:rFonts w:hint="default"/>
        <w:lang w:val="zh-CN" w:eastAsia="zh-CN" w:bidi="zh-CN"/>
      </w:rPr>
    </w:lvl>
    <w:lvl w:ilvl="7" w:tentative="0">
      <w:start w:val="0"/>
      <w:numFmt w:val="bullet"/>
      <w:lvlText w:val="•"/>
      <w:lvlJc w:val="left"/>
      <w:pPr>
        <w:ind w:left="7230" w:hanging="241"/>
      </w:pPr>
      <w:rPr>
        <w:rFonts w:hint="default"/>
        <w:lang w:val="zh-CN" w:eastAsia="zh-CN" w:bidi="zh-CN"/>
      </w:rPr>
    </w:lvl>
    <w:lvl w:ilvl="8" w:tentative="0">
      <w:start w:val="0"/>
      <w:numFmt w:val="bullet"/>
      <w:lvlText w:val="•"/>
      <w:lvlJc w:val="left"/>
      <w:pPr>
        <w:ind w:left="8129" w:hanging="241"/>
      </w:pPr>
      <w:rPr>
        <w:rFonts w:hint="default"/>
        <w:lang w:val="zh-CN" w:eastAsia="zh-CN" w:bidi="zh-CN"/>
      </w:rPr>
    </w:lvl>
  </w:abstractNum>
  <w:abstractNum w:abstractNumId="50">
    <w:nsid w:val="18F74015"/>
    <w:multiLevelType w:val="multilevel"/>
    <w:tmpl w:val="18F74015"/>
    <w:lvl w:ilvl="0" w:tentative="0">
      <w:start w:val="3"/>
      <w:numFmt w:val="decimal"/>
      <w:lvlText w:val="（%1）"/>
      <w:lvlJc w:val="left"/>
      <w:pPr>
        <w:ind w:left="1184"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54" w:hanging="601"/>
      </w:pPr>
      <w:rPr>
        <w:rFonts w:hint="default"/>
        <w:lang w:val="zh-CN" w:eastAsia="zh-CN" w:bidi="zh-CN"/>
      </w:rPr>
    </w:lvl>
    <w:lvl w:ilvl="2" w:tentative="0">
      <w:start w:val="0"/>
      <w:numFmt w:val="bullet"/>
      <w:lvlText w:val="•"/>
      <w:lvlJc w:val="left"/>
      <w:pPr>
        <w:ind w:left="2929" w:hanging="601"/>
      </w:pPr>
      <w:rPr>
        <w:rFonts w:hint="default"/>
        <w:lang w:val="zh-CN" w:eastAsia="zh-CN" w:bidi="zh-CN"/>
      </w:rPr>
    </w:lvl>
    <w:lvl w:ilvl="3" w:tentative="0">
      <w:start w:val="0"/>
      <w:numFmt w:val="bullet"/>
      <w:lvlText w:val="•"/>
      <w:lvlJc w:val="left"/>
      <w:pPr>
        <w:ind w:left="3803" w:hanging="601"/>
      </w:pPr>
      <w:rPr>
        <w:rFonts w:hint="default"/>
        <w:lang w:val="zh-CN" w:eastAsia="zh-CN" w:bidi="zh-CN"/>
      </w:rPr>
    </w:lvl>
    <w:lvl w:ilvl="4" w:tentative="0">
      <w:start w:val="0"/>
      <w:numFmt w:val="bullet"/>
      <w:lvlText w:val="•"/>
      <w:lvlJc w:val="left"/>
      <w:pPr>
        <w:ind w:left="4678" w:hanging="601"/>
      </w:pPr>
      <w:rPr>
        <w:rFonts w:hint="default"/>
        <w:lang w:val="zh-CN" w:eastAsia="zh-CN" w:bidi="zh-CN"/>
      </w:rPr>
    </w:lvl>
    <w:lvl w:ilvl="5" w:tentative="0">
      <w:start w:val="0"/>
      <w:numFmt w:val="bullet"/>
      <w:lvlText w:val="•"/>
      <w:lvlJc w:val="left"/>
      <w:pPr>
        <w:ind w:left="5553" w:hanging="601"/>
      </w:pPr>
      <w:rPr>
        <w:rFonts w:hint="default"/>
        <w:lang w:val="zh-CN" w:eastAsia="zh-CN" w:bidi="zh-CN"/>
      </w:rPr>
    </w:lvl>
    <w:lvl w:ilvl="6" w:tentative="0">
      <w:start w:val="0"/>
      <w:numFmt w:val="bullet"/>
      <w:lvlText w:val="•"/>
      <w:lvlJc w:val="left"/>
      <w:pPr>
        <w:ind w:left="6427" w:hanging="601"/>
      </w:pPr>
      <w:rPr>
        <w:rFonts w:hint="default"/>
        <w:lang w:val="zh-CN" w:eastAsia="zh-CN" w:bidi="zh-CN"/>
      </w:rPr>
    </w:lvl>
    <w:lvl w:ilvl="7" w:tentative="0">
      <w:start w:val="0"/>
      <w:numFmt w:val="bullet"/>
      <w:lvlText w:val="•"/>
      <w:lvlJc w:val="left"/>
      <w:pPr>
        <w:ind w:left="7302" w:hanging="601"/>
      </w:pPr>
      <w:rPr>
        <w:rFonts w:hint="default"/>
        <w:lang w:val="zh-CN" w:eastAsia="zh-CN" w:bidi="zh-CN"/>
      </w:rPr>
    </w:lvl>
    <w:lvl w:ilvl="8" w:tentative="0">
      <w:start w:val="0"/>
      <w:numFmt w:val="bullet"/>
      <w:lvlText w:val="•"/>
      <w:lvlJc w:val="left"/>
      <w:pPr>
        <w:ind w:left="8177" w:hanging="601"/>
      </w:pPr>
      <w:rPr>
        <w:rFonts w:hint="default"/>
        <w:lang w:val="zh-CN" w:eastAsia="zh-CN" w:bidi="zh-CN"/>
      </w:rPr>
    </w:lvl>
  </w:abstractNum>
  <w:abstractNum w:abstractNumId="51">
    <w:nsid w:val="1ACDE60F"/>
    <w:multiLevelType w:val="multilevel"/>
    <w:tmpl w:val="1ACDE60F"/>
    <w:lvl w:ilvl="0" w:tentative="0">
      <w:start w:val="1"/>
      <w:numFmt w:val="decimal"/>
      <w:lvlText w:val="%1）"/>
      <w:lvlJc w:val="left"/>
      <w:pPr>
        <w:ind w:left="1092" w:hanging="372"/>
      </w:pPr>
      <w:rPr>
        <w:rFonts w:hint="default" w:ascii="Times New Roman" w:hAnsi="Times New Roman" w:eastAsia="Times New Roman" w:cs="Times New Roman"/>
        <w:spacing w:val="4"/>
        <w:w w:val="100"/>
        <w:sz w:val="22"/>
        <w:szCs w:val="22"/>
        <w:lang w:val="zh-CN" w:eastAsia="zh-CN" w:bidi="zh-CN"/>
      </w:rPr>
    </w:lvl>
    <w:lvl w:ilvl="1" w:tentative="0">
      <w:start w:val="0"/>
      <w:numFmt w:val="bullet"/>
      <w:lvlText w:val="•"/>
      <w:lvlJc w:val="left"/>
      <w:pPr>
        <w:ind w:left="1982" w:hanging="372"/>
      </w:pPr>
      <w:rPr>
        <w:rFonts w:hint="default"/>
        <w:lang w:val="zh-CN" w:eastAsia="zh-CN" w:bidi="zh-CN"/>
      </w:rPr>
    </w:lvl>
    <w:lvl w:ilvl="2" w:tentative="0">
      <w:start w:val="0"/>
      <w:numFmt w:val="bullet"/>
      <w:lvlText w:val="•"/>
      <w:lvlJc w:val="left"/>
      <w:pPr>
        <w:ind w:left="2865" w:hanging="372"/>
      </w:pPr>
      <w:rPr>
        <w:rFonts w:hint="default"/>
        <w:lang w:val="zh-CN" w:eastAsia="zh-CN" w:bidi="zh-CN"/>
      </w:rPr>
    </w:lvl>
    <w:lvl w:ilvl="3" w:tentative="0">
      <w:start w:val="0"/>
      <w:numFmt w:val="bullet"/>
      <w:lvlText w:val="•"/>
      <w:lvlJc w:val="left"/>
      <w:pPr>
        <w:ind w:left="3747" w:hanging="372"/>
      </w:pPr>
      <w:rPr>
        <w:rFonts w:hint="default"/>
        <w:lang w:val="zh-CN" w:eastAsia="zh-CN" w:bidi="zh-CN"/>
      </w:rPr>
    </w:lvl>
    <w:lvl w:ilvl="4" w:tentative="0">
      <w:start w:val="0"/>
      <w:numFmt w:val="bullet"/>
      <w:lvlText w:val="•"/>
      <w:lvlJc w:val="left"/>
      <w:pPr>
        <w:ind w:left="4630" w:hanging="372"/>
      </w:pPr>
      <w:rPr>
        <w:rFonts w:hint="default"/>
        <w:lang w:val="zh-CN" w:eastAsia="zh-CN" w:bidi="zh-CN"/>
      </w:rPr>
    </w:lvl>
    <w:lvl w:ilvl="5" w:tentative="0">
      <w:start w:val="0"/>
      <w:numFmt w:val="bullet"/>
      <w:lvlText w:val="•"/>
      <w:lvlJc w:val="left"/>
      <w:pPr>
        <w:ind w:left="5513" w:hanging="372"/>
      </w:pPr>
      <w:rPr>
        <w:rFonts w:hint="default"/>
        <w:lang w:val="zh-CN" w:eastAsia="zh-CN" w:bidi="zh-CN"/>
      </w:rPr>
    </w:lvl>
    <w:lvl w:ilvl="6" w:tentative="0">
      <w:start w:val="0"/>
      <w:numFmt w:val="bullet"/>
      <w:lvlText w:val="•"/>
      <w:lvlJc w:val="left"/>
      <w:pPr>
        <w:ind w:left="6395" w:hanging="372"/>
      </w:pPr>
      <w:rPr>
        <w:rFonts w:hint="default"/>
        <w:lang w:val="zh-CN" w:eastAsia="zh-CN" w:bidi="zh-CN"/>
      </w:rPr>
    </w:lvl>
    <w:lvl w:ilvl="7" w:tentative="0">
      <w:start w:val="0"/>
      <w:numFmt w:val="bullet"/>
      <w:lvlText w:val="•"/>
      <w:lvlJc w:val="left"/>
      <w:pPr>
        <w:ind w:left="7278" w:hanging="372"/>
      </w:pPr>
      <w:rPr>
        <w:rFonts w:hint="default"/>
        <w:lang w:val="zh-CN" w:eastAsia="zh-CN" w:bidi="zh-CN"/>
      </w:rPr>
    </w:lvl>
    <w:lvl w:ilvl="8" w:tentative="0">
      <w:start w:val="0"/>
      <w:numFmt w:val="bullet"/>
      <w:lvlText w:val="•"/>
      <w:lvlJc w:val="left"/>
      <w:pPr>
        <w:ind w:left="8161" w:hanging="372"/>
      </w:pPr>
      <w:rPr>
        <w:rFonts w:hint="default"/>
        <w:lang w:val="zh-CN" w:eastAsia="zh-CN" w:bidi="zh-CN"/>
      </w:rPr>
    </w:lvl>
  </w:abstractNum>
  <w:abstractNum w:abstractNumId="52">
    <w:nsid w:val="1BCBBCF0"/>
    <w:multiLevelType w:val="multilevel"/>
    <w:tmpl w:val="1BCBBCF0"/>
    <w:lvl w:ilvl="0" w:tentative="0">
      <w:start w:val="1"/>
      <w:numFmt w:val="decimal"/>
      <w:lvlText w:val="%1."/>
      <w:lvlJc w:val="left"/>
      <w:pPr>
        <w:ind w:left="223" w:hanging="243"/>
      </w:pPr>
      <w:rPr>
        <w:rFonts w:hint="default" w:ascii="宋体" w:hAnsi="宋体" w:eastAsia="宋体" w:cs="宋体"/>
        <w:w w:val="100"/>
        <w:sz w:val="22"/>
        <w:szCs w:val="22"/>
        <w:lang w:val="zh-CN" w:eastAsia="zh-CN" w:bidi="zh-CN"/>
      </w:rPr>
    </w:lvl>
    <w:lvl w:ilvl="1" w:tentative="0">
      <w:start w:val="0"/>
      <w:numFmt w:val="bullet"/>
      <w:lvlText w:val="•"/>
      <w:lvlJc w:val="left"/>
      <w:pPr>
        <w:ind w:left="1190" w:hanging="243"/>
      </w:pPr>
      <w:rPr>
        <w:rFonts w:hint="default"/>
        <w:lang w:val="zh-CN" w:eastAsia="zh-CN" w:bidi="zh-CN"/>
      </w:rPr>
    </w:lvl>
    <w:lvl w:ilvl="2" w:tentative="0">
      <w:start w:val="0"/>
      <w:numFmt w:val="bullet"/>
      <w:lvlText w:val="•"/>
      <w:lvlJc w:val="left"/>
      <w:pPr>
        <w:ind w:left="2161" w:hanging="243"/>
      </w:pPr>
      <w:rPr>
        <w:rFonts w:hint="default"/>
        <w:lang w:val="zh-CN" w:eastAsia="zh-CN" w:bidi="zh-CN"/>
      </w:rPr>
    </w:lvl>
    <w:lvl w:ilvl="3" w:tentative="0">
      <w:start w:val="0"/>
      <w:numFmt w:val="bullet"/>
      <w:lvlText w:val="•"/>
      <w:lvlJc w:val="left"/>
      <w:pPr>
        <w:ind w:left="3131" w:hanging="243"/>
      </w:pPr>
      <w:rPr>
        <w:rFonts w:hint="default"/>
        <w:lang w:val="zh-CN" w:eastAsia="zh-CN" w:bidi="zh-CN"/>
      </w:rPr>
    </w:lvl>
    <w:lvl w:ilvl="4" w:tentative="0">
      <w:start w:val="0"/>
      <w:numFmt w:val="bullet"/>
      <w:lvlText w:val="•"/>
      <w:lvlJc w:val="left"/>
      <w:pPr>
        <w:ind w:left="4102" w:hanging="243"/>
      </w:pPr>
      <w:rPr>
        <w:rFonts w:hint="default"/>
        <w:lang w:val="zh-CN" w:eastAsia="zh-CN" w:bidi="zh-CN"/>
      </w:rPr>
    </w:lvl>
    <w:lvl w:ilvl="5" w:tentative="0">
      <w:start w:val="0"/>
      <w:numFmt w:val="bullet"/>
      <w:lvlText w:val="•"/>
      <w:lvlJc w:val="left"/>
      <w:pPr>
        <w:ind w:left="5073" w:hanging="243"/>
      </w:pPr>
      <w:rPr>
        <w:rFonts w:hint="default"/>
        <w:lang w:val="zh-CN" w:eastAsia="zh-CN" w:bidi="zh-CN"/>
      </w:rPr>
    </w:lvl>
    <w:lvl w:ilvl="6" w:tentative="0">
      <w:start w:val="0"/>
      <w:numFmt w:val="bullet"/>
      <w:lvlText w:val="•"/>
      <w:lvlJc w:val="left"/>
      <w:pPr>
        <w:ind w:left="6043" w:hanging="243"/>
      </w:pPr>
      <w:rPr>
        <w:rFonts w:hint="default"/>
        <w:lang w:val="zh-CN" w:eastAsia="zh-CN" w:bidi="zh-CN"/>
      </w:rPr>
    </w:lvl>
    <w:lvl w:ilvl="7" w:tentative="0">
      <w:start w:val="0"/>
      <w:numFmt w:val="bullet"/>
      <w:lvlText w:val="•"/>
      <w:lvlJc w:val="left"/>
      <w:pPr>
        <w:ind w:left="7014" w:hanging="243"/>
      </w:pPr>
      <w:rPr>
        <w:rFonts w:hint="default"/>
        <w:lang w:val="zh-CN" w:eastAsia="zh-CN" w:bidi="zh-CN"/>
      </w:rPr>
    </w:lvl>
    <w:lvl w:ilvl="8" w:tentative="0">
      <w:start w:val="0"/>
      <w:numFmt w:val="bullet"/>
      <w:lvlText w:val="•"/>
      <w:lvlJc w:val="left"/>
      <w:pPr>
        <w:ind w:left="7985" w:hanging="243"/>
      </w:pPr>
      <w:rPr>
        <w:rFonts w:hint="default"/>
        <w:lang w:val="zh-CN" w:eastAsia="zh-CN" w:bidi="zh-CN"/>
      </w:rPr>
    </w:lvl>
  </w:abstractNum>
  <w:abstractNum w:abstractNumId="53">
    <w:nsid w:val="1C257C7B"/>
    <w:multiLevelType w:val="multilevel"/>
    <w:tmpl w:val="1C257C7B"/>
    <w:lvl w:ilvl="0" w:tentative="0">
      <w:start w:val="1"/>
      <w:numFmt w:val="decimal"/>
      <w:lvlText w:val="（%1）"/>
      <w:lvlJc w:val="left"/>
      <w:pPr>
        <w:ind w:left="223" w:hanging="616"/>
      </w:pPr>
      <w:rPr>
        <w:rFonts w:hint="default" w:ascii="宋体" w:hAnsi="宋体" w:eastAsia="宋体" w:cs="宋体"/>
        <w:spacing w:val="-10"/>
        <w:w w:val="100"/>
        <w:sz w:val="22"/>
        <w:szCs w:val="22"/>
        <w:lang w:val="zh-CN" w:eastAsia="zh-CN" w:bidi="zh-CN"/>
      </w:rPr>
    </w:lvl>
    <w:lvl w:ilvl="1" w:tentative="0">
      <w:start w:val="0"/>
      <w:numFmt w:val="bullet"/>
      <w:lvlText w:val="•"/>
      <w:lvlJc w:val="left"/>
      <w:pPr>
        <w:ind w:left="1190" w:hanging="616"/>
      </w:pPr>
      <w:rPr>
        <w:rFonts w:hint="default"/>
        <w:lang w:val="zh-CN" w:eastAsia="zh-CN" w:bidi="zh-CN"/>
      </w:rPr>
    </w:lvl>
    <w:lvl w:ilvl="2" w:tentative="0">
      <w:start w:val="0"/>
      <w:numFmt w:val="bullet"/>
      <w:lvlText w:val="•"/>
      <w:lvlJc w:val="left"/>
      <w:pPr>
        <w:ind w:left="2161" w:hanging="616"/>
      </w:pPr>
      <w:rPr>
        <w:rFonts w:hint="default"/>
        <w:lang w:val="zh-CN" w:eastAsia="zh-CN" w:bidi="zh-CN"/>
      </w:rPr>
    </w:lvl>
    <w:lvl w:ilvl="3" w:tentative="0">
      <w:start w:val="0"/>
      <w:numFmt w:val="bullet"/>
      <w:lvlText w:val="•"/>
      <w:lvlJc w:val="left"/>
      <w:pPr>
        <w:ind w:left="3131" w:hanging="616"/>
      </w:pPr>
      <w:rPr>
        <w:rFonts w:hint="default"/>
        <w:lang w:val="zh-CN" w:eastAsia="zh-CN" w:bidi="zh-CN"/>
      </w:rPr>
    </w:lvl>
    <w:lvl w:ilvl="4" w:tentative="0">
      <w:start w:val="0"/>
      <w:numFmt w:val="bullet"/>
      <w:lvlText w:val="•"/>
      <w:lvlJc w:val="left"/>
      <w:pPr>
        <w:ind w:left="4102" w:hanging="616"/>
      </w:pPr>
      <w:rPr>
        <w:rFonts w:hint="default"/>
        <w:lang w:val="zh-CN" w:eastAsia="zh-CN" w:bidi="zh-CN"/>
      </w:rPr>
    </w:lvl>
    <w:lvl w:ilvl="5" w:tentative="0">
      <w:start w:val="0"/>
      <w:numFmt w:val="bullet"/>
      <w:lvlText w:val="•"/>
      <w:lvlJc w:val="left"/>
      <w:pPr>
        <w:ind w:left="5073" w:hanging="616"/>
      </w:pPr>
      <w:rPr>
        <w:rFonts w:hint="default"/>
        <w:lang w:val="zh-CN" w:eastAsia="zh-CN" w:bidi="zh-CN"/>
      </w:rPr>
    </w:lvl>
    <w:lvl w:ilvl="6" w:tentative="0">
      <w:start w:val="0"/>
      <w:numFmt w:val="bullet"/>
      <w:lvlText w:val="•"/>
      <w:lvlJc w:val="left"/>
      <w:pPr>
        <w:ind w:left="6043" w:hanging="616"/>
      </w:pPr>
      <w:rPr>
        <w:rFonts w:hint="default"/>
        <w:lang w:val="zh-CN" w:eastAsia="zh-CN" w:bidi="zh-CN"/>
      </w:rPr>
    </w:lvl>
    <w:lvl w:ilvl="7" w:tentative="0">
      <w:start w:val="0"/>
      <w:numFmt w:val="bullet"/>
      <w:lvlText w:val="•"/>
      <w:lvlJc w:val="left"/>
      <w:pPr>
        <w:ind w:left="7014" w:hanging="616"/>
      </w:pPr>
      <w:rPr>
        <w:rFonts w:hint="default"/>
        <w:lang w:val="zh-CN" w:eastAsia="zh-CN" w:bidi="zh-CN"/>
      </w:rPr>
    </w:lvl>
    <w:lvl w:ilvl="8" w:tentative="0">
      <w:start w:val="0"/>
      <w:numFmt w:val="bullet"/>
      <w:lvlText w:val="•"/>
      <w:lvlJc w:val="left"/>
      <w:pPr>
        <w:ind w:left="7985" w:hanging="616"/>
      </w:pPr>
      <w:rPr>
        <w:rFonts w:hint="default"/>
        <w:lang w:val="zh-CN" w:eastAsia="zh-CN" w:bidi="zh-CN"/>
      </w:rPr>
    </w:lvl>
  </w:abstractNum>
  <w:abstractNum w:abstractNumId="54">
    <w:nsid w:val="23E97754"/>
    <w:multiLevelType w:val="multilevel"/>
    <w:tmpl w:val="23E97754"/>
    <w:lvl w:ilvl="0" w:tentative="0">
      <w:start w:val="1"/>
      <w:numFmt w:val="decimal"/>
      <w:lvlText w:val="（%1）"/>
      <w:lvlJc w:val="left"/>
      <w:pPr>
        <w:ind w:left="1216" w:hanging="622"/>
      </w:pPr>
      <w:rPr>
        <w:rFonts w:hint="default" w:ascii="宋体" w:hAnsi="宋体" w:eastAsia="宋体" w:cs="宋体"/>
        <w:spacing w:val="0"/>
        <w:w w:val="100"/>
        <w:sz w:val="22"/>
        <w:szCs w:val="22"/>
        <w:lang w:val="zh-CN" w:eastAsia="zh-CN" w:bidi="zh-CN"/>
      </w:rPr>
    </w:lvl>
    <w:lvl w:ilvl="1" w:tentative="0">
      <w:start w:val="1"/>
      <w:numFmt w:val="decimal"/>
      <w:lvlText w:val="%2）"/>
      <w:lvlJc w:val="left"/>
      <w:pPr>
        <w:ind w:left="1092" w:hanging="372"/>
      </w:pPr>
      <w:rPr>
        <w:rFonts w:hint="default" w:ascii="Times New Roman" w:hAnsi="Times New Roman" w:eastAsia="Times New Roman" w:cs="Times New Roman"/>
        <w:spacing w:val="4"/>
        <w:w w:val="100"/>
        <w:sz w:val="22"/>
        <w:szCs w:val="22"/>
        <w:lang w:val="zh-CN" w:eastAsia="zh-CN" w:bidi="zh-CN"/>
      </w:rPr>
    </w:lvl>
    <w:lvl w:ilvl="2" w:tentative="0">
      <w:start w:val="0"/>
      <w:numFmt w:val="bullet"/>
      <w:lvlText w:val="•"/>
      <w:lvlJc w:val="left"/>
      <w:pPr>
        <w:ind w:left="2187" w:hanging="372"/>
      </w:pPr>
      <w:rPr>
        <w:rFonts w:hint="default"/>
        <w:lang w:val="zh-CN" w:eastAsia="zh-CN" w:bidi="zh-CN"/>
      </w:rPr>
    </w:lvl>
    <w:lvl w:ilvl="3" w:tentative="0">
      <w:start w:val="0"/>
      <w:numFmt w:val="bullet"/>
      <w:lvlText w:val="•"/>
      <w:lvlJc w:val="left"/>
      <w:pPr>
        <w:ind w:left="3154" w:hanging="372"/>
      </w:pPr>
      <w:rPr>
        <w:rFonts w:hint="default"/>
        <w:lang w:val="zh-CN" w:eastAsia="zh-CN" w:bidi="zh-CN"/>
      </w:rPr>
    </w:lvl>
    <w:lvl w:ilvl="4" w:tentative="0">
      <w:start w:val="0"/>
      <w:numFmt w:val="bullet"/>
      <w:lvlText w:val="•"/>
      <w:lvlJc w:val="left"/>
      <w:pPr>
        <w:ind w:left="4122" w:hanging="372"/>
      </w:pPr>
      <w:rPr>
        <w:rFonts w:hint="default"/>
        <w:lang w:val="zh-CN" w:eastAsia="zh-CN" w:bidi="zh-CN"/>
      </w:rPr>
    </w:lvl>
    <w:lvl w:ilvl="5" w:tentative="0">
      <w:start w:val="0"/>
      <w:numFmt w:val="bullet"/>
      <w:lvlText w:val="•"/>
      <w:lvlJc w:val="left"/>
      <w:pPr>
        <w:ind w:left="5089" w:hanging="372"/>
      </w:pPr>
      <w:rPr>
        <w:rFonts w:hint="default"/>
        <w:lang w:val="zh-CN" w:eastAsia="zh-CN" w:bidi="zh-CN"/>
      </w:rPr>
    </w:lvl>
    <w:lvl w:ilvl="6" w:tentative="0">
      <w:start w:val="0"/>
      <w:numFmt w:val="bullet"/>
      <w:lvlText w:val="•"/>
      <w:lvlJc w:val="left"/>
      <w:pPr>
        <w:ind w:left="6056" w:hanging="372"/>
      </w:pPr>
      <w:rPr>
        <w:rFonts w:hint="default"/>
        <w:lang w:val="zh-CN" w:eastAsia="zh-CN" w:bidi="zh-CN"/>
      </w:rPr>
    </w:lvl>
    <w:lvl w:ilvl="7" w:tentative="0">
      <w:start w:val="0"/>
      <w:numFmt w:val="bullet"/>
      <w:lvlText w:val="•"/>
      <w:lvlJc w:val="left"/>
      <w:pPr>
        <w:ind w:left="7024" w:hanging="372"/>
      </w:pPr>
      <w:rPr>
        <w:rFonts w:hint="default"/>
        <w:lang w:val="zh-CN" w:eastAsia="zh-CN" w:bidi="zh-CN"/>
      </w:rPr>
    </w:lvl>
    <w:lvl w:ilvl="8" w:tentative="0">
      <w:start w:val="0"/>
      <w:numFmt w:val="bullet"/>
      <w:lvlText w:val="•"/>
      <w:lvlJc w:val="left"/>
      <w:pPr>
        <w:ind w:left="7991" w:hanging="372"/>
      </w:pPr>
      <w:rPr>
        <w:rFonts w:hint="default"/>
        <w:lang w:val="zh-CN" w:eastAsia="zh-CN" w:bidi="zh-CN"/>
      </w:rPr>
    </w:lvl>
  </w:abstractNum>
  <w:abstractNum w:abstractNumId="55">
    <w:nsid w:val="243FCF68"/>
    <w:multiLevelType w:val="multilevel"/>
    <w:tmpl w:val="243FCF68"/>
    <w:lvl w:ilvl="0" w:tentative="0">
      <w:start w:val="1"/>
      <w:numFmt w:val="decimal"/>
      <w:lvlText w:val="%1）"/>
      <w:lvlJc w:val="left"/>
      <w:pPr>
        <w:ind w:left="223" w:hanging="366"/>
      </w:pPr>
      <w:rPr>
        <w:rFonts w:hint="default" w:ascii="Times New Roman" w:hAnsi="Times New Roman" w:eastAsia="Times New Roman" w:cs="Times New Roman"/>
        <w:spacing w:val="-32"/>
        <w:w w:val="100"/>
        <w:sz w:val="22"/>
        <w:szCs w:val="22"/>
        <w:lang w:val="zh-CN" w:eastAsia="zh-CN" w:bidi="zh-CN"/>
      </w:rPr>
    </w:lvl>
    <w:lvl w:ilvl="1" w:tentative="0">
      <w:start w:val="0"/>
      <w:numFmt w:val="bullet"/>
      <w:lvlText w:val="•"/>
      <w:lvlJc w:val="left"/>
      <w:pPr>
        <w:ind w:left="1190" w:hanging="366"/>
      </w:pPr>
      <w:rPr>
        <w:rFonts w:hint="default"/>
        <w:lang w:val="zh-CN" w:eastAsia="zh-CN" w:bidi="zh-CN"/>
      </w:rPr>
    </w:lvl>
    <w:lvl w:ilvl="2" w:tentative="0">
      <w:start w:val="0"/>
      <w:numFmt w:val="bullet"/>
      <w:lvlText w:val="•"/>
      <w:lvlJc w:val="left"/>
      <w:pPr>
        <w:ind w:left="2161" w:hanging="366"/>
      </w:pPr>
      <w:rPr>
        <w:rFonts w:hint="default"/>
        <w:lang w:val="zh-CN" w:eastAsia="zh-CN" w:bidi="zh-CN"/>
      </w:rPr>
    </w:lvl>
    <w:lvl w:ilvl="3" w:tentative="0">
      <w:start w:val="0"/>
      <w:numFmt w:val="bullet"/>
      <w:lvlText w:val="•"/>
      <w:lvlJc w:val="left"/>
      <w:pPr>
        <w:ind w:left="3131" w:hanging="366"/>
      </w:pPr>
      <w:rPr>
        <w:rFonts w:hint="default"/>
        <w:lang w:val="zh-CN" w:eastAsia="zh-CN" w:bidi="zh-CN"/>
      </w:rPr>
    </w:lvl>
    <w:lvl w:ilvl="4" w:tentative="0">
      <w:start w:val="0"/>
      <w:numFmt w:val="bullet"/>
      <w:lvlText w:val="•"/>
      <w:lvlJc w:val="left"/>
      <w:pPr>
        <w:ind w:left="4102" w:hanging="366"/>
      </w:pPr>
      <w:rPr>
        <w:rFonts w:hint="default"/>
        <w:lang w:val="zh-CN" w:eastAsia="zh-CN" w:bidi="zh-CN"/>
      </w:rPr>
    </w:lvl>
    <w:lvl w:ilvl="5" w:tentative="0">
      <w:start w:val="0"/>
      <w:numFmt w:val="bullet"/>
      <w:lvlText w:val="•"/>
      <w:lvlJc w:val="left"/>
      <w:pPr>
        <w:ind w:left="5073" w:hanging="366"/>
      </w:pPr>
      <w:rPr>
        <w:rFonts w:hint="default"/>
        <w:lang w:val="zh-CN" w:eastAsia="zh-CN" w:bidi="zh-CN"/>
      </w:rPr>
    </w:lvl>
    <w:lvl w:ilvl="6" w:tentative="0">
      <w:start w:val="0"/>
      <w:numFmt w:val="bullet"/>
      <w:lvlText w:val="•"/>
      <w:lvlJc w:val="left"/>
      <w:pPr>
        <w:ind w:left="6043" w:hanging="366"/>
      </w:pPr>
      <w:rPr>
        <w:rFonts w:hint="default"/>
        <w:lang w:val="zh-CN" w:eastAsia="zh-CN" w:bidi="zh-CN"/>
      </w:rPr>
    </w:lvl>
    <w:lvl w:ilvl="7" w:tentative="0">
      <w:start w:val="0"/>
      <w:numFmt w:val="bullet"/>
      <w:lvlText w:val="•"/>
      <w:lvlJc w:val="left"/>
      <w:pPr>
        <w:ind w:left="7014" w:hanging="366"/>
      </w:pPr>
      <w:rPr>
        <w:rFonts w:hint="default"/>
        <w:lang w:val="zh-CN" w:eastAsia="zh-CN" w:bidi="zh-CN"/>
      </w:rPr>
    </w:lvl>
    <w:lvl w:ilvl="8" w:tentative="0">
      <w:start w:val="0"/>
      <w:numFmt w:val="bullet"/>
      <w:lvlText w:val="•"/>
      <w:lvlJc w:val="left"/>
      <w:pPr>
        <w:ind w:left="7985" w:hanging="366"/>
      </w:pPr>
      <w:rPr>
        <w:rFonts w:hint="default"/>
        <w:lang w:val="zh-CN" w:eastAsia="zh-CN" w:bidi="zh-CN"/>
      </w:rPr>
    </w:lvl>
  </w:abstractNum>
  <w:abstractNum w:abstractNumId="56">
    <w:nsid w:val="2470EC97"/>
    <w:multiLevelType w:val="multilevel"/>
    <w:tmpl w:val="2470EC97"/>
    <w:lvl w:ilvl="0" w:tentative="0">
      <w:start w:val="1"/>
      <w:numFmt w:val="decimal"/>
      <w:lvlText w:val="%1."/>
      <w:lvlJc w:val="left"/>
      <w:pPr>
        <w:ind w:left="1208" w:hanging="424"/>
        <w:jc w:val="right"/>
      </w:pPr>
      <w:rPr>
        <w:rFonts w:hint="default" w:ascii="宋体" w:hAnsi="宋体" w:eastAsia="宋体" w:cs="宋体"/>
        <w:b/>
        <w:bCs/>
        <w:spacing w:val="0"/>
        <w:w w:val="99"/>
        <w:sz w:val="26"/>
        <w:szCs w:val="26"/>
        <w:lang w:val="zh-CN" w:eastAsia="zh-CN" w:bidi="zh-CN"/>
      </w:rPr>
    </w:lvl>
    <w:lvl w:ilvl="1" w:tentative="0">
      <w:start w:val="1"/>
      <w:numFmt w:val="decimal"/>
      <w:lvlText w:val="%1.%2"/>
      <w:lvlJc w:val="left"/>
      <w:pPr>
        <w:ind w:left="1130" w:hanging="42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363" w:hanging="660"/>
      </w:pPr>
      <w:rPr>
        <w:rFonts w:hint="default"/>
        <w:w w:val="100"/>
        <w:lang w:val="zh-CN" w:eastAsia="zh-CN" w:bidi="zh-CN"/>
      </w:rPr>
    </w:lvl>
    <w:lvl w:ilvl="3" w:tentative="0">
      <w:start w:val="1"/>
      <w:numFmt w:val="decimal"/>
      <w:lvlText w:val="%1.%2.%3.%4"/>
      <w:lvlJc w:val="left"/>
      <w:pPr>
        <w:ind w:left="1603" w:hanging="900"/>
      </w:pPr>
      <w:rPr>
        <w:rFonts w:hint="default" w:ascii="宋体" w:hAnsi="宋体" w:eastAsia="宋体" w:cs="宋体"/>
        <w:w w:val="100"/>
        <w:sz w:val="24"/>
        <w:szCs w:val="24"/>
        <w:lang w:val="zh-CN" w:eastAsia="zh-CN" w:bidi="zh-CN"/>
      </w:rPr>
    </w:lvl>
    <w:lvl w:ilvl="4" w:tentative="0">
      <w:start w:val="1"/>
      <w:numFmt w:val="decimal"/>
      <w:lvlText w:val="%1.%2.%3.%4.%5"/>
      <w:lvlJc w:val="left"/>
      <w:pPr>
        <w:ind w:left="1843" w:hanging="1140"/>
      </w:pPr>
      <w:rPr>
        <w:rFonts w:hint="default" w:ascii="宋体" w:hAnsi="宋体" w:eastAsia="宋体" w:cs="宋体"/>
        <w:w w:val="100"/>
        <w:sz w:val="24"/>
        <w:szCs w:val="24"/>
        <w:lang w:val="zh-CN" w:eastAsia="zh-CN" w:bidi="zh-CN"/>
      </w:rPr>
    </w:lvl>
    <w:lvl w:ilvl="5" w:tentative="0">
      <w:start w:val="0"/>
      <w:numFmt w:val="bullet"/>
      <w:lvlText w:val="•"/>
      <w:lvlJc w:val="left"/>
      <w:pPr>
        <w:ind w:left="1840" w:hanging="1140"/>
      </w:pPr>
      <w:rPr>
        <w:rFonts w:hint="default"/>
        <w:lang w:val="zh-CN" w:eastAsia="zh-CN" w:bidi="zh-CN"/>
      </w:rPr>
    </w:lvl>
    <w:lvl w:ilvl="6" w:tentative="0">
      <w:start w:val="0"/>
      <w:numFmt w:val="bullet"/>
      <w:lvlText w:val="•"/>
      <w:lvlJc w:val="left"/>
      <w:pPr>
        <w:ind w:left="3457" w:hanging="1140"/>
      </w:pPr>
      <w:rPr>
        <w:rFonts w:hint="default"/>
        <w:lang w:val="zh-CN" w:eastAsia="zh-CN" w:bidi="zh-CN"/>
      </w:rPr>
    </w:lvl>
    <w:lvl w:ilvl="7" w:tentative="0">
      <w:start w:val="0"/>
      <w:numFmt w:val="bullet"/>
      <w:lvlText w:val="•"/>
      <w:lvlJc w:val="left"/>
      <w:pPr>
        <w:ind w:left="5074" w:hanging="1140"/>
      </w:pPr>
      <w:rPr>
        <w:rFonts w:hint="default"/>
        <w:lang w:val="zh-CN" w:eastAsia="zh-CN" w:bidi="zh-CN"/>
      </w:rPr>
    </w:lvl>
    <w:lvl w:ilvl="8" w:tentative="0">
      <w:start w:val="0"/>
      <w:numFmt w:val="bullet"/>
      <w:lvlText w:val="•"/>
      <w:lvlJc w:val="left"/>
      <w:pPr>
        <w:ind w:left="6691" w:hanging="1140"/>
      </w:pPr>
      <w:rPr>
        <w:rFonts w:hint="default"/>
        <w:lang w:val="zh-CN" w:eastAsia="zh-CN" w:bidi="zh-CN"/>
      </w:rPr>
    </w:lvl>
  </w:abstractNum>
  <w:abstractNum w:abstractNumId="57">
    <w:nsid w:val="2A8F537B"/>
    <w:multiLevelType w:val="multilevel"/>
    <w:tmpl w:val="2A8F537B"/>
    <w:lvl w:ilvl="0" w:tentative="0">
      <w:start w:val="1"/>
      <w:numFmt w:val="decimal"/>
      <w:lvlText w:val="（%1）"/>
      <w:lvlJc w:val="left"/>
      <w:pPr>
        <w:ind w:left="1216" w:hanging="622"/>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2090" w:hanging="622"/>
      </w:pPr>
      <w:rPr>
        <w:rFonts w:hint="default"/>
        <w:lang w:val="zh-CN" w:eastAsia="zh-CN" w:bidi="zh-CN"/>
      </w:rPr>
    </w:lvl>
    <w:lvl w:ilvl="2" w:tentative="0">
      <w:start w:val="0"/>
      <w:numFmt w:val="bullet"/>
      <w:lvlText w:val="•"/>
      <w:lvlJc w:val="left"/>
      <w:pPr>
        <w:ind w:left="2961" w:hanging="622"/>
      </w:pPr>
      <w:rPr>
        <w:rFonts w:hint="default"/>
        <w:lang w:val="zh-CN" w:eastAsia="zh-CN" w:bidi="zh-CN"/>
      </w:rPr>
    </w:lvl>
    <w:lvl w:ilvl="3" w:tentative="0">
      <w:start w:val="0"/>
      <w:numFmt w:val="bullet"/>
      <w:lvlText w:val="•"/>
      <w:lvlJc w:val="left"/>
      <w:pPr>
        <w:ind w:left="3831" w:hanging="622"/>
      </w:pPr>
      <w:rPr>
        <w:rFonts w:hint="default"/>
        <w:lang w:val="zh-CN" w:eastAsia="zh-CN" w:bidi="zh-CN"/>
      </w:rPr>
    </w:lvl>
    <w:lvl w:ilvl="4" w:tentative="0">
      <w:start w:val="0"/>
      <w:numFmt w:val="bullet"/>
      <w:lvlText w:val="•"/>
      <w:lvlJc w:val="left"/>
      <w:pPr>
        <w:ind w:left="4702" w:hanging="622"/>
      </w:pPr>
      <w:rPr>
        <w:rFonts w:hint="default"/>
        <w:lang w:val="zh-CN" w:eastAsia="zh-CN" w:bidi="zh-CN"/>
      </w:rPr>
    </w:lvl>
    <w:lvl w:ilvl="5" w:tentative="0">
      <w:start w:val="0"/>
      <w:numFmt w:val="bullet"/>
      <w:lvlText w:val="•"/>
      <w:lvlJc w:val="left"/>
      <w:pPr>
        <w:ind w:left="5573" w:hanging="622"/>
      </w:pPr>
      <w:rPr>
        <w:rFonts w:hint="default"/>
        <w:lang w:val="zh-CN" w:eastAsia="zh-CN" w:bidi="zh-CN"/>
      </w:rPr>
    </w:lvl>
    <w:lvl w:ilvl="6" w:tentative="0">
      <w:start w:val="0"/>
      <w:numFmt w:val="bullet"/>
      <w:lvlText w:val="•"/>
      <w:lvlJc w:val="left"/>
      <w:pPr>
        <w:ind w:left="6443" w:hanging="622"/>
      </w:pPr>
      <w:rPr>
        <w:rFonts w:hint="default"/>
        <w:lang w:val="zh-CN" w:eastAsia="zh-CN" w:bidi="zh-CN"/>
      </w:rPr>
    </w:lvl>
    <w:lvl w:ilvl="7" w:tentative="0">
      <w:start w:val="0"/>
      <w:numFmt w:val="bullet"/>
      <w:lvlText w:val="•"/>
      <w:lvlJc w:val="left"/>
      <w:pPr>
        <w:ind w:left="7314" w:hanging="622"/>
      </w:pPr>
      <w:rPr>
        <w:rFonts w:hint="default"/>
        <w:lang w:val="zh-CN" w:eastAsia="zh-CN" w:bidi="zh-CN"/>
      </w:rPr>
    </w:lvl>
    <w:lvl w:ilvl="8" w:tentative="0">
      <w:start w:val="0"/>
      <w:numFmt w:val="bullet"/>
      <w:lvlText w:val="•"/>
      <w:lvlJc w:val="left"/>
      <w:pPr>
        <w:ind w:left="8185" w:hanging="622"/>
      </w:pPr>
      <w:rPr>
        <w:rFonts w:hint="default"/>
        <w:lang w:val="zh-CN" w:eastAsia="zh-CN" w:bidi="zh-CN"/>
      </w:rPr>
    </w:lvl>
  </w:abstractNum>
  <w:abstractNum w:abstractNumId="58">
    <w:nsid w:val="2F2D79CE"/>
    <w:multiLevelType w:val="multilevel"/>
    <w:tmpl w:val="2F2D79CE"/>
    <w:lvl w:ilvl="0" w:tentative="0">
      <w:start w:val="12"/>
      <w:numFmt w:val="decimal"/>
      <w:lvlText w:val="（%1）"/>
      <w:lvlJc w:val="left"/>
      <w:pPr>
        <w:ind w:left="223" w:hanging="721"/>
      </w:pPr>
      <w:rPr>
        <w:rFonts w:hint="default" w:ascii="宋体" w:hAnsi="宋体" w:eastAsia="宋体" w:cs="宋体"/>
        <w:spacing w:val="-3"/>
        <w:w w:val="100"/>
        <w:sz w:val="22"/>
        <w:szCs w:val="22"/>
        <w:lang w:val="zh-CN" w:eastAsia="zh-CN" w:bidi="zh-CN"/>
      </w:rPr>
    </w:lvl>
    <w:lvl w:ilvl="1" w:tentative="0">
      <w:start w:val="5"/>
      <w:numFmt w:val="decimal"/>
      <w:lvlText w:val="（%2）"/>
      <w:lvlJc w:val="left"/>
      <w:pPr>
        <w:ind w:left="223" w:hanging="608"/>
      </w:pPr>
      <w:rPr>
        <w:rFonts w:hint="default" w:ascii="宋体" w:hAnsi="宋体" w:eastAsia="宋体" w:cs="宋体"/>
        <w:spacing w:val="-17"/>
        <w:w w:val="100"/>
        <w:sz w:val="22"/>
        <w:szCs w:val="22"/>
        <w:lang w:val="zh-CN" w:eastAsia="zh-CN" w:bidi="zh-CN"/>
      </w:rPr>
    </w:lvl>
    <w:lvl w:ilvl="2" w:tentative="0">
      <w:start w:val="0"/>
      <w:numFmt w:val="bullet"/>
      <w:lvlText w:val="•"/>
      <w:lvlJc w:val="left"/>
      <w:pPr>
        <w:ind w:left="2161" w:hanging="608"/>
      </w:pPr>
      <w:rPr>
        <w:rFonts w:hint="default"/>
        <w:lang w:val="zh-CN" w:eastAsia="zh-CN" w:bidi="zh-CN"/>
      </w:rPr>
    </w:lvl>
    <w:lvl w:ilvl="3" w:tentative="0">
      <w:start w:val="0"/>
      <w:numFmt w:val="bullet"/>
      <w:lvlText w:val="•"/>
      <w:lvlJc w:val="left"/>
      <w:pPr>
        <w:ind w:left="3131" w:hanging="608"/>
      </w:pPr>
      <w:rPr>
        <w:rFonts w:hint="default"/>
        <w:lang w:val="zh-CN" w:eastAsia="zh-CN" w:bidi="zh-CN"/>
      </w:rPr>
    </w:lvl>
    <w:lvl w:ilvl="4" w:tentative="0">
      <w:start w:val="0"/>
      <w:numFmt w:val="bullet"/>
      <w:lvlText w:val="•"/>
      <w:lvlJc w:val="left"/>
      <w:pPr>
        <w:ind w:left="4102" w:hanging="608"/>
      </w:pPr>
      <w:rPr>
        <w:rFonts w:hint="default"/>
        <w:lang w:val="zh-CN" w:eastAsia="zh-CN" w:bidi="zh-CN"/>
      </w:rPr>
    </w:lvl>
    <w:lvl w:ilvl="5" w:tentative="0">
      <w:start w:val="0"/>
      <w:numFmt w:val="bullet"/>
      <w:lvlText w:val="•"/>
      <w:lvlJc w:val="left"/>
      <w:pPr>
        <w:ind w:left="5073" w:hanging="608"/>
      </w:pPr>
      <w:rPr>
        <w:rFonts w:hint="default"/>
        <w:lang w:val="zh-CN" w:eastAsia="zh-CN" w:bidi="zh-CN"/>
      </w:rPr>
    </w:lvl>
    <w:lvl w:ilvl="6" w:tentative="0">
      <w:start w:val="0"/>
      <w:numFmt w:val="bullet"/>
      <w:lvlText w:val="•"/>
      <w:lvlJc w:val="left"/>
      <w:pPr>
        <w:ind w:left="6043" w:hanging="608"/>
      </w:pPr>
      <w:rPr>
        <w:rFonts w:hint="default"/>
        <w:lang w:val="zh-CN" w:eastAsia="zh-CN" w:bidi="zh-CN"/>
      </w:rPr>
    </w:lvl>
    <w:lvl w:ilvl="7" w:tentative="0">
      <w:start w:val="0"/>
      <w:numFmt w:val="bullet"/>
      <w:lvlText w:val="•"/>
      <w:lvlJc w:val="left"/>
      <w:pPr>
        <w:ind w:left="7014" w:hanging="608"/>
      </w:pPr>
      <w:rPr>
        <w:rFonts w:hint="default"/>
        <w:lang w:val="zh-CN" w:eastAsia="zh-CN" w:bidi="zh-CN"/>
      </w:rPr>
    </w:lvl>
    <w:lvl w:ilvl="8" w:tentative="0">
      <w:start w:val="0"/>
      <w:numFmt w:val="bullet"/>
      <w:lvlText w:val="•"/>
      <w:lvlJc w:val="left"/>
      <w:pPr>
        <w:ind w:left="7985" w:hanging="608"/>
      </w:pPr>
      <w:rPr>
        <w:rFonts w:hint="default"/>
        <w:lang w:val="zh-CN" w:eastAsia="zh-CN" w:bidi="zh-CN"/>
      </w:rPr>
    </w:lvl>
  </w:abstractNum>
  <w:abstractNum w:abstractNumId="59">
    <w:nsid w:val="30A0AC00"/>
    <w:multiLevelType w:val="multilevel"/>
    <w:tmpl w:val="30A0AC00"/>
    <w:lvl w:ilvl="0" w:tentative="0">
      <w:start w:val="1"/>
      <w:numFmt w:val="decimal"/>
      <w:lvlText w:val="（%1）"/>
      <w:lvlJc w:val="left"/>
      <w:pPr>
        <w:ind w:left="1216" w:hanging="622"/>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2090" w:hanging="622"/>
      </w:pPr>
      <w:rPr>
        <w:rFonts w:hint="default"/>
        <w:lang w:val="zh-CN" w:eastAsia="zh-CN" w:bidi="zh-CN"/>
      </w:rPr>
    </w:lvl>
    <w:lvl w:ilvl="2" w:tentative="0">
      <w:start w:val="0"/>
      <w:numFmt w:val="bullet"/>
      <w:lvlText w:val="•"/>
      <w:lvlJc w:val="left"/>
      <w:pPr>
        <w:ind w:left="2961" w:hanging="622"/>
      </w:pPr>
      <w:rPr>
        <w:rFonts w:hint="default"/>
        <w:lang w:val="zh-CN" w:eastAsia="zh-CN" w:bidi="zh-CN"/>
      </w:rPr>
    </w:lvl>
    <w:lvl w:ilvl="3" w:tentative="0">
      <w:start w:val="0"/>
      <w:numFmt w:val="bullet"/>
      <w:lvlText w:val="•"/>
      <w:lvlJc w:val="left"/>
      <w:pPr>
        <w:ind w:left="3831" w:hanging="622"/>
      </w:pPr>
      <w:rPr>
        <w:rFonts w:hint="default"/>
        <w:lang w:val="zh-CN" w:eastAsia="zh-CN" w:bidi="zh-CN"/>
      </w:rPr>
    </w:lvl>
    <w:lvl w:ilvl="4" w:tentative="0">
      <w:start w:val="0"/>
      <w:numFmt w:val="bullet"/>
      <w:lvlText w:val="•"/>
      <w:lvlJc w:val="left"/>
      <w:pPr>
        <w:ind w:left="4702" w:hanging="622"/>
      </w:pPr>
      <w:rPr>
        <w:rFonts w:hint="default"/>
        <w:lang w:val="zh-CN" w:eastAsia="zh-CN" w:bidi="zh-CN"/>
      </w:rPr>
    </w:lvl>
    <w:lvl w:ilvl="5" w:tentative="0">
      <w:start w:val="0"/>
      <w:numFmt w:val="bullet"/>
      <w:lvlText w:val="•"/>
      <w:lvlJc w:val="left"/>
      <w:pPr>
        <w:ind w:left="5573" w:hanging="622"/>
      </w:pPr>
      <w:rPr>
        <w:rFonts w:hint="default"/>
        <w:lang w:val="zh-CN" w:eastAsia="zh-CN" w:bidi="zh-CN"/>
      </w:rPr>
    </w:lvl>
    <w:lvl w:ilvl="6" w:tentative="0">
      <w:start w:val="0"/>
      <w:numFmt w:val="bullet"/>
      <w:lvlText w:val="•"/>
      <w:lvlJc w:val="left"/>
      <w:pPr>
        <w:ind w:left="6443" w:hanging="622"/>
      </w:pPr>
      <w:rPr>
        <w:rFonts w:hint="default"/>
        <w:lang w:val="zh-CN" w:eastAsia="zh-CN" w:bidi="zh-CN"/>
      </w:rPr>
    </w:lvl>
    <w:lvl w:ilvl="7" w:tentative="0">
      <w:start w:val="0"/>
      <w:numFmt w:val="bullet"/>
      <w:lvlText w:val="•"/>
      <w:lvlJc w:val="left"/>
      <w:pPr>
        <w:ind w:left="7314" w:hanging="622"/>
      </w:pPr>
      <w:rPr>
        <w:rFonts w:hint="default"/>
        <w:lang w:val="zh-CN" w:eastAsia="zh-CN" w:bidi="zh-CN"/>
      </w:rPr>
    </w:lvl>
    <w:lvl w:ilvl="8" w:tentative="0">
      <w:start w:val="0"/>
      <w:numFmt w:val="bullet"/>
      <w:lvlText w:val="•"/>
      <w:lvlJc w:val="left"/>
      <w:pPr>
        <w:ind w:left="8185" w:hanging="622"/>
      </w:pPr>
      <w:rPr>
        <w:rFonts w:hint="default"/>
        <w:lang w:val="zh-CN" w:eastAsia="zh-CN" w:bidi="zh-CN"/>
      </w:rPr>
    </w:lvl>
  </w:abstractNum>
  <w:abstractNum w:abstractNumId="60">
    <w:nsid w:val="30FC5B15"/>
    <w:multiLevelType w:val="multilevel"/>
    <w:tmpl w:val="30FC5B15"/>
    <w:lvl w:ilvl="0" w:tentative="0">
      <w:start w:val="1"/>
      <w:numFmt w:val="decimal"/>
      <w:lvlText w:val="（%1）"/>
      <w:lvlJc w:val="left"/>
      <w:pPr>
        <w:ind w:left="1216" w:hanging="622"/>
      </w:pPr>
      <w:rPr>
        <w:rFonts w:hint="default" w:ascii="宋体" w:hAnsi="宋体" w:eastAsia="宋体" w:cs="宋体"/>
        <w:spacing w:val="0"/>
        <w:w w:val="100"/>
        <w:sz w:val="22"/>
        <w:szCs w:val="22"/>
        <w:lang w:val="zh-CN" w:eastAsia="zh-CN" w:bidi="zh-CN"/>
      </w:rPr>
    </w:lvl>
    <w:lvl w:ilvl="1" w:tentative="0">
      <w:start w:val="1"/>
      <w:numFmt w:val="decimal"/>
      <w:lvlText w:val="%2）"/>
      <w:lvlJc w:val="left"/>
      <w:pPr>
        <w:ind w:left="1092" w:hanging="372"/>
      </w:pPr>
      <w:rPr>
        <w:rFonts w:hint="default" w:ascii="Times New Roman" w:hAnsi="Times New Roman" w:eastAsia="Times New Roman" w:cs="Times New Roman"/>
        <w:spacing w:val="4"/>
        <w:w w:val="100"/>
        <w:sz w:val="22"/>
        <w:szCs w:val="22"/>
        <w:lang w:val="zh-CN" w:eastAsia="zh-CN" w:bidi="zh-CN"/>
      </w:rPr>
    </w:lvl>
    <w:lvl w:ilvl="2" w:tentative="0">
      <w:start w:val="0"/>
      <w:numFmt w:val="bullet"/>
      <w:lvlText w:val="•"/>
      <w:lvlJc w:val="left"/>
      <w:pPr>
        <w:ind w:left="2187" w:hanging="372"/>
      </w:pPr>
      <w:rPr>
        <w:rFonts w:hint="default"/>
        <w:lang w:val="zh-CN" w:eastAsia="zh-CN" w:bidi="zh-CN"/>
      </w:rPr>
    </w:lvl>
    <w:lvl w:ilvl="3" w:tentative="0">
      <w:start w:val="0"/>
      <w:numFmt w:val="bullet"/>
      <w:lvlText w:val="•"/>
      <w:lvlJc w:val="left"/>
      <w:pPr>
        <w:ind w:left="3154" w:hanging="372"/>
      </w:pPr>
      <w:rPr>
        <w:rFonts w:hint="default"/>
        <w:lang w:val="zh-CN" w:eastAsia="zh-CN" w:bidi="zh-CN"/>
      </w:rPr>
    </w:lvl>
    <w:lvl w:ilvl="4" w:tentative="0">
      <w:start w:val="0"/>
      <w:numFmt w:val="bullet"/>
      <w:lvlText w:val="•"/>
      <w:lvlJc w:val="left"/>
      <w:pPr>
        <w:ind w:left="4122" w:hanging="372"/>
      </w:pPr>
      <w:rPr>
        <w:rFonts w:hint="default"/>
        <w:lang w:val="zh-CN" w:eastAsia="zh-CN" w:bidi="zh-CN"/>
      </w:rPr>
    </w:lvl>
    <w:lvl w:ilvl="5" w:tentative="0">
      <w:start w:val="0"/>
      <w:numFmt w:val="bullet"/>
      <w:lvlText w:val="•"/>
      <w:lvlJc w:val="left"/>
      <w:pPr>
        <w:ind w:left="5089" w:hanging="372"/>
      </w:pPr>
      <w:rPr>
        <w:rFonts w:hint="default"/>
        <w:lang w:val="zh-CN" w:eastAsia="zh-CN" w:bidi="zh-CN"/>
      </w:rPr>
    </w:lvl>
    <w:lvl w:ilvl="6" w:tentative="0">
      <w:start w:val="0"/>
      <w:numFmt w:val="bullet"/>
      <w:lvlText w:val="•"/>
      <w:lvlJc w:val="left"/>
      <w:pPr>
        <w:ind w:left="6056" w:hanging="372"/>
      </w:pPr>
      <w:rPr>
        <w:rFonts w:hint="default"/>
        <w:lang w:val="zh-CN" w:eastAsia="zh-CN" w:bidi="zh-CN"/>
      </w:rPr>
    </w:lvl>
    <w:lvl w:ilvl="7" w:tentative="0">
      <w:start w:val="0"/>
      <w:numFmt w:val="bullet"/>
      <w:lvlText w:val="•"/>
      <w:lvlJc w:val="left"/>
      <w:pPr>
        <w:ind w:left="7024" w:hanging="372"/>
      </w:pPr>
      <w:rPr>
        <w:rFonts w:hint="default"/>
        <w:lang w:val="zh-CN" w:eastAsia="zh-CN" w:bidi="zh-CN"/>
      </w:rPr>
    </w:lvl>
    <w:lvl w:ilvl="8" w:tentative="0">
      <w:start w:val="0"/>
      <w:numFmt w:val="bullet"/>
      <w:lvlText w:val="•"/>
      <w:lvlJc w:val="left"/>
      <w:pPr>
        <w:ind w:left="7991" w:hanging="372"/>
      </w:pPr>
      <w:rPr>
        <w:rFonts w:hint="default"/>
        <w:lang w:val="zh-CN" w:eastAsia="zh-CN" w:bidi="zh-CN"/>
      </w:rPr>
    </w:lvl>
  </w:abstractNum>
  <w:abstractNum w:abstractNumId="61">
    <w:nsid w:val="322D85CA"/>
    <w:multiLevelType w:val="multilevel"/>
    <w:tmpl w:val="322D85CA"/>
    <w:lvl w:ilvl="0" w:tentative="0">
      <w:start w:val="1"/>
      <w:numFmt w:val="lowerLetter"/>
      <w:lvlText w:val="%1."/>
      <w:lvlJc w:val="left"/>
      <w:pPr>
        <w:ind w:left="1144" w:hanging="303"/>
      </w:pPr>
      <w:rPr>
        <w:rFonts w:hint="default" w:ascii="Times New Roman" w:hAnsi="Times New Roman" w:eastAsia="Times New Roman" w:cs="Times New Roman"/>
        <w:spacing w:val="0"/>
        <w:w w:val="100"/>
        <w:sz w:val="24"/>
        <w:szCs w:val="24"/>
        <w:lang w:val="zh-CN" w:eastAsia="zh-CN" w:bidi="zh-CN"/>
      </w:rPr>
    </w:lvl>
    <w:lvl w:ilvl="1" w:tentative="0">
      <w:start w:val="0"/>
      <w:numFmt w:val="bullet"/>
      <w:lvlText w:val="•"/>
      <w:lvlJc w:val="left"/>
      <w:pPr>
        <w:ind w:left="2018" w:hanging="303"/>
      </w:pPr>
      <w:rPr>
        <w:rFonts w:hint="default"/>
        <w:lang w:val="zh-CN" w:eastAsia="zh-CN" w:bidi="zh-CN"/>
      </w:rPr>
    </w:lvl>
    <w:lvl w:ilvl="2" w:tentative="0">
      <w:start w:val="0"/>
      <w:numFmt w:val="bullet"/>
      <w:lvlText w:val="•"/>
      <w:lvlJc w:val="left"/>
      <w:pPr>
        <w:ind w:left="2897" w:hanging="303"/>
      </w:pPr>
      <w:rPr>
        <w:rFonts w:hint="default"/>
        <w:lang w:val="zh-CN" w:eastAsia="zh-CN" w:bidi="zh-CN"/>
      </w:rPr>
    </w:lvl>
    <w:lvl w:ilvl="3" w:tentative="0">
      <w:start w:val="0"/>
      <w:numFmt w:val="bullet"/>
      <w:lvlText w:val="•"/>
      <w:lvlJc w:val="left"/>
      <w:pPr>
        <w:ind w:left="3775" w:hanging="303"/>
      </w:pPr>
      <w:rPr>
        <w:rFonts w:hint="default"/>
        <w:lang w:val="zh-CN" w:eastAsia="zh-CN" w:bidi="zh-CN"/>
      </w:rPr>
    </w:lvl>
    <w:lvl w:ilvl="4" w:tentative="0">
      <w:start w:val="0"/>
      <w:numFmt w:val="bullet"/>
      <w:lvlText w:val="•"/>
      <w:lvlJc w:val="left"/>
      <w:pPr>
        <w:ind w:left="4654" w:hanging="303"/>
      </w:pPr>
      <w:rPr>
        <w:rFonts w:hint="default"/>
        <w:lang w:val="zh-CN" w:eastAsia="zh-CN" w:bidi="zh-CN"/>
      </w:rPr>
    </w:lvl>
    <w:lvl w:ilvl="5" w:tentative="0">
      <w:start w:val="0"/>
      <w:numFmt w:val="bullet"/>
      <w:lvlText w:val="•"/>
      <w:lvlJc w:val="left"/>
      <w:pPr>
        <w:ind w:left="5533" w:hanging="303"/>
      </w:pPr>
      <w:rPr>
        <w:rFonts w:hint="default"/>
        <w:lang w:val="zh-CN" w:eastAsia="zh-CN" w:bidi="zh-CN"/>
      </w:rPr>
    </w:lvl>
    <w:lvl w:ilvl="6" w:tentative="0">
      <w:start w:val="0"/>
      <w:numFmt w:val="bullet"/>
      <w:lvlText w:val="•"/>
      <w:lvlJc w:val="left"/>
      <w:pPr>
        <w:ind w:left="6411" w:hanging="303"/>
      </w:pPr>
      <w:rPr>
        <w:rFonts w:hint="default"/>
        <w:lang w:val="zh-CN" w:eastAsia="zh-CN" w:bidi="zh-CN"/>
      </w:rPr>
    </w:lvl>
    <w:lvl w:ilvl="7" w:tentative="0">
      <w:start w:val="0"/>
      <w:numFmt w:val="bullet"/>
      <w:lvlText w:val="•"/>
      <w:lvlJc w:val="left"/>
      <w:pPr>
        <w:ind w:left="7290" w:hanging="303"/>
      </w:pPr>
      <w:rPr>
        <w:rFonts w:hint="default"/>
        <w:lang w:val="zh-CN" w:eastAsia="zh-CN" w:bidi="zh-CN"/>
      </w:rPr>
    </w:lvl>
    <w:lvl w:ilvl="8" w:tentative="0">
      <w:start w:val="0"/>
      <w:numFmt w:val="bullet"/>
      <w:lvlText w:val="•"/>
      <w:lvlJc w:val="left"/>
      <w:pPr>
        <w:ind w:left="8169" w:hanging="303"/>
      </w:pPr>
      <w:rPr>
        <w:rFonts w:hint="default"/>
        <w:lang w:val="zh-CN" w:eastAsia="zh-CN" w:bidi="zh-CN"/>
      </w:rPr>
    </w:lvl>
  </w:abstractNum>
  <w:abstractNum w:abstractNumId="62">
    <w:nsid w:val="32A7AF2D"/>
    <w:multiLevelType w:val="multilevel"/>
    <w:tmpl w:val="32A7AF2D"/>
    <w:lvl w:ilvl="0" w:tentative="0">
      <w:start w:val="1"/>
      <w:numFmt w:val="decimal"/>
      <w:lvlText w:val="%1）"/>
      <w:lvlJc w:val="left"/>
      <w:pPr>
        <w:ind w:left="1092" w:hanging="372"/>
      </w:pPr>
      <w:rPr>
        <w:rFonts w:hint="default" w:ascii="Times New Roman" w:hAnsi="Times New Roman" w:eastAsia="Times New Roman" w:cs="Times New Roman"/>
        <w:spacing w:val="4"/>
        <w:w w:val="100"/>
        <w:sz w:val="22"/>
        <w:szCs w:val="22"/>
        <w:lang w:val="zh-CN" w:eastAsia="zh-CN" w:bidi="zh-CN"/>
      </w:rPr>
    </w:lvl>
    <w:lvl w:ilvl="1" w:tentative="0">
      <w:start w:val="0"/>
      <w:numFmt w:val="bullet"/>
      <w:lvlText w:val="•"/>
      <w:lvlJc w:val="left"/>
      <w:pPr>
        <w:ind w:left="1982" w:hanging="372"/>
      </w:pPr>
      <w:rPr>
        <w:rFonts w:hint="default"/>
        <w:lang w:val="zh-CN" w:eastAsia="zh-CN" w:bidi="zh-CN"/>
      </w:rPr>
    </w:lvl>
    <w:lvl w:ilvl="2" w:tentative="0">
      <w:start w:val="0"/>
      <w:numFmt w:val="bullet"/>
      <w:lvlText w:val="•"/>
      <w:lvlJc w:val="left"/>
      <w:pPr>
        <w:ind w:left="2865" w:hanging="372"/>
      </w:pPr>
      <w:rPr>
        <w:rFonts w:hint="default"/>
        <w:lang w:val="zh-CN" w:eastAsia="zh-CN" w:bidi="zh-CN"/>
      </w:rPr>
    </w:lvl>
    <w:lvl w:ilvl="3" w:tentative="0">
      <w:start w:val="0"/>
      <w:numFmt w:val="bullet"/>
      <w:lvlText w:val="•"/>
      <w:lvlJc w:val="left"/>
      <w:pPr>
        <w:ind w:left="3747" w:hanging="372"/>
      </w:pPr>
      <w:rPr>
        <w:rFonts w:hint="default"/>
        <w:lang w:val="zh-CN" w:eastAsia="zh-CN" w:bidi="zh-CN"/>
      </w:rPr>
    </w:lvl>
    <w:lvl w:ilvl="4" w:tentative="0">
      <w:start w:val="0"/>
      <w:numFmt w:val="bullet"/>
      <w:lvlText w:val="•"/>
      <w:lvlJc w:val="left"/>
      <w:pPr>
        <w:ind w:left="4630" w:hanging="372"/>
      </w:pPr>
      <w:rPr>
        <w:rFonts w:hint="default"/>
        <w:lang w:val="zh-CN" w:eastAsia="zh-CN" w:bidi="zh-CN"/>
      </w:rPr>
    </w:lvl>
    <w:lvl w:ilvl="5" w:tentative="0">
      <w:start w:val="0"/>
      <w:numFmt w:val="bullet"/>
      <w:lvlText w:val="•"/>
      <w:lvlJc w:val="left"/>
      <w:pPr>
        <w:ind w:left="5513" w:hanging="372"/>
      </w:pPr>
      <w:rPr>
        <w:rFonts w:hint="default"/>
        <w:lang w:val="zh-CN" w:eastAsia="zh-CN" w:bidi="zh-CN"/>
      </w:rPr>
    </w:lvl>
    <w:lvl w:ilvl="6" w:tentative="0">
      <w:start w:val="0"/>
      <w:numFmt w:val="bullet"/>
      <w:lvlText w:val="•"/>
      <w:lvlJc w:val="left"/>
      <w:pPr>
        <w:ind w:left="6395" w:hanging="372"/>
      </w:pPr>
      <w:rPr>
        <w:rFonts w:hint="default"/>
        <w:lang w:val="zh-CN" w:eastAsia="zh-CN" w:bidi="zh-CN"/>
      </w:rPr>
    </w:lvl>
    <w:lvl w:ilvl="7" w:tentative="0">
      <w:start w:val="0"/>
      <w:numFmt w:val="bullet"/>
      <w:lvlText w:val="•"/>
      <w:lvlJc w:val="left"/>
      <w:pPr>
        <w:ind w:left="7278" w:hanging="372"/>
      </w:pPr>
      <w:rPr>
        <w:rFonts w:hint="default"/>
        <w:lang w:val="zh-CN" w:eastAsia="zh-CN" w:bidi="zh-CN"/>
      </w:rPr>
    </w:lvl>
    <w:lvl w:ilvl="8" w:tentative="0">
      <w:start w:val="0"/>
      <w:numFmt w:val="bullet"/>
      <w:lvlText w:val="•"/>
      <w:lvlJc w:val="left"/>
      <w:pPr>
        <w:ind w:left="8161" w:hanging="372"/>
      </w:pPr>
      <w:rPr>
        <w:rFonts w:hint="default"/>
        <w:lang w:val="zh-CN" w:eastAsia="zh-CN" w:bidi="zh-CN"/>
      </w:rPr>
    </w:lvl>
  </w:abstractNum>
  <w:abstractNum w:abstractNumId="63">
    <w:nsid w:val="34DA4B37"/>
    <w:multiLevelType w:val="multilevel"/>
    <w:tmpl w:val="34DA4B37"/>
    <w:lvl w:ilvl="0" w:tentative="0">
      <w:start w:val="1"/>
      <w:numFmt w:val="japaneseCounting"/>
      <w:lvlText w:val="%1、"/>
      <w:lvlJc w:val="left"/>
      <w:pPr>
        <w:ind w:left="2707" w:hanging="600"/>
      </w:pPr>
      <w:rPr>
        <w:rFonts w:hint="default"/>
      </w:rPr>
    </w:lvl>
    <w:lvl w:ilvl="1" w:tentative="0">
      <w:start w:val="1"/>
      <w:numFmt w:val="lowerLetter"/>
      <w:lvlText w:val="%2)"/>
      <w:lvlJc w:val="left"/>
      <w:pPr>
        <w:ind w:left="2947" w:hanging="420"/>
      </w:pPr>
    </w:lvl>
    <w:lvl w:ilvl="2" w:tentative="0">
      <w:start w:val="1"/>
      <w:numFmt w:val="lowerRoman"/>
      <w:lvlText w:val="%3."/>
      <w:lvlJc w:val="right"/>
      <w:pPr>
        <w:ind w:left="3367" w:hanging="420"/>
      </w:pPr>
    </w:lvl>
    <w:lvl w:ilvl="3" w:tentative="0">
      <w:start w:val="1"/>
      <w:numFmt w:val="decimal"/>
      <w:lvlText w:val="%4."/>
      <w:lvlJc w:val="left"/>
      <w:pPr>
        <w:ind w:left="3787" w:hanging="420"/>
      </w:pPr>
    </w:lvl>
    <w:lvl w:ilvl="4" w:tentative="0">
      <w:start w:val="1"/>
      <w:numFmt w:val="lowerLetter"/>
      <w:lvlText w:val="%5)"/>
      <w:lvlJc w:val="left"/>
      <w:pPr>
        <w:ind w:left="4207" w:hanging="420"/>
      </w:pPr>
    </w:lvl>
    <w:lvl w:ilvl="5" w:tentative="0">
      <w:start w:val="1"/>
      <w:numFmt w:val="lowerRoman"/>
      <w:lvlText w:val="%6."/>
      <w:lvlJc w:val="right"/>
      <w:pPr>
        <w:ind w:left="4627" w:hanging="420"/>
      </w:pPr>
    </w:lvl>
    <w:lvl w:ilvl="6" w:tentative="0">
      <w:start w:val="1"/>
      <w:numFmt w:val="decimal"/>
      <w:lvlText w:val="%7."/>
      <w:lvlJc w:val="left"/>
      <w:pPr>
        <w:ind w:left="5047" w:hanging="420"/>
      </w:pPr>
    </w:lvl>
    <w:lvl w:ilvl="7" w:tentative="0">
      <w:start w:val="1"/>
      <w:numFmt w:val="lowerLetter"/>
      <w:lvlText w:val="%8)"/>
      <w:lvlJc w:val="left"/>
      <w:pPr>
        <w:ind w:left="5467" w:hanging="420"/>
      </w:pPr>
    </w:lvl>
    <w:lvl w:ilvl="8" w:tentative="0">
      <w:start w:val="1"/>
      <w:numFmt w:val="lowerRoman"/>
      <w:lvlText w:val="%9."/>
      <w:lvlJc w:val="right"/>
      <w:pPr>
        <w:ind w:left="5887" w:hanging="420"/>
      </w:pPr>
    </w:lvl>
  </w:abstractNum>
  <w:abstractNum w:abstractNumId="64">
    <w:nsid w:val="35E83B33"/>
    <w:multiLevelType w:val="multilevel"/>
    <w:tmpl w:val="35E83B33"/>
    <w:lvl w:ilvl="0" w:tentative="0">
      <w:start w:val="1"/>
      <w:numFmt w:val="decimal"/>
      <w:lvlText w:val="%1）"/>
      <w:lvlJc w:val="left"/>
      <w:pPr>
        <w:ind w:left="1092" w:hanging="372"/>
      </w:pPr>
      <w:rPr>
        <w:rFonts w:hint="default" w:ascii="Times New Roman" w:hAnsi="Times New Roman" w:eastAsia="Times New Roman" w:cs="Times New Roman"/>
        <w:spacing w:val="4"/>
        <w:w w:val="100"/>
        <w:sz w:val="22"/>
        <w:szCs w:val="22"/>
        <w:lang w:val="zh-CN" w:eastAsia="zh-CN" w:bidi="zh-CN"/>
      </w:rPr>
    </w:lvl>
    <w:lvl w:ilvl="1" w:tentative="0">
      <w:start w:val="0"/>
      <w:numFmt w:val="bullet"/>
      <w:lvlText w:val="•"/>
      <w:lvlJc w:val="left"/>
      <w:pPr>
        <w:ind w:left="1982" w:hanging="372"/>
      </w:pPr>
      <w:rPr>
        <w:rFonts w:hint="default"/>
        <w:lang w:val="zh-CN" w:eastAsia="zh-CN" w:bidi="zh-CN"/>
      </w:rPr>
    </w:lvl>
    <w:lvl w:ilvl="2" w:tentative="0">
      <w:start w:val="0"/>
      <w:numFmt w:val="bullet"/>
      <w:lvlText w:val="•"/>
      <w:lvlJc w:val="left"/>
      <w:pPr>
        <w:ind w:left="2865" w:hanging="372"/>
      </w:pPr>
      <w:rPr>
        <w:rFonts w:hint="default"/>
        <w:lang w:val="zh-CN" w:eastAsia="zh-CN" w:bidi="zh-CN"/>
      </w:rPr>
    </w:lvl>
    <w:lvl w:ilvl="3" w:tentative="0">
      <w:start w:val="0"/>
      <w:numFmt w:val="bullet"/>
      <w:lvlText w:val="•"/>
      <w:lvlJc w:val="left"/>
      <w:pPr>
        <w:ind w:left="3747" w:hanging="372"/>
      </w:pPr>
      <w:rPr>
        <w:rFonts w:hint="default"/>
        <w:lang w:val="zh-CN" w:eastAsia="zh-CN" w:bidi="zh-CN"/>
      </w:rPr>
    </w:lvl>
    <w:lvl w:ilvl="4" w:tentative="0">
      <w:start w:val="0"/>
      <w:numFmt w:val="bullet"/>
      <w:lvlText w:val="•"/>
      <w:lvlJc w:val="left"/>
      <w:pPr>
        <w:ind w:left="4630" w:hanging="372"/>
      </w:pPr>
      <w:rPr>
        <w:rFonts w:hint="default"/>
        <w:lang w:val="zh-CN" w:eastAsia="zh-CN" w:bidi="zh-CN"/>
      </w:rPr>
    </w:lvl>
    <w:lvl w:ilvl="5" w:tentative="0">
      <w:start w:val="0"/>
      <w:numFmt w:val="bullet"/>
      <w:lvlText w:val="•"/>
      <w:lvlJc w:val="left"/>
      <w:pPr>
        <w:ind w:left="5513" w:hanging="372"/>
      </w:pPr>
      <w:rPr>
        <w:rFonts w:hint="default"/>
        <w:lang w:val="zh-CN" w:eastAsia="zh-CN" w:bidi="zh-CN"/>
      </w:rPr>
    </w:lvl>
    <w:lvl w:ilvl="6" w:tentative="0">
      <w:start w:val="0"/>
      <w:numFmt w:val="bullet"/>
      <w:lvlText w:val="•"/>
      <w:lvlJc w:val="left"/>
      <w:pPr>
        <w:ind w:left="6395" w:hanging="372"/>
      </w:pPr>
      <w:rPr>
        <w:rFonts w:hint="default"/>
        <w:lang w:val="zh-CN" w:eastAsia="zh-CN" w:bidi="zh-CN"/>
      </w:rPr>
    </w:lvl>
    <w:lvl w:ilvl="7" w:tentative="0">
      <w:start w:val="0"/>
      <w:numFmt w:val="bullet"/>
      <w:lvlText w:val="•"/>
      <w:lvlJc w:val="left"/>
      <w:pPr>
        <w:ind w:left="7278" w:hanging="372"/>
      </w:pPr>
      <w:rPr>
        <w:rFonts w:hint="default"/>
        <w:lang w:val="zh-CN" w:eastAsia="zh-CN" w:bidi="zh-CN"/>
      </w:rPr>
    </w:lvl>
    <w:lvl w:ilvl="8" w:tentative="0">
      <w:start w:val="0"/>
      <w:numFmt w:val="bullet"/>
      <w:lvlText w:val="•"/>
      <w:lvlJc w:val="left"/>
      <w:pPr>
        <w:ind w:left="8161" w:hanging="372"/>
      </w:pPr>
      <w:rPr>
        <w:rFonts w:hint="default"/>
        <w:lang w:val="zh-CN" w:eastAsia="zh-CN" w:bidi="zh-CN"/>
      </w:rPr>
    </w:lvl>
  </w:abstractNum>
  <w:abstractNum w:abstractNumId="65">
    <w:nsid w:val="39A0D9AC"/>
    <w:multiLevelType w:val="multilevel"/>
    <w:tmpl w:val="39A0D9AC"/>
    <w:lvl w:ilvl="0" w:tentative="0">
      <w:start w:val="1"/>
      <w:numFmt w:val="decimal"/>
      <w:lvlText w:val="（%1）"/>
      <w:lvlJc w:val="left"/>
      <w:pPr>
        <w:ind w:left="223" w:hanging="624"/>
      </w:pPr>
      <w:rPr>
        <w:rFonts w:hint="default" w:ascii="宋体" w:hAnsi="宋体" w:eastAsia="宋体" w:cs="宋体"/>
        <w:spacing w:val="0"/>
        <w:w w:val="100"/>
        <w:sz w:val="22"/>
        <w:szCs w:val="22"/>
        <w:lang w:val="zh-CN" w:eastAsia="zh-CN" w:bidi="zh-CN"/>
      </w:rPr>
    </w:lvl>
    <w:lvl w:ilvl="1" w:tentative="0">
      <w:start w:val="1"/>
      <w:numFmt w:val="decimal"/>
      <w:lvlText w:val="%2）"/>
      <w:lvlJc w:val="left"/>
      <w:pPr>
        <w:ind w:left="223" w:hanging="366"/>
      </w:pPr>
      <w:rPr>
        <w:rFonts w:hint="default" w:ascii="Times New Roman" w:hAnsi="Times New Roman" w:eastAsia="Times New Roman" w:cs="Times New Roman"/>
        <w:spacing w:val="-20"/>
        <w:w w:val="100"/>
        <w:sz w:val="22"/>
        <w:szCs w:val="22"/>
        <w:lang w:val="zh-CN" w:eastAsia="zh-CN" w:bidi="zh-CN"/>
      </w:rPr>
    </w:lvl>
    <w:lvl w:ilvl="2" w:tentative="0">
      <w:start w:val="0"/>
      <w:numFmt w:val="bullet"/>
      <w:lvlText w:val="•"/>
      <w:lvlJc w:val="left"/>
      <w:pPr>
        <w:ind w:left="2161" w:hanging="366"/>
      </w:pPr>
      <w:rPr>
        <w:rFonts w:hint="default"/>
        <w:lang w:val="zh-CN" w:eastAsia="zh-CN" w:bidi="zh-CN"/>
      </w:rPr>
    </w:lvl>
    <w:lvl w:ilvl="3" w:tentative="0">
      <w:start w:val="0"/>
      <w:numFmt w:val="bullet"/>
      <w:lvlText w:val="•"/>
      <w:lvlJc w:val="left"/>
      <w:pPr>
        <w:ind w:left="3131" w:hanging="366"/>
      </w:pPr>
      <w:rPr>
        <w:rFonts w:hint="default"/>
        <w:lang w:val="zh-CN" w:eastAsia="zh-CN" w:bidi="zh-CN"/>
      </w:rPr>
    </w:lvl>
    <w:lvl w:ilvl="4" w:tentative="0">
      <w:start w:val="0"/>
      <w:numFmt w:val="bullet"/>
      <w:lvlText w:val="•"/>
      <w:lvlJc w:val="left"/>
      <w:pPr>
        <w:ind w:left="4102" w:hanging="366"/>
      </w:pPr>
      <w:rPr>
        <w:rFonts w:hint="default"/>
        <w:lang w:val="zh-CN" w:eastAsia="zh-CN" w:bidi="zh-CN"/>
      </w:rPr>
    </w:lvl>
    <w:lvl w:ilvl="5" w:tentative="0">
      <w:start w:val="0"/>
      <w:numFmt w:val="bullet"/>
      <w:lvlText w:val="•"/>
      <w:lvlJc w:val="left"/>
      <w:pPr>
        <w:ind w:left="5073" w:hanging="366"/>
      </w:pPr>
      <w:rPr>
        <w:rFonts w:hint="default"/>
        <w:lang w:val="zh-CN" w:eastAsia="zh-CN" w:bidi="zh-CN"/>
      </w:rPr>
    </w:lvl>
    <w:lvl w:ilvl="6" w:tentative="0">
      <w:start w:val="0"/>
      <w:numFmt w:val="bullet"/>
      <w:lvlText w:val="•"/>
      <w:lvlJc w:val="left"/>
      <w:pPr>
        <w:ind w:left="6043" w:hanging="366"/>
      </w:pPr>
      <w:rPr>
        <w:rFonts w:hint="default"/>
        <w:lang w:val="zh-CN" w:eastAsia="zh-CN" w:bidi="zh-CN"/>
      </w:rPr>
    </w:lvl>
    <w:lvl w:ilvl="7" w:tentative="0">
      <w:start w:val="0"/>
      <w:numFmt w:val="bullet"/>
      <w:lvlText w:val="•"/>
      <w:lvlJc w:val="left"/>
      <w:pPr>
        <w:ind w:left="7014" w:hanging="366"/>
      </w:pPr>
      <w:rPr>
        <w:rFonts w:hint="default"/>
        <w:lang w:val="zh-CN" w:eastAsia="zh-CN" w:bidi="zh-CN"/>
      </w:rPr>
    </w:lvl>
    <w:lvl w:ilvl="8" w:tentative="0">
      <w:start w:val="0"/>
      <w:numFmt w:val="bullet"/>
      <w:lvlText w:val="•"/>
      <w:lvlJc w:val="left"/>
      <w:pPr>
        <w:ind w:left="7985" w:hanging="366"/>
      </w:pPr>
      <w:rPr>
        <w:rFonts w:hint="default"/>
        <w:lang w:val="zh-CN" w:eastAsia="zh-CN" w:bidi="zh-CN"/>
      </w:rPr>
    </w:lvl>
  </w:abstractNum>
  <w:abstractNum w:abstractNumId="66">
    <w:nsid w:val="3B8127DF"/>
    <w:multiLevelType w:val="multilevel"/>
    <w:tmpl w:val="3B8127DF"/>
    <w:lvl w:ilvl="0" w:tentative="0">
      <w:start w:val="1"/>
      <w:numFmt w:val="decimal"/>
      <w:lvlText w:val="（%1）"/>
      <w:lvlJc w:val="left"/>
      <w:pPr>
        <w:ind w:left="223" w:hanging="624"/>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1190" w:hanging="624"/>
      </w:pPr>
      <w:rPr>
        <w:rFonts w:hint="default"/>
        <w:lang w:val="zh-CN" w:eastAsia="zh-CN" w:bidi="zh-CN"/>
      </w:rPr>
    </w:lvl>
    <w:lvl w:ilvl="2" w:tentative="0">
      <w:start w:val="0"/>
      <w:numFmt w:val="bullet"/>
      <w:lvlText w:val="•"/>
      <w:lvlJc w:val="left"/>
      <w:pPr>
        <w:ind w:left="2161" w:hanging="624"/>
      </w:pPr>
      <w:rPr>
        <w:rFonts w:hint="default"/>
        <w:lang w:val="zh-CN" w:eastAsia="zh-CN" w:bidi="zh-CN"/>
      </w:rPr>
    </w:lvl>
    <w:lvl w:ilvl="3" w:tentative="0">
      <w:start w:val="0"/>
      <w:numFmt w:val="bullet"/>
      <w:lvlText w:val="•"/>
      <w:lvlJc w:val="left"/>
      <w:pPr>
        <w:ind w:left="3131" w:hanging="624"/>
      </w:pPr>
      <w:rPr>
        <w:rFonts w:hint="default"/>
        <w:lang w:val="zh-CN" w:eastAsia="zh-CN" w:bidi="zh-CN"/>
      </w:rPr>
    </w:lvl>
    <w:lvl w:ilvl="4" w:tentative="0">
      <w:start w:val="0"/>
      <w:numFmt w:val="bullet"/>
      <w:lvlText w:val="•"/>
      <w:lvlJc w:val="left"/>
      <w:pPr>
        <w:ind w:left="4102" w:hanging="624"/>
      </w:pPr>
      <w:rPr>
        <w:rFonts w:hint="default"/>
        <w:lang w:val="zh-CN" w:eastAsia="zh-CN" w:bidi="zh-CN"/>
      </w:rPr>
    </w:lvl>
    <w:lvl w:ilvl="5" w:tentative="0">
      <w:start w:val="0"/>
      <w:numFmt w:val="bullet"/>
      <w:lvlText w:val="•"/>
      <w:lvlJc w:val="left"/>
      <w:pPr>
        <w:ind w:left="5073" w:hanging="624"/>
      </w:pPr>
      <w:rPr>
        <w:rFonts w:hint="default"/>
        <w:lang w:val="zh-CN" w:eastAsia="zh-CN" w:bidi="zh-CN"/>
      </w:rPr>
    </w:lvl>
    <w:lvl w:ilvl="6" w:tentative="0">
      <w:start w:val="0"/>
      <w:numFmt w:val="bullet"/>
      <w:lvlText w:val="•"/>
      <w:lvlJc w:val="left"/>
      <w:pPr>
        <w:ind w:left="6043" w:hanging="624"/>
      </w:pPr>
      <w:rPr>
        <w:rFonts w:hint="default"/>
        <w:lang w:val="zh-CN" w:eastAsia="zh-CN" w:bidi="zh-CN"/>
      </w:rPr>
    </w:lvl>
    <w:lvl w:ilvl="7" w:tentative="0">
      <w:start w:val="0"/>
      <w:numFmt w:val="bullet"/>
      <w:lvlText w:val="•"/>
      <w:lvlJc w:val="left"/>
      <w:pPr>
        <w:ind w:left="7014" w:hanging="624"/>
      </w:pPr>
      <w:rPr>
        <w:rFonts w:hint="default"/>
        <w:lang w:val="zh-CN" w:eastAsia="zh-CN" w:bidi="zh-CN"/>
      </w:rPr>
    </w:lvl>
    <w:lvl w:ilvl="8" w:tentative="0">
      <w:start w:val="0"/>
      <w:numFmt w:val="bullet"/>
      <w:lvlText w:val="•"/>
      <w:lvlJc w:val="left"/>
      <w:pPr>
        <w:ind w:left="7985" w:hanging="624"/>
      </w:pPr>
      <w:rPr>
        <w:rFonts w:hint="default"/>
        <w:lang w:val="zh-CN" w:eastAsia="zh-CN" w:bidi="zh-CN"/>
      </w:rPr>
    </w:lvl>
  </w:abstractNum>
  <w:abstractNum w:abstractNumId="67">
    <w:nsid w:val="3F556BAD"/>
    <w:multiLevelType w:val="multilevel"/>
    <w:tmpl w:val="3F556BAD"/>
    <w:lvl w:ilvl="0" w:tentative="0">
      <w:start w:val="1"/>
      <w:numFmt w:val="japaneseCounting"/>
      <w:lvlText w:val="（%1）"/>
      <w:lvlJc w:val="left"/>
      <w:pPr>
        <w:ind w:left="2040" w:hanging="720"/>
      </w:pPr>
      <w:rPr>
        <w:rFonts w:hint="default"/>
      </w:rPr>
    </w:lvl>
    <w:lvl w:ilvl="1" w:tentative="0">
      <w:start w:val="1"/>
      <w:numFmt w:val="lowerLetter"/>
      <w:lvlText w:val="%2)"/>
      <w:lvlJc w:val="left"/>
      <w:pPr>
        <w:ind w:left="2160" w:hanging="420"/>
      </w:pPr>
    </w:lvl>
    <w:lvl w:ilvl="2" w:tentative="0">
      <w:start w:val="1"/>
      <w:numFmt w:val="lowerRoman"/>
      <w:lvlText w:val="%3."/>
      <w:lvlJc w:val="right"/>
      <w:pPr>
        <w:ind w:left="2580" w:hanging="420"/>
      </w:pPr>
    </w:lvl>
    <w:lvl w:ilvl="3" w:tentative="0">
      <w:start w:val="1"/>
      <w:numFmt w:val="decimal"/>
      <w:lvlText w:val="%4."/>
      <w:lvlJc w:val="left"/>
      <w:pPr>
        <w:ind w:left="3000" w:hanging="420"/>
      </w:pPr>
    </w:lvl>
    <w:lvl w:ilvl="4" w:tentative="0">
      <w:start w:val="1"/>
      <w:numFmt w:val="lowerLetter"/>
      <w:lvlText w:val="%5)"/>
      <w:lvlJc w:val="left"/>
      <w:pPr>
        <w:ind w:left="3420" w:hanging="420"/>
      </w:pPr>
    </w:lvl>
    <w:lvl w:ilvl="5" w:tentative="0">
      <w:start w:val="1"/>
      <w:numFmt w:val="lowerRoman"/>
      <w:lvlText w:val="%6."/>
      <w:lvlJc w:val="right"/>
      <w:pPr>
        <w:ind w:left="3840" w:hanging="420"/>
      </w:pPr>
    </w:lvl>
    <w:lvl w:ilvl="6" w:tentative="0">
      <w:start w:val="1"/>
      <w:numFmt w:val="decimal"/>
      <w:lvlText w:val="%7."/>
      <w:lvlJc w:val="left"/>
      <w:pPr>
        <w:ind w:left="4260" w:hanging="420"/>
      </w:pPr>
    </w:lvl>
    <w:lvl w:ilvl="7" w:tentative="0">
      <w:start w:val="1"/>
      <w:numFmt w:val="lowerLetter"/>
      <w:lvlText w:val="%8)"/>
      <w:lvlJc w:val="left"/>
      <w:pPr>
        <w:ind w:left="4680" w:hanging="420"/>
      </w:pPr>
    </w:lvl>
    <w:lvl w:ilvl="8" w:tentative="0">
      <w:start w:val="1"/>
      <w:numFmt w:val="lowerRoman"/>
      <w:lvlText w:val="%9."/>
      <w:lvlJc w:val="right"/>
      <w:pPr>
        <w:ind w:left="5100" w:hanging="420"/>
      </w:pPr>
    </w:lvl>
  </w:abstractNum>
  <w:abstractNum w:abstractNumId="68">
    <w:nsid w:val="40B249F9"/>
    <w:multiLevelType w:val="multilevel"/>
    <w:tmpl w:val="40B249F9"/>
    <w:lvl w:ilvl="0" w:tentative="0">
      <w:start w:val="1"/>
      <w:numFmt w:val="decimal"/>
      <w:lvlText w:val="%1）"/>
      <w:lvlJc w:val="left"/>
      <w:pPr>
        <w:ind w:left="1092" w:hanging="372"/>
      </w:pPr>
      <w:rPr>
        <w:rFonts w:hint="default" w:ascii="Times New Roman" w:hAnsi="Times New Roman" w:eastAsia="Times New Roman" w:cs="Times New Roman"/>
        <w:spacing w:val="4"/>
        <w:w w:val="100"/>
        <w:sz w:val="22"/>
        <w:szCs w:val="22"/>
        <w:lang w:val="zh-CN" w:eastAsia="zh-CN" w:bidi="zh-CN"/>
      </w:rPr>
    </w:lvl>
    <w:lvl w:ilvl="1" w:tentative="0">
      <w:start w:val="0"/>
      <w:numFmt w:val="bullet"/>
      <w:lvlText w:val="•"/>
      <w:lvlJc w:val="left"/>
      <w:pPr>
        <w:ind w:left="1982" w:hanging="372"/>
      </w:pPr>
      <w:rPr>
        <w:rFonts w:hint="default"/>
        <w:lang w:val="zh-CN" w:eastAsia="zh-CN" w:bidi="zh-CN"/>
      </w:rPr>
    </w:lvl>
    <w:lvl w:ilvl="2" w:tentative="0">
      <w:start w:val="0"/>
      <w:numFmt w:val="bullet"/>
      <w:lvlText w:val="•"/>
      <w:lvlJc w:val="left"/>
      <w:pPr>
        <w:ind w:left="2865" w:hanging="372"/>
      </w:pPr>
      <w:rPr>
        <w:rFonts w:hint="default"/>
        <w:lang w:val="zh-CN" w:eastAsia="zh-CN" w:bidi="zh-CN"/>
      </w:rPr>
    </w:lvl>
    <w:lvl w:ilvl="3" w:tentative="0">
      <w:start w:val="0"/>
      <w:numFmt w:val="bullet"/>
      <w:lvlText w:val="•"/>
      <w:lvlJc w:val="left"/>
      <w:pPr>
        <w:ind w:left="3747" w:hanging="372"/>
      </w:pPr>
      <w:rPr>
        <w:rFonts w:hint="default"/>
        <w:lang w:val="zh-CN" w:eastAsia="zh-CN" w:bidi="zh-CN"/>
      </w:rPr>
    </w:lvl>
    <w:lvl w:ilvl="4" w:tentative="0">
      <w:start w:val="0"/>
      <w:numFmt w:val="bullet"/>
      <w:lvlText w:val="•"/>
      <w:lvlJc w:val="left"/>
      <w:pPr>
        <w:ind w:left="4630" w:hanging="372"/>
      </w:pPr>
      <w:rPr>
        <w:rFonts w:hint="default"/>
        <w:lang w:val="zh-CN" w:eastAsia="zh-CN" w:bidi="zh-CN"/>
      </w:rPr>
    </w:lvl>
    <w:lvl w:ilvl="5" w:tentative="0">
      <w:start w:val="0"/>
      <w:numFmt w:val="bullet"/>
      <w:lvlText w:val="•"/>
      <w:lvlJc w:val="left"/>
      <w:pPr>
        <w:ind w:left="5513" w:hanging="372"/>
      </w:pPr>
      <w:rPr>
        <w:rFonts w:hint="default"/>
        <w:lang w:val="zh-CN" w:eastAsia="zh-CN" w:bidi="zh-CN"/>
      </w:rPr>
    </w:lvl>
    <w:lvl w:ilvl="6" w:tentative="0">
      <w:start w:val="0"/>
      <w:numFmt w:val="bullet"/>
      <w:lvlText w:val="•"/>
      <w:lvlJc w:val="left"/>
      <w:pPr>
        <w:ind w:left="6395" w:hanging="372"/>
      </w:pPr>
      <w:rPr>
        <w:rFonts w:hint="default"/>
        <w:lang w:val="zh-CN" w:eastAsia="zh-CN" w:bidi="zh-CN"/>
      </w:rPr>
    </w:lvl>
    <w:lvl w:ilvl="7" w:tentative="0">
      <w:start w:val="0"/>
      <w:numFmt w:val="bullet"/>
      <w:lvlText w:val="•"/>
      <w:lvlJc w:val="left"/>
      <w:pPr>
        <w:ind w:left="7278" w:hanging="372"/>
      </w:pPr>
      <w:rPr>
        <w:rFonts w:hint="default"/>
        <w:lang w:val="zh-CN" w:eastAsia="zh-CN" w:bidi="zh-CN"/>
      </w:rPr>
    </w:lvl>
    <w:lvl w:ilvl="8" w:tentative="0">
      <w:start w:val="0"/>
      <w:numFmt w:val="bullet"/>
      <w:lvlText w:val="•"/>
      <w:lvlJc w:val="left"/>
      <w:pPr>
        <w:ind w:left="8161" w:hanging="372"/>
      </w:pPr>
      <w:rPr>
        <w:rFonts w:hint="default"/>
        <w:lang w:val="zh-CN" w:eastAsia="zh-CN" w:bidi="zh-CN"/>
      </w:rPr>
    </w:lvl>
  </w:abstractNum>
  <w:abstractNum w:abstractNumId="69">
    <w:nsid w:val="46A08BB8"/>
    <w:multiLevelType w:val="multilevel"/>
    <w:tmpl w:val="46A08BB8"/>
    <w:lvl w:ilvl="0" w:tentative="0">
      <w:start w:val="1"/>
      <w:numFmt w:val="decimal"/>
      <w:lvlText w:val="%1）"/>
      <w:lvlJc w:val="left"/>
      <w:pPr>
        <w:ind w:left="1092" w:hanging="372"/>
      </w:pPr>
      <w:rPr>
        <w:rFonts w:hint="default" w:ascii="Times New Roman" w:hAnsi="Times New Roman" w:eastAsia="Times New Roman" w:cs="Times New Roman"/>
        <w:spacing w:val="4"/>
        <w:w w:val="100"/>
        <w:sz w:val="22"/>
        <w:szCs w:val="22"/>
        <w:lang w:val="zh-CN" w:eastAsia="zh-CN" w:bidi="zh-CN"/>
      </w:rPr>
    </w:lvl>
    <w:lvl w:ilvl="1" w:tentative="0">
      <w:start w:val="0"/>
      <w:numFmt w:val="bullet"/>
      <w:lvlText w:val="•"/>
      <w:lvlJc w:val="left"/>
      <w:pPr>
        <w:ind w:left="1982" w:hanging="372"/>
      </w:pPr>
      <w:rPr>
        <w:rFonts w:hint="default"/>
        <w:lang w:val="zh-CN" w:eastAsia="zh-CN" w:bidi="zh-CN"/>
      </w:rPr>
    </w:lvl>
    <w:lvl w:ilvl="2" w:tentative="0">
      <w:start w:val="0"/>
      <w:numFmt w:val="bullet"/>
      <w:lvlText w:val="•"/>
      <w:lvlJc w:val="left"/>
      <w:pPr>
        <w:ind w:left="2865" w:hanging="372"/>
      </w:pPr>
      <w:rPr>
        <w:rFonts w:hint="default"/>
        <w:lang w:val="zh-CN" w:eastAsia="zh-CN" w:bidi="zh-CN"/>
      </w:rPr>
    </w:lvl>
    <w:lvl w:ilvl="3" w:tentative="0">
      <w:start w:val="0"/>
      <w:numFmt w:val="bullet"/>
      <w:lvlText w:val="•"/>
      <w:lvlJc w:val="left"/>
      <w:pPr>
        <w:ind w:left="3747" w:hanging="372"/>
      </w:pPr>
      <w:rPr>
        <w:rFonts w:hint="default"/>
        <w:lang w:val="zh-CN" w:eastAsia="zh-CN" w:bidi="zh-CN"/>
      </w:rPr>
    </w:lvl>
    <w:lvl w:ilvl="4" w:tentative="0">
      <w:start w:val="0"/>
      <w:numFmt w:val="bullet"/>
      <w:lvlText w:val="•"/>
      <w:lvlJc w:val="left"/>
      <w:pPr>
        <w:ind w:left="4630" w:hanging="372"/>
      </w:pPr>
      <w:rPr>
        <w:rFonts w:hint="default"/>
        <w:lang w:val="zh-CN" w:eastAsia="zh-CN" w:bidi="zh-CN"/>
      </w:rPr>
    </w:lvl>
    <w:lvl w:ilvl="5" w:tentative="0">
      <w:start w:val="0"/>
      <w:numFmt w:val="bullet"/>
      <w:lvlText w:val="•"/>
      <w:lvlJc w:val="left"/>
      <w:pPr>
        <w:ind w:left="5513" w:hanging="372"/>
      </w:pPr>
      <w:rPr>
        <w:rFonts w:hint="default"/>
        <w:lang w:val="zh-CN" w:eastAsia="zh-CN" w:bidi="zh-CN"/>
      </w:rPr>
    </w:lvl>
    <w:lvl w:ilvl="6" w:tentative="0">
      <w:start w:val="0"/>
      <w:numFmt w:val="bullet"/>
      <w:lvlText w:val="•"/>
      <w:lvlJc w:val="left"/>
      <w:pPr>
        <w:ind w:left="6395" w:hanging="372"/>
      </w:pPr>
      <w:rPr>
        <w:rFonts w:hint="default"/>
        <w:lang w:val="zh-CN" w:eastAsia="zh-CN" w:bidi="zh-CN"/>
      </w:rPr>
    </w:lvl>
    <w:lvl w:ilvl="7" w:tentative="0">
      <w:start w:val="0"/>
      <w:numFmt w:val="bullet"/>
      <w:lvlText w:val="•"/>
      <w:lvlJc w:val="left"/>
      <w:pPr>
        <w:ind w:left="7278" w:hanging="372"/>
      </w:pPr>
      <w:rPr>
        <w:rFonts w:hint="default"/>
        <w:lang w:val="zh-CN" w:eastAsia="zh-CN" w:bidi="zh-CN"/>
      </w:rPr>
    </w:lvl>
    <w:lvl w:ilvl="8" w:tentative="0">
      <w:start w:val="0"/>
      <w:numFmt w:val="bullet"/>
      <w:lvlText w:val="•"/>
      <w:lvlJc w:val="left"/>
      <w:pPr>
        <w:ind w:left="8161" w:hanging="372"/>
      </w:pPr>
      <w:rPr>
        <w:rFonts w:hint="default"/>
        <w:lang w:val="zh-CN" w:eastAsia="zh-CN" w:bidi="zh-CN"/>
      </w:rPr>
    </w:lvl>
  </w:abstractNum>
  <w:abstractNum w:abstractNumId="70">
    <w:nsid w:val="4C1BAE26"/>
    <w:multiLevelType w:val="multilevel"/>
    <w:tmpl w:val="4C1BAE26"/>
    <w:lvl w:ilvl="0" w:tentative="0">
      <w:start w:val="2"/>
      <w:numFmt w:val="decimal"/>
      <w:lvlText w:val="%1"/>
      <w:lvlJc w:val="left"/>
      <w:pPr>
        <w:ind w:left="1476" w:hanging="756"/>
      </w:pPr>
      <w:rPr>
        <w:rFonts w:hint="default"/>
        <w:lang w:val="zh-CN" w:eastAsia="zh-CN" w:bidi="zh-CN"/>
      </w:rPr>
    </w:lvl>
    <w:lvl w:ilvl="1" w:tentative="0">
      <w:start w:val="1"/>
      <w:numFmt w:val="decimal"/>
      <w:lvlText w:val="%1.%2"/>
      <w:lvlJc w:val="left"/>
      <w:pPr>
        <w:ind w:left="1476" w:hanging="756"/>
      </w:pPr>
      <w:rPr>
        <w:rFonts w:hint="default"/>
        <w:lang w:val="zh-CN" w:eastAsia="zh-CN" w:bidi="zh-CN"/>
      </w:rPr>
    </w:lvl>
    <w:lvl w:ilvl="2" w:tentative="0">
      <w:start w:val="2"/>
      <w:numFmt w:val="decimal"/>
      <w:lvlText w:val="%1.%2.%3"/>
      <w:lvlJc w:val="left"/>
      <w:pPr>
        <w:ind w:left="1476" w:hanging="756"/>
      </w:pPr>
      <w:rPr>
        <w:rFonts w:hint="default"/>
        <w:b/>
        <w:bCs/>
        <w:spacing w:val="0"/>
        <w:w w:val="99"/>
        <w:lang w:val="zh-CN" w:eastAsia="zh-CN" w:bidi="zh-CN"/>
      </w:rPr>
    </w:lvl>
    <w:lvl w:ilvl="3" w:tentative="0">
      <w:start w:val="1"/>
      <w:numFmt w:val="decimal"/>
      <w:lvlText w:val="%1.%2.%3.%4"/>
      <w:lvlJc w:val="left"/>
      <w:pPr>
        <w:ind w:left="1665" w:hanging="946"/>
      </w:pPr>
      <w:rPr>
        <w:rFonts w:hint="default" w:ascii="Times New Roman" w:hAnsi="Times New Roman" w:eastAsia="Times New Roman" w:cs="Times New Roman"/>
        <w:b/>
        <w:bCs/>
        <w:spacing w:val="0"/>
        <w:w w:val="99"/>
        <w:sz w:val="24"/>
        <w:szCs w:val="24"/>
        <w:lang w:val="zh-CN" w:eastAsia="zh-CN" w:bidi="zh-CN"/>
      </w:rPr>
    </w:lvl>
    <w:lvl w:ilvl="4" w:tentative="0">
      <w:start w:val="0"/>
      <w:numFmt w:val="bullet"/>
      <w:lvlText w:val="•"/>
      <w:lvlJc w:val="left"/>
      <w:pPr>
        <w:ind w:left="3741" w:hanging="946"/>
      </w:pPr>
      <w:rPr>
        <w:rFonts w:hint="default"/>
        <w:lang w:val="zh-CN" w:eastAsia="zh-CN" w:bidi="zh-CN"/>
      </w:rPr>
    </w:lvl>
    <w:lvl w:ilvl="5" w:tentative="0">
      <w:start w:val="0"/>
      <w:numFmt w:val="bullet"/>
      <w:lvlText w:val="•"/>
      <w:lvlJc w:val="left"/>
      <w:pPr>
        <w:ind w:left="4772" w:hanging="946"/>
      </w:pPr>
      <w:rPr>
        <w:rFonts w:hint="default"/>
        <w:lang w:val="zh-CN" w:eastAsia="zh-CN" w:bidi="zh-CN"/>
      </w:rPr>
    </w:lvl>
    <w:lvl w:ilvl="6" w:tentative="0">
      <w:start w:val="0"/>
      <w:numFmt w:val="bullet"/>
      <w:lvlText w:val="•"/>
      <w:lvlJc w:val="left"/>
      <w:pPr>
        <w:ind w:left="5803" w:hanging="946"/>
      </w:pPr>
      <w:rPr>
        <w:rFonts w:hint="default"/>
        <w:lang w:val="zh-CN" w:eastAsia="zh-CN" w:bidi="zh-CN"/>
      </w:rPr>
    </w:lvl>
    <w:lvl w:ilvl="7" w:tentative="0">
      <w:start w:val="0"/>
      <w:numFmt w:val="bullet"/>
      <w:lvlText w:val="•"/>
      <w:lvlJc w:val="left"/>
      <w:pPr>
        <w:ind w:left="6834" w:hanging="946"/>
      </w:pPr>
      <w:rPr>
        <w:rFonts w:hint="default"/>
        <w:lang w:val="zh-CN" w:eastAsia="zh-CN" w:bidi="zh-CN"/>
      </w:rPr>
    </w:lvl>
    <w:lvl w:ilvl="8" w:tentative="0">
      <w:start w:val="0"/>
      <w:numFmt w:val="bullet"/>
      <w:lvlText w:val="•"/>
      <w:lvlJc w:val="left"/>
      <w:pPr>
        <w:ind w:left="7864" w:hanging="946"/>
      </w:pPr>
      <w:rPr>
        <w:rFonts w:hint="default"/>
        <w:lang w:val="zh-CN" w:eastAsia="zh-CN" w:bidi="zh-CN"/>
      </w:rPr>
    </w:lvl>
  </w:abstractNum>
  <w:abstractNum w:abstractNumId="71">
    <w:nsid w:val="4C3D7A74"/>
    <w:multiLevelType w:val="multilevel"/>
    <w:tmpl w:val="4C3D7A74"/>
    <w:lvl w:ilvl="0" w:tentative="0">
      <w:start w:val="1"/>
      <w:numFmt w:val="lowerLetter"/>
      <w:lvlText w:val="%1."/>
      <w:lvlJc w:val="left"/>
      <w:pPr>
        <w:ind w:left="223" w:hanging="308"/>
      </w:pPr>
      <w:rPr>
        <w:rFonts w:hint="default" w:ascii="Times New Roman" w:hAnsi="Times New Roman" w:eastAsia="Times New Roman" w:cs="Times New Roman"/>
        <w:spacing w:val="-11"/>
        <w:w w:val="100"/>
        <w:sz w:val="24"/>
        <w:szCs w:val="24"/>
        <w:lang w:val="zh-CN" w:eastAsia="zh-CN" w:bidi="zh-CN"/>
      </w:rPr>
    </w:lvl>
    <w:lvl w:ilvl="1" w:tentative="0">
      <w:start w:val="0"/>
      <w:numFmt w:val="bullet"/>
      <w:lvlText w:val="•"/>
      <w:lvlJc w:val="left"/>
      <w:pPr>
        <w:ind w:left="1190" w:hanging="308"/>
      </w:pPr>
      <w:rPr>
        <w:rFonts w:hint="default"/>
        <w:lang w:val="zh-CN" w:eastAsia="zh-CN" w:bidi="zh-CN"/>
      </w:rPr>
    </w:lvl>
    <w:lvl w:ilvl="2" w:tentative="0">
      <w:start w:val="0"/>
      <w:numFmt w:val="bullet"/>
      <w:lvlText w:val="•"/>
      <w:lvlJc w:val="left"/>
      <w:pPr>
        <w:ind w:left="2161" w:hanging="308"/>
      </w:pPr>
      <w:rPr>
        <w:rFonts w:hint="default"/>
        <w:lang w:val="zh-CN" w:eastAsia="zh-CN" w:bidi="zh-CN"/>
      </w:rPr>
    </w:lvl>
    <w:lvl w:ilvl="3" w:tentative="0">
      <w:start w:val="0"/>
      <w:numFmt w:val="bullet"/>
      <w:lvlText w:val="•"/>
      <w:lvlJc w:val="left"/>
      <w:pPr>
        <w:ind w:left="3131" w:hanging="308"/>
      </w:pPr>
      <w:rPr>
        <w:rFonts w:hint="default"/>
        <w:lang w:val="zh-CN" w:eastAsia="zh-CN" w:bidi="zh-CN"/>
      </w:rPr>
    </w:lvl>
    <w:lvl w:ilvl="4" w:tentative="0">
      <w:start w:val="0"/>
      <w:numFmt w:val="bullet"/>
      <w:lvlText w:val="•"/>
      <w:lvlJc w:val="left"/>
      <w:pPr>
        <w:ind w:left="4102" w:hanging="308"/>
      </w:pPr>
      <w:rPr>
        <w:rFonts w:hint="default"/>
        <w:lang w:val="zh-CN" w:eastAsia="zh-CN" w:bidi="zh-CN"/>
      </w:rPr>
    </w:lvl>
    <w:lvl w:ilvl="5" w:tentative="0">
      <w:start w:val="0"/>
      <w:numFmt w:val="bullet"/>
      <w:lvlText w:val="•"/>
      <w:lvlJc w:val="left"/>
      <w:pPr>
        <w:ind w:left="5073" w:hanging="308"/>
      </w:pPr>
      <w:rPr>
        <w:rFonts w:hint="default"/>
        <w:lang w:val="zh-CN" w:eastAsia="zh-CN" w:bidi="zh-CN"/>
      </w:rPr>
    </w:lvl>
    <w:lvl w:ilvl="6" w:tentative="0">
      <w:start w:val="0"/>
      <w:numFmt w:val="bullet"/>
      <w:lvlText w:val="•"/>
      <w:lvlJc w:val="left"/>
      <w:pPr>
        <w:ind w:left="6043" w:hanging="308"/>
      </w:pPr>
      <w:rPr>
        <w:rFonts w:hint="default"/>
        <w:lang w:val="zh-CN" w:eastAsia="zh-CN" w:bidi="zh-CN"/>
      </w:rPr>
    </w:lvl>
    <w:lvl w:ilvl="7" w:tentative="0">
      <w:start w:val="0"/>
      <w:numFmt w:val="bullet"/>
      <w:lvlText w:val="•"/>
      <w:lvlJc w:val="left"/>
      <w:pPr>
        <w:ind w:left="7014" w:hanging="308"/>
      </w:pPr>
      <w:rPr>
        <w:rFonts w:hint="default"/>
        <w:lang w:val="zh-CN" w:eastAsia="zh-CN" w:bidi="zh-CN"/>
      </w:rPr>
    </w:lvl>
    <w:lvl w:ilvl="8" w:tentative="0">
      <w:start w:val="0"/>
      <w:numFmt w:val="bullet"/>
      <w:lvlText w:val="•"/>
      <w:lvlJc w:val="left"/>
      <w:pPr>
        <w:ind w:left="7985" w:hanging="308"/>
      </w:pPr>
      <w:rPr>
        <w:rFonts w:hint="default"/>
        <w:lang w:val="zh-CN" w:eastAsia="zh-CN" w:bidi="zh-CN"/>
      </w:rPr>
    </w:lvl>
  </w:abstractNum>
  <w:abstractNum w:abstractNumId="72">
    <w:nsid w:val="4D4DC07F"/>
    <w:multiLevelType w:val="multilevel"/>
    <w:tmpl w:val="4D4DC07F"/>
    <w:lvl w:ilvl="0" w:tentative="0">
      <w:start w:val="6"/>
      <w:numFmt w:val="decimal"/>
      <w:lvlText w:val="%1"/>
      <w:lvlJc w:val="left"/>
      <w:pPr>
        <w:ind w:left="223" w:hanging="723"/>
      </w:pPr>
      <w:rPr>
        <w:rFonts w:hint="default"/>
        <w:lang w:val="zh-CN" w:eastAsia="zh-CN" w:bidi="zh-CN"/>
      </w:rPr>
    </w:lvl>
    <w:lvl w:ilvl="1" w:tentative="0">
      <w:start w:val="3"/>
      <w:numFmt w:val="decimal"/>
      <w:lvlText w:val="%1.%2"/>
      <w:lvlJc w:val="left"/>
      <w:pPr>
        <w:ind w:left="223" w:hanging="723"/>
      </w:pPr>
      <w:rPr>
        <w:rFonts w:hint="default"/>
        <w:lang w:val="zh-CN" w:eastAsia="zh-CN" w:bidi="zh-CN"/>
      </w:rPr>
    </w:lvl>
    <w:lvl w:ilvl="2" w:tentative="0">
      <w:start w:val="5"/>
      <w:numFmt w:val="decimal"/>
      <w:lvlText w:val="%1.%2.%3"/>
      <w:lvlJc w:val="left"/>
      <w:pPr>
        <w:ind w:left="223" w:hanging="723"/>
      </w:pPr>
      <w:rPr>
        <w:rFonts w:hint="default" w:ascii="宋体" w:hAnsi="宋体" w:eastAsia="宋体" w:cs="宋体"/>
        <w:w w:val="100"/>
        <w:sz w:val="24"/>
        <w:szCs w:val="24"/>
        <w:lang w:val="zh-CN" w:eastAsia="zh-CN" w:bidi="zh-CN"/>
      </w:rPr>
    </w:lvl>
    <w:lvl w:ilvl="3" w:tentative="0">
      <w:start w:val="0"/>
      <w:numFmt w:val="bullet"/>
      <w:lvlText w:val="•"/>
      <w:lvlJc w:val="left"/>
      <w:pPr>
        <w:ind w:left="3131" w:hanging="723"/>
      </w:pPr>
      <w:rPr>
        <w:rFonts w:hint="default"/>
        <w:lang w:val="zh-CN" w:eastAsia="zh-CN" w:bidi="zh-CN"/>
      </w:rPr>
    </w:lvl>
    <w:lvl w:ilvl="4" w:tentative="0">
      <w:start w:val="0"/>
      <w:numFmt w:val="bullet"/>
      <w:lvlText w:val="•"/>
      <w:lvlJc w:val="left"/>
      <w:pPr>
        <w:ind w:left="4102" w:hanging="723"/>
      </w:pPr>
      <w:rPr>
        <w:rFonts w:hint="default"/>
        <w:lang w:val="zh-CN" w:eastAsia="zh-CN" w:bidi="zh-CN"/>
      </w:rPr>
    </w:lvl>
    <w:lvl w:ilvl="5" w:tentative="0">
      <w:start w:val="0"/>
      <w:numFmt w:val="bullet"/>
      <w:lvlText w:val="•"/>
      <w:lvlJc w:val="left"/>
      <w:pPr>
        <w:ind w:left="5073" w:hanging="723"/>
      </w:pPr>
      <w:rPr>
        <w:rFonts w:hint="default"/>
        <w:lang w:val="zh-CN" w:eastAsia="zh-CN" w:bidi="zh-CN"/>
      </w:rPr>
    </w:lvl>
    <w:lvl w:ilvl="6" w:tentative="0">
      <w:start w:val="0"/>
      <w:numFmt w:val="bullet"/>
      <w:lvlText w:val="•"/>
      <w:lvlJc w:val="left"/>
      <w:pPr>
        <w:ind w:left="6043" w:hanging="723"/>
      </w:pPr>
      <w:rPr>
        <w:rFonts w:hint="default"/>
        <w:lang w:val="zh-CN" w:eastAsia="zh-CN" w:bidi="zh-CN"/>
      </w:rPr>
    </w:lvl>
    <w:lvl w:ilvl="7" w:tentative="0">
      <w:start w:val="0"/>
      <w:numFmt w:val="bullet"/>
      <w:lvlText w:val="•"/>
      <w:lvlJc w:val="left"/>
      <w:pPr>
        <w:ind w:left="7014" w:hanging="723"/>
      </w:pPr>
      <w:rPr>
        <w:rFonts w:hint="default"/>
        <w:lang w:val="zh-CN" w:eastAsia="zh-CN" w:bidi="zh-CN"/>
      </w:rPr>
    </w:lvl>
    <w:lvl w:ilvl="8" w:tentative="0">
      <w:start w:val="0"/>
      <w:numFmt w:val="bullet"/>
      <w:lvlText w:val="•"/>
      <w:lvlJc w:val="left"/>
      <w:pPr>
        <w:ind w:left="7985" w:hanging="723"/>
      </w:pPr>
      <w:rPr>
        <w:rFonts w:hint="default"/>
        <w:lang w:val="zh-CN" w:eastAsia="zh-CN" w:bidi="zh-CN"/>
      </w:rPr>
    </w:lvl>
  </w:abstractNum>
  <w:abstractNum w:abstractNumId="73">
    <w:nsid w:val="4D94DA66"/>
    <w:multiLevelType w:val="multilevel"/>
    <w:tmpl w:val="4D94DA66"/>
    <w:lvl w:ilvl="0" w:tentative="0">
      <w:start w:val="1"/>
      <w:numFmt w:val="decimal"/>
      <w:lvlText w:val="（%1）"/>
      <w:lvlJc w:val="left"/>
      <w:pPr>
        <w:ind w:left="1216" w:hanging="622"/>
      </w:pPr>
      <w:rPr>
        <w:rFonts w:hint="default" w:ascii="宋体" w:hAnsi="宋体" w:eastAsia="宋体" w:cs="宋体"/>
        <w:spacing w:val="0"/>
        <w:w w:val="100"/>
        <w:sz w:val="22"/>
        <w:szCs w:val="22"/>
        <w:lang w:val="zh-CN" w:eastAsia="zh-CN" w:bidi="zh-CN"/>
      </w:rPr>
    </w:lvl>
    <w:lvl w:ilvl="1" w:tentative="0">
      <w:start w:val="1"/>
      <w:numFmt w:val="decimal"/>
      <w:lvlText w:val="%2）"/>
      <w:lvlJc w:val="left"/>
      <w:pPr>
        <w:ind w:left="1092" w:hanging="372"/>
      </w:pPr>
      <w:rPr>
        <w:rFonts w:hint="default" w:ascii="Times New Roman" w:hAnsi="Times New Roman" w:eastAsia="Times New Roman" w:cs="Times New Roman"/>
        <w:spacing w:val="4"/>
        <w:w w:val="100"/>
        <w:sz w:val="22"/>
        <w:szCs w:val="22"/>
        <w:lang w:val="zh-CN" w:eastAsia="zh-CN" w:bidi="zh-CN"/>
      </w:rPr>
    </w:lvl>
    <w:lvl w:ilvl="2" w:tentative="0">
      <w:start w:val="0"/>
      <w:numFmt w:val="bullet"/>
      <w:lvlText w:val="•"/>
      <w:lvlJc w:val="left"/>
      <w:pPr>
        <w:ind w:left="2187" w:hanging="372"/>
      </w:pPr>
      <w:rPr>
        <w:rFonts w:hint="default"/>
        <w:lang w:val="zh-CN" w:eastAsia="zh-CN" w:bidi="zh-CN"/>
      </w:rPr>
    </w:lvl>
    <w:lvl w:ilvl="3" w:tentative="0">
      <w:start w:val="0"/>
      <w:numFmt w:val="bullet"/>
      <w:lvlText w:val="•"/>
      <w:lvlJc w:val="left"/>
      <w:pPr>
        <w:ind w:left="3154" w:hanging="372"/>
      </w:pPr>
      <w:rPr>
        <w:rFonts w:hint="default"/>
        <w:lang w:val="zh-CN" w:eastAsia="zh-CN" w:bidi="zh-CN"/>
      </w:rPr>
    </w:lvl>
    <w:lvl w:ilvl="4" w:tentative="0">
      <w:start w:val="0"/>
      <w:numFmt w:val="bullet"/>
      <w:lvlText w:val="•"/>
      <w:lvlJc w:val="left"/>
      <w:pPr>
        <w:ind w:left="4122" w:hanging="372"/>
      </w:pPr>
      <w:rPr>
        <w:rFonts w:hint="default"/>
        <w:lang w:val="zh-CN" w:eastAsia="zh-CN" w:bidi="zh-CN"/>
      </w:rPr>
    </w:lvl>
    <w:lvl w:ilvl="5" w:tentative="0">
      <w:start w:val="0"/>
      <w:numFmt w:val="bullet"/>
      <w:lvlText w:val="•"/>
      <w:lvlJc w:val="left"/>
      <w:pPr>
        <w:ind w:left="5089" w:hanging="372"/>
      </w:pPr>
      <w:rPr>
        <w:rFonts w:hint="default"/>
        <w:lang w:val="zh-CN" w:eastAsia="zh-CN" w:bidi="zh-CN"/>
      </w:rPr>
    </w:lvl>
    <w:lvl w:ilvl="6" w:tentative="0">
      <w:start w:val="0"/>
      <w:numFmt w:val="bullet"/>
      <w:lvlText w:val="•"/>
      <w:lvlJc w:val="left"/>
      <w:pPr>
        <w:ind w:left="6056" w:hanging="372"/>
      </w:pPr>
      <w:rPr>
        <w:rFonts w:hint="default"/>
        <w:lang w:val="zh-CN" w:eastAsia="zh-CN" w:bidi="zh-CN"/>
      </w:rPr>
    </w:lvl>
    <w:lvl w:ilvl="7" w:tentative="0">
      <w:start w:val="0"/>
      <w:numFmt w:val="bullet"/>
      <w:lvlText w:val="•"/>
      <w:lvlJc w:val="left"/>
      <w:pPr>
        <w:ind w:left="7024" w:hanging="372"/>
      </w:pPr>
      <w:rPr>
        <w:rFonts w:hint="default"/>
        <w:lang w:val="zh-CN" w:eastAsia="zh-CN" w:bidi="zh-CN"/>
      </w:rPr>
    </w:lvl>
    <w:lvl w:ilvl="8" w:tentative="0">
      <w:start w:val="0"/>
      <w:numFmt w:val="bullet"/>
      <w:lvlText w:val="•"/>
      <w:lvlJc w:val="left"/>
      <w:pPr>
        <w:ind w:left="7991" w:hanging="372"/>
      </w:pPr>
      <w:rPr>
        <w:rFonts w:hint="default"/>
        <w:lang w:val="zh-CN" w:eastAsia="zh-CN" w:bidi="zh-CN"/>
      </w:rPr>
    </w:lvl>
  </w:abstractNum>
  <w:abstractNum w:abstractNumId="74">
    <w:nsid w:val="58765686"/>
    <w:multiLevelType w:val="multilevel"/>
    <w:tmpl w:val="58765686"/>
    <w:lvl w:ilvl="0" w:tentative="0">
      <w:start w:val="1"/>
      <w:numFmt w:val="decimal"/>
      <w:lvlText w:val="（%1）"/>
      <w:lvlJc w:val="left"/>
      <w:pPr>
        <w:ind w:left="223" w:hanging="624"/>
      </w:pPr>
      <w:rPr>
        <w:rFonts w:hint="default" w:ascii="宋体" w:hAnsi="宋体" w:eastAsia="宋体" w:cs="宋体"/>
        <w:spacing w:val="0"/>
        <w:w w:val="100"/>
        <w:sz w:val="22"/>
        <w:szCs w:val="22"/>
        <w:lang w:val="zh-CN" w:eastAsia="zh-CN" w:bidi="zh-CN"/>
      </w:rPr>
    </w:lvl>
    <w:lvl w:ilvl="1" w:tentative="0">
      <w:start w:val="1"/>
      <w:numFmt w:val="decimal"/>
      <w:lvlText w:val="%2）"/>
      <w:lvlJc w:val="left"/>
      <w:pPr>
        <w:ind w:left="1092" w:hanging="372"/>
      </w:pPr>
      <w:rPr>
        <w:rFonts w:hint="default" w:ascii="Times New Roman" w:hAnsi="Times New Roman" w:eastAsia="Times New Roman" w:cs="Times New Roman"/>
        <w:spacing w:val="4"/>
        <w:w w:val="100"/>
        <w:sz w:val="22"/>
        <w:szCs w:val="22"/>
        <w:lang w:val="zh-CN" w:eastAsia="zh-CN" w:bidi="zh-CN"/>
      </w:rPr>
    </w:lvl>
    <w:lvl w:ilvl="2" w:tentative="0">
      <w:start w:val="0"/>
      <w:numFmt w:val="bullet"/>
      <w:lvlText w:val="•"/>
      <w:lvlJc w:val="left"/>
      <w:pPr>
        <w:ind w:left="2080" w:hanging="372"/>
      </w:pPr>
      <w:rPr>
        <w:rFonts w:hint="default"/>
        <w:lang w:val="zh-CN" w:eastAsia="zh-CN" w:bidi="zh-CN"/>
      </w:rPr>
    </w:lvl>
    <w:lvl w:ilvl="3" w:tentative="0">
      <w:start w:val="0"/>
      <w:numFmt w:val="bullet"/>
      <w:lvlText w:val="•"/>
      <w:lvlJc w:val="left"/>
      <w:pPr>
        <w:ind w:left="3061" w:hanging="372"/>
      </w:pPr>
      <w:rPr>
        <w:rFonts w:hint="default"/>
        <w:lang w:val="zh-CN" w:eastAsia="zh-CN" w:bidi="zh-CN"/>
      </w:rPr>
    </w:lvl>
    <w:lvl w:ilvl="4" w:tentative="0">
      <w:start w:val="0"/>
      <w:numFmt w:val="bullet"/>
      <w:lvlText w:val="•"/>
      <w:lvlJc w:val="left"/>
      <w:pPr>
        <w:ind w:left="4042" w:hanging="372"/>
      </w:pPr>
      <w:rPr>
        <w:rFonts w:hint="default"/>
        <w:lang w:val="zh-CN" w:eastAsia="zh-CN" w:bidi="zh-CN"/>
      </w:rPr>
    </w:lvl>
    <w:lvl w:ilvl="5" w:tentative="0">
      <w:start w:val="0"/>
      <w:numFmt w:val="bullet"/>
      <w:lvlText w:val="•"/>
      <w:lvlJc w:val="left"/>
      <w:pPr>
        <w:ind w:left="5022" w:hanging="372"/>
      </w:pPr>
      <w:rPr>
        <w:rFonts w:hint="default"/>
        <w:lang w:val="zh-CN" w:eastAsia="zh-CN" w:bidi="zh-CN"/>
      </w:rPr>
    </w:lvl>
    <w:lvl w:ilvl="6" w:tentative="0">
      <w:start w:val="0"/>
      <w:numFmt w:val="bullet"/>
      <w:lvlText w:val="•"/>
      <w:lvlJc w:val="left"/>
      <w:pPr>
        <w:ind w:left="6003" w:hanging="372"/>
      </w:pPr>
      <w:rPr>
        <w:rFonts w:hint="default"/>
        <w:lang w:val="zh-CN" w:eastAsia="zh-CN" w:bidi="zh-CN"/>
      </w:rPr>
    </w:lvl>
    <w:lvl w:ilvl="7" w:tentative="0">
      <w:start w:val="0"/>
      <w:numFmt w:val="bullet"/>
      <w:lvlText w:val="•"/>
      <w:lvlJc w:val="left"/>
      <w:pPr>
        <w:ind w:left="6984" w:hanging="372"/>
      </w:pPr>
      <w:rPr>
        <w:rFonts w:hint="default"/>
        <w:lang w:val="zh-CN" w:eastAsia="zh-CN" w:bidi="zh-CN"/>
      </w:rPr>
    </w:lvl>
    <w:lvl w:ilvl="8" w:tentative="0">
      <w:start w:val="0"/>
      <w:numFmt w:val="bullet"/>
      <w:lvlText w:val="•"/>
      <w:lvlJc w:val="left"/>
      <w:pPr>
        <w:ind w:left="7964" w:hanging="372"/>
      </w:pPr>
      <w:rPr>
        <w:rFonts w:hint="default"/>
        <w:lang w:val="zh-CN" w:eastAsia="zh-CN" w:bidi="zh-CN"/>
      </w:rPr>
    </w:lvl>
  </w:abstractNum>
  <w:abstractNum w:abstractNumId="75">
    <w:nsid w:val="59ADCABA"/>
    <w:multiLevelType w:val="multilevel"/>
    <w:tmpl w:val="59ADCABA"/>
    <w:lvl w:ilvl="0" w:tentative="0">
      <w:start w:val="1"/>
      <w:numFmt w:val="decimal"/>
      <w:lvlText w:val="（%1）"/>
      <w:lvlJc w:val="left"/>
      <w:pPr>
        <w:ind w:left="223" w:hanging="608"/>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1190" w:hanging="608"/>
      </w:pPr>
      <w:rPr>
        <w:rFonts w:hint="default"/>
        <w:lang w:val="zh-CN" w:eastAsia="zh-CN" w:bidi="zh-CN"/>
      </w:rPr>
    </w:lvl>
    <w:lvl w:ilvl="2" w:tentative="0">
      <w:start w:val="0"/>
      <w:numFmt w:val="bullet"/>
      <w:lvlText w:val="•"/>
      <w:lvlJc w:val="left"/>
      <w:pPr>
        <w:ind w:left="2161" w:hanging="608"/>
      </w:pPr>
      <w:rPr>
        <w:rFonts w:hint="default"/>
        <w:lang w:val="zh-CN" w:eastAsia="zh-CN" w:bidi="zh-CN"/>
      </w:rPr>
    </w:lvl>
    <w:lvl w:ilvl="3" w:tentative="0">
      <w:start w:val="0"/>
      <w:numFmt w:val="bullet"/>
      <w:lvlText w:val="•"/>
      <w:lvlJc w:val="left"/>
      <w:pPr>
        <w:ind w:left="3131" w:hanging="608"/>
      </w:pPr>
      <w:rPr>
        <w:rFonts w:hint="default"/>
        <w:lang w:val="zh-CN" w:eastAsia="zh-CN" w:bidi="zh-CN"/>
      </w:rPr>
    </w:lvl>
    <w:lvl w:ilvl="4" w:tentative="0">
      <w:start w:val="0"/>
      <w:numFmt w:val="bullet"/>
      <w:lvlText w:val="•"/>
      <w:lvlJc w:val="left"/>
      <w:pPr>
        <w:ind w:left="4102" w:hanging="608"/>
      </w:pPr>
      <w:rPr>
        <w:rFonts w:hint="default"/>
        <w:lang w:val="zh-CN" w:eastAsia="zh-CN" w:bidi="zh-CN"/>
      </w:rPr>
    </w:lvl>
    <w:lvl w:ilvl="5" w:tentative="0">
      <w:start w:val="0"/>
      <w:numFmt w:val="bullet"/>
      <w:lvlText w:val="•"/>
      <w:lvlJc w:val="left"/>
      <w:pPr>
        <w:ind w:left="5073" w:hanging="608"/>
      </w:pPr>
      <w:rPr>
        <w:rFonts w:hint="default"/>
        <w:lang w:val="zh-CN" w:eastAsia="zh-CN" w:bidi="zh-CN"/>
      </w:rPr>
    </w:lvl>
    <w:lvl w:ilvl="6" w:tentative="0">
      <w:start w:val="0"/>
      <w:numFmt w:val="bullet"/>
      <w:lvlText w:val="•"/>
      <w:lvlJc w:val="left"/>
      <w:pPr>
        <w:ind w:left="6043" w:hanging="608"/>
      </w:pPr>
      <w:rPr>
        <w:rFonts w:hint="default"/>
        <w:lang w:val="zh-CN" w:eastAsia="zh-CN" w:bidi="zh-CN"/>
      </w:rPr>
    </w:lvl>
    <w:lvl w:ilvl="7" w:tentative="0">
      <w:start w:val="0"/>
      <w:numFmt w:val="bullet"/>
      <w:lvlText w:val="•"/>
      <w:lvlJc w:val="left"/>
      <w:pPr>
        <w:ind w:left="7014" w:hanging="608"/>
      </w:pPr>
      <w:rPr>
        <w:rFonts w:hint="default"/>
        <w:lang w:val="zh-CN" w:eastAsia="zh-CN" w:bidi="zh-CN"/>
      </w:rPr>
    </w:lvl>
    <w:lvl w:ilvl="8" w:tentative="0">
      <w:start w:val="0"/>
      <w:numFmt w:val="bullet"/>
      <w:lvlText w:val="•"/>
      <w:lvlJc w:val="left"/>
      <w:pPr>
        <w:ind w:left="7985" w:hanging="608"/>
      </w:pPr>
      <w:rPr>
        <w:rFonts w:hint="default"/>
        <w:lang w:val="zh-CN" w:eastAsia="zh-CN" w:bidi="zh-CN"/>
      </w:rPr>
    </w:lvl>
  </w:abstractNum>
  <w:abstractNum w:abstractNumId="76">
    <w:nsid w:val="59EEFD2A"/>
    <w:multiLevelType w:val="multilevel"/>
    <w:tmpl w:val="59EEFD2A"/>
    <w:lvl w:ilvl="0" w:tentative="0">
      <w:start w:val="1"/>
      <w:numFmt w:val="decimal"/>
      <w:lvlText w:val="（%1）"/>
      <w:lvlJc w:val="left"/>
      <w:pPr>
        <w:ind w:left="223" w:hanging="608"/>
      </w:pPr>
      <w:rPr>
        <w:rFonts w:hint="default" w:ascii="宋体" w:hAnsi="宋体" w:eastAsia="宋体" w:cs="宋体"/>
        <w:spacing w:val="0"/>
        <w:w w:val="100"/>
        <w:sz w:val="22"/>
        <w:szCs w:val="22"/>
        <w:lang w:val="zh-CN" w:eastAsia="zh-CN" w:bidi="zh-CN"/>
      </w:rPr>
    </w:lvl>
    <w:lvl w:ilvl="1" w:tentative="0">
      <w:start w:val="1"/>
      <w:numFmt w:val="decimal"/>
      <w:lvlText w:val="%2）"/>
      <w:lvlJc w:val="left"/>
      <w:pPr>
        <w:ind w:left="1064" w:hanging="361"/>
      </w:pPr>
      <w:rPr>
        <w:rFonts w:hint="default" w:ascii="宋体" w:hAnsi="宋体" w:eastAsia="宋体" w:cs="宋体"/>
        <w:w w:val="100"/>
        <w:sz w:val="22"/>
        <w:szCs w:val="22"/>
        <w:lang w:val="zh-CN" w:eastAsia="zh-CN" w:bidi="zh-CN"/>
      </w:rPr>
    </w:lvl>
    <w:lvl w:ilvl="2" w:tentative="0">
      <w:start w:val="0"/>
      <w:numFmt w:val="bullet"/>
      <w:lvlText w:val="•"/>
      <w:lvlJc w:val="left"/>
      <w:pPr>
        <w:ind w:left="2045" w:hanging="361"/>
      </w:pPr>
      <w:rPr>
        <w:rFonts w:hint="default"/>
        <w:lang w:val="zh-CN" w:eastAsia="zh-CN" w:bidi="zh-CN"/>
      </w:rPr>
    </w:lvl>
    <w:lvl w:ilvl="3" w:tentative="0">
      <w:start w:val="0"/>
      <w:numFmt w:val="bullet"/>
      <w:lvlText w:val="•"/>
      <w:lvlJc w:val="left"/>
      <w:pPr>
        <w:ind w:left="3030" w:hanging="361"/>
      </w:pPr>
      <w:rPr>
        <w:rFonts w:hint="default"/>
        <w:lang w:val="zh-CN" w:eastAsia="zh-CN" w:bidi="zh-CN"/>
      </w:rPr>
    </w:lvl>
    <w:lvl w:ilvl="4" w:tentative="0">
      <w:start w:val="0"/>
      <w:numFmt w:val="bullet"/>
      <w:lvlText w:val="•"/>
      <w:lvlJc w:val="left"/>
      <w:pPr>
        <w:ind w:left="4015" w:hanging="361"/>
      </w:pPr>
      <w:rPr>
        <w:rFonts w:hint="default"/>
        <w:lang w:val="zh-CN" w:eastAsia="zh-CN" w:bidi="zh-CN"/>
      </w:rPr>
    </w:lvl>
    <w:lvl w:ilvl="5" w:tentative="0">
      <w:start w:val="0"/>
      <w:numFmt w:val="bullet"/>
      <w:lvlText w:val="•"/>
      <w:lvlJc w:val="left"/>
      <w:pPr>
        <w:ind w:left="5000" w:hanging="361"/>
      </w:pPr>
      <w:rPr>
        <w:rFonts w:hint="default"/>
        <w:lang w:val="zh-CN" w:eastAsia="zh-CN" w:bidi="zh-CN"/>
      </w:rPr>
    </w:lvl>
    <w:lvl w:ilvl="6" w:tentative="0">
      <w:start w:val="0"/>
      <w:numFmt w:val="bullet"/>
      <w:lvlText w:val="•"/>
      <w:lvlJc w:val="left"/>
      <w:pPr>
        <w:ind w:left="5985" w:hanging="361"/>
      </w:pPr>
      <w:rPr>
        <w:rFonts w:hint="default"/>
        <w:lang w:val="zh-CN" w:eastAsia="zh-CN" w:bidi="zh-CN"/>
      </w:rPr>
    </w:lvl>
    <w:lvl w:ilvl="7" w:tentative="0">
      <w:start w:val="0"/>
      <w:numFmt w:val="bullet"/>
      <w:lvlText w:val="•"/>
      <w:lvlJc w:val="left"/>
      <w:pPr>
        <w:ind w:left="6970" w:hanging="361"/>
      </w:pPr>
      <w:rPr>
        <w:rFonts w:hint="default"/>
        <w:lang w:val="zh-CN" w:eastAsia="zh-CN" w:bidi="zh-CN"/>
      </w:rPr>
    </w:lvl>
    <w:lvl w:ilvl="8" w:tentative="0">
      <w:start w:val="0"/>
      <w:numFmt w:val="bullet"/>
      <w:lvlText w:val="•"/>
      <w:lvlJc w:val="left"/>
      <w:pPr>
        <w:ind w:left="7956" w:hanging="361"/>
      </w:pPr>
      <w:rPr>
        <w:rFonts w:hint="default"/>
        <w:lang w:val="zh-CN" w:eastAsia="zh-CN" w:bidi="zh-CN"/>
      </w:rPr>
    </w:lvl>
  </w:abstractNum>
  <w:abstractNum w:abstractNumId="77">
    <w:nsid w:val="5A241D34"/>
    <w:multiLevelType w:val="multilevel"/>
    <w:tmpl w:val="5A241D34"/>
    <w:lvl w:ilvl="0" w:tentative="0">
      <w:start w:val="1"/>
      <w:numFmt w:val="decimal"/>
      <w:lvlText w:val="（%1）"/>
      <w:lvlJc w:val="left"/>
      <w:pPr>
        <w:ind w:left="223" w:hanging="601"/>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1190" w:hanging="601"/>
      </w:pPr>
      <w:rPr>
        <w:rFonts w:hint="default"/>
        <w:lang w:val="zh-CN" w:eastAsia="zh-CN" w:bidi="zh-CN"/>
      </w:rPr>
    </w:lvl>
    <w:lvl w:ilvl="2" w:tentative="0">
      <w:start w:val="0"/>
      <w:numFmt w:val="bullet"/>
      <w:lvlText w:val="•"/>
      <w:lvlJc w:val="left"/>
      <w:pPr>
        <w:ind w:left="2161" w:hanging="601"/>
      </w:pPr>
      <w:rPr>
        <w:rFonts w:hint="default"/>
        <w:lang w:val="zh-CN" w:eastAsia="zh-CN" w:bidi="zh-CN"/>
      </w:rPr>
    </w:lvl>
    <w:lvl w:ilvl="3" w:tentative="0">
      <w:start w:val="0"/>
      <w:numFmt w:val="bullet"/>
      <w:lvlText w:val="•"/>
      <w:lvlJc w:val="left"/>
      <w:pPr>
        <w:ind w:left="3131" w:hanging="601"/>
      </w:pPr>
      <w:rPr>
        <w:rFonts w:hint="default"/>
        <w:lang w:val="zh-CN" w:eastAsia="zh-CN" w:bidi="zh-CN"/>
      </w:rPr>
    </w:lvl>
    <w:lvl w:ilvl="4" w:tentative="0">
      <w:start w:val="0"/>
      <w:numFmt w:val="bullet"/>
      <w:lvlText w:val="•"/>
      <w:lvlJc w:val="left"/>
      <w:pPr>
        <w:ind w:left="4102"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6043" w:hanging="601"/>
      </w:pPr>
      <w:rPr>
        <w:rFonts w:hint="default"/>
        <w:lang w:val="zh-CN" w:eastAsia="zh-CN" w:bidi="zh-CN"/>
      </w:rPr>
    </w:lvl>
    <w:lvl w:ilvl="7" w:tentative="0">
      <w:start w:val="0"/>
      <w:numFmt w:val="bullet"/>
      <w:lvlText w:val="•"/>
      <w:lvlJc w:val="left"/>
      <w:pPr>
        <w:ind w:left="7014" w:hanging="601"/>
      </w:pPr>
      <w:rPr>
        <w:rFonts w:hint="default"/>
        <w:lang w:val="zh-CN" w:eastAsia="zh-CN" w:bidi="zh-CN"/>
      </w:rPr>
    </w:lvl>
    <w:lvl w:ilvl="8" w:tentative="0">
      <w:start w:val="0"/>
      <w:numFmt w:val="bullet"/>
      <w:lvlText w:val="•"/>
      <w:lvlJc w:val="left"/>
      <w:pPr>
        <w:ind w:left="7985" w:hanging="601"/>
      </w:pPr>
      <w:rPr>
        <w:rFonts w:hint="default"/>
        <w:lang w:val="zh-CN" w:eastAsia="zh-CN" w:bidi="zh-CN"/>
      </w:rPr>
    </w:lvl>
  </w:abstractNum>
  <w:abstractNum w:abstractNumId="78">
    <w:nsid w:val="5E29AB5A"/>
    <w:multiLevelType w:val="multilevel"/>
    <w:tmpl w:val="5E29AB5A"/>
    <w:lvl w:ilvl="0" w:tentative="0">
      <w:start w:val="1"/>
      <w:numFmt w:val="decimal"/>
      <w:lvlText w:val="%1）"/>
      <w:lvlJc w:val="left"/>
      <w:pPr>
        <w:ind w:left="223" w:hanging="372"/>
      </w:pPr>
      <w:rPr>
        <w:rFonts w:hint="default" w:ascii="Times New Roman" w:hAnsi="Times New Roman" w:eastAsia="Times New Roman" w:cs="Times New Roman"/>
        <w:spacing w:val="4"/>
        <w:w w:val="100"/>
        <w:sz w:val="22"/>
        <w:szCs w:val="22"/>
        <w:lang w:val="zh-CN" w:eastAsia="zh-CN" w:bidi="zh-CN"/>
      </w:rPr>
    </w:lvl>
    <w:lvl w:ilvl="1" w:tentative="0">
      <w:start w:val="0"/>
      <w:numFmt w:val="bullet"/>
      <w:lvlText w:val="•"/>
      <w:lvlJc w:val="left"/>
      <w:pPr>
        <w:ind w:left="1190" w:hanging="372"/>
      </w:pPr>
      <w:rPr>
        <w:rFonts w:hint="default"/>
        <w:lang w:val="zh-CN" w:eastAsia="zh-CN" w:bidi="zh-CN"/>
      </w:rPr>
    </w:lvl>
    <w:lvl w:ilvl="2" w:tentative="0">
      <w:start w:val="0"/>
      <w:numFmt w:val="bullet"/>
      <w:lvlText w:val="•"/>
      <w:lvlJc w:val="left"/>
      <w:pPr>
        <w:ind w:left="2161" w:hanging="372"/>
      </w:pPr>
      <w:rPr>
        <w:rFonts w:hint="default"/>
        <w:lang w:val="zh-CN" w:eastAsia="zh-CN" w:bidi="zh-CN"/>
      </w:rPr>
    </w:lvl>
    <w:lvl w:ilvl="3" w:tentative="0">
      <w:start w:val="0"/>
      <w:numFmt w:val="bullet"/>
      <w:lvlText w:val="•"/>
      <w:lvlJc w:val="left"/>
      <w:pPr>
        <w:ind w:left="3131" w:hanging="372"/>
      </w:pPr>
      <w:rPr>
        <w:rFonts w:hint="default"/>
        <w:lang w:val="zh-CN" w:eastAsia="zh-CN" w:bidi="zh-CN"/>
      </w:rPr>
    </w:lvl>
    <w:lvl w:ilvl="4" w:tentative="0">
      <w:start w:val="0"/>
      <w:numFmt w:val="bullet"/>
      <w:lvlText w:val="•"/>
      <w:lvlJc w:val="left"/>
      <w:pPr>
        <w:ind w:left="4102" w:hanging="372"/>
      </w:pPr>
      <w:rPr>
        <w:rFonts w:hint="default"/>
        <w:lang w:val="zh-CN" w:eastAsia="zh-CN" w:bidi="zh-CN"/>
      </w:rPr>
    </w:lvl>
    <w:lvl w:ilvl="5" w:tentative="0">
      <w:start w:val="0"/>
      <w:numFmt w:val="bullet"/>
      <w:lvlText w:val="•"/>
      <w:lvlJc w:val="left"/>
      <w:pPr>
        <w:ind w:left="5073" w:hanging="372"/>
      </w:pPr>
      <w:rPr>
        <w:rFonts w:hint="default"/>
        <w:lang w:val="zh-CN" w:eastAsia="zh-CN" w:bidi="zh-CN"/>
      </w:rPr>
    </w:lvl>
    <w:lvl w:ilvl="6" w:tentative="0">
      <w:start w:val="0"/>
      <w:numFmt w:val="bullet"/>
      <w:lvlText w:val="•"/>
      <w:lvlJc w:val="left"/>
      <w:pPr>
        <w:ind w:left="6043" w:hanging="372"/>
      </w:pPr>
      <w:rPr>
        <w:rFonts w:hint="default"/>
        <w:lang w:val="zh-CN" w:eastAsia="zh-CN" w:bidi="zh-CN"/>
      </w:rPr>
    </w:lvl>
    <w:lvl w:ilvl="7" w:tentative="0">
      <w:start w:val="0"/>
      <w:numFmt w:val="bullet"/>
      <w:lvlText w:val="•"/>
      <w:lvlJc w:val="left"/>
      <w:pPr>
        <w:ind w:left="7014" w:hanging="372"/>
      </w:pPr>
      <w:rPr>
        <w:rFonts w:hint="default"/>
        <w:lang w:val="zh-CN" w:eastAsia="zh-CN" w:bidi="zh-CN"/>
      </w:rPr>
    </w:lvl>
    <w:lvl w:ilvl="8" w:tentative="0">
      <w:start w:val="0"/>
      <w:numFmt w:val="bullet"/>
      <w:lvlText w:val="•"/>
      <w:lvlJc w:val="left"/>
      <w:pPr>
        <w:ind w:left="7985" w:hanging="372"/>
      </w:pPr>
      <w:rPr>
        <w:rFonts w:hint="default"/>
        <w:lang w:val="zh-CN" w:eastAsia="zh-CN" w:bidi="zh-CN"/>
      </w:rPr>
    </w:lvl>
  </w:abstractNum>
  <w:abstractNum w:abstractNumId="79">
    <w:nsid w:val="5FFFB1A7"/>
    <w:multiLevelType w:val="multilevel"/>
    <w:tmpl w:val="5FFFB1A7"/>
    <w:lvl w:ilvl="0" w:tentative="0">
      <w:start w:val="1"/>
      <w:numFmt w:val="lowerLetter"/>
      <w:lvlText w:val="%1."/>
      <w:lvlJc w:val="left"/>
      <w:pPr>
        <w:ind w:left="1144" w:hanging="303"/>
      </w:pPr>
      <w:rPr>
        <w:rFonts w:hint="default" w:ascii="Times New Roman" w:hAnsi="Times New Roman" w:eastAsia="Times New Roman" w:cs="Times New Roman"/>
        <w:spacing w:val="0"/>
        <w:w w:val="100"/>
        <w:sz w:val="24"/>
        <w:szCs w:val="24"/>
        <w:lang w:val="zh-CN" w:eastAsia="zh-CN" w:bidi="zh-CN"/>
      </w:rPr>
    </w:lvl>
    <w:lvl w:ilvl="1" w:tentative="0">
      <w:start w:val="0"/>
      <w:numFmt w:val="bullet"/>
      <w:lvlText w:val="•"/>
      <w:lvlJc w:val="left"/>
      <w:pPr>
        <w:ind w:left="2018" w:hanging="303"/>
      </w:pPr>
      <w:rPr>
        <w:rFonts w:hint="default"/>
        <w:lang w:val="zh-CN" w:eastAsia="zh-CN" w:bidi="zh-CN"/>
      </w:rPr>
    </w:lvl>
    <w:lvl w:ilvl="2" w:tentative="0">
      <w:start w:val="0"/>
      <w:numFmt w:val="bullet"/>
      <w:lvlText w:val="•"/>
      <w:lvlJc w:val="left"/>
      <w:pPr>
        <w:ind w:left="2897" w:hanging="303"/>
      </w:pPr>
      <w:rPr>
        <w:rFonts w:hint="default"/>
        <w:lang w:val="zh-CN" w:eastAsia="zh-CN" w:bidi="zh-CN"/>
      </w:rPr>
    </w:lvl>
    <w:lvl w:ilvl="3" w:tentative="0">
      <w:start w:val="0"/>
      <w:numFmt w:val="bullet"/>
      <w:lvlText w:val="•"/>
      <w:lvlJc w:val="left"/>
      <w:pPr>
        <w:ind w:left="3775" w:hanging="303"/>
      </w:pPr>
      <w:rPr>
        <w:rFonts w:hint="default"/>
        <w:lang w:val="zh-CN" w:eastAsia="zh-CN" w:bidi="zh-CN"/>
      </w:rPr>
    </w:lvl>
    <w:lvl w:ilvl="4" w:tentative="0">
      <w:start w:val="0"/>
      <w:numFmt w:val="bullet"/>
      <w:lvlText w:val="•"/>
      <w:lvlJc w:val="left"/>
      <w:pPr>
        <w:ind w:left="4654" w:hanging="303"/>
      </w:pPr>
      <w:rPr>
        <w:rFonts w:hint="default"/>
        <w:lang w:val="zh-CN" w:eastAsia="zh-CN" w:bidi="zh-CN"/>
      </w:rPr>
    </w:lvl>
    <w:lvl w:ilvl="5" w:tentative="0">
      <w:start w:val="0"/>
      <w:numFmt w:val="bullet"/>
      <w:lvlText w:val="•"/>
      <w:lvlJc w:val="left"/>
      <w:pPr>
        <w:ind w:left="5533" w:hanging="303"/>
      </w:pPr>
      <w:rPr>
        <w:rFonts w:hint="default"/>
        <w:lang w:val="zh-CN" w:eastAsia="zh-CN" w:bidi="zh-CN"/>
      </w:rPr>
    </w:lvl>
    <w:lvl w:ilvl="6" w:tentative="0">
      <w:start w:val="0"/>
      <w:numFmt w:val="bullet"/>
      <w:lvlText w:val="•"/>
      <w:lvlJc w:val="left"/>
      <w:pPr>
        <w:ind w:left="6411" w:hanging="303"/>
      </w:pPr>
      <w:rPr>
        <w:rFonts w:hint="default"/>
        <w:lang w:val="zh-CN" w:eastAsia="zh-CN" w:bidi="zh-CN"/>
      </w:rPr>
    </w:lvl>
    <w:lvl w:ilvl="7" w:tentative="0">
      <w:start w:val="0"/>
      <w:numFmt w:val="bullet"/>
      <w:lvlText w:val="•"/>
      <w:lvlJc w:val="left"/>
      <w:pPr>
        <w:ind w:left="7290" w:hanging="303"/>
      </w:pPr>
      <w:rPr>
        <w:rFonts w:hint="default"/>
        <w:lang w:val="zh-CN" w:eastAsia="zh-CN" w:bidi="zh-CN"/>
      </w:rPr>
    </w:lvl>
    <w:lvl w:ilvl="8" w:tentative="0">
      <w:start w:val="0"/>
      <w:numFmt w:val="bullet"/>
      <w:lvlText w:val="•"/>
      <w:lvlJc w:val="left"/>
      <w:pPr>
        <w:ind w:left="8169" w:hanging="303"/>
      </w:pPr>
      <w:rPr>
        <w:rFonts w:hint="default"/>
        <w:lang w:val="zh-CN" w:eastAsia="zh-CN" w:bidi="zh-CN"/>
      </w:rPr>
    </w:lvl>
  </w:abstractNum>
  <w:abstractNum w:abstractNumId="80">
    <w:nsid w:val="60382F6E"/>
    <w:multiLevelType w:val="multilevel"/>
    <w:tmpl w:val="60382F6E"/>
    <w:lvl w:ilvl="0" w:tentative="0">
      <w:start w:val="1"/>
      <w:numFmt w:val="decimal"/>
      <w:lvlText w:val="（%1）"/>
      <w:lvlJc w:val="left"/>
      <w:pPr>
        <w:ind w:left="223" w:hanging="624"/>
      </w:pPr>
      <w:rPr>
        <w:rFonts w:hint="default" w:ascii="宋体" w:hAnsi="宋体" w:eastAsia="宋体" w:cs="宋体"/>
        <w:spacing w:val="0"/>
        <w:w w:val="100"/>
        <w:sz w:val="22"/>
        <w:szCs w:val="22"/>
        <w:lang w:val="zh-CN" w:eastAsia="zh-CN" w:bidi="zh-CN"/>
      </w:rPr>
    </w:lvl>
    <w:lvl w:ilvl="1" w:tentative="0">
      <w:start w:val="1"/>
      <w:numFmt w:val="decimal"/>
      <w:lvlText w:val="%2）"/>
      <w:lvlJc w:val="left"/>
      <w:pPr>
        <w:ind w:left="1092" w:hanging="372"/>
      </w:pPr>
      <w:rPr>
        <w:rFonts w:hint="default" w:ascii="Times New Roman" w:hAnsi="Times New Roman" w:eastAsia="Times New Roman" w:cs="Times New Roman"/>
        <w:spacing w:val="4"/>
        <w:w w:val="100"/>
        <w:sz w:val="22"/>
        <w:szCs w:val="22"/>
        <w:lang w:val="zh-CN" w:eastAsia="zh-CN" w:bidi="zh-CN"/>
      </w:rPr>
    </w:lvl>
    <w:lvl w:ilvl="2" w:tentative="0">
      <w:start w:val="0"/>
      <w:numFmt w:val="bullet"/>
      <w:lvlText w:val="•"/>
      <w:lvlJc w:val="left"/>
      <w:pPr>
        <w:ind w:left="2080" w:hanging="372"/>
      </w:pPr>
      <w:rPr>
        <w:rFonts w:hint="default"/>
        <w:lang w:val="zh-CN" w:eastAsia="zh-CN" w:bidi="zh-CN"/>
      </w:rPr>
    </w:lvl>
    <w:lvl w:ilvl="3" w:tentative="0">
      <w:start w:val="0"/>
      <w:numFmt w:val="bullet"/>
      <w:lvlText w:val="•"/>
      <w:lvlJc w:val="left"/>
      <w:pPr>
        <w:ind w:left="3061" w:hanging="372"/>
      </w:pPr>
      <w:rPr>
        <w:rFonts w:hint="default"/>
        <w:lang w:val="zh-CN" w:eastAsia="zh-CN" w:bidi="zh-CN"/>
      </w:rPr>
    </w:lvl>
    <w:lvl w:ilvl="4" w:tentative="0">
      <w:start w:val="0"/>
      <w:numFmt w:val="bullet"/>
      <w:lvlText w:val="•"/>
      <w:lvlJc w:val="left"/>
      <w:pPr>
        <w:ind w:left="4042" w:hanging="372"/>
      </w:pPr>
      <w:rPr>
        <w:rFonts w:hint="default"/>
        <w:lang w:val="zh-CN" w:eastAsia="zh-CN" w:bidi="zh-CN"/>
      </w:rPr>
    </w:lvl>
    <w:lvl w:ilvl="5" w:tentative="0">
      <w:start w:val="0"/>
      <w:numFmt w:val="bullet"/>
      <w:lvlText w:val="•"/>
      <w:lvlJc w:val="left"/>
      <w:pPr>
        <w:ind w:left="5022" w:hanging="372"/>
      </w:pPr>
      <w:rPr>
        <w:rFonts w:hint="default"/>
        <w:lang w:val="zh-CN" w:eastAsia="zh-CN" w:bidi="zh-CN"/>
      </w:rPr>
    </w:lvl>
    <w:lvl w:ilvl="6" w:tentative="0">
      <w:start w:val="0"/>
      <w:numFmt w:val="bullet"/>
      <w:lvlText w:val="•"/>
      <w:lvlJc w:val="left"/>
      <w:pPr>
        <w:ind w:left="6003" w:hanging="372"/>
      </w:pPr>
      <w:rPr>
        <w:rFonts w:hint="default"/>
        <w:lang w:val="zh-CN" w:eastAsia="zh-CN" w:bidi="zh-CN"/>
      </w:rPr>
    </w:lvl>
    <w:lvl w:ilvl="7" w:tentative="0">
      <w:start w:val="0"/>
      <w:numFmt w:val="bullet"/>
      <w:lvlText w:val="•"/>
      <w:lvlJc w:val="left"/>
      <w:pPr>
        <w:ind w:left="6984" w:hanging="372"/>
      </w:pPr>
      <w:rPr>
        <w:rFonts w:hint="default"/>
        <w:lang w:val="zh-CN" w:eastAsia="zh-CN" w:bidi="zh-CN"/>
      </w:rPr>
    </w:lvl>
    <w:lvl w:ilvl="8" w:tentative="0">
      <w:start w:val="0"/>
      <w:numFmt w:val="bullet"/>
      <w:lvlText w:val="•"/>
      <w:lvlJc w:val="left"/>
      <w:pPr>
        <w:ind w:left="7964" w:hanging="372"/>
      </w:pPr>
      <w:rPr>
        <w:rFonts w:hint="default"/>
        <w:lang w:val="zh-CN" w:eastAsia="zh-CN" w:bidi="zh-CN"/>
      </w:rPr>
    </w:lvl>
  </w:abstractNum>
  <w:abstractNum w:abstractNumId="81">
    <w:nsid w:val="629F7852"/>
    <w:multiLevelType w:val="multilevel"/>
    <w:tmpl w:val="629F7852"/>
    <w:lvl w:ilvl="0" w:tentative="0">
      <w:start w:val="1"/>
      <w:numFmt w:val="decimal"/>
      <w:lvlText w:val="%1）"/>
      <w:lvlJc w:val="left"/>
      <w:pPr>
        <w:ind w:left="223" w:hanging="366"/>
      </w:pPr>
      <w:rPr>
        <w:rFonts w:hint="default" w:ascii="Times New Roman" w:hAnsi="Times New Roman" w:eastAsia="Times New Roman" w:cs="Times New Roman"/>
        <w:spacing w:val="-20"/>
        <w:w w:val="100"/>
        <w:sz w:val="22"/>
        <w:szCs w:val="22"/>
        <w:lang w:val="zh-CN" w:eastAsia="zh-CN" w:bidi="zh-CN"/>
      </w:rPr>
    </w:lvl>
    <w:lvl w:ilvl="1" w:tentative="0">
      <w:start w:val="0"/>
      <w:numFmt w:val="bullet"/>
      <w:lvlText w:val="•"/>
      <w:lvlJc w:val="left"/>
      <w:pPr>
        <w:ind w:left="1190" w:hanging="366"/>
      </w:pPr>
      <w:rPr>
        <w:rFonts w:hint="default"/>
        <w:lang w:val="zh-CN" w:eastAsia="zh-CN" w:bidi="zh-CN"/>
      </w:rPr>
    </w:lvl>
    <w:lvl w:ilvl="2" w:tentative="0">
      <w:start w:val="0"/>
      <w:numFmt w:val="bullet"/>
      <w:lvlText w:val="•"/>
      <w:lvlJc w:val="left"/>
      <w:pPr>
        <w:ind w:left="2161" w:hanging="366"/>
      </w:pPr>
      <w:rPr>
        <w:rFonts w:hint="default"/>
        <w:lang w:val="zh-CN" w:eastAsia="zh-CN" w:bidi="zh-CN"/>
      </w:rPr>
    </w:lvl>
    <w:lvl w:ilvl="3" w:tentative="0">
      <w:start w:val="0"/>
      <w:numFmt w:val="bullet"/>
      <w:lvlText w:val="•"/>
      <w:lvlJc w:val="left"/>
      <w:pPr>
        <w:ind w:left="3131" w:hanging="366"/>
      </w:pPr>
      <w:rPr>
        <w:rFonts w:hint="default"/>
        <w:lang w:val="zh-CN" w:eastAsia="zh-CN" w:bidi="zh-CN"/>
      </w:rPr>
    </w:lvl>
    <w:lvl w:ilvl="4" w:tentative="0">
      <w:start w:val="0"/>
      <w:numFmt w:val="bullet"/>
      <w:lvlText w:val="•"/>
      <w:lvlJc w:val="left"/>
      <w:pPr>
        <w:ind w:left="4102" w:hanging="366"/>
      </w:pPr>
      <w:rPr>
        <w:rFonts w:hint="default"/>
        <w:lang w:val="zh-CN" w:eastAsia="zh-CN" w:bidi="zh-CN"/>
      </w:rPr>
    </w:lvl>
    <w:lvl w:ilvl="5" w:tentative="0">
      <w:start w:val="0"/>
      <w:numFmt w:val="bullet"/>
      <w:lvlText w:val="•"/>
      <w:lvlJc w:val="left"/>
      <w:pPr>
        <w:ind w:left="5073" w:hanging="366"/>
      </w:pPr>
      <w:rPr>
        <w:rFonts w:hint="default"/>
        <w:lang w:val="zh-CN" w:eastAsia="zh-CN" w:bidi="zh-CN"/>
      </w:rPr>
    </w:lvl>
    <w:lvl w:ilvl="6" w:tentative="0">
      <w:start w:val="0"/>
      <w:numFmt w:val="bullet"/>
      <w:lvlText w:val="•"/>
      <w:lvlJc w:val="left"/>
      <w:pPr>
        <w:ind w:left="6043" w:hanging="366"/>
      </w:pPr>
      <w:rPr>
        <w:rFonts w:hint="default"/>
        <w:lang w:val="zh-CN" w:eastAsia="zh-CN" w:bidi="zh-CN"/>
      </w:rPr>
    </w:lvl>
    <w:lvl w:ilvl="7" w:tentative="0">
      <w:start w:val="0"/>
      <w:numFmt w:val="bullet"/>
      <w:lvlText w:val="•"/>
      <w:lvlJc w:val="left"/>
      <w:pPr>
        <w:ind w:left="7014" w:hanging="366"/>
      </w:pPr>
      <w:rPr>
        <w:rFonts w:hint="default"/>
        <w:lang w:val="zh-CN" w:eastAsia="zh-CN" w:bidi="zh-CN"/>
      </w:rPr>
    </w:lvl>
    <w:lvl w:ilvl="8" w:tentative="0">
      <w:start w:val="0"/>
      <w:numFmt w:val="bullet"/>
      <w:lvlText w:val="•"/>
      <w:lvlJc w:val="left"/>
      <w:pPr>
        <w:ind w:left="7985" w:hanging="366"/>
      </w:pPr>
      <w:rPr>
        <w:rFonts w:hint="default"/>
        <w:lang w:val="zh-CN" w:eastAsia="zh-CN" w:bidi="zh-CN"/>
      </w:rPr>
    </w:lvl>
  </w:abstractNum>
  <w:abstractNum w:abstractNumId="82">
    <w:nsid w:val="65CD0074"/>
    <w:multiLevelType w:val="multilevel"/>
    <w:tmpl w:val="65CD0074"/>
    <w:lvl w:ilvl="0" w:tentative="0">
      <w:start w:val="1"/>
      <w:numFmt w:val="lowerLetter"/>
      <w:lvlText w:val="%1."/>
      <w:lvlJc w:val="left"/>
      <w:pPr>
        <w:ind w:left="1144" w:hanging="303"/>
      </w:pPr>
      <w:rPr>
        <w:rFonts w:hint="default" w:ascii="Times New Roman" w:hAnsi="Times New Roman" w:eastAsia="Times New Roman" w:cs="Times New Roman"/>
        <w:spacing w:val="0"/>
        <w:w w:val="100"/>
        <w:sz w:val="24"/>
        <w:szCs w:val="24"/>
        <w:lang w:val="zh-CN" w:eastAsia="zh-CN" w:bidi="zh-CN"/>
      </w:rPr>
    </w:lvl>
    <w:lvl w:ilvl="1" w:tentative="0">
      <w:start w:val="0"/>
      <w:numFmt w:val="bullet"/>
      <w:lvlText w:val="•"/>
      <w:lvlJc w:val="left"/>
      <w:pPr>
        <w:ind w:left="2018" w:hanging="303"/>
      </w:pPr>
      <w:rPr>
        <w:rFonts w:hint="default"/>
        <w:lang w:val="zh-CN" w:eastAsia="zh-CN" w:bidi="zh-CN"/>
      </w:rPr>
    </w:lvl>
    <w:lvl w:ilvl="2" w:tentative="0">
      <w:start w:val="0"/>
      <w:numFmt w:val="bullet"/>
      <w:lvlText w:val="•"/>
      <w:lvlJc w:val="left"/>
      <w:pPr>
        <w:ind w:left="2897" w:hanging="303"/>
      </w:pPr>
      <w:rPr>
        <w:rFonts w:hint="default"/>
        <w:lang w:val="zh-CN" w:eastAsia="zh-CN" w:bidi="zh-CN"/>
      </w:rPr>
    </w:lvl>
    <w:lvl w:ilvl="3" w:tentative="0">
      <w:start w:val="0"/>
      <w:numFmt w:val="bullet"/>
      <w:lvlText w:val="•"/>
      <w:lvlJc w:val="left"/>
      <w:pPr>
        <w:ind w:left="3775" w:hanging="303"/>
      </w:pPr>
      <w:rPr>
        <w:rFonts w:hint="default"/>
        <w:lang w:val="zh-CN" w:eastAsia="zh-CN" w:bidi="zh-CN"/>
      </w:rPr>
    </w:lvl>
    <w:lvl w:ilvl="4" w:tentative="0">
      <w:start w:val="0"/>
      <w:numFmt w:val="bullet"/>
      <w:lvlText w:val="•"/>
      <w:lvlJc w:val="left"/>
      <w:pPr>
        <w:ind w:left="4654" w:hanging="303"/>
      </w:pPr>
      <w:rPr>
        <w:rFonts w:hint="default"/>
        <w:lang w:val="zh-CN" w:eastAsia="zh-CN" w:bidi="zh-CN"/>
      </w:rPr>
    </w:lvl>
    <w:lvl w:ilvl="5" w:tentative="0">
      <w:start w:val="0"/>
      <w:numFmt w:val="bullet"/>
      <w:lvlText w:val="•"/>
      <w:lvlJc w:val="left"/>
      <w:pPr>
        <w:ind w:left="5533" w:hanging="303"/>
      </w:pPr>
      <w:rPr>
        <w:rFonts w:hint="default"/>
        <w:lang w:val="zh-CN" w:eastAsia="zh-CN" w:bidi="zh-CN"/>
      </w:rPr>
    </w:lvl>
    <w:lvl w:ilvl="6" w:tentative="0">
      <w:start w:val="0"/>
      <w:numFmt w:val="bullet"/>
      <w:lvlText w:val="•"/>
      <w:lvlJc w:val="left"/>
      <w:pPr>
        <w:ind w:left="6411" w:hanging="303"/>
      </w:pPr>
      <w:rPr>
        <w:rFonts w:hint="default"/>
        <w:lang w:val="zh-CN" w:eastAsia="zh-CN" w:bidi="zh-CN"/>
      </w:rPr>
    </w:lvl>
    <w:lvl w:ilvl="7" w:tentative="0">
      <w:start w:val="0"/>
      <w:numFmt w:val="bullet"/>
      <w:lvlText w:val="•"/>
      <w:lvlJc w:val="left"/>
      <w:pPr>
        <w:ind w:left="7290" w:hanging="303"/>
      </w:pPr>
      <w:rPr>
        <w:rFonts w:hint="default"/>
        <w:lang w:val="zh-CN" w:eastAsia="zh-CN" w:bidi="zh-CN"/>
      </w:rPr>
    </w:lvl>
    <w:lvl w:ilvl="8" w:tentative="0">
      <w:start w:val="0"/>
      <w:numFmt w:val="bullet"/>
      <w:lvlText w:val="•"/>
      <w:lvlJc w:val="left"/>
      <w:pPr>
        <w:ind w:left="8169" w:hanging="303"/>
      </w:pPr>
      <w:rPr>
        <w:rFonts w:hint="default"/>
        <w:lang w:val="zh-CN" w:eastAsia="zh-CN" w:bidi="zh-CN"/>
      </w:rPr>
    </w:lvl>
  </w:abstractNum>
  <w:abstractNum w:abstractNumId="83">
    <w:nsid w:val="700FDCEF"/>
    <w:multiLevelType w:val="multilevel"/>
    <w:tmpl w:val="700FDCEF"/>
    <w:lvl w:ilvl="0" w:tentative="0">
      <w:start w:val="1"/>
      <w:numFmt w:val="decimal"/>
      <w:lvlText w:val="（%1）"/>
      <w:lvlJc w:val="left"/>
      <w:pPr>
        <w:ind w:left="223" w:hanging="608"/>
        <w:jc w:val="right"/>
      </w:pPr>
      <w:rPr>
        <w:rFonts w:hint="default" w:ascii="宋体" w:hAnsi="宋体" w:eastAsia="宋体" w:cs="宋体"/>
        <w:spacing w:val="0"/>
        <w:w w:val="100"/>
        <w:sz w:val="22"/>
        <w:szCs w:val="22"/>
        <w:lang w:val="zh-CN" w:eastAsia="zh-CN" w:bidi="zh-CN"/>
      </w:rPr>
    </w:lvl>
    <w:lvl w:ilvl="1" w:tentative="0">
      <w:start w:val="1"/>
      <w:numFmt w:val="decimal"/>
      <w:lvlText w:val="%2）"/>
      <w:lvlJc w:val="left"/>
      <w:pPr>
        <w:ind w:left="1064" w:hanging="361"/>
      </w:pPr>
      <w:rPr>
        <w:rFonts w:hint="default" w:ascii="宋体" w:hAnsi="宋体" w:eastAsia="宋体" w:cs="宋体"/>
        <w:w w:val="100"/>
        <w:sz w:val="22"/>
        <w:szCs w:val="22"/>
        <w:lang w:val="zh-CN" w:eastAsia="zh-CN" w:bidi="zh-CN"/>
      </w:rPr>
    </w:lvl>
    <w:lvl w:ilvl="2" w:tentative="0">
      <w:start w:val="0"/>
      <w:numFmt w:val="bullet"/>
      <w:lvlText w:val="•"/>
      <w:lvlJc w:val="left"/>
      <w:pPr>
        <w:ind w:left="2045" w:hanging="361"/>
      </w:pPr>
      <w:rPr>
        <w:rFonts w:hint="default"/>
        <w:lang w:val="zh-CN" w:eastAsia="zh-CN" w:bidi="zh-CN"/>
      </w:rPr>
    </w:lvl>
    <w:lvl w:ilvl="3" w:tentative="0">
      <w:start w:val="0"/>
      <w:numFmt w:val="bullet"/>
      <w:lvlText w:val="•"/>
      <w:lvlJc w:val="left"/>
      <w:pPr>
        <w:ind w:left="3030" w:hanging="361"/>
      </w:pPr>
      <w:rPr>
        <w:rFonts w:hint="default"/>
        <w:lang w:val="zh-CN" w:eastAsia="zh-CN" w:bidi="zh-CN"/>
      </w:rPr>
    </w:lvl>
    <w:lvl w:ilvl="4" w:tentative="0">
      <w:start w:val="0"/>
      <w:numFmt w:val="bullet"/>
      <w:lvlText w:val="•"/>
      <w:lvlJc w:val="left"/>
      <w:pPr>
        <w:ind w:left="4015" w:hanging="361"/>
      </w:pPr>
      <w:rPr>
        <w:rFonts w:hint="default"/>
        <w:lang w:val="zh-CN" w:eastAsia="zh-CN" w:bidi="zh-CN"/>
      </w:rPr>
    </w:lvl>
    <w:lvl w:ilvl="5" w:tentative="0">
      <w:start w:val="0"/>
      <w:numFmt w:val="bullet"/>
      <w:lvlText w:val="•"/>
      <w:lvlJc w:val="left"/>
      <w:pPr>
        <w:ind w:left="5000" w:hanging="361"/>
      </w:pPr>
      <w:rPr>
        <w:rFonts w:hint="default"/>
        <w:lang w:val="zh-CN" w:eastAsia="zh-CN" w:bidi="zh-CN"/>
      </w:rPr>
    </w:lvl>
    <w:lvl w:ilvl="6" w:tentative="0">
      <w:start w:val="0"/>
      <w:numFmt w:val="bullet"/>
      <w:lvlText w:val="•"/>
      <w:lvlJc w:val="left"/>
      <w:pPr>
        <w:ind w:left="5985" w:hanging="361"/>
      </w:pPr>
      <w:rPr>
        <w:rFonts w:hint="default"/>
        <w:lang w:val="zh-CN" w:eastAsia="zh-CN" w:bidi="zh-CN"/>
      </w:rPr>
    </w:lvl>
    <w:lvl w:ilvl="7" w:tentative="0">
      <w:start w:val="0"/>
      <w:numFmt w:val="bullet"/>
      <w:lvlText w:val="•"/>
      <w:lvlJc w:val="left"/>
      <w:pPr>
        <w:ind w:left="6970" w:hanging="361"/>
      </w:pPr>
      <w:rPr>
        <w:rFonts w:hint="default"/>
        <w:lang w:val="zh-CN" w:eastAsia="zh-CN" w:bidi="zh-CN"/>
      </w:rPr>
    </w:lvl>
    <w:lvl w:ilvl="8" w:tentative="0">
      <w:start w:val="0"/>
      <w:numFmt w:val="bullet"/>
      <w:lvlText w:val="•"/>
      <w:lvlJc w:val="left"/>
      <w:pPr>
        <w:ind w:left="7956" w:hanging="361"/>
      </w:pPr>
      <w:rPr>
        <w:rFonts w:hint="default"/>
        <w:lang w:val="zh-CN" w:eastAsia="zh-CN" w:bidi="zh-CN"/>
      </w:rPr>
    </w:lvl>
  </w:abstractNum>
  <w:abstractNum w:abstractNumId="84">
    <w:nsid w:val="74C28B35"/>
    <w:multiLevelType w:val="multilevel"/>
    <w:tmpl w:val="74C28B35"/>
    <w:lvl w:ilvl="0" w:tentative="0">
      <w:start w:val="1"/>
      <w:numFmt w:val="lowerLetter"/>
      <w:lvlText w:val="%1."/>
      <w:lvlJc w:val="left"/>
      <w:pPr>
        <w:ind w:left="1144" w:hanging="303"/>
      </w:pPr>
      <w:rPr>
        <w:rFonts w:hint="default" w:ascii="Times New Roman" w:hAnsi="Times New Roman" w:eastAsia="Times New Roman" w:cs="Times New Roman"/>
        <w:spacing w:val="0"/>
        <w:w w:val="100"/>
        <w:sz w:val="24"/>
        <w:szCs w:val="24"/>
        <w:lang w:val="zh-CN" w:eastAsia="zh-CN" w:bidi="zh-CN"/>
      </w:rPr>
    </w:lvl>
    <w:lvl w:ilvl="1" w:tentative="0">
      <w:start w:val="0"/>
      <w:numFmt w:val="bullet"/>
      <w:lvlText w:val="•"/>
      <w:lvlJc w:val="left"/>
      <w:pPr>
        <w:ind w:left="2018" w:hanging="303"/>
      </w:pPr>
      <w:rPr>
        <w:rFonts w:hint="default"/>
        <w:lang w:val="zh-CN" w:eastAsia="zh-CN" w:bidi="zh-CN"/>
      </w:rPr>
    </w:lvl>
    <w:lvl w:ilvl="2" w:tentative="0">
      <w:start w:val="0"/>
      <w:numFmt w:val="bullet"/>
      <w:lvlText w:val="•"/>
      <w:lvlJc w:val="left"/>
      <w:pPr>
        <w:ind w:left="2897" w:hanging="303"/>
      </w:pPr>
      <w:rPr>
        <w:rFonts w:hint="default"/>
        <w:lang w:val="zh-CN" w:eastAsia="zh-CN" w:bidi="zh-CN"/>
      </w:rPr>
    </w:lvl>
    <w:lvl w:ilvl="3" w:tentative="0">
      <w:start w:val="0"/>
      <w:numFmt w:val="bullet"/>
      <w:lvlText w:val="•"/>
      <w:lvlJc w:val="left"/>
      <w:pPr>
        <w:ind w:left="3775" w:hanging="303"/>
      </w:pPr>
      <w:rPr>
        <w:rFonts w:hint="default"/>
        <w:lang w:val="zh-CN" w:eastAsia="zh-CN" w:bidi="zh-CN"/>
      </w:rPr>
    </w:lvl>
    <w:lvl w:ilvl="4" w:tentative="0">
      <w:start w:val="0"/>
      <w:numFmt w:val="bullet"/>
      <w:lvlText w:val="•"/>
      <w:lvlJc w:val="left"/>
      <w:pPr>
        <w:ind w:left="4654" w:hanging="303"/>
      </w:pPr>
      <w:rPr>
        <w:rFonts w:hint="default"/>
        <w:lang w:val="zh-CN" w:eastAsia="zh-CN" w:bidi="zh-CN"/>
      </w:rPr>
    </w:lvl>
    <w:lvl w:ilvl="5" w:tentative="0">
      <w:start w:val="0"/>
      <w:numFmt w:val="bullet"/>
      <w:lvlText w:val="•"/>
      <w:lvlJc w:val="left"/>
      <w:pPr>
        <w:ind w:left="5533" w:hanging="303"/>
      </w:pPr>
      <w:rPr>
        <w:rFonts w:hint="default"/>
        <w:lang w:val="zh-CN" w:eastAsia="zh-CN" w:bidi="zh-CN"/>
      </w:rPr>
    </w:lvl>
    <w:lvl w:ilvl="6" w:tentative="0">
      <w:start w:val="0"/>
      <w:numFmt w:val="bullet"/>
      <w:lvlText w:val="•"/>
      <w:lvlJc w:val="left"/>
      <w:pPr>
        <w:ind w:left="6411" w:hanging="303"/>
      </w:pPr>
      <w:rPr>
        <w:rFonts w:hint="default"/>
        <w:lang w:val="zh-CN" w:eastAsia="zh-CN" w:bidi="zh-CN"/>
      </w:rPr>
    </w:lvl>
    <w:lvl w:ilvl="7" w:tentative="0">
      <w:start w:val="0"/>
      <w:numFmt w:val="bullet"/>
      <w:lvlText w:val="•"/>
      <w:lvlJc w:val="left"/>
      <w:pPr>
        <w:ind w:left="7290" w:hanging="303"/>
      </w:pPr>
      <w:rPr>
        <w:rFonts w:hint="default"/>
        <w:lang w:val="zh-CN" w:eastAsia="zh-CN" w:bidi="zh-CN"/>
      </w:rPr>
    </w:lvl>
    <w:lvl w:ilvl="8" w:tentative="0">
      <w:start w:val="0"/>
      <w:numFmt w:val="bullet"/>
      <w:lvlText w:val="•"/>
      <w:lvlJc w:val="left"/>
      <w:pPr>
        <w:ind w:left="8169" w:hanging="303"/>
      </w:pPr>
      <w:rPr>
        <w:rFonts w:hint="default"/>
        <w:lang w:val="zh-CN" w:eastAsia="zh-CN" w:bidi="zh-CN"/>
      </w:rPr>
    </w:lvl>
  </w:abstractNum>
  <w:abstractNum w:abstractNumId="85">
    <w:nsid w:val="77633216"/>
    <w:multiLevelType w:val="multilevel"/>
    <w:tmpl w:val="77633216"/>
    <w:lvl w:ilvl="0" w:tentative="0">
      <w:start w:val="1"/>
      <w:numFmt w:val="decimal"/>
      <w:lvlText w:val="（%1）"/>
      <w:lvlJc w:val="left"/>
      <w:pPr>
        <w:ind w:left="1184" w:hanging="601"/>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2054" w:hanging="601"/>
      </w:pPr>
      <w:rPr>
        <w:rFonts w:hint="default"/>
        <w:lang w:val="zh-CN" w:eastAsia="zh-CN" w:bidi="zh-CN"/>
      </w:rPr>
    </w:lvl>
    <w:lvl w:ilvl="2" w:tentative="0">
      <w:start w:val="0"/>
      <w:numFmt w:val="bullet"/>
      <w:lvlText w:val="•"/>
      <w:lvlJc w:val="left"/>
      <w:pPr>
        <w:ind w:left="2929" w:hanging="601"/>
      </w:pPr>
      <w:rPr>
        <w:rFonts w:hint="default"/>
        <w:lang w:val="zh-CN" w:eastAsia="zh-CN" w:bidi="zh-CN"/>
      </w:rPr>
    </w:lvl>
    <w:lvl w:ilvl="3" w:tentative="0">
      <w:start w:val="0"/>
      <w:numFmt w:val="bullet"/>
      <w:lvlText w:val="•"/>
      <w:lvlJc w:val="left"/>
      <w:pPr>
        <w:ind w:left="3803" w:hanging="601"/>
      </w:pPr>
      <w:rPr>
        <w:rFonts w:hint="default"/>
        <w:lang w:val="zh-CN" w:eastAsia="zh-CN" w:bidi="zh-CN"/>
      </w:rPr>
    </w:lvl>
    <w:lvl w:ilvl="4" w:tentative="0">
      <w:start w:val="0"/>
      <w:numFmt w:val="bullet"/>
      <w:lvlText w:val="•"/>
      <w:lvlJc w:val="left"/>
      <w:pPr>
        <w:ind w:left="4678" w:hanging="601"/>
      </w:pPr>
      <w:rPr>
        <w:rFonts w:hint="default"/>
        <w:lang w:val="zh-CN" w:eastAsia="zh-CN" w:bidi="zh-CN"/>
      </w:rPr>
    </w:lvl>
    <w:lvl w:ilvl="5" w:tentative="0">
      <w:start w:val="0"/>
      <w:numFmt w:val="bullet"/>
      <w:lvlText w:val="•"/>
      <w:lvlJc w:val="left"/>
      <w:pPr>
        <w:ind w:left="5553" w:hanging="601"/>
      </w:pPr>
      <w:rPr>
        <w:rFonts w:hint="default"/>
        <w:lang w:val="zh-CN" w:eastAsia="zh-CN" w:bidi="zh-CN"/>
      </w:rPr>
    </w:lvl>
    <w:lvl w:ilvl="6" w:tentative="0">
      <w:start w:val="0"/>
      <w:numFmt w:val="bullet"/>
      <w:lvlText w:val="•"/>
      <w:lvlJc w:val="left"/>
      <w:pPr>
        <w:ind w:left="6427" w:hanging="601"/>
      </w:pPr>
      <w:rPr>
        <w:rFonts w:hint="default"/>
        <w:lang w:val="zh-CN" w:eastAsia="zh-CN" w:bidi="zh-CN"/>
      </w:rPr>
    </w:lvl>
    <w:lvl w:ilvl="7" w:tentative="0">
      <w:start w:val="0"/>
      <w:numFmt w:val="bullet"/>
      <w:lvlText w:val="•"/>
      <w:lvlJc w:val="left"/>
      <w:pPr>
        <w:ind w:left="7302" w:hanging="601"/>
      </w:pPr>
      <w:rPr>
        <w:rFonts w:hint="default"/>
        <w:lang w:val="zh-CN" w:eastAsia="zh-CN" w:bidi="zh-CN"/>
      </w:rPr>
    </w:lvl>
    <w:lvl w:ilvl="8" w:tentative="0">
      <w:start w:val="0"/>
      <w:numFmt w:val="bullet"/>
      <w:lvlText w:val="•"/>
      <w:lvlJc w:val="left"/>
      <w:pPr>
        <w:ind w:left="8177" w:hanging="601"/>
      </w:pPr>
      <w:rPr>
        <w:rFonts w:hint="default"/>
        <w:lang w:val="zh-CN" w:eastAsia="zh-CN" w:bidi="zh-CN"/>
      </w:rPr>
    </w:lvl>
  </w:abstractNum>
  <w:abstractNum w:abstractNumId="86">
    <w:nsid w:val="77ECEA79"/>
    <w:multiLevelType w:val="multilevel"/>
    <w:tmpl w:val="77ECEA79"/>
    <w:lvl w:ilvl="0" w:tentative="0">
      <w:start w:val="1"/>
      <w:numFmt w:val="decimal"/>
      <w:lvlText w:val="%1）"/>
      <w:lvlJc w:val="left"/>
      <w:pPr>
        <w:ind w:left="223" w:hanging="366"/>
      </w:pPr>
      <w:rPr>
        <w:rFonts w:hint="default" w:ascii="Times New Roman" w:hAnsi="Times New Roman" w:eastAsia="Times New Roman" w:cs="Times New Roman"/>
        <w:spacing w:val="-20"/>
        <w:w w:val="100"/>
        <w:sz w:val="22"/>
        <w:szCs w:val="22"/>
        <w:lang w:val="zh-CN" w:eastAsia="zh-CN" w:bidi="zh-CN"/>
      </w:rPr>
    </w:lvl>
    <w:lvl w:ilvl="1" w:tentative="0">
      <w:start w:val="0"/>
      <w:numFmt w:val="bullet"/>
      <w:lvlText w:val="•"/>
      <w:lvlJc w:val="left"/>
      <w:pPr>
        <w:ind w:left="1190" w:hanging="366"/>
      </w:pPr>
      <w:rPr>
        <w:rFonts w:hint="default"/>
        <w:lang w:val="zh-CN" w:eastAsia="zh-CN" w:bidi="zh-CN"/>
      </w:rPr>
    </w:lvl>
    <w:lvl w:ilvl="2" w:tentative="0">
      <w:start w:val="0"/>
      <w:numFmt w:val="bullet"/>
      <w:lvlText w:val="•"/>
      <w:lvlJc w:val="left"/>
      <w:pPr>
        <w:ind w:left="2161" w:hanging="366"/>
      </w:pPr>
      <w:rPr>
        <w:rFonts w:hint="default"/>
        <w:lang w:val="zh-CN" w:eastAsia="zh-CN" w:bidi="zh-CN"/>
      </w:rPr>
    </w:lvl>
    <w:lvl w:ilvl="3" w:tentative="0">
      <w:start w:val="0"/>
      <w:numFmt w:val="bullet"/>
      <w:lvlText w:val="•"/>
      <w:lvlJc w:val="left"/>
      <w:pPr>
        <w:ind w:left="3131" w:hanging="366"/>
      </w:pPr>
      <w:rPr>
        <w:rFonts w:hint="default"/>
        <w:lang w:val="zh-CN" w:eastAsia="zh-CN" w:bidi="zh-CN"/>
      </w:rPr>
    </w:lvl>
    <w:lvl w:ilvl="4" w:tentative="0">
      <w:start w:val="0"/>
      <w:numFmt w:val="bullet"/>
      <w:lvlText w:val="•"/>
      <w:lvlJc w:val="left"/>
      <w:pPr>
        <w:ind w:left="4102" w:hanging="366"/>
      </w:pPr>
      <w:rPr>
        <w:rFonts w:hint="default"/>
        <w:lang w:val="zh-CN" w:eastAsia="zh-CN" w:bidi="zh-CN"/>
      </w:rPr>
    </w:lvl>
    <w:lvl w:ilvl="5" w:tentative="0">
      <w:start w:val="0"/>
      <w:numFmt w:val="bullet"/>
      <w:lvlText w:val="•"/>
      <w:lvlJc w:val="left"/>
      <w:pPr>
        <w:ind w:left="5073" w:hanging="366"/>
      </w:pPr>
      <w:rPr>
        <w:rFonts w:hint="default"/>
        <w:lang w:val="zh-CN" w:eastAsia="zh-CN" w:bidi="zh-CN"/>
      </w:rPr>
    </w:lvl>
    <w:lvl w:ilvl="6" w:tentative="0">
      <w:start w:val="0"/>
      <w:numFmt w:val="bullet"/>
      <w:lvlText w:val="•"/>
      <w:lvlJc w:val="left"/>
      <w:pPr>
        <w:ind w:left="6043" w:hanging="366"/>
      </w:pPr>
      <w:rPr>
        <w:rFonts w:hint="default"/>
        <w:lang w:val="zh-CN" w:eastAsia="zh-CN" w:bidi="zh-CN"/>
      </w:rPr>
    </w:lvl>
    <w:lvl w:ilvl="7" w:tentative="0">
      <w:start w:val="0"/>
      <w:numFmt w:val="bullet"/>
      <w:lvlText w:val="•"/>
      <w:lvlJc w:val="left"/>
      <w:pPr>
        <w:ind w:left="7014" w:hanging="366"/>
      </w:pPr>
      <w:rPr>
        <w:rFonts w:hint="default"/>
        <w:lang w:val="zh-CN" w:eastAsia="zh-CN" w:bidi="zh-CN"/>
      </w:rPr>
    </w:lvl>
    <w:lvl w:ilvl="8" w:tentative="0">
      <w:start w:val="0"/>
      <w:numFmt w:val="bullet"/>
      <w:lvlText w:val="•"/>
      <w:lvlJc w:val="left"/>
      <w:pPr>
        <w:ind w:left="7985" w:hanging="366"/>
      </w:pPr>
      <w:rPr>
        <w:rFonts w:hint="default"/>
        <w:lang w:val="zh-CN" w:eastAsia="zh-CN" w:bidi="zh-CN"/>
      </w:rPr>
    </w:lvl>
  </w:abstractNum>
  <w:abstractNum w:abstractNumId="87">
    <w:nsid w:val="79AA4FA4"/>
    <w:multiLevelType w:val="multilevel"/>
    <w:tmpl w:val="79AA4FA4"/>
    <w:lvl w:ilvl="0" w:tentative="0">
      <w:start w:val="1"/>
      <w:numFmt w:val="decimal"/>
      <w:lvlText w:val="%1）"/>
      <w:lvlJc w:val="left"/>
      <w:pPr>
        <w:ind w:left="1092" w:hanging="372"/>
      </w:pPr>
      <w:rPr>
        <w:rFonts w:hint="default" w:ascii="Times New Roman" w:hAnsi="Times New Roman" w:eastAsia="Times New Roman" w:cs="Times New Roman"/>
        <w:spacing w:val="4"/>
        <w:w w:val="100"/>
        <w:sz w:val="22"/>
        <w:szCs w:val="22"/>
        <w:lang w:val="zh-CN" w:eastAsia="zh-CN" w:bidi="zh-CN"/>
      </w:rPr>
    </w:lvl>
    <w:lvl w:ilvl="1" w:tentative="0">
      <w:start w:val="0"/>
      <w:numFmt w:val="bullet"/>
      <w:lvlText w:val="•"/>
      <w:lvlJc w:val="left"/>
      <w:pPr>
        <w:ind w:left="1982" w:hanging="372"/>
      </w:pPr>
      <w:rPr>
        <w:rFonts w:hint="default"/>
        <w:lang w:val="zh-CN" w:eastAsia="zh-CN" w:bidi="zh-CN"/>
      </w:rPr>
    </w:lvl>
    <w:lvl w:ilvl="2" w:tentative="0">
      <w:start w:val="0"/>
      <w:numFmt w:val="bullet"/>
      <w:lvlText w:val="•"/>
      <w:lvlJc w:val="left"/>
      <w:pPr>
        <w:ind w:left="2865" w:hanging="372"/>
      </w:pPr>
      <w:rPr>
        <w:rFonts w:hint="default"/>
        <w:lang w:val="zh-CN" w:eastAsia="zh-CN" w:bidi="zh-CN"/>
      </w:rPr>
    </w:lvl>
    <w:lvl w:ilvl="3" w:tentative="0">
      <w:start w:val="0"/>
      <w:numFmt w:val="bullet"/>
      <w:lvlText w:val="•"/>
      <w:lvlJc w:val="left"/>
      <w:pPr>
        <w:ind w:left="3747" w:hanging="372"/>
      </w:pPr>
      <w:rPr>
        <w:rFonts w:hint="default"/>
        <w:lang w:val="zh-CN" w:eastAsia="zh-CN" w:bidi="zh-CN"/>
      </w:rPr>
    </w:lvl>
    <w:lvl w:ilvl="4" w:tentative="0">
      <w:start w:val="0"/>
      <w:numFmt w:val="bullet"/>
      <w:lvlText w:val="•"/>
      <w:lvlJc w:val="left"/>
      <w:pPr>
        <w:ind w:left="4630" w:hanging="372"/>
      </w:pPr>
      <w:rPr>
        <w:rFonts w:hint="default"/>
        <w:lang w:val="zh-CN" w:eastAsia="zh-CN" w:bidi="zh-CN"/>
      </w:rPr>
    </w:lvl>
    <w:lvl w:ilvl="5" w:tentative="0">
      <w:start w:val="0"/>
      <w:numFmt w:val="bullet"/>
      <w:lvlText w:val="•"/>
      <w:lvlJc w:val="left"/>
      <w:pPr>
        <w:ind w:left="5513" w:hanging="372"/>
      </w:pPr>
      <w:rPr>
        <w:rFonts w:hint="default"/>
        <w:lang w:val="zh-CN" w:eastAsia="zh-CN" w:bidi="zh-CN"/>
      </w:rPr>
    </w:lvl>
    <w:lvl w:ilvl="6" w:tentative="0">
      <w:start w:val="0"/>
      <w:numFmt w:val="bullet"/>
      <w:lvlText w:val="•"/>
      <w:lvlJc w:val="left"/>
      <w:pPr>
        <w:ind w:left="6395" w:hanging="372"/>
      </w:pPr>
      <w:rPr>
        <w:rFonts w:hint="default"/>
        <w:lang w:val="zh-CN" w:eastAsia="zh-CN" w:bidi="zh-CN"/>
      </w:rPr>
    </w:lvl>
    <w:lvl w:ilvl="7" w:tentative="0">
      <w:start w:val="0"/>
      <w:numFmt w:val="bullet"/>
      <w:lvlText w:val="•"/>
      <w:lvlJc w:val="left"/>
      <w:pPr>
        <w:ind w:left="7278" w:hanging="372"/>
      </w:pPr>
      <w:rPr>
        <w:rFonts w:hint="default"/>
        <w:lang w:val="zh-CN" w:eastAsia="zh-CN" w:bidi="zh-CN"/>
      </w:rPr>
    </w:lvl>
    <w:lvl w:ilvl="8" w:tentative="0">
      <w:start w:val="0"/>
      <w:numFmt w:val="bullet"/>
      <w:lvlText w:val="•"/>
      <w:lvlJc w:val="left"/>
      <w:pPr>
        <w:ind w:left="8161" w:hanging="372"/>
      </w:pPr>
      <w:rPr>
        <w:rFonts w:hint="default"/>
        <w:lang w:val="zh-CN" w:eastAsia="zh-CN" w:bidi="zh-CN"/>
      </w:rPr>
    </w:lvl>
  </w:abstractNum>
  <w:abstractNum w:abstractNumId="88">
    <w:nsid w:val="7C246926"/>
    <w:multiLevelType w:val="multilevel"/>
    <w:tmpl w:val="7C246926"/>
    <w:lvl w:ilvl="0" w:tentative="0">
      <w:start w:val="1"/>
      <w:numFmt w:val="decimal"/>
      <w:lvlText w:val="%1）"/>
      <w:lvlJc w:val="left"/>
      <w:pPr>
        <w:ind w:left="1092" w:hanging="372"/>
      </w:pPr>
      <w:rPr>
        <w:rFonts w:hint="default" w:ascii="Times New Roman" w:hAnsi="Times New Roman" w:eastAsia="Times New Roman" w:cs="Times New Roman"/>
        <w:spacing w:val="4"/>
        <w:w w:val="100"/>
        <w:sz w:val="22"/>
        <w:szCs w:val="22"/>
        <w:lang w:val="zh-CN" w:eastAsia="zh-CN" w:bidi="zh-CN"/>
      </w:rPr>
    </w:lvl>
    <w:lvl w:ilvl="1" w:tentative="0">
      <w:start w:val="0"/>
      <w:numFmt w:val="bullet"/>
      <w:lvlText w:val="•"/>
      <w:lvlJc w:val="left"/>
      <w:pPr>
        <w:ind w:left="1982" w:hanging="372"/>
      </w:pPr>
      <w:rPr>
        <w:rFonts w:hint="default"/>
        <w:lang w:val="zh-CN" w:eastAsia="zh-CN" w:bidi="zh-CN"/>
      </w:rPr>
    </w:lvl>
    <w:lvl w:ilvl="2" w:tentative="0">
      <w:start w:val="0"/>
      <w:numFmt w:val="bullet"/>
      <w:lvlText w:val="•"/>
      <w:lvlJc w:val="left"/>
      <w:pPr>
        <w:ind w:left="2865" w:hanging="372"/>
      </w:pPr>
      <w:rPr>
        <w:rFonts w:hint="default"/>
        <w:lang w:val="zh-CN" w:eastAsia="zh-CN" w:bidi="zh-CN"/>
      </w:rPr>
    </w:lvl>
    <w:lvl w:ilvl="3" w:tentative="0">
      <w:start w:val="0"/>
      <w:numFmt w:val="bullet"/>
      <w:lvlText w:val="•"/>
      <w:lvlJc w:val="left"/>
      <w:pPr>
        <w:ind w:left="3747" w:hanging="372"/>
      </w:pPr>
      <w:rPr>
        <w:rFonts w:hint="default"/>
        <w:lang w:val="zh-CN" w:eastAsia="zh-CN" w:bidi="zh-CN"/>
      </w:rPr>
    </w:lvl>
    <w:lvl w:ilvl="4" w:tentative="0">
      <w:start w:val="0"/>
      <w:numFmt w:val="bullet"/>
      <w:lvlText w:val="•"/>
      <w:lvlJc w:val="left"/>
      <w:pPr>
        <w:ind w:left="4630" w:hanging="372"/>
      </w:pPr>
      <w:rPr>
        <w:rFonts w:hint="default"/>
        <w:lang w:val="zh-CN" w:eastAsia="zh-CN" w:bidi="zh-CN"/>
      </w:rPr>
    </w:lvl>
    <w:lvl w:ilvl="5" w:tentative="0">
      <w:start w:val="0"/>
      <w:numFmt w:val="bullet"/>
      <w:lvlText w:val="•"/>
      <w:lvlJc w:val="left"/>
      <w:pPr>
        <w:ind w:left="5513" w:hanging="372"/>
      </w:pPr>
      <w:rPr>
        <w:rFonts w:hint="default"/>
        <w:lang w:val="zh-CN" w:eastAsia="zh-CN" w:bidi="zh-CN"/>
      </w:rPr>
    </w:lvl>
    <w:lvl w:ilvl="6" w:tentative="0">
      <w:start w:val="0"/>
      <w:numFmt w:val="bullet"/>
      <w:lvlText w:val="•"/>
      <w:lvlJc w:val="left"/>
      <w:pPr>
        <w:ind w:left="6395" w:hanging="372"/>
      </w:pPr>
      <w:rPr>
        <w:rFonts w:hint="default"/>
        <w:lang w:val="zh-CN" w:eastAsia="zh-CN" w:bidi="zh-CN"/>
      </w:rPr>
    </w:lvl>
    <w:lvl w:ilvl="7" w:tentative="0">
      <w:start w:val="0"/>
      <w:numFmt w:val="bullet"/>
      <w:lvlText w:val="•"/>
      <w:lvlJc w:val="left"/>
      <w:pPr>
        <w:ind w:left="7278" w:hanging="372"/>
      </w:pPr>
      <w:rPr>
        <w:rFonts w:hint="default"/>
        <w:lang w:val="zh-CN" w:eastAsia="zh-CN" w:bidi="zh-CN"/>
      </w:rPr>
    </w:lvl>
    <w:lvl w:ilvl="8" w:tentative="0">
      <w:start w:val="0"/>
      <w:numFmt w:val="bullet"/>
      <w:lvlText w:val="•"/>
      <w:lvlJc w:val="left"/>
      <w:pPr>
        <w:ind w:left="8161" w:hanging="372"/>
      </w:pPr>
      <w:rPr>
        <w:rFonts w:hint="default"/>
        <w:lang w:val="zh-CN" w:eastAsia="zh-CN" w:bidi="zh-CN"/>
      </w:rPr>
    </w:lvl>
  </w:abstractNum>
  <w:abstractNum w:abstractNumId="89">
    <w:nsid w:val="7DEC2089"/>
    <w:multiLevelType w:val="multilevel"/>
    <w:tmpl w:val="7DEC2089"/>
    <w:lvl w:ilvl="0" w:tentative="0">
      <w:start w:val="1"/>
      <w:numFmt w:val="decimal"/>
      <w:lvlText w:val="%1）"/>
      <w:lvlJc w:val="left"/>
      <w:pPr>
        <w:ind w:left="1092" w:hanging="372"/>
      </w:pPr>
      <w:rPr>
        <w:rFonts w:hint="default" w:ascii="Times New Roman" w:hAnsi="Times New Roman" w:eastAsia="Times New Roman" w:cs="Times New Roman"/>
        <w:spacing w:val="4"/>
        <w:w w:val="100"/>
        <w:sz w:val="22"/>
        <w:szCs w:val="22"/>
        <w:lang w:val="zh-CN" w:eastAsia="zh-CN" w:bidi="zh-CN"/>
      </w:rPr>
    </w:lvl>
    <w:lvl w:ilvl="1" w:tentative="0">
      <w:start w:val="0"/>
      <w:numFmt w:val="bullet"/>
      <w:lvlText w:val="•"/>
      <w:lvlJc w:val="left"/>
      <w:pPr>
        <w:ind w:left="1982" w:hanging="372"/>
      </w:pPr>
      <w:rPr>
        <w:rFonts w:hint="default"/>
        <w:lang w:val="zh-CN" w:eastAsia="zh-CN" w:bidi="zh-CN"/>
      </w:rPr>
    </w:lvl>
    <w:lvl w:ilvl="2" w:tentative="0">
      <w:start w:val="0"/>
      <w:numFmt w:val="bullet"/>
      <w:lvlText w:val="•"/>
      <w:lvlJc w:val="left"/>
      <w:pPr>
        <w:ind w:left="2865" w:hanging="372"/>
      </w:pPr>
      <w:rPr>
        <w:rFonts w:hint="default"/>
        <w:lang w:val="zh-CN" w:eastAsia="zh-CN" w:bidi="zh-CN"/>
      </w:rPr>
    </w:lvl>
    <w:lvl w:ilvl="3" w:tentative="0">
      <w:start w:val="0"/>
      <w:numFmt w:val="bullet"/>
      <w:lvlText w:val="•"/>
      <w:lvlJc w:val="left"/>
      <w:pPr>
        <w:ind w:left="3747" w:hanging="372"/>
      </w:pPr>
      <w:rPr>
        <w:rFonts w:hint="default"/>
        <w:lang w:val="zh-CN" w:eastAsia="zh-CN" w:bidi="zh-CN"/>
      </w:rPr>
    </w:lvl>
    <w:lvl w:ilvl="4" w:tentative="0">
      <w:start w:val="0"/>
      <w:numFmt w:val="bullet"/>
      <w:lvlText w:val="•"/>
      <w:lvlJc w:val="left"/>
      <w:pPr>
        <w:ind w:left="4630" w:hanging="372"/>
      </w:pPr>
      <w:rPr>
        <w:rFonts w:hint="default"/>
        <w:lang w:val="zh-CN" w:eastAsia="zh-CN" w:bidi="zh-CN"/>
      </w:rPr>
    </w:lvl>
    <w:lvl w:ilvl="5" w:tentative="0">
      <w:start w:val="0"/>
      <w:numFmt w:val="bullet"/>
      <w:lvlText w:val="•"/>
      <w:lvlJc w:val="left"/>
      <w:pPr>
        <w:ind w:left="5513" w:hanging="372"/>
      </w:pPr>
      <w:rPr>
        <w:rFonts w:hint="default"/>
        <w:lang w:val="zh-CN" w:eastAsia="zh-CN" w:bidi="zh-CN"/>
      </w:rPr>
    </w:lvl>
    <w:lvl w:ilvl="6" w:tentative="0">
      <w:start w:val="0"/>
      <w:numFmt w:val="bullet"/>
      <w:lvlText w:val="•"/>
      <w:lvlJc w:val="left"/>
      <w:pPr>
        <w:ind w:left="6395" w:hanging="372"/>
      </w:pPr>
      <w:rPr>
        <w:rFonts w:hint="default"/>
        <w:lang w:val="zh-CN" w:eastAsia="zh-CN" w:bidi="zh-CN"/>
      </w:rPr>
    </w:lvl>
    <w:lvl w:ilvl="7" w:tentative="0">
      <w:start w:val="0"/>
      <w:numFmt w:val="bullet"/>
      <w:lvlText w:val="•"/>
      <w:lvlJc w:val="left"/>
      <w:pPr>
        <w:ind w:left="7278" w:hanging="372"/>
      </w:pPr>
      <w:rPr>
        <w:rFonts w:hint="default"/>
        <w:lang w:val="zh-CN" w:eastAsia="zh-CN" w:bidi="zh-CN"/>
      </w:rPr>
    </w:lvl>
    <w:lvl w:ilvl="8" w:tentative="0">
      <w:start w:val="0"/>
      <w:numFmt w:val="bullet"/>
      <w:lvlText w:val="•"/>
      <w:lvlJc w:val="left"/>
      <w:pPr>
        <w:ind w:left="8161" w:hanging="372"/>
      </w:pPr>
      <w:rPr>
        <w:rFonts w:hint="default"/>
        <w:lang w:val="zh-CN" w:eastAsia="zh-CN" w:bidi="zh-CN"/>
      </w:rPr>
    </w:lvl>
  </w:abstractNum>
  <w:num w:numId="1">
    <w:abstractNumId w:val="67"/>
  </w:num>
  <w:num w:numId="2">
    <w:abstractNumId w:val="29"/>
  </w:num>
  <w:num w:numId="3">
    <w:abstractNumId w:val="75"/>
  </w:num>
  <w:num w:numId="4">
    <w:abstractNumId w:val="19"/>
  </w:num>
  <w:num w:numId="5">
    <w:abstractNumId w:val="42"/>
  </w:num>
  <w:num w:numId="6">
    <w:abstractNumId w:val="6"/>
  </w:num>
  <w:num w:numId="7">
    <w:abstractNumId w:val="57"/>
  </w:num>
  <w:num w:numId="8">
    <w:abstractNumId w:val="77"/>
  </w:num>
  <w:num w:numId="9">
    <w:abstractNumId w:val="28"/>
  </w:num>
  <w:num w:numId="10">
    <w:abstractNumId w:val="72"/>
  </w:num>
  <w:num w:numId="11">
    <w:abstractNumId w:val="38"/>
  </w:num>
  <w:num w:numId="12">
    <w:abstractNumId w:val="56"/>
  </w:num>
  <w:num w:numId="13">
    <w:abstractNumId w:val="33"/>
  </w:num>
  <w:num w:numId="14">
    <w:abstractNumId w:val="31"/>
  </w:num>
  <w:num w:numId="15">
    <w:abstractNumId w:val="10"/>
  </w:num>
  <w:num w:numId="16">
    <w:abstractNumId w:val="70"/>
  </w:num>
  <w:num w:numId="17">
    <w:abstractNumId w:val="80"/>
  </w:num>
  <w:num w:numId="18">
    <w:abstractNumId w:val="46"/>
  </w:num>
  <w:num w:numId="19">
    <w:abstractNumId w:val="69"/>
  </w:num>
  <w:num w:numId="20">
    <w:abstractNumId w:val="16"/>
  </w:num>
  <w:num w:numId="21">
    <w:abstractNumId w:val="88"/>
  </w:num>
  <w:num w:numId="22">
    <w:abstractNumId w:val="86"/>
  </w:num>
  <w:num w:numId="23">
    <w:abstractNumId w:val="25"/>
  </w:num>
  <w:num w:numId="24">
    <w:abstractNumId w:val="81"/>
  </w:num>
  <w:num w:numId="25">
    <w:abstractNumId w:val="7"/>
  </w:num>
  <w:num w:numId="26">
    <w:abstractNumId w:val="65"/>
  </w:num>
  <w:num w:numId="27">
    <w:abstractNumId w:val="2"/>
  </w:num>
  <w:num w:numId="28">
    <w:abstractNumId w:val="74"/>
  </w:num>
  <w:num w:numId="29">
    <w:abstractNumId w:val="89"/>
  </w:num>
  <w:num w:numId="30">
    <w:abstractNumId w:val="0"/>
  </w:num>
  <w:num w:numId="31">
    <w:abstractNumId w:val="55"/>
  </w:num>
  <w:num w:numId="32">
    <w:abstractNumId w:val="73"/>
  </w:num>
  <w:num w:numId="33">
    <w:abstractNumId w:val="40"/>
  </w:num>
  <w:num w:numId="34">
    <w:abstractNumId w:val="34"/>
  </w:num>
  <w:num w:numId="35">
    <w:abstractNumId w:val="60"/>
  </w:num>
  <w:num w:numId="36">
    <w:abstractNumId w:val="87"/>
  </w:num>
  <w:num w:numId="37">
    <w:abstractNumId w:val="22"/>
  </w:num>
  <w:num w:numId="38">
    <w:abstractNumId w:val="4"/>
  </w:num>
  <w:num w:numId="39">
    <w:abstractNumId w:val="21"/>
  </w:num>
  <w:num w:numId="40">
    <w:abstractNumId w:val="78"/>
  </w:num>
  <w:num w:numId="41">
    <w:abstractNumId w:val="1"/>
  </w:num>
  <w:num w:numId="42">
    <w:abstractNumId w:val="51"/>
  </w:num>
  <w:num w:numId="43">
    <w:abstractNumId w:val="3"/>
  </w:num>
  <w:num w:numId="44">
    <w:abstractNumId w:val="79"/>
  </w:num>
  <w:num w:numId="45">
    <w:abstractNumId w:val="84"/>
  </w:num>
  <w:num w:numId="46">
    <w:abstractNumId w:val="71"/>
  </w:num>
  <w:num w:numId="47">
    <w:abstractNumId w:val="61"/>
  </w:num>
  <w:num w:numId="48">
    <w:abstractNumId w:val="82"/>
  </w:num>
  <w:num w:numId="49">
    <w:abstractNumId w:val="44"/>
  </w:num>
  <w:num w:numId="50">
    <w:abstractNumId w:val="45"/>
  </w:num>
  <w:num w:numId="51">
    <w:abstractNumId w:val="30"/>
  </w:num>
  <w:num w:numId="52">
    <w:abstractNumId w:val="62"/>
  </w:num>
  <w:num w:numId="53">
    <w:abstractNumId w:val="53"/>
  </w:num>
  <w:num w:numId="54">
    <w:abstractNumId w:val="37"/>
  </w:num>
  <w:num w:numId="55">
    <w:abstractNumId w:val="54"/>
  </w:num>
  <w:num w:numId="56">
    <w:abstractNumId w:val="18"/>
  </w:num>
  <w:num w:numId="57">
    <w:abstractNumId w:val="68"/>
  </w:num>
  <w:num w:numId="58">
    <w:abstractNumId w:val="47"/>
  </w:num>
  <w:num w:numId="59">
    <w:abstractNumId w:val="64"/>
  </w:num>
  <w:num w:numId="60">
    <w:abstractNumId w:val="43"/>
  </w:num>
  <w:num w:numId="61">
    <w:abstractNumId w:val="26"/>
  </w:num>
  <w:num w:numId="62">
    <w:abstractNumId w:val="48"/>
  </w:num>
  <w:num w:numId="63">
    <w:abstractNumId w:val="17"/>
  </w:num>
  <w:num w:numId="64">
    <w:abstractNumId w:val="66"/>
  </w:num>
  <w:num w:numId="65">
    <w:abstractNumId w:val="13"/>
  </w:num>
  <w:num w:numId="66">
    <w:abstractNumId w:val="39"/>
  </w:num>
  <w:num w:numId="67">
    <w:abstractNumId w:val="59"/>
  </w:num>
  <w:num w:numId="68">
    <w:abstractNumId w:val="41"/>
  </w:num>
  <w:num w:numId="69">
    <w:abstractNumId w:val="50"/>
  </w:num>
  <w:num w:numId="70">
    <w:abstractNumId w:val="83"/>
  </w:num>
  <w:num w:numId="71">
    <w:abstractNumId w:val="35"/>
  </w:num>
  <w:num w:numId="72">
    <w:abstractNumId w:val="27"/>
  </w:num>
  <w:num w:numId="73">
    <w:abstractNumId w:val="12"/>
  </w:num>
  <w:num w:numId="74">
    <w:abstractNumId w:val="85"/>
  </w:num>
  <w:num w:numId="75">
    <w:abstractNumId w:val="32"/>
  </w:num>
  <w:num w:numId="76">
    <w:abstractNumId w:val="20"/>
  </w:num>
  <w:num w:numId="77">
    <w:abstractNumId w:val="58"/>
  </w:num>
  <w:num w:numId="78">
    <w:abstractNumId w:val="36"/>
  </w:num>
  <w:num w:numId="79">
    <w:abstractNumId w:val="9"/>
  </w:num>
  <w:num w:numId="80">
    <w:abstractNumId w:val="76"/>
  </w:num>
  <w:num w:numId="81">
    <w:abstractNumId w:val="23"/>
  </w:num>
  <w:num w:numId="82">
    <w:abstractNumId w:val="15"/>
  </w:num>
  <w:num w:numId="83">
    <w:abstractNumId w:val="8"/>
  </w:num>
  <w:num w:numId="84">
    <w:abstractNumId w:val="11"/>
  </w:num>
  <w:num w:numId="85">
    <w:abstractNumId w:val="14"/>
  </w:num>
  <w:num w:numId="86">
    <w:abstractNumId w:val="5"/>
  </w:num>
  <w:num w:numId="87">
    <w:abstractNumId w:val="52"/>
  </w:num>
  <w:num w:numId="88">
    <w:abstractNumId w:val="24"/>
  </w:num>
  <w:num w:numId="89">
    <w:abstractNumId w:val="49"/>
  </w:num>
  <w:num w:numId="90">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Y2NlOGZmNjYwZDYwNWVjNWJlNGQxOTA2ODBiYTYifQ=="/>
  </w:docVars>
  <w:rsids>
    <w:rsidRoot w:val="000034A1"/>
    <w:rsid w:val="000034A1"/>
    <w:rsid w:val="0004253E"/>
    <w:rsid w:val="0004369B"/>
    <w:rsid w:val="000C4DF1"/>
    <w:rsid w:val="00114E6E"/>
    <w:rsid w:val="001721E4"/>
    <w:rsid w:val="001B29D7"/>
    <w:rsid w:val="001C7AC6"/>
    <w:rsid w:val="0021359C"/>
    <w:rsid w:val="00247013"/>
    <w:rsid w:val="002B6236"/>
    <w:rsid w:val="002D2389"/>
    <w:rsid w:val="003108A9"/>
    <w:rsid w:val="00350B41"/>
    <w:rsid w:val="00366CE9"/>
    <w:rsid w:val="004433A2"/>
    <w:rsid w:val="00456710"/>
    <w:rsid w:val="004809F5"/>
    <w:rsid w:val="004F2A54"/>
    <w:rsid w:val="00507EAB"/>
    <w:rsid w:val="00545F5E"/>
    <w:rsid w:val="0055215F"/>
    <w:rsid w:val="00573A81"/>
    <w:rsid w:val="005864EF"/>
    <w:rsid w:val="006A3A5D"/>
    <w:rsid w:val="006E7D42"/>
    <w:rsid w:val="007002A8"/>
    <w:rsid w:val="00754CB1"/>
    <w:rsid w:val="007767D1"/>
    <w:rsid w:val="007776F6"/>
    <w:rsid w:val="00830E9E"/>
    <w:rsid w:val="00841371"/>
    <w:rsid w:val="00843700"/>
    <w:rsid w:val="0088325C"/>
    <w:rsid w:val="008D59A9"/>
    <w:rsid w:val="008F2C7F"/>
    <w:rsid w:val="00944E85"/>
    <w:rsid w:val="009B07A7"/>
    <w:rsid w:val="009B2A68"/>
    <w:rsid w:val="009B5E85"/>
    <w:rsid w:val="009D7CF5"/>
    <w:rsid w:val="009E58F6"/>
    <w:rsid w:val="009F0761"/>
    <w:rsid w:val="009F500A"/>
    <w:rsid w:val="00A1757C"/>
    <w:rsid w:val="00A471E6"/>
    <w:rsid w:val="00A848D4"/>
    <w:rsid w:val="00AA2573"/>
    <w:rsid w:val="00AB7F21"/>
    <w:rsid w:val="00AC7872"/>
    <w:rsid w:val="00B41C8D"/>
    <w:rsid w:val="00B42990"/>
    <w:rsid w:val="00B44B4F"/>
    <w:rsid w:val="00BB4540"/>
    <w:rsid w:val="00BD1B7A"/>
    <w:rsid w:val="00BD278C"/>
    <w:rsid w:val="00C26469"/>
    <w:rsid w:val="00C54090"/>
    <w:rsid w:val="00CB2BE7"/>
    <w:rsid w:val="00CC2341"/>
    <w:rsid w:val="00CC34D9"/>
    <w:rsid w:val="00CD6C09"/>
    <w:rsid w:val="00D42BA8"/>
    <w:rsid w:val="00DB7414"/>
    <w:rsid w:val="00DD427D"/>
    <w:rsid w:val="00DE5BDB"/>
    <w:rsid w:val="00E06275"/>
    <w:rsid w:val="00E457E0"/>
    <w:rsid w:val="00E75DFE"/>
    <w:rsid w:val="00EF66C4"/>
    <w:rsid w:val="00F26E90"/>
    <w:rsid w:val="00FC176F"/>
    <w:rsid w:val="02285FAA"/>
    <w:rsid w:val="03440C49"/>
    <w:rsid w:val="043B6250"/>
    <w:rsid w:val="0441393B"/>
    <w:rsid w:val="044458C9"/>
    <w:rsid w:val="092160FB"/>
    <w:rsid w:val="09E85885"/>
    <w:rsid w:val="09EC6D27"/>
    <w:rsid w:val="0DE40F4F"/>
    <w:rsid w:val="0FBA2232"/>
    <w:rsid w:val="0FF22FBF"/>
    <w:rsid w:val="12A35FFF"/>
    <w:rsid w:val="18454E79"/>
    <w:rsid w:val="1EBC59CA"/>
    <w:rsid w:val="20C048A2"/>
    <w:rsid w:val="21F6558A"/>
    <w:rsid w:val="2232596A"/>
    <w:rsid w:val="24CD6713"/>
    <w:rsid w:val="27CC4B71"/>
    <w:rsid w:val="28537F15"/>
    <w:rsid w:val="28723F32"/>
    <w:rsid w:val="289A1F1E"/>
    <w:rsid w:val="2B88133A"/>
    <w:rsid w:val="2D810AC1"/>
    <w:rsid w:val="2D841BCF"/>
    <w:rsid w:val="2D895BE7"/>
    <w:rsid w:val="2E4D4EDE"/>
    <w:rsid w:val="329B2C96"/>
    <w:rsid w:val="32AA0FFB"/>
    <w:rsid w:val="3640433B"/>
    <w:rsid w:val="376E7343"/>
    <w:rsid w:val="37B678C7"/>
    <w:rsid w:val="3A6164C2"/>
    <w:rsid w:val="3B536E7C"/>
    <w:rsid w:val="3C054C3E"/>
    <w:rsid w:val="3C4A67C1"/>
    <w:rsid w:val="3C885F88"/>
    <w:rsid w:val="3CED205A"/>
    <w:rsid w:val="3D4B1C84"/>
    <w:rsid w:val="3D895F40"/>
    <w:rsid w:val="40D729F1"/>
    <w:rsid w:val="42521512"/>
    <w:rsid w:val="42EA3D37"/>
    <w:rsid w:val="438A07E3"/>
    <w:rsid w:val="453E0F20"/>
    <w:rsid w:val="466968E4"/>
    <w:rsid w:val="47076667"/>
    <w:rsid w:val="478812DD"/>
    <w:rsid w:val="49535068"/>
    <w:rsid w:val="4C0175BB"/>
    <w:rsid w:val="4C094288"/>
    <w:rsid w:val="4CED6A55"/>
    <w:rsid w:val="4EBA0D1A"/>
    <w:rsid w:val="53FF36BB"/>
    <w:rsid w:val="54916EF8"/>
    <w:rsid w:val="555B07E4"/>
    <w:rsid w:val="557E293A"/>
    <w:rsid w:val="571C57F3"/>
    <w:rsid w:val="57EF4EDB"/>
    <w:rsid w:val="59E5393F"/>
    <w:rsid w:val="5B21559F"/>
    <w:rsid w:val="5BF1260C"/>
    <w:rsid w:val="5C481420"/>
    <w:rsid w:val="5EFF7CFB"/>
    <w:rsid w:val="5FA36AB1"/>
    <w:rsid w:val="5FDE21DF"/>
    <w:rsid w:val="60EB718F"/>
    <w:rsid w:val="62AF312B"/>
    <w:rsid w:val="62CB6DAA"/>
    <w:rsid w:val="6311003A"/>
    <w:rsid w:val="63DC23F2"/>
    <w:rsid w:val="63DD60F9"/>
    <w:rsid w:val="65041CB2"/>
    <w:rsid w:val="66E128CB"/>
    <w:rsid w:val="67025F96"/>
    <w:rsid w:val="684E7461"/>
    <w:rsid w:val="687E4C69"/>
    <w:rsid w:val="6A48286E"/>
    <w:rsid w:val="6B4F282E"/>
    <w:rsid w:val="6B6D1808"/>
    <w:rsid w:val="6BA51123"/>
    <w:rsid w:val="6E656A67"/>
    <w:rsid w:val="6F9D725E"/>
    <w:rsid w:val="73BD5D13"/>
    <w:rsid w:val="75B6723F"/>
    <w:rsid w:val="77613216"/>
    <w:rsid w:val="793B1A55"/>
    <w:rsid w:val="7A72483F"/>
    <w:rsid w:val="7D317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1"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6">
    <w:name w:val="heading 1"/>
    <w:basedOn w:val="1"/>
    <w:next w:val="1"/>
    <w:qFormat/>
    <w:uiPriority w:val="1"/>
    <w:pPr>
      <w:spacing w:before="24"/>
      <w:ind w:right="12"/>
      <w:jc w:val="center"/>
      <w:outlineLvl w:val="0"/>
    </w:pPr>
    <w:rPr>
      <w:sz w:val="44"/>
      <w:szCs w:val="44"/>
    </w:rPr>
  </w:style>
  <w:style w:type="paragraph" w:styleId="7">
    <w:name w:val="heading 2"/>
    <w:basedOn w:val="1"/>
    <w:next w:val="1"/>
    <w:qFormat/>
    <w:uiPriority w:val="1"/>
    <w:pPr>
      <w:spacing w:before="22"/>
      <w:ind w:right="12"/>
      <w:jc w:val="center"/>
      <w:outlineLvl w:val="1"/>
    </w:pPr>
    <w:rPr>
      <w:b/>
      <w:bCs/>
      <w:sz w:val="36"/>
      <w:szCs w:val="36"/>
    </w:rPr>
  </w:style>
  <w:style w:type="paragraph" w:styleId="8">
    <w:name w:val="heading 3"/>
    <w:basedOn w:val="1"/>
    <w:next w:val="1"/>
    <w:qFormat/>
    <w:uiPriority w:val="1"/>
    <w:pPr>
      <w:outlineLvl w:val="2"/>
    </w:pPr>
    <w:rPr>
      <w:b/>
      <w:bCs/>
      <w:sz w:val="32"/>
      <w:szCs w:val="32"/>
    </w:rPr>
  </w:style>
  <w:style w:type="paragraph" w:styleId="9">
    <w:name w:val="heading 4"/>
    <w:basedOn w:val="1"/>
    <w:next w:val="1"/>
    <w:qFormat/>
    <w:uiPriority w:val="1"/>
    <w:pPr>
      <w:ind w:left="223"/>
      <w:outlineLvl w:val="3"/>
    </w:pPr>
    <w:rPr>
      <w:sz w:val="32"/>
      <w:szCs w:val="32"/>
    </w:rPr>
  </w:style>
  <w:style w:type="paragraph" w:styleId="10">
    <w:name w:val="heading 5"/>
    <w:basedOn w:val="1"/>
    <w:next w:val="1"/>
    <w:qFormat/>
    <w:uiPriority w:val="1"/>
    <w:pPr>
      <w:spacing w:before="32"/>
      <w:ind w:right="12"/>
      <w:jc w:val="center"/>
      <w:outlineLvl w:val="4"/>
    </w:pPr>
    <w:rPr>
      <w:b/>
      <w:bCs/>
      <w:sz w:val="30"/>
      <w:szCs w:val="30"/>
    </w:rPr>
  </w:style>
  <w:style w:type="paragraph" w:styleId="11">
    <w:name w:val="heading 6"/>
    <w:basedOn w:val="1"/>
    <w:next w:val="1"/>
    <w:qFormat/>
    <w:uiPriority w:val="1"/>
    <w:pPr>
      <w:ind w:left="506" w:hanging="284"/>
      <w:outlineLvl w:val="5"/>
    </w:pPr>
    <w:rPr>
      <w:b/>
      <w:bCs/>
      <w:sz w:val="28"/>
      <w:szCs w:val="28"/>
    </w:rPr>
  </w:style>
  <w:style w:type="paragraph" w:styleId="12">
    <w:name w:val="heading 7"/>
    <w:basedOn w:val="1"/>
    <w:next w:val="1"/>
    <w:qFormat/>
    <w:uiPriority w:val="1"/>
    <w:pPr>
      <w:ind w:left="1130" w:hanging="426"/>
      <w:outlineLvl w:val="6"/>
    </w:pPr>
    <w:rPr>
      <w:b/>
      <w:bCs/>
      <w:sz w:val="24"/>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line="312" w:lineRule="auto"/>
      <w:ind w:firstLine="420"/>
    </w:pPr>
    <w:rPr>
      <w:lang w:val="en-US"/>
    </w:rPr>
  </w:style>
  <w:style w:type="paragraph" w:styleId="3">
    <w:name w:val="Body Text"/>
    <w:basedOn w:val="1"/>
    <w:next w:val="1"/>
    <w:qFormat/>
    <w:uiPriority w:val="1"/>
    <w:pPr>
      <w:ind w:left="223"/>
    </w:pPr>
    <w:rPr>
      <w:sz w:val="24"/>
      <w:szCs w:val="24"/>
    </w:rPr>
  </w:style>
  <w:style w:type="paragraph" w:styleId="4">
    <w:name w:val="Body Text First Indent 2"/>
    <w:basedOn w:val="5"/>
    <w:qFormat/>
    <w:uiPriority w:val="0"/>
    <w:pPr>
      <w:spacing w:line="420" w:lineRule="exact"/>
      <w:ind w:firstLine="420"/>
    </w:pPr>
    <w:rPr>
      <w:color w:val="000000"/>
      <w:sz w:val="24"/>
      <w:szCs w:val="18"/>
    </w:rPr>
  </w:style>
  <w:style w:type="paragraph" w:styleId="5">
    <w:name w:val="Body Text Indent"/>
    <w:basedOn w:val="1"/>
    <w:qFormat/>
    <w:uiPriority w:val="0"/>
    <w:pPr>
      <w:ind w:firstLine="560" w:firstLineChars="200"/>
    </w:pPr>
    <w:rPr>
      <w:sz w:val="28"/>
      <w:szCs w:val="24"/>
    </w:rPr>
  </w:style>
  <w:style w:type="paragraph" w:styleId="13">
    <w:name w:val="Balloon Text"/>
    <w:basedOn w:val="1"/>
    <w:link w:val="25"/>
    <w:qFormat/>
    <w:uiPriority w:val="0"/>
    <w:rPr>
      <w:sz w:val="18"/>
      <w:szCs w:val="18"/>
    </w:rPr>
  </w:style>
  <w:style w:type="paragraph" w:styleId="14">
    <w:name w:val="footer"/>
    <w:basedOn w:val="1"/>
    <w:link w:val="23"/>
    <w:qFormat/>
    <w:uiPriority w:val="0"/>
    <w:pPr>
      <w:tabs>
        <w:tab w:val="center" w:pos="4153"/>
        <w:tab w:val="right" w:pos="8306"/>
      </w:tabs>
      <w:snapToGrid w:val="0"/>
    </w:pPr>
    <w:rPr>
      <w:sz w:val="18"/>
      <w:szCs w:val="18"/>
    </w:rPr>
  </w:style>
  <w:style w:type="paragraph" w:styleId="15">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1"/>
    <w:pPr>
      <w:spacing w:before="158"/>
      <w:ind w:left="223"/>
    </w:pPr>
    <w:rPr>
      <w:b/>
      <w:bCs/>
      <w:sz w:val="24"/>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0">
    <w:name w:val="List Paragraph"/>
    <w:basedOn w:val="1"/>
    <w:qFormat/>
    <w:uiPriority w:val="1"/>
    <w:pPr>
      <w:ind w:left="223" w:hanging="372"/>
    </w:pPr>
  </w:style>
  <w:style w:type="paragraph" w:customStyle="1" w:styleId="21">
    <w:name w:val="Table Paragraph"/>
    <w:basedOn w:val="1"/>
    <w:qFormat/>
    <w:uiPriority w:val="1"/>
  </w:style>
  <w:style w:type="character" w:customStyle="1" w:styleId="22">
    <w:name w:val="页眉 Char"/>
    <w:basedOn w:val="19"/>
    <w:link w:val="15"/>
    <w:qFormat/>
    <w:uiPriority w:val="0"/>
    <w:rPr>
      <w:rFonts w:ascii="宋体" w:hAnsi="宋体" w:cs="宋体"/>
      <w:sz w:val="18"/>
      <w:szCs w:val="18"/>
      <w:lang w:val="zh-CN" w:bidi="zh-CN"/>
    </w:rPr>
  </w:style>
  <w:style w:type="character" w:customStyle="1" w:styleId="23">
    <w:name w:val="页脚 Char"/>
    <w:basedOn w:val="19"/>
    <w:link w:val="14"/>
    <w:qFormat/>
    <w:uiPriority w:val="0"/>
    <w:rPr>
      <w:rFonts w:ascii="宋体" w:hAnsi="宋体" w:cs="宋体"/>
      <w:sz w:val="18"/>
      <w:szCs w:val="18"/>
      <w:lang w:val="zh-CN" w:bidi="zh-CN"/>
    </w:rPr>
  </w:style>
  <w:style w:type="paragraph" w:customStyle="1" w:styleId="24">
    <w:name w:val="文一"/>
    <w:basedOn w:val="1"/>
    <w:qFormat/>
    <w:uiPriority w:val="0"/>
    <w:pPr>
      <w:topLinePunct/>
      <w:adjustRightInd w:val="0"/>
      <w:snapToGrid w:val="0"/>
      <w:spacing w:line="360" w:lineRule="auto"/>
      <w:ind w:firstLine="200" w:firstLineChars="200"/>
    </w:pPr>
    <w:rPr>
      <w:rFonts w:ascii="Times New Roman" w:hAnsi="Times New Roman"/>
      <w:spacing w:val="4"/>
      <w:sz w:val="24"/>
      <w:szCs w:val="24"/>
    </w:rPr>
  </w:style>
  <w:style w:type="character" w:customStyle="1" w:styleId="25">
    <w:name w:val="批注框文本 Char"/>
    <w:basedOn w:val="19"/>
    <w:link w:val="13"/>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8874</Words>
  <Characters>50585</Characters>
  <Lines>421</Lines>
  <Paragraphs>118</Paragraphs>
  <TotalTime>4</TotalTime>
  <ScaleCrop>false</ScaleCrop>
  <LinksUpToDate>false</LinksUpToDate>
  <CharactersWithSpaces>59341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2022-07-27T09:13:00Z</dcterms:created>
  <dc:creator>LENOVO</dc:creator>
  <cp:lastModifiedBy>小板凳</cp:lastModifiedBy>
  <cp:lastPrinted>2021-12-29T01:52:00Z</cp:lastPrinted>
  <dcterms:modified xsi:type="dcterms:W3CDTF">2022-12-29T09:36:56Z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A0CA66AA80CF47E7A7895E50C000304B</vt:lpwstr>
  </property>
</Properties>
</file>