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12599">
      <w:pPr>
        <w:snapToGrid w:val="0"/>
        <w:spacing w:line="360" w:lineRule="auto"/>
        <w:ind w:left="-283" w:leftChars="-135"/>
        <w:jc w:val="center"/>
        <w:rPr>
          <w:rFonts w:hint="eastAsia" w:ascii="宋体" w:hAnsi="宋体" w:cs="宋体"/>
          <w:color w:val="auto"/>
          <w:sz w:val="52"/>
          <w:szCs w:val="52"/>
          <w:highlight w:val="none"/>
        </w:rPr>
      </w:pPr>
      <w:r>
        <w:rPr>
          <w:rFonts w:hint="eastAsia" w:ascii="宋体" w:hAnsi="宋体" w:cs="宋体"/>
          <w:b/>
          <w:color w:val="000000" w:themeColor="text1"/>
          <w:sz w:val="52"/>
          <w:szCs w:val="52"/>
          <w:highlight w:val="none"/>
          <w:lang w:eastAsia="zh-CN"/>
          <w14:textFill>
            <w14:solidFill>
              <w14:schemeClr w14:val="tx1"/>
            </w14:solidFill>
          </w14:textFill>
        </w:rPr>
        <w:t>广州市公安档案馆项目</w:t>
      </w:r>
      <w:r>
        <w:rPr>
          <w:rFonts w:hint="eastAsia" w:ascii="宋体" w:hAnsi="宋体" w:cs="宋体"/>
          <w:b/>
          <w:color w:val="auto"/>
          <w:sz w:val="52"/>
          <w:szCs w:val="52"/>
          <w:highlight w:val="none"/>
          <w:lang w:eastAsia="zh-CN"/>
        </w:rPr>
        <w:t>施工监理</w:t>
      </w:r>
    </w:p>
    <w:p w14:paraId="710F76A0">
      <w:pPr>
        <w:spacing w:line="200" w:lineRule="exact"/>
        <w:rPr>
          <w:rFonts w:hint="eastAsia" w:ascii="宋体" w:hAnsi="宋体" w:cs="宋体"/>
          <w:color w:val="auto"/>
          <w:highlight w:val="none"/>
        </w:rPr>
      </w:pPr>
    </w:p>
    <w:p w14:paraId="2F24376F">
      <w:pPr>
        <w:spacing w:line="200" w:lineRule="exact"/>
        <w:rPr>
          <w:rFonts w:hint="eastAsia" w:ascii="宋体" w:hAnsi="宋体" w:cs="宋体"/>
          <w:color w:val="auto"/>
          <w:highlight w:val="none"/>
        </w:rPr>
      </w:pPr>
    </w:p>
    <w:p w14:paraId="54DFA59B">
      <w:pPr>
        <w:spacing w:line="200" w:lineRule="exact"/>
        <w:rPr>
          <w:rFonts w:hint="eastAsia" w:ascii="宋体" w:hAnsi="宋体" w:cs="宋体"/>
          <w:color w:val="auto"/>
          <w:highlight w:val="none"/>
        </w:rPr>
      </w:pPr>
    </w:p>
    <w:p w14:paraId="1C992310">
      <w:pPr>
        <w:spacing w:line="269" w:lineRule="exact"/>
        <w:rPr>
          <w:rFonts w:hint="eastAsia" w:ascii="宋体" w:hAnsi="宋体" w:cs="宋体"/>
          <w:color w:val="auto"/>
          <w:highlight w:val="none"/>
        </w:rPr>
      </w:pPr>
    </w:p>
    <w:p w14:paraId="2244F5B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cs="宋体"/>
          <w:b/>
          <w:color w:val="auto"/>
          <w:sz w:val="84"/>
          <w:szCs w:val="84"/>
          <w:highlight w:val="none"/>
        </w:rPr>
      </w:pPr>
      <w:r>
        <w:rPr>
          <w:rFonts w:hint="eastAsia" w:ascii="宋体" w:hAnsi="宋体" w:cs="宋体"/>
          <w:b/>
          <w:color w:val="auto"/>
          <w:sz w:val="84"/>
          <w:szCs w:val="84"/>
          <w:highlight w:val="none"/>
        </w:rPr>
        <w:t>招标公告</w:t>
      </w:r>
    </w:p>
    <w:p w14:paraId="4C99A85C">
      <w:pPr>
        <w:spacing w:line="200" w:lineRule="exact"/>
        <w:rPr>
          <w:rFonts w:hint="eastAsia" w:ascii="宋体" w:hAnsi="宋体" w:cs="宋体"/>
          <w:color w:val="auto"/>
          <w:highlight w:val="none"/>
        </w:rPr>
      </w:pPr>
    </w:p>
    <w:p w14:paraId="77EFAE5F">
      <w:pPr>
        <w:spacing w:line="200" w:lineRule="exact"/>
        <w:rPr>
          <w:rFonts w:hint="eastAsia" w:ascii="宋体" w:hAnsi="宋体" w:cs="宋体"/>
          <w:color w:val="auto"/>
          <w:highlight w:val="none"/>
        </w:rPr>
      </w:pPr>
    </w:p>
    <w:p w14:paraId="7E8D191A">
      <w:pPr>
        <w:spacing w:line="200" w:lineRule="exact"/>
        <w:rPr>
          <w:rFonts w:hint="eastAsia" w:ascii="宋体" w:hAnsi="宋体" w:cs="宋体"/>
          <w:color w:val="auto"/>
          <w:highlight w:val="none"/>
        </w:rPr>
      </w:pPr>
    </w:p>
    <w:p w14:paraId="78F176A7">
      <w:pPr>
        <w:spacing w:line="200" w:lineRule="exact"/>
        <w:rPr>
          <w:rFonts w:hint="eastAsia" w:ascii="宋体" w:hAnsi="宋体" w:cs="宋体"/>
          <w:color w:val="auto"/>
          <w:highlight w:val="none"/>
        </w:rPr>
      </w:pPr>
    </w:p>
    <w:p w14:paraId="27F6E358">
      <w:pPr>
        <w:spacing w:line="200" w:lineRule="exact"/>
        <w:rPr>
          <w:rFonts w:hint="eastAsia" w:ascii="宋体" w:hAnsi="宋体" w:cs="宋体"/>
          <w:color w:val="auto"/>
          <w:highlight w:val="none"/>
        </w:rPr>
      </w:pPr>
    </w:p>
    <w:p w14:paraId="1FB7844A">
      <w:pPr>
        <w:spacing w:line="200" w:lineRule="exact"/>
        <w:rPr>
          <w:rFonts w:hint="eastAsia" w:ascii="宋体" w:hAnsi="宋体" w:cs="宋体"/>
          <w:color w:val="auto"/>
          <w:highlight w:val="none"/>
        </w:rPr>
      </w:pPr>
    </w:p>
    <w:p w14:paraId="3F154F6F">
      <w:pPr>
        <w:spacing w:line="200" w:lineRule="exact"/>
        <w:rPr>
          <w:rFonts w:hint="eastAsia" w:ascii="宋体" w:hAnsi="宋体" w:cs="宋体"/>
          <w:color w:val="auto"/>
          <w:highlight w:val="none"/>
        </w:rPr>
      </w:pPr>
    </w:p>
    <w:p w14:paraId="6C8CE714">
      <w:pPr>
        <w:spacing w:line="200" w:lineRule="exact"/>
        <w:rPr>
          <w:rFonts w:hint="eastAsia" w:ascii="宋体" w:hAnsi="宋体" w:cs="宋体"/>
          <w:color w:val="auto"/>
          <w:highlight w:val="none"/>
        </w:rPr>
      </w:pPr>
    </w:p>
    <w:p w14:paraId="5C8AA389">
      <w:pPr>
        <w:spacing w:line="200" w:lineRule="exact"/>
        <w:rPr>
          <w:rFonts w:hint="eastAsia" w:ascii="宋体" w:hAnsi="宋体" w:cs="宋体"/>
          <w:color w:val="auto"/>
          <w:highlight w:val="none"/>
        </w:rPr>
      </w:pPr>
    </w:p>
    <w:p w14:paraId="26D86523">
      <w:pPr>
        <w:spacing w:line="200" w:lineRule="exact"/>
        <w:rPr>
          <w:rFonts w:hint="eastAsia" w:ascii="宋体" w:hAnsi="宋体" w:cs="宋体"/>
          <w:color w:val="auto"/>
          <w:highlight w:val="none"/>
        </w:rPr>
      </w:pPr>
    </w:p>
    <w:p w14:paraId="2B07D341">
      <w:pPr>
        <w:spacing w:line="200" w:lineRule="exact"/>
        <w:rPr>
          <w:rFonts w:hint="eastAsia" w:ascii="宋体" w:hAnsi="宋体" w:cs="宋体"/>
          <w:color w:val="auto"/>
          <w:highlight w:val="none"/>
        </w:rPr>
      </w:pPr>
    </w:p>
    <w:p w14:paraId="3AC06D3A">
      <w:pPr>
        <w:spacing w:line="200" w:lineRule="exact"/>
        <w:rPr>
          <w:rFonts w:hint="eastAsia" w:ascii="宋体" w:hAnsi="宋体" w:cs="宋体"/>
          <w:color w:val="auto"/>
          <w:highlight w:val="none"/>
        </w:rPr>
      </w:pPr>
    </w:p>
    <w:p w14:paraId="39B1E9FA">
      <w:pPr>
        <w:spacing w:line="200" w:lineRule="exact"/>
        <w:rPr>
          <w:rFonts w:hint="eastAsia" w:ascii="宋体" w:hAnsi="宋体" w:cs="宋体"/>
          <w:color w:val="auto"/>
          <w:highlight w:val="none"/>
        </w:rPr>
      </w:pPr>
    </w:p>
    <w:p w14:paraId="6FD6E367">
      <w:pPr>
        <w:spacing w:line="200" w:lineRule="exact"/>
        <w:rPr>
          <w:rFonts w:hint="eastAsia" w:ascii="宋体" w:hAnsi="宋体" w:cs="宋体"/>
          <w:color w:val="auto"/>
          <w:highlight w:val="none"/>
        </w:rPr>
      </w:pPr>
    </w:p>
    <w:p w14:paraId="362E18F7">
      <w:pPr>
        <w:spacing w:line="200" w:lineRule="exact"/>
        <w:rPr>
          <w:rFonts w:hint="eastAsia" w:ascii="宋体" w:hAnsi="宋体" w:cs="宋体"/>
          <w:color w:val="auto"/>
          <w:highlight w:val="none"/>
        </w:rPr>
      </w:pPr>
    </w:p>
    <w:p w14:paraId="457B65A6">
      <w:pPr>
        <w:spacing w:line="200" w:lineRule="exact"/>
        <w:rPr>
          <w:rFonts w:hint="eastAsia" w:ascii="宋体" w:hAnsi="宋体" w:cs="宋体"/>
          <w:color w:val="auto"/>
          <w:highlight w:val="none"/>
        </w:rPr>
      </w:pPr>
    </w:p>
    <w:p w14:paraId="36A6870B">
      <w:pPr>
        <w:spacing w:line="200" w:lineRule="exact"/>
        <w:rPr>
          <w:rFonts w:hint="eastAsia" w:ascii="宋体" w:hAnsi="宋体" w:cs="宋体"/>
          <w:color w:val="auto"/>
          <w:highlight w:val="none"/>
        </w:rPr>
      </w:pPr>
    </w:p>
    <w:p w14:paraId="6001810B">
      <w:pPr>
        <w:spacing w:line="200" w:lineRule="exact"/>
        <w:rPr>
          <w:rFonts w:hint="eastAsia" w:ascii="宋体" w:hAnsi="宋体" w:cs="宋体"/>
          <w:color w:val="auto"/>
          <w:highlight w:val="none"/>
        </w:rPr>
      </w:pPr>
    </w:p>
    <w:p w14:paraId="3F7E5C21">
      <w:pPr>
        <w:spacing w:line="200" w:lineRule="exact"/>
        <w:rPr>
          <w:rFonts w:hint="eastAsia" w:ascii="宋体" w:hAnsi="宋体" w:cs="宋体"/>
          <w:color w:val="auto"/>
          <w:highlight w:val="none"/>
        </w:rPr>
      </w:pPr>
    </w:p>
    <w:p w14:paraId="62EDC2AE">
      <w:pPr>
        <w:spacing w:line="200" w:lineRule="exact"/>
        <w:rPr>
          <w:rFonts w:hint="eastAsia" w:ascii="宋体" w:hAnsi="宋体" w:cs="宋体"/>
          <w:color w:val="auto"/>
          <w:highlight w:val="none"/>
        </w:rPr>
      </w:pPr>
    </w:p>
    <w:p w14:paraId="65C1EFBE">
      <w:pPr>
        <w:spacing w:line="200" w:lineRule="exact"/>
        <w:rPr>
          <w:rFonts w:hint="eastAsia" w:ascii="宋体" w:hAnsi="宋体" w:cs="宋体"/>
          <w:color w:val="auto"/>
          <w:highlight w:val="none"/>
        </w:rPr>
      </w:pPr>
    </w:p>
    <w:p w14:paraId="011F09B5">
      <w:pPr>
        <w:spacing w:line="200" w:lineRule="exact"/>
        <w:rPr>
          <w:rFonts w:hint="eastAsia" w:ascii="宋体" w:hAnsi="宋体" w:cs="宋体"/>
          <w:color w:val="auto"/>
          <w:highlight w:val="none"/>
        </w:rPr>
      </w:pPr>
    </w:p>
    <w:p w14:paraId="36F93B7A">
      <w:pPr>
        <w:spacing w:line="200" w:lineRule="exact"/>
        <w:rPr>
          <w:rFonts w:hint="eastAsia" w:ascii="宋体" w:hAnsi="宋体" w:cs="宋体"/>
          <w:color w:val="auto"/>
          <w:highlight w:val="none"/>
        </w:rPr>
      </w:pPr>
    </w:p>
    <w:p w14:paraId="3DB178DF">
      <w:pPr>
        <w:spacing w:line="200" w:lineRule="exact"/>
        <w:rPr>
          <w:rFonts w:hint="eastAsia" w:ascii="宋体" w:hAnsi="宋体" w:cs="宋体"/>
          <w:color w:val="auto"/>
          <w:highlight w:val="none"/>
        </w:rPr>
      </w:pPr>
    </w:p>
    <w:p w14:paraId="118F1463">
      <w:pPr>
        <w:spacing w:line="200" w:lineRule="exact"/>
        <w:rPr>
          <w:rFonts w:hint="eastAsia" w:ascii="宋体" w:hAnsi="宋体" w:cs="宋体"/>
          <w:color w:val="auto"/>
          <w:highlight w:val="none"/>
        </w:rPr>
      </w:pPr>
    </w:p>
    <w:p w14:paraId="1F705714">
      <w:pPr>
        <w:spacing w:line="200" w:lineRule="exact"/>
        <w:rPr>
          <w:rFonts w:hint="eastAsia" w:ascii="宋体" w:hAnsi="宋体" w:cs="宋体"/>
          <w:color w:val="auto"/>
          <w:highlight w:val="none"/>
        </w:rPr>
      </w:pPr>
    </w:p>
    <w:p w14:paraId="6EEE8212">
      <w:pPr>
        <w:spacing w:line="200" w:lineRule="exact"/>
        <w:rPr>
          <w:rFonts w:hint="eastAsia" w:ascii="宋体" w:hAnsi="宋体" w:cs="宋体"/>
          <w:color w:val="auto"/>
          <w:highlight w:val="none"/>
        </w:rPr>
      </w:pPr>
    </w:p>
    <w:p w14:paraId="4BE40BB3">
      <w:pPr>
        <w:spacing w:line="200" w:lineRule="exact"/>
        <w:rPr>
          <w:rFonts w:hint="eastAsia" w:ascii="宋体" w:hAnsi="宋体" w:cs="宋体"/>
          <w:color w:val="auto"/>
          <w:highlight w:val="none"/>
        </w:rPr>
      </w:pPr>
    </w:p>
    <w:p w14:paraId="24BFF2EC">
      <w:pPr>
        <w:spacing w:line="200" w:lineRule="exact"/>
        <w:rPr>
          <w:rFonts w:hint="eastAsia" w:ascii="宋体" w:hAnsi="宋体" w:cs="宋体"/>
          <w:color w:val="auto"/>
          <w:highlight w:val="none"/>
        </w:rPr>
      </w:pPr>
    </w:p>
    <w:p w14:paraId="32C6286E">
      <w:pPr>
        <w:spacing w:line="281" w:lineRule="exact"/>
        <w:rPr>
          <w:rFonts w:hint="eastAsia" w:ascii="宋体" w:hAnsi="宋体" w:cs="宋体"/>
          <w:color w:val="auto"/>
          <w:highlight w:val="none"/>
        </w:rPr>
      </w:pPr>
    </w:p>
    <w:p w14:paraId="4C8E8E79">
      <w:pPr>
        <w:spacing w:line="360" w:lineRule="auto"/>
        <w:ind w:left="420" w:firstLine="42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招 标 人：广州市重点公共建设项目管理中心</w:t>
      </w:r>
    </w:p>
    <w:p w14:paraId="5717735B">
      <w:pPr>
        <w:spacing w:line="360" w:lineRule="auto"/>
        <w:ind w:left="420" w:firstLine="420" w:firstLineChars="0"/>
        <w:rPr>
          <w:rFonts w:hint="eastAsia" w:ascii="宋体" w:hAnsi="宋体" w:eastAsia="宋体" w:cs="宋体"/>
          <w:color w:val="auto"/>
          <w:sz w:val="32"/>
          <w:szCs w:val="32"/>
          <w:highlight w:val="none"/>
          <w:lang w:eastAsia="zh-CN"/>
        </w:rPr>
      </w:pPr>
      <w:r>
        <w:rPr>
          <w:rFonts w:hint="eastAsia" w:ascii="宋体" w:hAnsi="宋体" w:cs="宋体"/>
          <w:b/>
          <w:color w:val="auto"/>
          <w:sz w:val="32"/>
          <w:szCs w:val="32"/>
          <w:highlight w:val="none"/>
        </w:rPr>
        <w:t>招标代理：</w:t>
      </w:r>
      <w:r>
        <w:rPr>
          <w:rFonts w:hint="eastAsia" w:ascii="宋体" w:hAnsi="宋体" w:cs="宋体"/>
          <w:b/>
          <w:color w:val="auto"/>
          <w:sz w:val="32"/>
          <w:szCs w:val="32"/>
          <w:highlight w:val="none"/>
          <w:lang w:eastAsia="zh-CN"/>
        </w:rPr>
        <w:t>北京中交建设工程咨询有限公司</w:t>
      </w:r>
    </w:p>
    <w:p w14:paraId="17EB8A56">
      <w:pPr>
        <w:spacing w:line="360" w:lineRule="auto"/>
        <w:ind w:left="420" w:firstLine="42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2025</w:t>
      </w:r>
      <w:r>
        <w:rPr>
          <w:rFonts w:hint="eastAsia" w:ascii="宋体" w:hAnsi="宋体" w:cs="宋体"/>
          <w:b/>
          <w:color w:val="auto"/>
          <w:sz w:val="32"/>
          <w:szCs w:val="32"/>
          <w:highlight w:val="none"/>
        </w:rPr>
        <w:t>年</w:t>
      </w:r>
      <w:r>
        <w:rPr>
          <w:rFonts w:hint="default" w:ascii="宋体" w:hAnsi="宋体" w:cs="宋体"/>
          <w:b/>
          <w:color w:val="auto"/>
          <w:sz w:val="32"/>
          <w:szCs w:val="32"/>
          <w:highlight w:val="none"/>
        </w:rPr>
        <w:t>8</w:t>
      </w:r>
      <w:r>
        <w:rPr>
          <w:rFonts w:hint="eastAsia" w:ascii="宋体" w:hAnsi="宋体" w:cs="宋体"/>
          <w:b/>
          <w:color w:val="auto"/>
          <w:sz w:val="32"/>
          <w:szCs w:val="32"/>
          <w:highlight w:val="none"/>
        </w:rPr>
        <w:t>月</w:t>
      </w:r>
    </w:p>
    <w:p w14:paraId="3E30BFDE">
      <w:pPr>
        <w:ind w:left="420" w:firstLine="420" w:firstLineChars="0"/>
        <w:rPr>
          <w:rFonts w:hint="eastAsia" w:ascii="宋体" w:hAnsi="宋体" w:cs="宋体"/>
          <w:b/>
          <w:color w:val="auto"/>
          <w:sz w:val="32"/>
          <w:szCs w:val="32"/>
          <w:highlight w:val="none"/>
        </w:rPr>
      </w:pPr>
    </w:p>
    <w:p w14:paraId="66FB9B26">
      <w:pPr>
        <w:spacing w:line="0" w:lineRule="atLeast"/>
        <w:ind w:left="1680" w:firstLine="420"/>
        <w:rPr>
          <w:rFonts w:eastAsia="Times New Roman"/>
          <w:color w:val="auto"/>
          <w:sz w:val="32"/>
          <w:szCs w:val="32"/>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65FDB6DF">
      <w:pPr>
        <w:widowControl/>
        <w:spacing w:line="360" w:lineRule="auto"/>
        <w:jc w:val="center"/>
        <w:rPr>
          <w:rFonts w:hint="eastAsia"/>
          <w:b/>
          <w:color w:val="auto"/>
          <w:sz w:val="32"/>
          <w:szCs w:val="32"/>
          <w:highlight w:val="none"/>
        </w:rPr>
      </w:pPr>
      <w:r>
        <w:rPr>
          <w:rFonts w:hint="eastAsia"/>
          <w:b/>
          <w:color w:val="auto"/>
          <w:sz w:val="32"/>
          <w:szCs w:val="32"/>
          <w:highlight w:val="none"/>
          <w:lang w:eastAsia="zh-CN"/>
        </w:rPr>
        <w:t>广州市公安档案馆项目施工监理</w:t>
      </w:r>
    </w:p>
    <w:p w14:paraId="368B648B">
      <w:pPr>
        <w:widowControl/>
        <w:spacing w:line="360" w:lineRule="auto"/>
        <w:jc w:val="center"/>
        <w:rPr>
          <w:rFonts w:ascii="宋体" w:hAnsi="宋体"/>
          <w:b/>
          <w:color w:val="auto"/>
          <w:kern w:val="44"/>
          <w:sz w:val="36"/>
          <w:szCs w:val="36"/>
          <w:highlight w:val="none"/>
        </w:rPr>
      </w:pPr>
      <w:r>
        <w:rPr>
          <w:rFonts w:hint="eastAsia" w:ascii="宋体" w:hAnsi="宋体"/>
          <w:b/>
          <w:color w:val="auto"/>
          <w:kern w:val="44"/>
          <w:sz w:val="36"/>
          <w:szCs w:val="36"/>
          <w:highlight w:val="none"/>
        </w:rPr>
        <w:t>招标公告</w:t>
      </w:r>
    </w:p>
    <w:p w14:paraId="4AC49DC4">
      <w:pPr>
        <w:pStyle w:val="2"/>
        <w:spacing w:before="156" w:beforeLines="50" w:line="360" w:lineRule="auto"/>
        <w:rPr>
          <w:color w:val="auto"/>
          <w:highlight w:val="none"/>
        </w:rPr>
      </w:pPr>
      <w:bookmarkStart w:id="0" w:name="_Toc535938695"/>
      <w:bookmarkStart w:id="1" w:name="_Toc511557025"/>
      <w:bookmarkStart w:id="2" w:name="_Toc529196504"/>
      <w:bookmarkStart w:id="3" w:name="_Toc529196507"/>
      <w:bookmarkStart w:id="4" w:name="_Toc511557028"/>
      <w:r>
        <w:rPr>
          <w:rFonts w:hint="eastAsia"/>
          <w:color w:val="auto"/>
          <w:highlight w:val="none"/>
        </w:rPr>
        <w:t>1. 招标条件</w:t>
      </w:r>
      <w:bookmarkEnd w:id="0"/>
      <w:bookmarkEnd w:id="1"/>
      <w:bookmarkEnd w:id="2"/>
    </w:p>
    <w:p w14:paraId="3EF17B8D">
      <w:pPr>
        <w:tabs>
          <w:tab w:val="left" w:pos="7513"/>
        </w:tabs>
        <w:spacing w:line="440" w:lineRule="exact"/>
        <w:ind w:firstLine="480" w:firstLineChars="200"/>
        <w:rPr>
          <w:rFonts w:ascii="宋体" w:hAnsi="宋体" w:cs="宋体"/>
          <w:color w:val="auto"/>
          <w:sz w:val="24"/>
          <w:szCs w:val="24"/>
          <w:highlight w:val="none"/>
        </w:rPr>
      </w:pPr>
      <w:bookmarkStart w:id="5" w:name="_Toc511557026"/>
      <w:r>
        <w:rPr>
          <w:rFonts w:hint="eastAsia" w:ascii="宋体" w:hAnsi="宋体"/>
          <w:color w:val="auto"/>
          <w:sz w:val="24"/>
          <w:szCs w:val="24"/>
          <w:highlight w:val="none"/>
        </w:rPr>
        <w:t>本招标项目</w:t>
      </w:r>
      <w:r>
        <w:rPr>
          <w:rFonts w:hint="eastAsia" w:ascii="宋体" w:hAnsi="宋体"/>
          <w:color w:val="auto"/>
          <w:sz w:val="24"/>
          <w:szCs w:val="24"/>
          <w:highlight w:val="none"/>
          <w:u w:val="single"/>
          <w:lang w:eastAsia="zh-CN"/>
        </w:rPr>
        <w:t>广州市公安档案馆项目</w:t>
      </w:r>
      <w:r>
        <w:rPr>
          <w:rFonts w:hint="eastAsia" w:ascii="宋体" w:hAnsi="宋体"/>
          <w:color w:val="auto"/>
          <w:sz w:val="24"/>
          <w:szCs w:val="24"/>
          <w:highlight w:val="none"/>
        </w:rPr>
        <w:t>已由</w:t>
      </w:r>
      <w:r>
        <w:rPr>
          <w:rFonts w:hint="eastAsia" w:ascii="宋体" w:hAnsi="宋体" w:cs="宋体"/>
          <w:color w:val="auto"/>
          <w:sz w:val="24"/>
          <w:highlight w:val="none"/>
          <w:u w:val="single"/>
          <w:lang w:val="en-US" w:eastAsia="zh-CN"/>
        </w:rPr>
        <w:t>穗发改投</w:t>
      </w:r>
      <w:r>
        <w:rPr>
          <w:rFonts w:hint="eastAsia" w:ascii="宋体" w:hAnsi="宋体" w:eastAsia="宋体" w:cs="宋体"/>
          <w:color w:val="auto"/>
          <w:sz w:val="24"/>
          <w:highlight w:val="none"/>
          <w:u w:val="single"/>
          <w:lang w:val="en-US" w:eastAsia="zh-CN"/>
        </w:rPr>
        <w:t>批</w:t>
      </w:r>
      <w:r>
        <w:rPr>
          <w:rFonts w:hint="eastAsia" w:ascii="宋体" w:hAnsi="宋体" w:eastAsia="宋体" w:cs="宋体"/>
          <w:color w:val="auto"/>
          <w:sz w:val="24"/>
          <w:szCs w:val="22"/>
          <w:highlight w:val="none"/>
          <w:u w:val="single"/>
          <w:lang w:eastAsia="zh-CN"/>
        </w:rPr>
        <w:t>〔</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szCs w:val="22"/>
          <w:highlight w:val="none"/>
          <w:u w:val="single"/>
          <w:lang w:eastAsia="zh-CN"/>
        </w:rPr>
        <w:t>〕</w:t>
      </w:r>
      <w:r>
        <w:rPr>
          <w:rFonts w:hint="eastAsia" w:ascii="宋体" w:hAnsi="宋体" w:cs="宋体"/>
          <w:color w:val="auto"/>
          <w:sz w:val="24"/>
          <w:highlight w:val="none"/>
          <w:u w:val="single"/>
          <w:lang w:val="en-US" w:eastAsia="zh-CN"/>
        </w:rPr>
        <w:t>20号</w:t>
      </w:r>
      <w:r>
        <w:rPr>
          <w:rFonts w:hint="eastAsia" w:ascii="宋体" w:hAnsi="宋体"/>
          <w:color w:val="auto"/>
          <w:sz w:val="24"/>
          <w:szCs w:val="24"/>
          <w:highlight w:val="none"/>
        </w:rPr>
        <w:t>批准建设，项目业主为</w:t>
      </w:r>
      <w:r>
        <w:rPr>
          <w:rFonts w:hint="default" w:ascii="宋体" w:hAnsi="宋体"/>
          <w:color w:val="auto"/>
          <w:sz w:val="24"/>
          <w:szCs w:val="24"/>
          <w:highlight w:val="none"/>
          <w:u w:val="single"/>
          <w:lang w:eastAsia="zh-CN"/>
        </w:rPr>
        <w:t>广州市</w:t>
      </w:r>
      <w:r>
        <w:rPr>
          <w:rFonts w:hint="eastAsia" w:ascii="宋体" w:hAnsi="宋体"/>
          <w:color w:val="auto"/>
          <w:sz w:val="24"/>
          <w:szCs w:val="24"/>
          <w:highlight w:val="none"/>
          <w:u w:val="single"/>
          <w:lang w:val="en-US" w:eastAsia="zh-CN"/>
        </w:rPr>
        <w:t>公安局</w:t>
      </w:r>
      <w:r>
        <w:rPr>
          <w:rFonts w:hint="eastAsia" w:ascii="宋体" w:hAnsi="宋体"/>
          <w:color w:val="auto"/>
          <w:sz w:val="24"/>
          <w:szCs w:val="24"/>
          <w:highlight w:val="none"/>
        </w:rPr>
        <w:t>，建设资金来自</w:t>
      </w:r>
      <w:r>
        <w:rPr>
          <w:rFonts w:hint="eastAsia" w:ascii="宋体" w:hAnsi="宋体" w:cs="宋体"/>
          <w:color w:val="auto"/>
          <w:sz w:val="24"/>
          <w:highlight w:val="none"/>
          <w:u w:val="single"/>
          <w:lang w:eastAsia="zh-CN"/>
        </w:rPr>
        <w:t>市本级基本</w:t>
      </w:r>
      <w:r>
        <w:rPr>
          <w:rFonts w:hint="eastAsia" w:ascii="宋体" w:hAnsi="宋体" w:cs="宋体"/>
          <w:color w:val="auto"/>
          <w:sz w:val="24"/>
          <w:highlight w:val="none"/>
          <w:u w:val="single"/>
          <w:lang w:val="en-US" w:eastAsia="zh-CN"/>
        </w:rPr>
        <w:t>建设</w:t>
      </w:r>
      <w:r>
        <w:rPr>
          <w:rFonts w:hint="eastAsia" w:ascii="宋体" w:hAnsi="宋体" w:cs="宋体"/>
          <w:color w:val="auto"/>
          <w:sz w:val="24"/>
          <w:highlight w:val="none"/>
          <w:u w:val="single"/>
          <w:lang w:eastAsia="zh-CN"/>
        </w:rPr>
        <w:t>统筹资金安排解决</w:t>
      </w:r>
      <w:r>
        <w:rPr>
          <w:rFonts w:hint="eastAsia" w:ascii="宋体" w:hAnsi="宋体"/>
          <w:color w:val="auto"/>
          <w:sz w:val="24"/>
          <w:szCs w:val="24"/>
          <w:highlight w:val="none"/>
        </w:rPr>
        <w:t>。招标人为</w:t>
      </w:r>
      <w:r>
        <w:rPr>
          <w:rFonts w:hint="eastAsia" w:ascii="宋体" w:hAnsi="宋体"/>
          <w:color w:val="auto"/>
          <w:sz w:val="24"/>
          <w:szCs w:val="24"/>
          <w:highlight w:val="none"/>
          <w:u w:val="single"/>
        </w:rPr>
        <w:t>广州市重点公共建设项目管理中心</w:t>
      </w:r>
      <w:r>
        <w:rPr>
          <w:rFonts w:hint="eastAsia" w:ascii="宋体" w:hAnsi="宋体"/>
          <w:color w:val="auto"/>
          <w:sz w:val="24"/>
          <w:szCs w:val="24"/>
          <w:highlight w:val="none"/>
        </w:rPr>
        <w:t>，</w:t>
      </w:r>
      <w:r>
        <w:rPr>
          <w:rFonts w:hint="eastAsia" w:ascii="宋体" w:hAnsi="宋体" w:cs="宋体"/>
          <w:color w:val="auto"/>
          <w:sz w:val="24"/>
          <w:szCs w:val="24"/>
          <w:highlight w:val="none"/>
        </w:rPr>
        <w:t>项目已具备招标条件，现对该项目的监理进行公开招标。</w:t>
      </w:r>
    </w:p>
    <w:p w14:paraId="58ED003A">
      <w:pPr>
        <w:pStyle w:val="2"/>
        <w:spacing w:before="156" w:beforeLines="50" w:line="360" w:lineRule="auto"/>
        <w:rPr>
          <w:color w:val="auto"/>
          <w:highlight w:val="none"/>
        </w:rPr>
      </w:pPr>
      <w:bookmarkStart w:id="6" w:name="_Toc529196505"/>
      <w:bookmarkStart w:id="7" w:name="_Toc535938696"/>
      <w:r>
        <w:rPr>
          <w:rFonts w:hint="eastAsia"/>
          <w:color w:val="auto"/>
          <w:highlight w:val="none"/>
        </w:rPr>
        <w:t>2. 项目概况与招标范围</w:t>
      </w:r>
      <w:bookmarkEnd w:id="5"/>
      <w:bookmarkEnd w:id="6"/>
      <w:bookmarkEnd w:id="7"/>
    </w:p>
    <w:p w14:paraId="7957ED4F">
      <w:pPr>
        <w:tabs>
          <w:tab w:val="left" w:pos="7513"/>
        </w:tabs>
        <w:spacing w:line="440" w:lineRule="exact"/>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2.1招标项目概况</w:t>
      </w:r>
    </w:p>
    <w:p w14:paraId="574B5C0B">
      <w:pPr>
        <w:tabs>
          <w:tab w:val="left" w:pos="7513"/>
        </w:tabs>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广州市公安档案馆项目施工监理</w:t>
      </w:r>
    </w:p>
    <w:p w14:paraId="76AE98CA">
      <w:pPr>
        <w:tabs>
          <w:tab w:val="left" w:pos="7513"/>
        </w:tabs>
        <w:spacing w:line="440" w:lineRule="exact"/>
        <w:ind w:firstLine="480" w:firstLineChars="200"/>
        <w:jc w:val="left"/>
        <w:rPr>
          <w:rFonts w:hint="eastAsia" w:ascii="宋体" w:hAnsi="宋体" w:cs="宋体"/>
          <w:b w:val="0"/>
          <w:bCs/>
          <w:color w:val="auto"/>
          <w:sz w:val="24"/>
          <w:szCs w:val="24"/>
          <w:highlight w:val="none"/>
          <w:u w:val="single"/>
          <w:lang w:eastAsia="zh-CN"/>
        </w:rPr>
      </w:pPr>
      <w:r>
        <w:rPr>
          <w:rFonts w:hint="eastAsia" w:ascii="宋体" w:hAnsi="宋体" w:cs="宋体"/>
          <w:color w:val="auto"/>
          <w:sz w:val="24"/>
          <w:szCs w:val="24"/>
          <w:highlight w:val="none"/>
        </w:rPr>
        <w:t>2.1.2</w:t>
      </w:r>
      <w:r>
        <w:rPr>
          <w:rFonts w:hint="eastAsia" w:ascii="宋体" w:hAnsi="宋体"/>
          <w:bCs/>
          <w:color w:val="auto"/>
          <w:sz w:val="24"/>
          <w:highlight w:val="none"/>
        </w:rPr>
        <w:t>工程建设规模</w:t>
      </w:r>
      <w:r>
        <w:rPr>
          <w:rFonts w:hint="eastAsia" w:ascii="宋体" w:hAnsi="宋体" w:cs="宋体"/>
          <w:color w:val="auto"/>
          <w:sz w:val="24"/>
          <w:szCs w:val="24"/>
          <w:highlight w:val="none"/>
        </w:rPr>
        <w:t>：</w:t>
      </w:r>
      <w:r>
        <w:rPr>
          <w:rFonts w:hint="eastAsia" w:ascii="宋体" w:hAnsi="宋体" w:cs="宋体"/>
          <w:b w:val="0"/>
          <w:bCs/>
          <w:color w:val="auto"/>
          <w:sz w:val="24"/>
          <w:szCs w:val="24"/>
          <w:highlight w:val="none"/>
          <w:u w:val="single"/>
          <w:lang w:eastAsia="zh-CN"/>
        </w:rPr>
        <w:t>项目新建建筑面积31524平方米,其中,地上建筑面积25750平方米、地下建筑面积5774平方米。新建建筑主要包含档案库房对外服务用房、档案业务和技术用房、附属用房等</w:t>
      </w:r>
      <w:r>
        <w:rPr>
          <w:rFonts w:hint="default" w:ascii="宋体" w:hAnsi="宋体" w:cs="宋体"/>
          <w:b w:val="0"/>
          <w:bCs/>
          <w:color w:val="auto"/>
          <w:sz w:val="24"/>
          <w:szCs w:val="24"/>
          <w:highlight w:val="none"/>
          <w:u w:val="single"/>
          <w:lang w:eastAsia="zh-CN"/>
        </w:rPr>
        <w:t>，</w:t>
      </w:r>
      <w:r>
        <w:rPr>
          <w:rFonts w:hint="eastAsia" w:ascii="宋体" w:hAnsi="宋体" w:cs="宋体"/>
          <w:b w:val="0"/>
          <w:bCs/>
          <w:color w:val="auto"/>
          <w:sz w:val="24"/>
          <w:szCs w:val="24"/>
          <w:highlight w:val="none"/>
          <w:u w:val="single"/>
          <w:lang w:eastAsia="zh-CN"/>
        </w:rPr>
        <w:t>配套设施包括道路广场、绿化等。主要建设档案库房22342平方米、对外服务用房1200平方米、档案业务和技术用房1800平方米(其中140平方米位于地下)、附属用房2529平方米(含地下设备用房1981平方米)以及地下车库3653平方米。最大单体建筑面积31524平方米，层数为</w:t>
      </w:r>
      <w:r>
        <w:rPr>
          <w:rFonts w:hint="eastAsia" w:ascii="宋体" w:hAnsi="宋体" w:cs="宋体"/>
          <w:b w:val="0"/>
          <w:bCs/>
          <w:color w:val="auto"/>
          <w:sz w:val="24"/>
          <w:szCs w:val="24"/>
          <w:highlight w:val="none"/>
          <w:u w:val="single"/>
          <w:lang w:val="en-US" w:eastAsia="zh-CN"/>
        </w:rPr>
        <w:t>6</w:t>
      </w:r>
      <w:r>
        <w:rPr>
          <w:rFonts w:hint="eastAsia" w:ascii="宋体" w:hAnsi="宋体" w:cs="宋体"/>
          <w:b w:val="0"/>
          <w:bCs/>
          <w:color w:val="auto"/>
          <w:sz w:val="24"/>
          <w:szCs w:val="24"/>
          <w:highlight w:val="none"/>
          <w:u w:val="single"/>
          <w:lang w:eastAsia="zh-CN"/>
        </w:rPr>
        <w:t>层，建筑总高度</w:t>
      </w:r>
      <w:r>
        <w:rPr>
          <w:rFonts w:hint="eastAsia" w:ascii="宋体" w:hAnsi="宋体" w:cs="宋体"/>
          <w:b w:val="0"/>
          <w:bCs/>
          <w:color w:val="auto"/>
          <w:sz w:val="24"/>
          <w:szCs w:val="24"/>
          <w:highlight w:val="none"/>
          <w:u w:val="single"/>
          <w:lang w:val="en-US" w:eastAsia="zh-CN"/>
        </w:rPr>
        <w:t>32.76米，最大单体跨度80.4米</w:t>
      </w:r>
      <w:r>
        <w:rPr>
          <w:rFonts w:hint="eastAsia" w:ascii="宋体" w:hAnsi="宋体" w:cs="宋体"/>
          <w:b w:val="0"/>
          <w:bCs/>
          <w:color w:val="auto"/>
          <w:sz w:val="24"/>
          <w:szCs w:val="24"/>
          <w:highlight w:val="none"/>
          <w:u w:val="single"/>
          <w:lang w:eastAsia="zh-CN"/>
        </w:rPr>
        <w:t>。</w:t>
      </w:r>
    </w:p>
    <w:p w14:paraId="125EE385">
      <w:pPr>
        <w:tabs>
          <w:tab w:val="left" w:pos="7513"/>
        </w:tabs>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2.1.3工程建设地点：</w:t>
      </w:r>
      <w:r>
        <w:rPr>
          <w:rFonts w:hint="eastAsia" w:ascii="宋体" w:hAnsi="宋体" w:cs="宋体"/>
          <w:b w:val="0"/>
          <w:bCs/>
          <w:color w:val="auto"/>
          <w:sz w:val="24"/>
          <w:szCs w:val="24"/>
          <w:highlight w:val="none"/>
          <w:u w:val="single"/>
          <w:lang w:eastAsia="zh-CN"/>
        </w:rPr>
        <w:t>项目位于广州市天河区岑村教练场内</w:t>
      </w:r>
      <w:r>
        <w:rPr>
          <w:rFonts w:hint="eastAsia" w:ascii="宋体" w:hAnsi="宋体" w:cs="宋体"/>
          <w:color w:val="auto"/>
          <w:sz w:val="24"/>
          <w:szCs w:val="24"/>
          <w:highlight w:val="none"/>
          <w:u w:val="single"/>
          <w:lang w:eastAsia="zh-CN"/>
        </w:rPr>
        <w:t>。</w:t>
      </w:r>
    </w:p>
    <w:p w14:paraId="61DF7733">
      <w:pPr>
        <w:tabs>
          <w:tab w:val="left" w:pos="7513"/>
        </w:tabs>
        <w:spacing w:line="44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2.1.4工程估算/建筑安装工程费：</w:t>
      </w:r>
      <w:r>
        <w:rPr>
          <w:rFonts w:hint="eastAsia" w:ascii="宋体" w:hAnsi="宋体" w:cs="宋体"/>
          <w:color w:val="auto"/>
          <w:sz w:val="24"/>
          <w:szCs w:val="24"/>
          <w:highlight w:val="none"/>
          <w:u w:val="single"/>
          <w:lang w:val="en-US" w:eastAsia="zh-CN"/>
        </w:rPr>
        <w:t>项目估算总投资19173万元，其中，工程费16183万元</w:t>
      </w:r>
      <w:r>
        <w:rPr>
          <w:rFonts w:hint="default" w:ascii="宋体" w:hAnsi="宋体" w:cs="宋体"/>
          <w:color w:val="auto"/>
          <w:sz w:val="24"/>
          <w:szCs w:val="24"/>
          <w:highlight w:val="none"/>
          <w:u w:val="single"/>
          <w:lang w:eastAsia="zh-CN"/>
        </w:rPr>
        <w:t>，工程建设其他费2077万元，预备费913万元</w:t>
      </w:r>
      <w:r>
        <w:rPr>
          <w:rFonts w:hint="eastAsia" w:ascii="宋体" w:hAnsi="宋体" w:cs="宋体"/>
          <w:color w:val="auto"/>
          <w:sz w:val="24"/>
          <w:szCs w:val="24"/>
          <w:highlight w:val="none"/>
          <w:u w:val="single"/>
          <w:lang w:val="en-US" w:eastAsia="zh-CN"/>
        </w:rPr>
        <w:t>。</w:t>
      </w:r>
    </w:p>
    <w:p w14:paraId="47479901">
      <w:pPr>
        <w:spacing w:line="44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olor w:val="auto"/>
          <w:sz w:val="24"/>
          <w:highlight w:val="none"/>
        </w:rPr>
        <w:t>2.1.5项目代码：</w:t>
      </w:r>
      <w:r>
        <w:rPr>
          <w:rFonts w:hint="eastAsia" w:ascii="宋体" w:hAnsi="宋体" w:cs="宋体"/>
          <w:color w:val="auto"/>
          <w:sz w:val="24"/>
          <w:highlight w:val="none"/>
          <w:u w:val="single"/>
          <w:lang w:val="en-US" w:eastAsia="zh-CN"/>
        </w:rPr>
        <w:t>2018-440106-91-01-816125</w:t>
      </w:r>
    </w:p>
    <w:p w14:paraId="59EC19AD">
      <w:pPr>
        <w:tabs>
          <w:tab w:val="left" w:pos="7513"/>
        </w:tabs>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2.2招标范围</w:t>
      </w:r>
    </w:p>
    <w:p w14:paraId="70D74021">
      <w:pPr>
        <w:tabs>
          <w:tab w:val="left" w:pos="7513"/>
        </w:tabs>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个标段</w:t>
      </w:r>
      <w:r>
        <w:rPr>
          <w:rFonts w:hint="eastAsia" w:ascii="宋体" w:hAnsi="宋体"/>
          <w:color w:val="auto"/>
          <w:sz w:val="24"/>
          <w:highlight w:val="none"/>
          <w:u w:val="single"/>
          <w:lang w:val="en-US" w:eastAsia="zh-CN"/>
        </w:rPr>
        <w:t>。</w:t>
      </w:r>
    </w:p>
    <w:p w14:paraId="6950EFA3">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cs="宋体"/>
          <w:strike w:val="0"/>
          <w:color w:val="auto"/>
          <w:sz w:val="24"/>
          <w:szCs w:val="24"/>
          <w:highlight w:val="none"/>
          <w:u w:val="single"/>
        </w:rPr>
      </w:pPr>
      <w:r>
        <w:rPr>
          <w:rFonts w:hint="eastAsia" w:ascii="宋体" w:hAnsi="宋体" w:cs="宋体"/>
          <w:color w:val="auto"/>
          <w:sz w:val="24"/>
          <w:szCs w:val="24"/>
          <w:highlight w:val="none"/>
        </w:rPr>
        <w:t>2.2.2监理范围：</w:t>
      </w:r>
      <w:r>
        <w:rPr>
          <w:rFonts w:hint="eastAsia" w:ascii="宋体" w:hAnsi="宋体" w:cs="宋体"/>
          <w:strike w:val="0"/>
          <w:color w:val="auto"/>
          <w:sz w:val="24"/>
          <w:szCs w:val="24"/>
          <w:highlight w:val="none"/>
          <w:u w:val="single"/>
          <w:lang w:val="en-US" w:eastAsia="zh-CN"/>
        </w:rPr>
        <w:t>本项目施工监理负责本项目立项（含可研）范围内所有工程内容【含前期工程（如前期建&lt;构&gt;筑物拆除、绿化及管线设施迁移、临时用水、临时用电、超前钻&lt;如有&gt;、工程旁站监理、文物保护&lt;如有&gt;、文物勘探及发掘&lt;如有&gt;、坟墓迁移&lt;如有&gt;等前期工程、通信设施专项、信息化专项工程（如有）】及各专业工程的施工监理：包括但不限于施工准备阶段、施工阶段、工程收尾阶段（包括竣工验收、整改、工程移交及工程结算）及工程质量保修期阶段的质量控制，安全生产监督管理、职业健康安全及环境监督管理、进度控制、投资控制及合同管理（包括投资月报、审核工程预（结）算工程量、工程进度款、合同支付、变更台帐）、信息收集管理、组织协调、树木砍伐清除或迁移利用、文物保护、文物勘探及发掘、管线迁改、坟墓迁移、水土保持、工程创优（如有）、设备监造以及协调建设单位和工程建设有关各方的工作关系等全过程监理工作。此外，监理单位还须按委托人的要求提前进场参与开工前期的准备和筹划工作，编制项目第三方检（监）测规划方案，协助委托人制定工程管理办法、各参建方职责及有关事务性工作，协助配合委托人进行项目建设前期准备（包括施工前期临时准备工作）、协助前期报批报建手续办理、施工招标配合以及树木保护、文物保护、文物勘探及发掘、管线迁改、坟墓迁移、水土保持等情况跟进、各类地下及毗邻区域内的地下管线资料及气象和水文观测资料跟进、相邻建筑物和构筑物（高压线等）有关资料跟进、地下工程有关资料跟进等。具体以实际实施的监理范围为准。</w:t>
      </w:r>
    </w:p>
    <w:p w14:paraId="228771D4">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2.2.3监理服务期限：从监理人收到中标通知书或参加由委托人组织的第一次进场动员会之日起算，至本项目工程保修期结束且本合同工程结算金额经有权审核部门审定之日止。</w:t>
      </w:r>
      <w:r>
        <w:rPr>
          <w:rFonts w:hint="eastAsia" w:ascii="宋体" w:hAnsi="宋体" w:eastAsia="宋体" w:cs="宋体"/>
          <w:color w:val="auto"/>
          <w:kern w:val="2"/>
          <w:sz w:val="24"/>
          <w:szCs w:val="24"/>
          <w:highlight w:val="none"/>
          <w:u w:val="single"/>
          <w:lang w:val="en-US" w:eastAsia="zh-CN" w:bidi="ar"/>
        </w:rPr>
        <w:t>监理服务期包括项目的施工准备阶段、施工阶段、工程收尾阶段（包括但不限于竣工验收、整改、工程移交、工程结算等）及工程质量保修期阶段，监理人须实行全过程监理服务。</w:t>
      </w:r>
    </w:p>
    <w:p w14:paraId="05346B70">
      <w:pPr>
        <w:pStyle w:val="6"/>
        <w:ind w:firstLine="480" w:firstLineChars="200"/>
        <w:rPr>
          <w:color w:val="auto"/>
          <w:highlight w:val="none"/>
        </w:rPr>
      </w:pPr>
      <w:r>
        <w:rPr>
          <w:rFonts w:hint="eastAsia" w:ascii="宋体" w:hAnsi="宋体" w:eastAsia="宋体" w:cs="宋体"/>
          <w:color w:val="auto"/>
          <w:kern w:val="2"/>
          <w:sz w:val="24"/>
          <w:szCs w:val="24"/>
          <w:highlight w:val="none"/>
          <w:lang w:val="en-US" w:eastAsia="zh-CN" w:bidi="ar-SA"/>
        </w:rPr>
        <w:t>2.3最高投标限价</w:t>
      </w:r>
      <w:r>
        <w:rPr>
          <w:rFonts w:hint="eastAsia" w:ascii="宋体" w:hAnsi="宋体" w:cs="宋体"/>
          <w:color w:val="auto"/>
          <w:kern w:val="2"/>
          <w:sz w:val="24"/>
          <w:szCs w:val="24"/>
          <w:highlight w:val="none"/>
          <w:lang w:val="en-US" w:eastAsia="zh-CN" w:bidi="ar-SA"/>
        </w:rPr>
        <w:t>：</w:t>
      </w:r>
      <w:r>
        <w:rPr>
          <w:rFonts w:hint="default" w:ascii="宋体" w:hAnsi="宋体" w:cs="宋体"/>
          <w:color w:val="auto"/>
          <w:kern w:val="2"/>
          <w:sz w:val="24"/>
          <w:szCs w:val="24"/>
          <w:highlight w:val="none"/>
          <w:u w:val="single"/>
          <w:lang w:eastAsia="zh-CN" w:bidi="ar-SA"/>
        </w:rPr>
        <w:t>2874774</w:t>
      </w:r>
      <w:r>
        <w:rPr>
          <w:rFonts w:hint="eastAsia" w:ascii="宋体" w:hAnsi="宋体" w:cs="宋体"/>
          <w:color w:val="auto"/>
          <w:kern w:val="2"/>
          <w:sz w:val="24"/>
          <w:szCs w:val="24"/>
          <w:highlight w:val="none"/>
          <w:u w:val="single"/>
          <w:lang w:val="en-US" w:eastAsia="zh-CN" w:bidi="ar-SA"/>
        </w:rPr>
        <w:t>.00</w:t>
      </w:r>
      <w:r>
        <w:rPr>
          <w:rFonts w:hint="eastAsia" w:ascii="宋体" w:hAnsi="宋体" w:eastAsia="宋体" w:cs="Times New Roman"/>
          <w:color w:val="auto"/>
          <w:kern w:val="2"/>
          <w:sz w:val="24"/>
          <w:szCs w:val="24"/>
          <w:highlight w:val="none"/>
          <w:u w:val="single"/>
          <w:lang w:val="en-US" w:eastAsia="zh-CN" w:bidi="ar-SA"/>
        </w:rPr>
        <w:t>元</w:t>
      </w:r>
      <w:r>
        <w:rPr>
          <w:rFonts w:hint="eastAsia" w:ascii="宋体" w:hAnsi="宋体" w:eastAsia="宋体" w:cs="宋体"/>
          <w:color w:val="auto"/>
          <w:kern w:val="2"/>
          <w:sz w:val="24"/>
          <w:szCs w:val="24"/>
          <w:highlight w:val="none"/>
          <w:lang w:val="en-US" w:eastAsia="zh-CN" w:bidi="ar-SA"/>
        </w:rPr>
        <w:t>。</w:t>
      </w:r>
    </w:p>
    <w:p w14:paraId="22C164A3">
      <w:pPr>
        <w:pStyle w:val="2"/>
        <w:spacing w:before="312" w:beforeLines="100" w:line="360" w:lineRule="auto"/>
        <w:rPr>
          <w:color w:val="auto"/>
          <w:highlight w:val="none"/>
        </w:rPr>
      </w:pPr>
      <w:bookmarkStart w:id="8" w:name="_Toc529196506"/>
      <w:bookmarkStart w:id="9" w:name="_Toc535938697"/>
      <w:bookmarkStart w:id="10" w:name="_Toc511557027"/>
      <w:r>
        <w:rPr>
          <w:rFonts w:hint="eastAsia"/>
          <w:color w:val="auto"/>
          <w:highlight w:val="none"/>
        </w:rPr>
        <w:t>3. 投标人资格要求</w:t>
      </w:r>
      <w:bookmarkEnd w:id="8"/>
      <w:bookmarkEnd w:id="9"/>
      <w:bookmarkEnd w:id="10"/>
    </w:p>
    <w:p w14:paraId="25E289A5">
      <w:pPr>
        <w:spacing w:line="360" w:lineRule="auto"/>
        <w:ind w:firstLine="480" w:firstLineChars="200"/>
        <w:rPr>
          <w:rFonts w:ascii="宋体" w:hAnsi="宋体" w:cs="楷体"/>
          <w:color w:val="auto"/>
          <w:sz w:val="24"/>
          <w:szCs w:val="24"/>
          <w:highlight w:val="none"/>
          <w:u w:val="single"/>
        </w:rPr>
      </w:pPr>
      <w:bookmarkStart w:id="11" w:name="_Toc535938699"/>
      <w:r>
        <w:rPr>
          <w:rFonts w:hint="eastAsia" w:ascii="宋体" w:hAnsi="宋体" w:cs="宋体"/>
          <w:color w:val="auto"/>
          <w:sz w:val="24"/>
          <w:szCs w:val="24"/>
          <w:highlight w:val="none"/>
        </w:rPr>
        <w:t>3.1投标人须具备建设行政主管部门颁发的</w:t>
      </w:r>
      <w:r>
        <w:rPr>
          <w:rFonts w:hint="eastAsia" w:ascii="宋体" w:hAnsi="宋体" w:cs="宋体"/>
          <w:b/>
          <w:bCs/>
          <w:color w:val="auto"/>
          <w:sz w:val="24"/>
          <w:szCs w:val="24"/>
          <w:highlight w:val="none"/>
          <w:u w:val="single"/>
        </w:rPr>
        <w:t>工程监理综合资质或房屋建筑工程监理专业</w:t>
      </w:r>
      <w:r>
        <w:rPr>
          <w:rFonts w:hint="eastAsia" w:ascii="宋体" w:hAnsi="宋体" w:cs="宋体"/>
          <w:b/>
          <w:bCs/>
          <w:color w:val="auto"/>
          <w:sz w:val="24"/>
          <w:szCs w:val="24"/>
          <w:highlight w:val="none"/>
          <w:u w:val="single"/>
          <w:lang w:val="en-US" w:eastAsia="zh-CN"/>
        </w:rPr>
        <w:t>甲</w:t>
      </w:r>
      <w:r>
        <w:rPr>
          <w:rFonts w:hint="eastAsia" w:ascii="宋体" w:hAnsi="宋体" w:cs="宋体"/>
          <w:b/>
          <w:bCs/>
          <w:color w:val="auto"/>
          <w:sz w:val="24"/>
          <w:szCs w:val="24"/>
          <w:highlight w:val="none"/>
          <w:u w:val="single"/>
        </w:rPr>
        <w:t>级资质</w:t>
      </w:r>
      <w:r>
        <w:rPr>
          <w:rFonts w:hint="eastAsia" w:ascii="宋体" w:hAnsi="宋体" w:cs="宋体"/>
          <w:color w:val="auto"/>
          <w:sz w:val="24"/>
          <w:szCs w:val="24"/>
          <w:highlight w:val="none"/>
        </w:rPr>
        <w:t>；</w:t>
      </w:r>
      <w:r>
        <w:rPr>
          <w:rFonts w:hint="eastAsia" w:ascii="宋体" w:hAnsi="宋体" w:cs="楷体"/>
          <w:color w:val="auto"/>
          <w:sz w:val="24"/>
          <w:szCs w:val="24"/>
          <w:highlight w:val="none"/>
          <w:u w:val="single"/>
        </w:rPr>
        <w:t>香港企业参加投标的，须在广东省住房和城乡建设主管部门备案且备案的业务范围满足本项目</w:t>
      </w:r>
      <w:r>
        <w:rPr>
          <w:rFonts w:hint="eastAsia" w:ascii="宋体" w:hAnsi="宋体" w:cs="宋体"/>
          <w:color w:val="auto"/>
          <w:kern w:val="0"/>
          <w:sz w:val="24"/>
          <w:highlight w:val="none"/>
          <w:u w:val="single"/>
        </w:rPr>
        <w:t>招标文件</w:t>
      </w:r>
      <w:r>
        <w:rPr>
          <w:rFonts w:hint="eastAsia" w:ascii="宋体" w:hAnsi="宋体" w:cs="楷体"/>
          <w:color w:val="auto"/>
          <w:sz w:val="24"/>
          <w:szCs w:val="24"/>
          <w:highlight w:val="none"/>
          <w:u w:val="single"/>
        </w:rPr>
        <w:t>要求。</w:t>
      </w:r>
    </w:p>
    <w:p w14:paraId="4B692C0E">
      <w:pPr>
        <w:spacing w:line="360" w:lineRule="auto"/>
        <w:ind w:firstLine="422" w:firstLineChars="200"/>
        <w:jc w:val="left"/>
        <w:rPr>
          <w:rFonts w:ascii="宋体" w:hAnsi="宋体" w:cs="楷体"/>
          <w:b/>
          <w:bCs/>
          <w:color w:val="auto"/>
          <w:szCs w:val="21"/>
          <w:highlight w:val="none"/>
          <w:u w:val="single"/>
        </w:rPr>
      </w:pPr>
      <w:r>
        <w:rPr>
          <w:rFonts w:hint="eastAsia" w:ascii="宋体" w:hAnsi="宋体" w:cs="楷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2F172C24">
      <w:pPr>
        <w:spacing w:line="440" w:lineRule="exact"/>
        <w:ind w:firstLine="422" w:firstLineChars="200"/>
        <w:rPr>
          <w:rFonts w:ascii="宋体" w:hAnsi="宋体" w:cs="楷体"/>
          <w:b/>
          <w:bCs/>
          <w:color w:val="auto"/>
          <w:szCs w:val="21"/>
          <w:highlight w:val="none"/>
          <w:u w:val="single"/>
        </w:rPr>
      </w:pPr>
      <w:r>
        <w:rPr>
          <w:rFonts w:hint="eastAsia" w:ascii="宋体" w:hAnsi="宋体" w:cs="楷体"/>
          <w:b/>
          <w:bCs/>
          <w:color w:val="auto"/>
          <w:szCs w:val="21"/>
          <w:highlight w:val="none"/>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eastAsia="宋体" w:cs="宋体"/>
          <w:b/>
          <w:bCs w:val="0"/>
          <w:color w:val="auto"/>
          <w:sz w:val="21"/>
          <w:szCs w:val="21"/>
          <w:highlight w:val="none"/>
          <w:lang w:val="en-US" w:eastAsia="zh-CN" w:bidi="ar"/>
        </w:rPr>
        <w:t>。</w:t>
      </w:r>
    </w:p>
    <w:p w14:paraId="0E20377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14:paraId="0F9F8BF6">
      <w:pPr>
        <w:spacing w:line="440" w:lineRule="exact"/>
        <w:ind w:firstLine="480" w:firstLineChars="200"/>
        <w:rPr>
          <w:rFonts w:ascii="宋体" w:hAnsi="宋体" w:cs="楷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拟派项目总监理工程师须具有建设部2006年4月1日后颁发的中华人民共和国</w:t>
      </w:r>
      <w:r>
        <w:rPr>
          <w:rFonts w:hint="eastAsia" w:ascii="宋体" w:hAnsi="宋体" w:cs="宋体"/>
          <w:color w:val="auto"/>
          <w:sz w:val="24"/>
          <w:szCs w:val="24"/>
          <w:highlight w:val="none"/>
          <w:u w:val="single"/>
        </w:rPr>
        <w:t>注册监理工程师注册执业证书</w:t>
      </w:r>
      <w:r>
        <w:rPr>
          <w:rFonts w:hint="eastAsia" w:ascii="宋体" w:hAnsi="宋体" w:cs="宋体"/>
          <w:color w:val="auto"/>
          <w:sz w:val="24"/>
          <w:szCs w:val="24"/>
          <w:highlight w:val="none"/>
        </w:rPr>
        <w:t>，且其注册证书专业为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olor w:val="auto"/>
          <w:sz w:val="24"/>
          <w:szCs w:val="24"/>
          <w:highlight w:val="none"/>
          <w:u w:val="single"/>
        </w:rPr>
        <w:t>（注册企业以注册监理工程师注册执业证书上的注册单位为准,拟派总监理工程师注册执业专业以注册执业证书上的注册专业为准）</w:t>
      </w:r>
      <w:r>
        <w:rPr>
          <w:rFonts w:hint="eastAsia" w:ascii="宋体" w:hAnsi="宋体" w:cs="宋体"/>
          <w:color w:val="auto"/>
          <w:sz w:val="24"/>
          <w:szCs w:val="24"/>
          <w:highlight w:val="none"/>
        </w:rPr>
        <w:t>，</w:t>
      </w:r>
      <w:r>
        <w:rPr>
          <w:rFonts w:ascii="宋体" w:hAnsi="宋体" w:cs="宋体"/>
          <w:color w:val="auto"/>
          <w:sz w:val="24"/>
          <w:szCs w:val="24"/>
          <w:highlight w:val="none"/>
        </w:rPr>
        <w:t>并具备本科或以上学历</w:t>
      </w:r>
      <w:r>
        <w:rPr>
          <w:rFonts w:hint="eastAsia" w:ascii="宋体" w:hAnsi="宋体" w:cs="宋体"/>
          <w:color w:val="auto"/>
          <w:kern w:val="0"/>
          <w:sz w:val="24"/>
          <w:highlight w:val="none"/>
        </w:rPr>
        <w:t>；</w:t>
      </w:r>
      <w:r>
        <w:rPr>
          <w:rFonts w:hint="eastAsia" w:ascii="宋体" w:hAnsi="宋体" w:cs="楷体"/>
          <w:color w:val="auto"/>
          <w:sz w:val="24"/>
          <w:szCs w:val="24"/>
          <w:highlight w:val="none"/>
          <w:u w:val="single"/>
        </w:rPr>
        <w:t>或在广东省住房和城乡建设主管部门备案且备案的资格满足本项目总监理工程师的资格要求的香港专业人士。</w:t>
      </w:r>
    </w:p>
    <w:p w14:paraId="0828F602">
      <w:pPr>
        <w:spacing w:line="440" w:lineRule="exact"/>
        <w:ind w:firstLine="422" w:firstLineChars="200"/>
        <w:jc w:val="left"/>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w:t>
      </w:r>
      <w:r>
        <w:rPr>
          <w:rFonts w:hint="default" w:ascii="宋体" w:hAnsi="宋体" w:cs="楷体"/>
          <w:b/>
          <w:bCs/>
          <w:color w:val="auto"/>
          <w:szCs w:val="21"/>
          <w:highlight w:val="none"/>
          <w:u w:val="single"/>
        </w:rPr>
        <w:t>[</w:t>
      </w:r>
      <w:r>
        <w:rPr>
          <w:rFonts w:hint="eastAsia" w:ascii="宋体" w:hAnsi="宋体" w:cs="楷体"/>
          <w:b/>
          <w:bCs/>
          <w:color w:val="auto"/>
          <w:szCs w:val="21"/>
          <w:highlight w:val="none"/>
          <w:u w:val="single"/>
        </w:rPr>
        <w:t>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396A9FA1">
      <w:pPr>
        <w:spacing w:line="440" w:lineRule="exact"/>
        <w:ind w:firstLine="480" w:firstLineChars="200"/>
        <w:rPr>
          <w:rFonts w:hint="default" w:ascii="宋体" w:hAnsi="宋体" w:cs="楷体"/>
          <w:color w:val="auto"/>
          <w:sz w:val="24"/>
          <w:szCs w:val="24"/>
          <w:highlight w:val="none"/>
          <w:u w:val="single"/>
        </w:rPr>
      </w:pPr>
      <w:r>
        <w:rPr>
          <w:rFonts w:hint="default" w:ascii="宋体" w:hAnsi="宋体" w:cs="楷体"/>
          <w:color w:val="auto"/>
          <w:sz w:val="24"/>
          <w:szCs w:val="24"/>
          <w:highlight w:val="none"/>
          <w:u w:val="single"/>
        </w:rPr>
        <w:t>3.4 投标人自 2022年1月1日至今完成过质量合格的房屋建筑工程监理业绩。需同时提供中标通知书或免招标的相关证明、施工监理合同、竣工验收报告或竣工验收证明的清晰扫描件。业绩时间以竣工验收报告或竣工验收证明出具时间为准(竣工验收报告或竣工验收证明材料至少包含建设单位、设计单位、施工单位、监理单位四方主体盖章，否则不予以认可)。</w:t>
      </w:r>
    </w:p>
    <w:p w14:paraId="0D1C4CC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default" w:ascii="宋体" w:hAnsi="宋体" w:cs="宋体"/>
          <w:color w:val="auto"/>
          <w:sz w:val="24"/>
          <w:szCs w:val="24"/>
          <w:highlight w:val="none"/>
        </w:rPr>
        <w:t>5</w:t>
      </w:r>
      <w:r>
        <w:rPr>
          <w:rFonts w:hint="eastAsia" w:ascii="宋体" w:hAnsi="宋体" w:cs="宋体"/>
          <w:color w:val="auto"/>
          <w:sz w:val="24"/>
          <w:szCs w:val="24"/>
          <w:highlight w:val="none"/>
        </w:rPr>
        <w:t>其他要求：</w:t>
      </w:r>
    </w:p>
    <w:p w14:paraId="59B8CF40">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①投标人参加投标的意思表达清楚，投标人代表被授权有效。</w:t>
      </w:r>
    </w:p>
    <w:p w14:paraId="3FDCE6CC">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②投标人均具有独立法人资格，持有有效的工商行政（或市场监管）管理部门核发的法人营业执照，按国家法律经营。</w:t>
      </w:r>
    </w:p>
    <w:p w14:paraId="79D7FEBE">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③投标人已按规定格式签名</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《投标人声明》（详见附件一）。</w:t>
      </w:r>
    </w:p>
    <w:p w14:paraId="0ACC57B6">
      <w:pPr>
        <w:spacing w:line="44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sz w:val="24"/>
          <w:szCs w:val="24"/>
          <w:highlight w:val="none"/>
          <w:u w:val="single"/>
        </w:rPr>
        <w:t>④</w:t>
      </w:r>
      <w:r>
        <w:rPr>
          <w:rFonts w:hint="eastAsia" w:ascii="宋体" w:hAnsi="宋体" w:cs="宋体"/>
          <w:color w:val="auto"/>
          <w:kern w:val="0"/>
          <w:sz w:val="24"/>
          <w:highlight w:val="none"/>
          <w:u w:val="single"/>
        </w:rPr>
        <w:t>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auto"/>
          <w:highlight w:val="none"/>
        </w:rPr>
        <w:fldChar w:fldCharType="begin"/>
      </w:r>
      <w:r>
        <w:rPr>
          <w:color w:val="auto"/>
          <w:highlight w:val="none"/>
        </w:rPr>
        <w:instrText xml:space="preserve"> HYPERLINK "http://zfcj.gz.gov.cn/zwgk/zsdwxxgkzl/gzsjzyglfwzx/bszy/content/post_8073953.html" </w:instrText>
      </w:r>
      <w:r>
        <w:rPr>
          <w:color w:val="auto"/>
          <w:highlight w:val="none"/>
        </w:rPr>
        <w:fldChar w:fldCharType="separate"/>
      </w:r>
      <w:r>
        <w:rPr>
          <w:rStyle w:val="9"/>
          <w:rFonts w:ascii="宋体" w:hAnsi="宋体" w:cs="宋体"/>
          <w:color w:val="auto"/>
          <w:kern w:val="0"/>
          <w:sz w:val="24"/>
          <w:highlight w:val="none"/>
        </w:rPr>
        <w:t>http://zfcj.gz.gov.cn/zwgk/zsdwxxgkzl/gzsjzyglfwzx/bszy/content/post_8073953.html</w:t>
      </w:r>
      <w:r>
        <w:rPr>
          <w:rFonts w:ascii="宋体" w:hAnsi="宋体" w:cs="宋体"/>
          <w:color w:val="auto"/>
          <w:kern w:val="0"/>
          <w:sz w:val="24"/>
          <w:highlight w:val="none"/>
        </w:rPr>
        <w:fldChar w:fldCharType="end"/>
      </w:r>
      <w:r>
        <w:rPr>
          <w:rFonts w:hint="eastAsia" w:ascii="宋体" w:hAnsi="宋体" w:cs="宋体"/>
          <w:color w:val="auto"/>
          <w:kern w:val="0"/>
          <w:sz w:val="24"/>
          <w:highlight w:val="none"/>
          <w:u w:val="single"/>
        </w:rPr>
        <w:t>）。</w:t>
      </w:r>
    </w:p>
    <w:p w14:paraId="4862D417">
      <w:pPr>
        <w:spacing w:line="440" w:lineRule="exact"/>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⑤投标人未被列入拖欠农民工工资失信联合惩戒对象名单</w:t>
      </w:r>
      <w:r>
        <w:rPr>
          <w:rFonts w:hint="eastAsia" w:ascii="宋体" w:hAnsi="宋体" w:cs="宋体"/>
          <w:color w:val="auto"/>
          <w:sz w:val="24"/>
          <w:highlight w:val="none"/>
          <w:u w:val="single"/>
        </w:rPr>
        <w:t>（投标人无需提供资料，按投标截止时间广州交易集团有限公司（广州公共资源交易中心）交易系统比对的结果进行评审）。</w:t>
      </w:r>
    </w:p>
    <w:p w14:paraId="6DB561DB">
      <w:pPr>
        <w:spacing w:line="440" w:lineRule="exact"/>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⑥投标人未在以往工程中因不充分履约行为被本项目招标人书面拒绝投标的（被招标人拒绝投标的名单详见本招标公告附件三）。</w:t>
      </w:r>
    </w:p>
    <w:p w14:paraId="72FB1DDE">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fldChar w:fldCharType="begin"/>
      </w:r>
      <w:r>
        <w:rPr>
          <w:rFonts w:hint="eastAsia" w:ascii="宋体" w:hAnsi="宋体" w:cs="楷体"/>
          <w:color w:val="auto"/>
          <w:sz w:val="24"/>
          <w:szCs w:val="24"/>
          <w:highlight w:val="none"/>
          <w:u w:val="single"/>
        </w:rPr>
        <w:instrText xml:space="preserve"> = 7 \* GB3 \* MERGEFORMAT </w:instrText>
      </w:r>
      <w:r>
        <w:rPr>
          <w:rFonts w:hint="eastAsia" w:ascii="宋体" w:hAnsi="宋体" w:cs="楷体"/>
          <w:color w:val="auto"/>
          <w:sz w:val="24"/>
          <w:szCs w:val="24"/>
          <w:highlight w:val="none"/>
          <w:u w:val="single"/>
        </w:rPr>
        <w:fldChar w:fldCharType="separate"/>
      </w:r>
      <w:r>
        <w:rPr>
          <w:rFonts w:hint="eastAsia" w:ascii="宋体" w:hAnsi="宋体" w:cs="楷体"/>
          <w:color w:val="auto"/>
          <w:sz w:val="24"/>
          <w:szCs w:val="24"/>
          <w:highlight w:val="none"/>
          <w:u w:val="single"/>
        </w:rPr>
        <w:t>⑦</w:t>
      </w:r>
      <w:r>
        <w:rPr>
          <w:rFonts w:hint="eastAsia" w:ascii="宋体" w:hAnsi="宋体" w:cs="楷体"/>
          <w:color w:val="auto"/>
          <w:sz w:val="24"/>
          <w:szCs w:val="24"/>
          <w:highlight w:val="none"/>
          <w:u w:val="single"/>
        </w:rPr>
        <w:fldChar w:fldCharType="end"/>
      </w:r>
      <w:r>
        <w:rPr>
          <w:rFonts w:hint="eastAsia" w:ascii="宋体" w:hAnsi="宋体" w:cs="楷体"/>
          <w:color w:val="auto"/>
          <w:sz w:val="24"/>
          <w:szCs w:val="24"/>
          <w:highlight w:val="none"/>
          <w:u w:val="singl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12EFD97A">
      <w:pPr>
        <w:spacing w:line="360" w:lineRule="auto"/>
        <w:ind w:firstLine="480" w:firstLineChars="200"/>
        <w:rPr>
          <w:rFonts w:ascii="宋体" w:hAnsi="宋体" w:cs="楷体"/>
          <w:color w:val="auto"/>
          <w:sz w:val="24"/>
          <w:szCs w:val="24"/>
          <w:highlight w:val="none"/>
          <w:u w:val="single"/>
        </w:rPr>
      </w:pPr>
      <w:r>
        <w:rPr>
          <w:rFonts w:hint="eastAsia" w:ascii="宋体" w:hAnsi="宋体" w:cs="宋体"/>
          <w:color w:val="auto"/>
          <w:kern w:val="0"/>
          <w:sz w:val="24"/>
          <w:highlight w:val="none"/>
          <w:u w:val="single"/>
        </w:rPr>
        <w:t>注：未在招标公告第3条单列的投标人资格要求条件，不作为资审不合格的依据。</w:t>
      </w:r>
    </w:p>
    <w:p w14:paraId="2E2D4C13">
      <w:pPr>
        <w:pStyle w:val="2"/>
        <w:spacing w:before="312" w:beforeLines="100" w:line="360" w:lineRule="auto"/>
        <w:rPr>
          <w:color w:val="auto"/>
          <w:highlight w:val="none"/>
        </w:rPr>
      </w:pPr>
      <w:r>
        <w:rPr>
          <w:rFonts w:hint="eastAsia"/>
          <w:color w:val="auto"/>
          <w:highlight w:val="none"/>
        </w:rPr>
        <w:t>4.招标文件的获取</w:t>
      </w:r>
    </w:p>
    <w:p w14:paraId="109BD743">
      <w:pPr>
        <w:spacing w:line="440" w:lineRule="exact"/>
        <w:ind w:left="0" w:leftChars="0" w:firstLine="480" w:firstLineChars="200"/>
        <w:rPr>
          <w:rFonts w:ascii="宋体" w:cs="宋体"/>
          <w:color w:val="auto"/>
          <w:sz w:val="24"/>
          <w:szCs w:val="24"/>
          <w:highlight w:val="none"/>
        </w:rPr>
      </w:pPr>
      <w:bookmarkStart w:id="12" w:name="_Toc3471142"/>
      <w:bookmarkStart w:id="13" w:name="_Toc514099628"/>
      <w:r>
        <w:rPr>
          <w:rFonts w:hint="eastAsia" w:ascii="宋体" w:cs="宋体"/>
          <w:color w:val="auto"/>
          <w:sz w:val="24"/>
          <w:szCs w:val="24"/>
          <w:highlight w:val="none"/>
        </w:rPr>
        <w:t>4.1</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凡有意参加投标者，请于</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hAnsi="宋体"/>
          <w:color w:val="auto"/>
          <w:sz w:val="24"/>
          <w:szCs w:val="24"/>
          <w:highlight w:val="none"/>
          <w:u w:val="single"/>
        </w:rPr>
        <w:t>广州交易集团有限公司（广州公共资源交易中心）</w:t>
      </w:r>
      <w:r>
        <w:rPr>
          <w:rFonts w:ascii="宋体" w:hAnsi="宋体"/>
          <w:color w:val="auto"/>
          <w:sz w:val="24"/>
          <w:szCs w:val="24"/>
          <w:highlight w:val="none"/>
          <w:u w:val="single"/>
        </w:rPr>
        <w:t>网</w:t>
      </w:r>
      <w:r>
        <w:rPr>
          <w:rFonts w:hint="eastAsia" w:ascii="宋体" w:hAnsi="宋体"/>
          <w:color w:val="auto"/>
          <w:sz w:val="24"/>
          <w:szCs w:val="24"/>
          <w:highlight w:val="none"/>
          <w:u w:val="single"/>
        </w:rPr>
        <w:t>站</w:t>
      </w:r>
      <w:r>
        <w:rPr>
          <w:rFonts w:ascii="宋体" w:hAnsi="宋体"/>
          <w:color w:val="auto"/>
          <w:sz w:val="24"/>
          <w:szCs w:val="24"/>
          <w:highlight w:val="none"/>
          <w:u w:val="single"/>
        </w:rPr>
        <w:t>（网址：http://www.gzggzy.cn）</w:t>
      </w:r>
      <w:r>
        <w:rPr>
          <w:rFonts w:hint="eastAsia" w:ascii="宋体" w:hAnsi="宋体"/>
          <w:color w:val="auto"/>
          <w:sz w:val="24"/>
          <w:szCs w:val="24"/>
          <w:highlight w:val="none"/>
        </w:rPr>
        <w:t>下载电子招标文件。</w:t>
      </w:r>
    </w:p>
    <w:p w14:paraId="22ABEAFD">
      <w:pPr>
        <w:spacing w:line="440" w:lineRule="exact"/>
        <w:ind w:firstLine="480" w:firstLineChars="200"/>
        <w:rPr>
          <w:rFonts w:ascii="宋体" w:cs="宋体"/>
          <w:color w:val="auto"/>
          <w:sz w:val="24"/>
          <w:szCs w:val="24"/>
          <w:highlight w:val="none"/>
        </w:rPr>
      </w:pPr>
      <w:bookmarkStart w:id="14" w:name="_Toc511557030"/>
      <w:r>
        <w:rPr>
          <w:rFonts w:hint="eastAsia" w:ascii="宋体" w:cs="宋体"/>
          <w:color w:val="auto"/>
          <w:sz w:val="24"/>
          <w:szCs w:val="24"/>
          <w:highlight w:val="none"/>
        </w:rPr>
        <w:t>4.2 发布招标公告时间（含本日）</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p>
    <w:p w14:paraId="2C20C831">
      <w:pPr>
        <w:spacing w:line="360" w:lineRule="auto"/>
        <w:ind w:left="-238" w:firstLine="566" w:firstLineChars="235"/>
        <w:rPr>
          <w:rFonts w:ascii="宋体" w:hAnsi="宋体" w:cs="楷体"/>
          <w:b/>
          <w:bCs/>
          <w:color w:val="auto"/>
          <w:sz w:val="24"/>
          <w:szCs w:val="24"/>
          <w:highlight w:val="none"/>
          <w:u w:val="single"/>
        </w:rPr>
      </w:pPr>
      <w:r>
        <w:rPr>
          <w:rFonts w:hint="eastAsia" w:ascii="宋体" w:hAnsi="宋体" w:cs="楷体"/>
          <w:b/>
          <w:bCs/>
          <w:color w:val="auto"/>
          <w:sz w:val="24"/>
          <w:szCs w:val="24"/>
          <w:highlight w:val="none"/>
          <w:u w:val="single"/>
        </w:rPr>
        <w:t>注：发布招标公告的时间为招标公告发出之日起至递交投标文件截止时间止。</w:t>
      </w:r>
    </w:p>
    <w:bookmarkEnd w:id="12"/>
    <w:bookmarkEnd w:id="13"/>
    <w:bookmarkEnd w:id="14"/>
    <w:p w14:paraId="5A71BE07">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4.3 </w:t>
      </w:r>
      <w:r>
        <w:rPr>
          <w:rFonts w:hint="eastAsia" w:ascii="宋体" w:hAnsi="宋体" w:cs="宋体"/>
          <w:color w:val="auto"/>
          <w:kern w:val="0"/>
          <w:sz w:val="24"/>
          <w:szCs w:val="24"/>
          <w:highlight w:val="none"/>
        </w:rPr>
        <w:t>本项目设立投标登记环节，采取</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u w:val="single"/>
        </w:rPr>
        <w:t>网上投标登记</w:t>
      </w:r>
      <w:r>
        <w:rPr>
          <w:rFonts w:hint="eastAsia" w:ascii="宋体" w:hAnsi="宋体" w:cs="宋体"/>
          <w:color w:val="auto"/>
          <w:kern w:val="0"/>
          <w:sz w:val="24"/>
          <w:szCs w:val="24"/>
          <w:highlight w:val="none"/>
        </w:rPr>
        <w:t>方式进行投标登记，不接受现场投标登记（参加投标登记之前，投标人应查询本企业在</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网站发布的最新版操作指引）。</w:t>
      </w:r>
    </w:p>
    <w:p w14:paraId="49127725">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4.3.1投标登记时间：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分至</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w:t>
      </w:r>
    </w:p>
    <w:p w14:paraId="2B9D87DB">
      <w:pPr>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613114C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 本项目采用资格后审方式。</w:t>
      </w:r>
    </w:p>
    <w:p w14:paraId="341D95A6">
      <w:pPr>
        <w:pStyle w:val="2"/>
        <w:spacing w:before="312" w:beforeLines="100" w:line="360" w:lineRule="auto"/>
        <w:rPr>
          <w:color w:val="auto"/>
          <w:highlight w:val="none"/>
        </w:rPr>
      </w:pPr>
      <w:r>
        <w:rPr>
          <w:rFonts w:hint="eastAsia"/>
          <w:color w:val="auto"/>
          <w:highlight w:val="none"/>
        </w:rPr>
        <w:t>5. 投标文件的递交</w:t>
      </w:r>
      <w:bookmarkEnd w:id="11"/>
    </w:p>
    <w:p w14:paraId="09A6C662">
      <w:pPr>
        <w:pStyle w:val="10"/>
        <w:spacing w:line="440" w:lineRule="exact"/>
        <w:ind w:firstLine="480" w:firstLineChars="200"/>
        <w:rPr>
          <w:rFonts w:ascii="宋体" w:hAnsi="宋体" w:eastAsia="宋体" w:cs="宋体"/>
          <w:color w:val="auto"/>
          <w:kern w:val="2"/>
          <w:sz w:val="24"/>
          <w:szCs w:val="24"/>
          <w:highlight w:val="none"/>
        </w:rPr>
      </w:pPr>
      <w:bookmarkStart w:id="15" w:name="_Toc535938700"/>
      <w:r>
        <w:rPr>
          <w:rFonts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lang w:val="en-US"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分，投标人应在截止时间前通过</w:t>
      </w:r>
      <w:r>
        <w:rPr>
          <w:rFonts w:ascii="宋体" w:hAnsi="宋体" w:eastAsia="宋体" w:cs="宋体"/>
          <w:color w:val="auto"/>
          <w:kern w:val="2"/>
          <w:sz w:val="24"/>
          <w:szCs w:val="24"/>
          <w:highlight w:val="none"/>
          <w:u w:val="single"/>
        </w:rPr>
        <w:t>广州交易集团有限公司（广州公共资源交易中心）数字交易平台（网址：http://www.gzggzy.cn）</w:t>
      </w:r>
      <w:r>
        <w:rPr>
          <w:rFonts w:ascii="宋体" w:hAnsi="宋体" w:eastAsia="宋体" w:cs="宋体"/>
          <w:color w:val="auto"/>
          <w:kern w:val="2"/>
          <w:sz w:val="24"/>
          <w:szCs w:val="24"/>
          <w:highlight w:val="none"/>
        </w:rPr>
        <w:t>递交电子投标文件。</w:t>
      </w:r>
    </w:p>
    <w:p w14:paraId="7F4B5316">
      <w:pPr>
        <w:pStyle w:val="10"/>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5.2 递交备用投标文件电子光盘时间为：</w:t>
      </w:r>
      <w:r>
        <w:rPr>
          <w:rFonts w:hint="eastAsia" w:ascii="宋体" w:hAnsi="宋体" w:eastAsia="宋体" w:cs="宋体"/>
          <w:color w:val="auto"/>
          <w:kern w:val="2"/>
          <w:sz w:val="24"/>
          <w:szCs w:val="24"/>
          <w:highlight w:val="none"/>
          <w:u w:val="single"/>
          <w:lang w:val="en-US"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分至</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lang w:val="en-US" w:eastAsia="zh-CN"/>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ascii="宋体" w:hAnsi="宋体" w:eastAsia="宋体" w:cs="宋体"/>
          <w:color w:val="auto"/>
          <w:kern w:val="2"/>
          <w:sz w:val="24"/>
          <w:szCs w:val="24"/>
          <w:highlight w:val="none"/>
        </w:rPr>
        <w:t>电子光盘需按规定封装。投标人在将数据刻录到光盘之后，投标前自行检查文件是否可以读取）。</w:t>
      </w:r>
    </w:p>
    <w:p w14:paraId="7058A169">
      <w:pPr>
        <w:widowControl/>
        <w:shd w:val="clear" w:color="auto" w:fill="FFFFFF"/>
        <w:spacing w:line="360" w:lineRule="auto"/>
        <w:ind w:firstLine="537" w:firstLineChars="224"/>
        <w:jc w:val="left"/>
        <w:rPr>
          <w:rFonts w:ascii="宋体" w:hAnsi="宋体" w:cs="宋体"/>
          <w:color w:val="auto"/>
          <w:sz w:val="24"/>
          <w:szCs w:val="24"/>
          <w:highlight w:val="none"/>
        </w:rPr>
      </w:pPr>
      <w:r>
        <w:rPr>
          <w:rFonts w:ascii="宋体" w:hAnsi="宋体" w:cs="宋体"/>
          <w:color w:val="auto"/>
          <w:sz w:val="24"/>
          <w:szCs w:val="24"/>
          <w:highlight w:val="none"/>
        </w:rPr>
        <w:t>5.3 逾期送达的投标文件，电子招标投标交易平台将予以拒收。</w:t>
      </w:r>
      <w:r>
        <w:rPr>
          <w:rFonts w:ascii="宋体" w:hAnsi="宋体"/>
          <w:color w:val="auto"/>
          <w:sz w:val="24"/>
          <w:szCs w:val="24"/>
          <w:highlight w:val="none"/>
        </w:rPr>
        <w:t>逾期未上传成功的电子投标文件，招标人拒绝接收。逾期或未在指定地点递交投标文件光盘的,招标人拒绝接收其投标文件光盘。</w:t>
      </w:r>
    </w:p>
    <w:p w14:paraId="3264F312">
      <w:pPr>
        <w:pStyle w:val="10"/>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5.4 开标时间：</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lang w:val="en-US" w:eastAsia="zh-CN"/>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p>
    <w:p w14:paraId="467DD731">
      <w:pPr>
        <w:pStyle w:val="10"/>
        <w:spacing w:line="440" w:lineRule="exact"/>
        <w:ind w:firstLine="480" w:firstLineChars="200"/>
        <w:rPr>
          <w:rFonts w:ascii="宋体" w:hAnsi="宋体" w:cs="宋体"/>
          <w:color w:val="auto"/>
          <w:sz w:val="24"/>
          <w:szCs w:val="24"/>
          <w:highlight w:val="none"/>
        </w:rPr>
      </w:pPr>
      <w:r>
        <w:rPr>
          <w:rFonts w:ascii="宋体" w:hAnsi="宋体" w:eastAsia="宋体" w:cs="宋体"/>
          <w:color w:val="auto"/>
          <w:kern w:val="2"/>
          <w:sz w:val="24"/>
          <w:szCs w:val="24"/>
          <w:highlight w:val="none"/>
        </w:rPr>
        <w:t>5.5 递交投标文件截止时间及开标时间是否有变化，请密切留意</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网站查询具体的时间和场地安排。</w:t>
      </w:r>
    </w:p>
    <w:p w14:paraId="0A4298A5">
      <w:pPr>
        <w:pStyle w:val="2"/>
        <w:spacing w:before="312" w:beforeLines="100" w:line="360" w:lineRule="auto"/>
        <w:rPr>
          <w:color w:val="auto"/>
          <w:highlight w:val="none"/>
        </w:rPr>
      </w:pPr>
      <w:r>
        <w:rPr>
          <w:rFonts w:hint="eastAsia"/>
          <w:color w:val="auto"/>
          <w:highlight w:val="none"/>
        </w:rPr>
        <w:t>6.</w:t>
      </w:r>
      <w:bookmarkEnd w:id="15"/>
      <w:bookmarkStart w:id="16" w:name="_Toc535938701"/>
      <w:r>
        <w:rPr>
          <w:rFonts w:hint="eastAsia"/>
          <w:color w:val="auto"/>
          <w:highlight w:val="none"/>
        </w:rPr>
        <w:t>发布公告的媒介</w:t>
      </w:r>
      <w:bookmarkEnd w:id="16"/>
    </w:p>
    <w:p w14:paraId="1314D067">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14:paraId="0E20CA4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4521D7E0">
      <w:pPr>
        <w:pStyle w:val="2"/>
        <w:spacing w:before="312" w:beforeLines="100" w:line="360" w:lineRule="auto"/>
        <w:rPr>
          <w:color w:val="auto"/>
          <w:highlight w:val="none"/>
        </w:rPr>
      </w:pPr>
      <w:bookmarkStart w:id="17" w:name="_Toc535938702"/>
      <w:bookmarkStart w:id="18" w:name="_Toc516170523"/>
      <w:bookmarkStart w:id="19" w:name="_Toc529196510"/>
      <w:bookmarkStart w:id="20" w:name="_Toc511557031"/>
      <w:bookmarkStart w:id="21" w:name="_Toc152042290"/>
      <w:bookmarkStart w:id="22" w:name="_Toc361508564"/>
      <w:bookmarkStart w:id="23" w:name="_Toc144974482"/>
      <w:bookmarkStart w:id="24" w:name="_Toc384308189"/>
      <w:bookmarkStart w:id="25" w:name="_Toc247513936"/>
      <w:bookmarkStart w:id="26" w:name="_Toc152045514"/>
      <w:bookmarkStart w:id="27" w:name="_Toc2312"/>
      <w:bookmarkStart w:id="28" w:name="_Toc369531499"/>
      <w:bookmarkStart w:id="29" w:name="_Toc352691457"/>
      <w:bookmarkStart w:id="30" w:name="_Toc300834931"/>
      <w:bookmarkStart w:id="31" w:name="_Toc247527537"/>
      <w:r>
        <w:rPr>
          <w:rFonts w:hint="eastAsia"/>
          <w:color w:val="auto"/>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6A07EC86">
      <w:pP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rPr>
        <w:t>广州市重点公共建设项目管理中心</w:t>
      </w:r>
    </w:p>
    <w:p w14:paraId="66E4E928">
      <w:pP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lang w:val="zh-CN"/>
        </w:rPr>
        <w:t>510006、广州市番禺区星运路1号</w:t>
      </w:r>
    </w:p>
    <w:p w14:paraId="437B3029">
      <w:pPr>
        <w:topLinePunct/>
        <w:spacing w:line="360" w:lineRule="auto"/>
        <w:ind w:left="7198" w:right="480" w:hanging="7197" w:hangingChars="2999"/>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潘工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lang w:eastAsia="zh-CN"/>
        </w:rPr>
        <w:t>020-2290568</w:t>
      </w:r>
      <w:r>
        <w:rPr>
          <w:rFonts w:hint="default" w:ascii="宋体" w:hAnsi="宋体"/>
          <w:color w:val="auto"/>
          <w:sz w:val="24"/>
          <w:szCs w:val="24"/>
          <w:highlight w:val="none"/>
          <w:u w:val="single"/>
          <w:lang w:eastAsia="zh-CN"/>
        </w:rPr>
        <w:t>1</w:t>
      </w:r>
    </w:p>
    <w:p w14:paraId="2D543AFA">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 xml:space="preserve">  /  </w:t>
      </w:r>
    </w:p>
    <w:p w14:paraId="374979C8">
      <w:pPr>
        <w:spacing w:line="360" w:lineRule="auto"/>
        <w:ind w:right="360"/>
        <w:jc w:val="left"/>
        <w:rPr>
          <w:rFonts w:ascii="宋体" w:hAnsi="宋体"/>
          <w:color w:val="auto"/>
          <w:sz w:val="24"/>
          <w:szCs w:val="24"/>
          <w:highlight w:val="none"/>
        </w:rPr>
      </w:pPr>
    </w:p>
    <w:p w14:paraId="16038AED">
      <w:pPr>
        <w:spacing w:line="360" w:lineRule="auto"/>
        <w:ind w:right="360"/>
        <w:jc w:val="left"/>
        <w:rPr>
          <w:rFonts w:hint="eastAsia" w:ascii="宋体" w:hAnsi="宋体" w:eastAsia="宋体" w:cs="宋体"/>
          <w:color w:val="auto"/>
          <w:sz w:val="24"/>
          <w:szCs w:val="24"/>
          <w:highlight w:val="non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北京中交建设工程咨询有限公司</w:t>
      </w:r>
    </w:p>
    <w:p w14:paraId="032F3A46">
      <w:pPr>
        <w:topLinePunct/>
        <w:spacing w:line="360" w:lineRule="auto"/>
        <w:jc w:val="left"/>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lang w:eastAsia="zh-CN"/>
        </w:rPr>
        <w:t>5</w:t>
      </w:r>
      <w:r>
        <w:rPr>
          <w:rFonts w:hint="eastAsia" w:ascii="宋体" w:hAnsi="宋体"/>
          <w:color w:val="auto"/>
          <w:sz w:val="24"/>
          <w:szCs w:val="24"/>
          <w:highlight w:val="none"/>
          <w:u w:val="single"/>
          <w:lang w:val="en-US" w:eastAsia="zh-CN"/>
        </w:rPr>
        <w:t>10620</w:t>
      </w:r>
      <w:r>
        <w:rPr>
          <w:rFonts w:hint="eastAsia" w:ascii="宋体" w:hAnsi="宋体"/>
          <w:color w:val="auto"/>
          <w:sz w:val="24"/>
          <w:szCs w:val="24"/>
          <w:highlight w:val="none"/>
          <w:u w:val="single"/>
          <w:lang w:eastAsia="zh-CN"/>
        </w:rPr>
        <w:t>、广州市天河区黄埔大道西159号富星商贸大厦西塔7楼</w:t>
      </w:r>
    </w:p>
    <w:p w14:paraId="0A032762">
      <w:pPr>
        <w:topLinePunct/>
        <w:spacing w:line="360" w:lineRule="auto"/>
        <w:ind w:left="7486" w:hanging="7485" w:hangingChars="3119"/>
        <w:jc w:val="left"/>
        <w:rPr>
          <w:rFonts w:hint="default" w:ascii="宋体" w:hAnsi="宋体" w:eastAsia="宋体"/>
          <w:color w:val="auto"/>
          <w:sz w:val="24"/>
          <w:szCs w:val="24"/>
          <w:highlight w:val="none"/>
          <w:lang w:val="en-US" w:eastAsia="zh-CN" w:bidi="ar"/>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李工、胡</w:t>
      </w:r>
      <w:r>
        <w:rPr>
          <w:rFonts w:hint="eastAsia" w:ascii="宋体" w:hAnsi="宋体"/>
          <w:color w:val="auto"/>
          <w:sz w:val="24"/>
          <w:szCs w:val="24"/>
          <w:highlight w:val="none"/>
          <w:u w:val="single"/>
          <w:lang w:eastAsia="zh-CN"/>
        </w:rPr>
        <w:t>工</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lang w:eastAsia="zh-CN"/>
        </w:rPr>
        <w:t>020-</w:t>
      </w:r>
      <w:r>
        <w:rPr>
          <w:rFonts w:hint="eastAsia" w:ascii="宋体" w:hAnsi="宋体"/>
          <w:color w:val="auto"/>
          <w:sz w:val="24"/>
          <w:szCs w:val="24"/>
          <w:highlight w:val="none"/>
          <w:u w:val="single"/>
          <w:lang w:val="en-US" w:eastAsia="zh-CN"/>
        </w:rPr>
        <w:t>87575800-811</w:t>
      </w:r>
    </w:p>
    <w:p w14:paraId="2A45AE19">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电子邮箱：</w:t>
      </w:r>
      <w:r>
        <w:rPr>
          <w:rFonts w:hint="eastAsia" w:ascii="宋体" w:hAnsi="宋体"/>
          <w:color w:val="auto"/>
          <w:sz w:val="24"/>
          <w:szCs w:val="24"/>
          <w:highlight w:val="none"/>
          <w:u w:val="none"/>
          <w:lang w:val="en-US" w:eastAsia="zh-CN"/>
        </w:rPr>
        <w:t>bjzj</w:t>
      </w:r>
      <w:r>
        <w:rPr>
          <w:rFonts w:hint="eastAsia" w:ascii="宋体" w:hAnsi="宋体"/>
          <w:color w:val="auto"/>
          <w:sz w:val="24"/>
          <w:szCs w:val="24"/>
          <w:highlight w:val="none"/>
          <w:u w:val="single"/>
          <w:lang w:val="en-US" w:eastAsia="zh-CN"/>
        </w:rPr>
        <w:t xml:space="preserve"> gz</w:t>
      </w:r>
      <w:r>
        <w:rPr>
          <w:rFonts w:hint="eastAsia" w:ascii="宋体" w:hAnsi="宋体"/>
          <w:color w:val="auto"/>
          <w:sz w:val="24"/>
          <w:szCs w:val="24"/>
          <w:highlight w:val="none"/>
          <w:u w:val="none"/>
          <w:lang w:eastAsia="zh-CN"/>
        </w:rPr>
        <w:t>@1</w:t>
      </w:r>
      <w:r>
        <w:rPr>
          <w:rFonts w:hint="eastAsia" w:ascii="宋体" w:hAnsi="宋体"/>
          <w:color w:val="auto"/>
          <w:sz w:val="24"/>
          <w:szCs w:val="24"/>
          <w:highlight w:val="none"/>
          <w:u w:val="none"/>
          <w:lang w:val="en-US" w:eastAsia="zh-CN"/>
        </w:rPr>
        <w:t>63</w:t>
      </w:r>
      <w:r>
        <w:rPr>
          <w:rFonts w:hint="eastAsia" w:ascii="宋体" w:hAnsi="宋体"/>
          <w:color w:val="auto"/>
          <w:sz w:val="24"/>
          <w:szCs w:val="24"/>
          <w:highlight w:val="none"/>
          <w:u w:val="none"/>
          <w:lang w:eastAsia="zh-CN"/>
        </w:rPr>
        <w:t>.com</w:t>
      </w:r>
    </w:p>
    <w:p w14:paraId="1229273C">
      <w:pPr>
        <w:spacing w:line="360" w:lineRule="auto"/>
        <w:ind w:right="360"/>
        <w:jc w:val="left"/>
        <w:rPr>
          <w:rFonts w:hint="eastAsia" w:ascii="宋体" w:hAnsi="宋体"/>
          <w:color w:val="auto"/>
          <w:sz w:val="24"/>
          <w:szCs w:val="24"/>
          <w:highlight w:val="none"/>
        </w:rPr>
      </w:pPr>
    </w:p>
    <w:p w14:paraId="53CD4AC5">
      <w:pPr>
        <w:shd w:val="clear" w:color="auto" w:fill="FFFFFF"/>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szCs w:val="24"/>
          <w:highlight w:val="none"/>
          <w:u w:val="single"/>
        </w:rPr>
        <w:t>广州市重点公共建设项目管理中心</w:t>
      </w:r>
      <w:r>
        <w:rPr>
          <w:rFonts w:hint="eastAsia" w:ascii="宋体" w:hAnsi="宋体"/>
          <w:color w:val="auto"/>
          <w:sz w:val="24"/>
          <w:szCs w:val="24"/>
          <w:highlight w:val="none"/>
        </w:rPr>
        <w:t xml:space="preserve"> </w:t>
      </w:r>
    </w:p>
    <w:p w14:paraId="7DCE4D68">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rPr>
        <w:t>地       址：</w:t>
      </w:r>
      <w:r>
        <w:rPr>
          <w:rFonts w:hint="eastAsia" w:ascii="宋体" w:hAnsi="宋体"/>
          <w:color w:val="auto"/>
          <w:sz w:val="24"/>
          <w:szCs w:val="24"/>
          <w:highlight w:val="none"/>
          <w:u w:val="single"/>
          <w:lang w:val="zh-CN"/>
        </w:rPr>
        <w:t>广州市番禺区星运路1号</w:t>
      </w:r>
    </w:p>
    <w:p w14:paraId="0028EFA4">
      <w:pPr>
        <w:topLinePunct/>
        <w:spacing w:line="360" w:lineRule="auto"/>
        <w:ind w:left="7198" w:right="480" w:hanging="7197" w:hangingChars="2999"/>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系</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人：</w:t>
      </w:r>
      <w:r>
        <w:rPr>
          <w:rFonts w:hint="eastAsia" w:ascii="宋体" w:hAnsi="宋体"/>
          <w:color w:val="auto"/>
          <w:sz w:val="24"/>
          <w:szCs w:val="24"/>
          <w:highlight w:val="none"/>
          <w:u w:val="single"/>
          <w:lang w:val="en-US" w:eastAsia="zh-CN"/>
        </w:rPr>
        <w:t>潘工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lang w:eastAsia="zh-CN"/>
        </w:rPr>
        <w:t>020-2290568</w:t>
      </w:r>
      <w:r>
        <w:rPr>
          <w:rFonts w:hint="default" w:ascii="宋体" w:hAnsi="宋体"/>
          <w:color w:val="auto"/>
          <w:sz w:val="24"/>
          <w:szCs w:val="24"/>
          <w:highlight w:val="none"/>
          <w:u w:val="single"/>
          <w:lang w:eastAsia="zh-CN"/>
        </w:rPr>
        <w:t>1</w:t>
      </w:r>
    </w:p>
    <w:p w14:paraId="79235555">
      <w:pPr>
        <w:snapToGrid w:val="0"/>
        <w:spacing w:line="440" w:lineRule="exact"/>
        <w:ind w:firstLine="400" w:firstLineChars="200"/>
        <w:rPr>
          <w:color w:val="auto"/>
          <w:sz w:val="20"/>
          <w:szCs w:val="20"/>
          <w:highlight w:val="none"/>
        </w:rPr>
      </w:pPr>
    </w:p>
    <w:p w14:paraId="049F21EA">
      <w:pPr>
        <w:snapToGrid w:val="0"/>
        <w:spacing w:line="440" w:lineRule="exact"/>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kern w:val="0"/>
          <w:sz w:val="24"/>
          <w:highlight w:val="none"/>
          <w:u w:val="single"/>
        </w:rPr>
        <w:t>广州市建设工程招标管理办公室</w:t>
      </w:r>
    </w:p>
    <w:p w14:paraId="7F584D95">
      <w:pPr>
        <w:snapToGrid w:val="0"/>
        <w:spacing w:line="440" w:lineRule="exac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监 督 电 话：</w:t>
      </w:r>
      <w:r>
        <w:rPr>
          <w:rFonts w:hint="eastAsia" w:ascii="宋体" w:hAnsi="宋体" w:cs="宋体"/>
          <w:color w:val="auto"/>
          <w:sz w:val="24"/>
          <w:szCs w:val="24"/>
          <w:highlight w:val="none"/>
          <w:u w:val="single"/>
          <w:lang w:eastAsia="zh-CN"/>
        </w:rPr>
        <w:t>020-28866220</w:t>
      </w:r>
    </w:p>
    <w:p w14:paraId="0AE9E24F">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color w:val="auto"/>
          <w:sz w:val="24"/>
          <w:highlight w:val="none"/>
          <w:u w:val="single"/>
        </w:rPr>
      </w:pPr>
      <w:r>
        <w:rPr>
          <w:rFonts w:hint="eastAsia" w:ascii="宋体" w:hAnsi="宋体" w:cs="宋体"/>
          <w:color w:val="auto"/>
          <w:sz w:val="24"/>
          <w:highlight w:val="none"/>
        </w:rPr>
        <w:t>地       址：</w:t>
      </w:r>
      <w:r>
        <w:rPr>
          <w:rFonts w:hint="eastAsia" w:ascii="宋体" w:hAnsi="宋体"/>
          <w:color w:val="auto"/>
          <w:sz w:val="24"/>
          <w:highlight w:val="none"/>
          <w:u w:val="single"/>
        </w:rPr>
        <w:t>广州市天河区天润路333号</w:t>
      </w:r>
    </w:p>
    <w:p w14:paraId="4D6FE370">
      <w:pPr>
        <w:rPr>
          <w:rFonts w:hint="eastAsia" w:ascii="宋体" w:hAnsi="宋体"/>
          <w:color w:val="auto"/>
          <w:sz w:val="24"/>
          <w:highlight w:val="none"/>
          <w:u w:val="single"/>
        </w:rPr>
      </w:pPr>
      <w:r>
        <w:rPr>
          <w:rFonts w:hint="eastAsia" w:ascii="宋体" w:hAnsi="宋体"/>
          <w:color w:val="auto"/>
          <w:sz w:val="24"/>
          <w:highlight w:val="none"/>
          <w:u w:val="single"/>
        </w:rPr>
        <w:br w:type="page"/>
      </w:r>
    </w:p>
    <w:p w14:paraId="12E82CAE">
      <w:pPr>
        <w:spacing w:line="360" w:lineRule="auto"/>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附件一：投标人声明</w:t>
      </w:r>
    </w:p>
    <w:p w14:paraId="1CFD263E">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投标人声明</w:t>
      </w:r>
    </w:p>
    <w:p w14:paraId="199121B5">
      <w:pP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广州市住房和城乡建设局、本招标项目招标人及招标监管机构：</w:t>
      </w:r>
    </w:p>
    <w:p w14:paraId="55888D82">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lang w:eastAsia="zh-CN"/>
        </w:rPr>
        <w:t>广州市公安档案馆项目施工监理</w:t>
      </w:r>
      <w:r>
        <w:rPr>
          <w:rFonts w:hint="eastAsia" w:ascii="宋体" w:hAnsi="宋体" w:cs="宋体"/>
          <w:color w:val="auto"/>
          <w:kern w:val="0"/>
          <w:sz w:val="24"/>
          <w:szCs w:val="24"/>
          <w:highlight w:val="none"/>
        </w:rPr>
        <w:t>项目投标工作，作出郑重声明：</w:t>
      </w:r>
    </w:p>
    <w:p w14:paraId="7136E2C1">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11134121">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w:t>
      </w:r>
      <w:r>
        <w:rPr>
          <w:rFonts w:hint="eastAsia" w:ascii="宋体" w:hAnsi="宋体" w:cs="宋体"/>
          <w:b/>
          <w:color w:val="auto"/>
          <w:kern w:val="0"/>
          <w:sz w:val="24"/>
          <w:szCs w:val="24"/>
          <w:highlight w:val="none"/>
          <w:lang w:val="en-US" w:eastAsia="zh-CN"/>
        </w:rPr>
        <w:t>转包或违法分包</w:t>
      </w:r>
      <w:r>
        <w:rPr>
          <w:rFonts w:hint="eastAsia" w:ascii="宋体" w:hAnsi="宋体" w:cs="宋体"/>
          <w:b/>
          <w:color w:val="auto"/>
          <w:kern w:val="0"/>
          <w:sz w:val="24"/>
          <w:szCs w:val="24"/>
          <w:highlight w:val="none"/>
        </w:rPr>
        <w:t>监理业务。不存在少放、不放业绩、奖项等客观评审资料，减少自身竞争力的情形，若存在以上情形的，将自愿接受被招标人列入拒绝投标名单，不能参与招标人后续招标项目的投标。</w:t>
      </w:r>
    </w:p>
    <w:p w14:paraId="2DC20E63">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57FE35AE">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0DC0E0EE">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65F35661">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w:t>
      </w:r>
      <w:r>
        <w:rPr>
          <w:rFonts w:hint="eastAsia" w:ascii="宋体" w:hAnsi="宋体" w:cs="宋体"/>
          <w:b/>
          <w:bCs/>
          <w:color w:val="auto"/>
          <w:kern w:val="0"/>
          <w:sz w:val="24"/>
          <w:szCs w:val="24"/>
          <w:highlight w:val="none"/>
        </w:rPr>
        <w:t>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64FFC0E2">
      <w:pPr>
        <w:spacing w:line="440" w:lineRule="exact"/>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14:paraId="6036A1F9">
      <w:pPr>
        <w:widowControl/>
        <w:shd w:val="clear" w:color="auto" w:fill="FFFFFF"/>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1512FA30">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hint="eastAsia" w:ascii="宋体" w:hAnsi="宋体" w:cs="宋体"/>
          <w:color w:val="auto"/>
          <w:kern w:val="0"/>
          <w:sz w:val="24"/>
          <w:szCs w:val="24"/>
          <w:highlight w:val="none"/>
          <w:u w:val="single"/>
        </w:rPr>
        <w:t xml:space="preserve">            </w:t>
      </w:r>
    </w:p>
    <w:p w14:paraId="6A92208B">
      <w:pP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35BD3969">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eastAsia="zh-CN"/>
        </w:rPr>
        <w:t>（</w:t>
      </w:r>
      <w:r>
        <w:rPr>
          <w:rFonts w:hint="eastAsia" w:ascii="宋体" w:hAnsi="宋体" w:cs="宋体"/>
          <w:color w:val="auto"/>
          <w:kern w:val="0"/>
          <w:sz w:val="24"/>
          <w:szCs w:val="24"/>
          <w:highlight w:val="none"/>
        </w:rPr>
        <w:t>签字</w:t>
      </w:r>
      <w:r>
        <w:rPr>
          <w:rFonts w:hint="eastAsia" w:ascii="宋体" w:hAnsi="宋体" w:cs="宋体"/>
          <w:color w:val="auto"/>
          <w:kern w:val="0"/>
          <w:sz w:val="24"/>
          <w:szCs w:val="24"/>
          <w:highlight w:val="none"/>
          <w:u w:val="none"/>
          <w:lang w:eastAsia="zh-CN"/>
        </w:rPr>
        <w:t>）</w:t>
      </w:r>
    </w:p>
    <w:p w14:paraId="1AB9D625">
      <w:pPr>
        <w:spacing w:line="440" w:lineRule="exact"/>
        <w:ind w:firstLine="4920" w:firstLineChars="2050"/>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日</w:t>
      </w:r>
    </w:p>
    <w:p w14:paraId="4AE73E7B">
      <w:pPr>
        <w:spacing w:line="360" w:lineRule="auto"/>
        <w:outlineLvl w:val="2"/>
        <w:rPr>
          <w:rFonts w:hint="eastAsia"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附件二：监理项目管理团队人员信息表</w:t>
      </w:r>
    </w:p>
    <w:p w14:paraId="62147CF0">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监理项目管理团队人员信息表</w:t>
      </w:r>
    </w:p>
    <w:tbl>
      <w:tblPr>
        <w:tblStyle w:val="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91"/>
        <w:gridCol w:w="3050"/>
        <w:gridCol w:w="1055"/>
        <w:gridCol w:w="3175"/>
      </w:tblGrid>
      <w:tr w14:paraId="6A49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BD35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1189B9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姓名</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1BE89A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岗位</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56F617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职称</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04B79D6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职称证书或资格证书编号</w:t>
            </w:r>
          </w:p>
        </w:tc>
      </w:tr>
      <w:tr w14:paraId="6517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B996350">
            <w:pPr>
              <w:pStyle w:val="11"/>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AC9B60B">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13BE3417">
            <w:pPr>
              <w:keepNext w:val="0"/>
              <w:keepLines w:val="0"/>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default" w:ascii="宋体" w:hAnsi="宋体"/>
                <w:color w:val="auto"/>
                <w:szCs w:val="21"/>
                <w:highlight w:val="none"/>
              </w:rPr>
              <w:t>项目指挥长</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6663135">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FA10071">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4863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827B57">
            <w:pPr>
              <w:pStyle w:val="11"/>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8C138B8">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3D80D29C">
            <w:pPr>
              <w:keepNext w:val="0"/>
              <w:keepLines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highlight w:val="none"/>
              </w:rPr>
              <w:t>总监理工程师代表</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3AA4D45">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3E12AA4B">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30A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95" w:type="dxa"/>
            <w:tcBorders>
              <w:top w:val="single" w:color="auto" w:sz="4" w:space="0"/>
              <w:left w:val="single" w:color="auto" w:sz="4" w:space="0"/>
              <w:right w:val="single" w:color="auto" w:sz="4" w:space="0"/>
            </w:tcBorders>
            <w:noWrap w:val="0"/>
            <w:vAlign w:val="center"/>
          </w:tcPr>
          <w:p w14:paraId="4051B385">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eastAsia" w:ascii="宋体" w:hAnsi="宋体"/>
                <w:color w:val="auto"/>
                <w:szCs w:val="21"/>
                <w:highlight w:val="none"/>
                <w:lang w:val="en-US" w:eastAsia="zh-CN"/>
              </w:rPr>
              <w:t>3</w:t>
            </w:r>
          </w:p>
        </w:tc>
        <w:tc>
          <w:tcPr>
            <w:tcW w:w="1091" w:type="dxa"/>
            <w:tcBorders>
              <w:top w:val="single" w:color="auto" w:sz="4" w:space="0"/>
              <w:left w:val="single" w:color="auto" w:sz="4" w:space="0"/>
              <w:right w:val="single" w:color="auto" w:sz="4" w:space="0"/>
            </w:tcBorders>
            <w:noWrap w:val="0"/>
            <w:vAlign w:val="center"/>
          </w:tcPr>
          <w:p w14:paraId="5119C7C0">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right w:val="single" w:color="auto" w:sz="4" w:space="0"/>
            </w:tcBorders>
            <w:shd w:val="clear" w:color="auto" w:fill="auto"/>
            <w:noWrap w:val="0"/>
            <w:vAlign w:val="center"/>
          </w:tcPr>
          <w:p w14:paraId="52148B15">
            <w:pPr>
              <w:keepNext w:val="0"/>
              <w:keepLines w:val="0"/>
              <w:suppressLineNumbers w:val="0"/>
              <w:adjustRightInd/>
              <w:snapToGrid/>
              <w:spacing w:before="0" w:beforeAutospacing="0" w:after="0" w:afterAutospacing="0" w:line="360" w:lineRule="auto"/>
              <w:ind w:left="0" w:leftChars="0" w:right="0"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bCs/>
                <w:color w:val="auto"/>
                <w:kern w:val="44"/>
                <w:szCs w:val="21"/>
                <w:highlight w:val="none"/>
              </w:rPr>
              <w:t>土建监理工程师</w:t>
            </w:r>
          </w:p>
        </w:tc>
        <w:tc>
          <w:tcPr>
            <w:tcW w:w="1055" w:type="dxa"/>
            <w:tcBorders>
              <w:top w:val="single" w:color="auto" w:sz="4" w:space="0"/>
              <w:left w:val="single" w:color="auto" w:sz="4" w:space="0"/>
              <w:right w:val="single" w:color="auto" w:sz="4" w:space="0"/>
            </w:tcBorders>
            <w:noWrap w:val="0"/>
            <w:vAlign w:val="center"/>
          </w:tcPr>
          <w:p w14:paraId="2EA81947">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0C8C33AA">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7DC4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3D45539">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default" w:ascii="宋体" w:hAnsi="宋体"/>
                <w:color w:val="auto"/>
                <w:szCs w:val="21"/>
                <w:highlight w:val="none"/>
                <w:lang w:eastAsia="zh-CN"/>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65271F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28C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44"/>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机电</w:t>
            </w:r>
            <w:r>
              <w:rPr>
                <w:rFonts w:hint="eastAsia" w:ascii="宋体" w:hAnsi="宋体" w:eastAsia="宋体" w:cs="宋体"/>
                <w:bCs/>
                <w:color w:val="auto"/>
                <w:kern w:val="44"/>
                <w:sz w:val="21"/>
                <w:szCs w:val="21"/>
                <w:highlight w:val="none"/>
                <w:lang w:val="en-US" w:eastAsia="zh-CN" w:bidi="ar"/>
              </w:rPr>
              <w:t>监理</w:t>
            </w:r>
            <w:r>
              <w:rPr>
                <w:rFonts w:hint="eastAsia" w:ascii="宋体" w:hAnsi="宋体" w:cs="宋体"/>
                <w:bCs/>
                <w:color w:val="auto"/>
                <w:kern w:val="44"/>
                <w:sz w:val="21"/>
                <w:szCs w:val="21"/>
                <w:highlight w:val="none"/>
              </w:rPr>
              <w:t>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11E98D5">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2D02490D">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21A5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8E6F559">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lang w:val="en-US" w:eastAsia="zh-CN"/>
              </w:rPr>
            </w:pPr>
            <w:r>
              <w:rPr>
                <w:rFonts w:hint="default" w:ascii="宋体" w:hAnsi="宋体"/>
                <w:color w:val="auto"/>
                <w:szCs w:val="21"/>
                <w:highlight w:val="none"/>
                <w:lang w:eastAsia="zh-CN"/>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669A45A">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D1EF8">
            <w:pPr>
              <w:keepNext w:val="0"/>
              <w:keepLines w:val="0"/>
              <w:suppressLineNumbers w:val="0"/>
              <w:adjustRightInd/>
              <w:snapToGrid/>
              <w:spacing w:before="0" w:beforeAutospacing="0" w:after="0" w:afterAutospacing="0" w:line="360" w:lineRule="auto"/>
              <w:ind w:left="0" w:leftChars="0" w:right="0" w:right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0"/>
                <w:highlight w:val="none"/>
              </w:rPr>
              <w:t>测量监理工程师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175D228">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1929AC96">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7FFF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AB52BF8">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default" w:ascii="宋体" w:hAnsi="宋体"/>
                <w:color w:val="auto"/>
                <w:szCs w:val="21"/>
                <w:highlight w:val="none"/>
                <w:lang w:eastAsia="zh-CN"/>
              </w:rPr>
              <w:t>6</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7FDDB43">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67991">
            <w:pPr>
              <w:keepNext w:val="0"/>
              <w:keepLines w:val="0"/>
              <w:suppressLineNumbers w:val="0"/>
              <w:adjustRightInd/>
              <w:snapToGrid/>
              <w:spacing w:before="0" w:beforeAutospacing="0" w:after="0" w:afterAutospacing="0" w:line="360" w:lineRule="auto"/>
              <w:ind w:left="0" w:leftChars="0" w:right="0" w:rightChars="0"/>
              <w:jc w:val="center"/>
              <w:rPr>
                <w:rFonts w:hint="default" w:ascii="宋体" w:hAnsi="宋体" w:eastAsia="宋体" w:cs="Times New Roman"/>
                <w:color w:val="auto"/>
                <w:kern w:val="2"/>
                <w:sz w:val="21"/>
                <w:szCs w:val="21"/>
                <w:highlight w:val="none"/>
                <w:lang w:eastAsia="zh-CN" w:bidi="ar-SA"/>
              </w:rPr>
            </w:pPr>
            <w:r>
              <w:rPr>
                <w:rFonts w:hint="default" w:ascii="宋体" w:hAnsi="宋体" w:eastAsia="宋体" w:cs="Times New Roman"/>
                <w:color w:val="auto"/>
                <w:kern w:val="2"/>
                <w:sz w:val="21"/>
                <w:szCs w:val="21"/>
                <w:highlight w:val="none"/>
                <w:lang w:eastAsia="zh-CN" w:bidi="ar-SA"/>
              </w:rPr>
              <w:t>计划合同管理工程师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E9BEAD6">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91510ED">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3C2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8FC4221">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lang w:val="en-US"/>
              </w:rPr>
            </w:pPr>
            <w:r>
              <w:rPr>
                <w:rFonts w:hint="default" w:ascii="宋体" w:hAnsi="宋体"/>
                <w:color w:val="auto"/>
                <w:szCs w:val="21"/>
                <w:highlight w:val="none"/>
                <w:lang w:eastAsia="zh-CN"/>
              </w:rPr>
              <w:t>7</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F4531AD">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AC13A2">
            <w:pPr>
              <w:keepNext w:val="0"/>
              <w:keepLines w:val="0"/>
              <w:suppressLineNumbers w:val="0"/>
              <w:adjustRightInd/>
              <w:snapToGrid/>
              <w:spacing w:before="0" w:beforeAutospacing="0" w:after="0" w:afterAutospacing="0" w:line="360" w:lineRule="auto"/>
              <w:ind w:left="0" w:leftChars="0" w:right="0" w:rightChars="0"/>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安全工程师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1398BFC1">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4F6B5F0D">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5210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95" w:type="dxa"/>
            <w:tcBorders>
              <w:top w:val="single" w:color="auto" w:sz="4" w:space="0"/>
              <w:left w:val="single" w:color="auto" w:sz="4" w:space="0"/>
              <w:right w:val="single" w:color="auto" w:sz="4" w:space="0"/>
            </w:tcBorders>
            <w:noWrap w:val="0"/>
            <w:vAlign w:val="center"/>
          </w:tcPr>
          <w:p w14:paraId="2A81C44D">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lang w:val="en-US" w:eastAsia="zh-CN"/>
              </w:rPr>
            </w:pPr>
            <w:r>
              <w:rPr>
                <w:rFonts w:hint="default" w:ascii="宋体" w:hAnsi="宋体"/>
                <w:color w:val="auto"/>
                <w:szCs w:val="21"/>
                <w:highlight w:val="none"/>
                <w:lang w:eastAsia="zh-CN"/>
              </w:rPr>
              <w:t>8</w:t>
            </w:r>
          </w:p>
        </w:tc>
        <w:tc>
          <w:tcPr>
            <w:tcW w:w="1091" w:type="dxa"/>
            <w:tcBorders>
              <w:top w:val="single" w:color="auto" w:sz="4" w:space="0"/>
              <w:left w:val="single" w:color="auto" w:sz="4" w:space="0"/>
              <w:right w:val="single" w:color="auto" w:sz="4" w:space="0"/>
            </w:tcBorders>
            <w:noWrap w:val="0"/>
            <w:vAlign w:val="center"/>
          </w:tcPr>
          <w:p w14:paraId="26156FA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right w:val="single" w:color="auto" w:sz="4" w:space="0"/>
            </w:tcBorders>
            <w:shd w:val="clear" w:color="auto" w:fill="auto"/>
            <w:noWrap w:val="0"/>
            <w:vAlign w:val="top"/>
          </w:tcPr>
          <w:p w14:paraId="01DBD9C3">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造价</w:t>
            </w:r>
            <w:r>
              <w:rPr>
                <w:rFonts w:hint="eastAsia" w:ascii="宋体" w:hAnsi="宋体" w:cs="Times New Roman"/>
                <w:color w:val="auto"/>
                <w:kern w:val="2"/>
                <w:sz w:val="21"/>
                <w:szCs w:val="21"/>
                <w:highlight w:val="none"/>
                <w:lang w:val="en-US" w:eastAsia="zh-CN" w:bidi="ar-SA"/>
              </w:rPr>
              <w:t>负责人</w:t>
            </w:r>
          </w:p>
        </w:tc>
        <w:tc>
          <w:tcPr>
            <w:tcW w:w="1055" w:type="dxa"/>
            <w:tcBorders>
              <w:top w:val="single" w:color="auto" w:sz="4" w:space="0"/>
              <w:left w:val="single" w:color="auto" w:sz="4" w:space="0"/>
              <w:right w:val="single" w:color="auto" w:sz="4" w:space="0"/>
            </w:tcBorders>
            <w:noWrap w:val="0"/>
            <w:vAlign w:val="center"/>
          </w:tcPr>
          <w:p w14:paraId="7D4289D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0733284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290E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D3727C6">
            <w:pPr>
              <w:pStyle w:val="11"/>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lang w:val="en-US" w:eastAsia="zh-CN"/>
              </w:rPr>
            </w:pPr>
            <w:r>
              <w:rPr>
                <w:rFonts w:hint="default" w:ascii="宋体" w:hAnsi="宋体"/>
                <w:color w:val="auto"/>
                <w:szCs w:val="21"/>
                <w:highlight w:val="none"/>
                <w:lang w:eastAsia="zh-CN"/>
              </w:rPr>
              <w:t>9</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3A42515">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3E6E37">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图档资料管理员</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BD20500">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33BF570">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0B71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BD6297A">
            <w:pPr>
              <w:keepNext w:val="0"/>
              <w:keepLines w:val="0"/>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szCs w:val="21"/>
                <w:highlight w:val="none"/>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162A71D">
            <w:pPr>
              <w:keepNext w:val="0"/>
              <w:keepLines w:val="0"/>
              <w:suppressLineNumbers w:val="0"/>
              <w:spacing w:before="0" w:beforeAutospacing="0" w:after="0" w:afterAutospacing="0" w:line="360" w:lineRule="auto"/>
              <w:ind w:left="0" w:right="0"/>
              <w:rPr>
                <w:rFonts w:hint="default" w:ascii="宋体" w:hAnsi="宋体"/>
                <w:color w:val="auto"/>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47D9EC66">
            <w:pPr>
              <w:keepNext w:val="0"/>
              <w:keepLines w:val="0"/>
              <w:suppressLineNumbers w:val="0"/>
              <w:spacing w:before="0" w:beforeAutospacing="0" w:after="0" w:afterAutospacing="0" w:line="360" w:lineRule="auto"/>
              <w:ind w:left="0" w:right="0"/>
              <w:jc w:val="center"/>
              <w:rPr>
                <w:rFonts w:hint="default" w:ascii="仿宋" w:hAnsi="仿宋"/>
                <w:bCs/>
                <w:color w:val="auto"/>
                <w:kern w:val="44"/>
                <w:szCs w:val="21"/>
                <w:highlight w:val="none"/>
              </w:rPr>
            </w:pPr>
            <w:r>
              <w:rPr>
                <w:rFonts w:hint="eastAsia" w:ascii="宋体" w:hAnsi="宋体"/>
                <w:color w:val="auto"/>
                <w:szCs w:val="21"/>
                <w:highlight w:val="none"/>
              </w:rPr>
              <w:t>……</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D803E0C">
            <w:pPr>
              <w:keepNext w:val="0"/>
              <w:keepLines w:val="0"/>
              <w:suppressLineNumbers w:val="0"/>
              <w:spacing w:before="0" w:beforeAutospacing="0" w:after="0" w:afterAutospacing="0" w:line="360" w:lineRule="auto"/>
              <w:ind w:left="0" w:right="0"/>
              <w:jc w:val="center"/>
              <w:rPr>
                <w:rFonts w:hint="default" w:ascii="宋体" w:hAnsi="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523C1CEC">
            <w:pPr>
              <w:keepNext w:val="0"/>
              <w:keepLines w:val="0"/>
              <w:suppressLineNumbers w:val="0"/>
              <w:spacing w:before="0" w:beforeAutospacing="0" w:after="0" w:afterAutospacing="0" w:line="360" w:lineRule="auto"/>
              <w:ind w:left="0" w:right="0"/>
              <w:jc w:val="center"/>
              <w:rPr>
                <w:rFonts w:hint="default" w:ascii="宋体" w:hAnsi="宋体"/>
                <w:color w:val="auto"/>
                <w:highlight w:val="none"/>
              </w:rPr>
            </w:pPr>
          </w:p>
        </w:tc>
      </w:tr>
      <w:tr w14:paraId="5947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6" w:type="dxa"/>
            <w:gridSpan w:val="5"/>
            <w:tcBorders>
              <w:top w:val="single" w:color="auto" w:sz="4" w:space="0"/>
              <w:left w:val="single" w:color="auto" w:sz="4" w:space="0"/>
              <w:bottom w:val="single" w:color="auto" w:sz="4" w:space="0"/>
              <w:right w:val="single" w:color="auto" w:sz="4" w:space="0"/>
            </w:tcBorders>
            <w:noWrap w:val="0"/>
            <w:vAlign w:val="center"/>
          </w:tcPr>
          <w:p w14:paraId="20101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备注：</w:t>
            </w:r>
          </w:p>
          <w:p w14:paraId="14A8E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1、“岗位”要求（总监理工程师除外）由招标人根据项目管理需要在本表备注中明确提出，如：拟派驻施工现场的项目总协调人、总监理工程师代表、专业监理工程师等。以上项目管理团队人员信息将由交易系统提取后供各相关单位在履约时比对、查核。</w:t>
            </w:r>
          </w:p>
          <w:p w14:paraId="40774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olor w:val="auto"/>
                <w:highlight w:val="none"/>
                <w:lang w:eastAsia="zh-CN"/>
              </w:rPr>
              <w:t>（</w:t>
            </w:r>
            <w:r>
              <w:rPr>
                <w:rFonts w:hint="eastAsia" w:ascii="宋体" w:hAnsi="宋体"/>
                <w:color w:val="auto"/>
                <w:highlight w:val="none"/>
              </w:rPr>
              <w:t>投标截止时间前可以补充、修改、替代</w:t>
            </w:r>
            <w:r>
              <w:rPr>
                <w:rFonts w:hint="eastAsia" w:ascii="宋体" w:hAnsi="宋体"/>
                <w:color w:val="auto"/>
                <w:highlight w:val="none"/>
                <w:lang w:eastAsia="zh-CN"/>
              </w:rPr>
              <w:t>）</w:t>
            </w:r>
            <w:r>
              <w:rPr>
                <w:rFonts w:hint="eastAsia" w:ascii="宋体" w:hAnsi="宋体"/>
                <w:color w:val="auto"/>
                <w:highlight w:val="none"/>
              </w:rPr>
              <w:t>。</w:t>
            </w:r>
          </w:p>
          <w:p w14:paraId="2512B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color w:val="auto"/>
                <w:highlight w:val="none"/>
              </w:rPr>
            </w:pPr>
            <w:r>
              <w:rPr>
                <w:rFonts w:hint="eastAsia" w:ascii="宋体" w:hAnsi="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999D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color w:val="auto"/>
                <w:highlight w:val="none"/>
              </w:rPr>
            </w:pPr>
            <w:r>
              <w:rPr>
                <w:rStyle w:val="12"/>
                <w:rFonts w:hint="default"/>
                <w:b/>
                <w:bCs/>
                <w:color w:val="auto"/>
                <w:sz w:val="21"/>
                <w:szCs w:val="21"/>
                <w:highlight w:val="none"/>
              </w:rPr>
              <w:t>4、本表中投标人提供的人员不全或未满足招标文件要求的，中标后须按招标文件的要求补充完善并报发包人审批同意；涉及违约的，还需按合同约定承担相应的违约责任。</w:t>
            </w:r>
          </w:p>
        </w:tc>
      </w:tr>
    </w:tbl>
    <w:p w14:paraId="5186CD55">
      <w:pPr>
        <w:rPr>
          <w:color w:val="auto"/>
          <w:highlight w:val="none"/>
        </w:rPr>
      </w:pPr>
    </w:p>
    <w:p w14:paraId="58340D6F">
      <w:pPr>
        <w:spacing w:line="360" w:lineRule="auto"/>
        <w:rPr>
          <w:color w:val="auto"/>
          <w:highlight w:val="none"/>
        </w:rPr>
      </w:pPr>
      <w:r>
        <w:rPr>
          <w:color w:val="auto"/>
          <w:highlight w:val="none"/>
        </w:rPr>
        <w:br w:type="page"/>
      </w:r>
    </w:p>
    <w:p w14:paraId="08FED518">
      <w:pPr>
        <w:spacing w:line="360" w:lineRule="auto"/>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附件三：《被本项目招标人书面拒绝投标的企业名单》</w:t>
      </w:r>
    </w:p>
    <w:p w14:paraId="0582E5C6">
      <w:pPr>
        <w:widowControl/>
        <w:shd w:val="clear" w:color="auto" w:fill="FFFFFF"/>
        <w:spacing w:line="360" w:lineRule="auto"/>
        <w:jc w:val="center"/>
        <w:rPr>
          <w:b/>
          <w:bCs/>
          <w:color w:val="auto"/>
          <w:sz w:val="20"/>
          <w:szCs w:val="20"/>
          <w:highlight w:val="none"/>
        </w:rPr>
      </w:pPr>
    </w:p>
    <w:p w14:paraId="22CD90F1">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被本项目招标人书面拒绝投标的企业名单</w:t>
      </w:r>
    </w:p>
    <w:tbl>
      <w:tblPr>
        <w:tblStyle w:val="7"/>
        <w:tblW w:w="6960" w:type="dxa"/>
        <w:jc w:val="center"/>
        <w:tblLayout w:type="fixed"/>
        <w:tblCellMar>
          <w:top w:w="0" w:type="dxa"/>
          <w:left w:w="0" w:type="dxa"/>
          <w:bottom w:w="0" w:type="dxa"/>
          <w:right w:w="0" w:type="dxa"/>
        </w:tblCellMar>
      </w:tblPr>
      <w:tblGrid>
        <w:gridCol w:w="1148"/>
        <w:gridCol w:w="5812"/>
      </w:tblGrid>
      <w:tr w14:paraId="5D762685">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227873">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default" w:ascii="宋体"/>
                <w:b/>
                <w:bCs/>
                <w:color w:val="auto"/>
                <w:szCs w:val="24"/>
                <w:highlight w:val="none"/>
              </w:rPr>
              <w:t> </w:t>
            </w:r>
            <w:r>
              <w:rPr>
                <w:rFonts w:hint="eastAsia" w:ascii="宋体" w:hAnsi="宋体" w:cs="宋体"/>
                <w:b/>
                <w:bCs/>
                <w:color w:val="auto"/>
                <w:szCs w:val="24"/>
                <w:highlight w:val="none"/>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4003F2">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eastAsia" w:ascii="宋体" w:hAnsi="宋体" w:cs="宋体"/>
                <w:b/>
                <w:bCs/>
                <w:color w:val="auto"/>
                <w:szCs w:val="24"/>
                <w:highlight w:val="none"/>
              </w:rPr>
              <w:t>企业名称</w:t>
            </w:r>
          </w:p>
        </w:tc>
      </w:tr>
      <w:tr w14:paraId="0906984C">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E4C00A">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0C91BB">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广东电白二建集团有限公司</w:t>
            </w:r>
          </w:p>
        </w:tc>
      </w:tr>
      <w:tr w14:paraId="2BB5D5C7">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A38FF6">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2</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64B564">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广州金辉建设集团有限公司</w:t>
            </w:r>
          </w:p>
        </w:tc>
      </w:tr>
      <w:tr w14:paraId="3475539F">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F13D63">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3</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B9AD5DC">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广州市裕建工程有限公司</w:t>
            </w:r>
          </w:p>
        </w:tc>
      </w:tr>
      <w:tr w14:paraId="3184C099">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61F3E4">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4</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8839754">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广州市水电建设工程有限公司</w:t>
            </w:r>
          </w:p>
        </w:tc>
      </w:tr>
    </w:tbl>
    <w:p w14:paraId="73861E0A">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000E">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301A">
    <w:pPr>
      <w:pStyle w:val="5"/>
      <w:ind w:left="420"/>
      <w:jc w:val="right"/>
      <w:rPr>
        <w:rFonts w:hint="eastAsia"/>
        <w:b/>
        <w:bCs/>
        <w:sz w:val="24"/>
        <w:szCs w:val="24"/>
      </w:rPr>
    </w:pPr>
  </w:p>
  <w:p w14:paraId="2D2C35B2">
    <w:pPr>
      <w:pStyle w:val="5"/>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1400">
    <w:pPr>
      <w:pStyle w:val="4"/>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B660B"/>
    <w:rsid w:val="27FB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Body Text Indent 3"/>
    <w:basedOn w:val="1"/>
    <w:qFormat/>
    <w:uiPriority w:val="0"/>
    <w:pPr>
      <w:spacing w:after="120"/>
      <w:ind w:left="200" w:leftChars="200"/>
    </w:pPr>
    <w:rPr>
      <w:kern w:val="0"/>
      <w:sz w:val="16"/>
      <w:szCs w:val="16"/>
    </w:rPr>
  </w:style>
  <w:style w:type="paragraph" w:styleId="6">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character" w:styleId="9">
    <w:name w:val="Hyperlink"/>
    <w:qFormat/>
    <w:uiPriority w:val="0"/>
    <w:rPr>
      <w:rFonts w:hint="default" w:ascii="Calibri" w:hAnsi="Calibri" w:eastAsia="宋体" w:cs="Calibri"/>
      <w:color w:val="0000FF"/>
      <w:u w:val="single"/>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List Paragraph"/>
    <w:basedOn w:val="1"/>
    <w:qFormat/>
    <w:uiPriority w:val="0"/>
    <w:pPr>
      <w:ind w:firstLine="420" w:firstLineChars="200"/>
    </w:pPr>
    <w:rPr>
      <w:rFonts w:ascii="Times New Roman" w:hAnsi="Times New Roman"/>
    </w:rPr>
  </w:style>
  <w:style w:type="character" w:customStyle="1" w:styleId="12">
    <w:name w:val="font1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2025-08-18T03:44:00Z</dcterms:created>
  <dcterms:modified xsi:type="dcterms:W3CDTF">2025-08-18T03:44:59Z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BA03A8E71D7149B39E78B8F89DFECEAF_11</vt:lpwstr>
  </property>
  <property fmtid="{D5CDD505-2E9C-101B-9397-08002B2CF9AE}" pid="4" name="KSOTemplateDocerSaveRecord">
    <vt:lpwstr>eyJoZGlkIjoiOTM4Mzc5NjE1NWI2M2E4ODc4Mjk5MDcxYjVmYTM5MzYiLCJ1c2VySWQiOiIxNjAxMzk4MzU5In0=</vt:lpwstr>
  </property>
</Properties>
</file>