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81942">
      <w:pPr>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b/>
          <w:color w:val="auto"/>
          <w:sz w:val="48"/>
          <w:szCs w:val="48"/>
          <w:highlight w:val="none"/>
          <w:lang w:eastAsia="zh-CN" w:bidi="ar"/>
        </w:rPr>
        <w:t>广州市中心城区如意坊隧道干坞内地下智慧停车场及配套工程勘察设计</w:t>
      </w:r>
    </w:p>
    <w:p w14:paraId="0EBD2643">
      <w:pPr>
        <w:wordWrap w:val="0"/>
        <w:spacing w:line="360" w:lineRule="auto"/>
        <w:rPr>
          <w:rFonts w:ascii="宋体" w:hAnsi="宋体" w:eastAsia="宋体" w:cs="宋体"/>
          <w:b/>
          <w:color w:val="auto"/>
          <w:spacing w:val="40"/>
          <w:sz w:val="44"/>
          <w:szCs w:val="44"/>
          <w:highlight w:val="none"/>
        </w:rPr>
      </w:pPr>
    </w:p>
    <w:p w14:paraId="76FB1077">
      <w:pPr>
        <w:wordWrap w:val="0"/>
        <w:spacing w:line="360" w:lineRule="auto"/>
        <w:jc w:val="left"/>
        <w:rPr>
          <w:rFonts w:ascii="宋体" w:hAnsi="宋体" w:eastAsia="宋体" w:cs="宋体"/>
          <w:color w:val="auto"/>
          <w:sz w:val="36"/>
          <w:szCs w:val="36"/>
          <w:highlight w:val="none"/>
          <w:u w:val="single"/>
          <w:lang w:bidi="ar"/>
        </w:rPr>
      </w:pPr>
    </w:p>
    <w:p w14:paraId="1491DC0D">
      <w:pPr>
        <w:wordWrap w:val="0"/>
        <w:spacing w:line="360" w:lineRule="auto"/>
        <w:jc w:val="left"/>
        <w:rPr>
          <w:rFonts w:ascii="宋体" w:hAnsi="宋体" w:eastAsia="宋体" w:cs="宋体"/>
          <w:color w:val="auto"/>
          <w:sz w:val="36"/>
          <w:szCs w:val="36"/>
          <w:highlight w:val="none"/>
          <w:u w:val="single"/>
          <w:lang w:bidi="ar"/>
        </w:rPr>
      </w:pPr>
    </w:p>
    <w:p w14:paraId="1BB5EA70">
      <w:pPr>
        <w:wordWrap w:val="0"/>
        <w:spacing w:line="360" w:lineRule="auto"/>
        <w:jc w:val="left"/>
        <w:rPr>
          <w:rFonts w:ascii="宋体" w:hAnsi="宋体" w:eastAsia="宋体" w:cs="宋体"/>
          <w:color w:val="auto"/>
          <w:sz w:val="36"/>
          <w:szCs w:val="36"/>
          <w:highlight w:val="none"/>
          <w:u w:val="single"/>
        </w:rPr>
      </w:pPr>
    </w:p>
    <w:p w14:paraId="17BC17BB">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招标文件</w:t>
      </w:r>
    </w:p>
    <w:p w14:paraId="55B10B06">
      <w:pPr>
        <w:wordWrap w:val="0"/>
        <w:spacing w:line="360" w:lineRule="auto"/>
        <w:rPr>
          <w:rFonts w:ascii="宋体" w:hAnsi="宋体" w:eastAsia="宋体" w:cs="宋体"/>
          <w:color w:val="auto"/>
          <w:sz w:val="32"/>
          <w:szCs w:val="32"/>
          <w:highlight w:val="none"/>
        </w:rPr>
      </w:pPr>
    </w:p>
    <w:p w14:paraId="63AE87BA">
      <w:pPr>
        <w:wordWrap w:val="0"/>
        <w:spacing w:line="360" w:lineRule="auto"/>
        <w:rPr>
          <w:rFonts w:ascii="宋体" w:hAnsi="宋体" w:eastAsia="宋体" w:cs="宋体"/>
          <w:color w:val="auto"/>
          <w:sz w:val="52"/>
          <w:szCs w:val="52"/>
          <w:highlight w:val="none"/>
        </w:rPr>
      </w:pPr>
    </w:p>
    <w:p w14:paraId="14B5C82B">
      <w:pPr>
        <w:wordWrap w:val="0"/>
        <w:spacing w:line="360" w:lineRule="auto"/>
        <w:rPr>
          <w:rFonts w:ascii="宋体" w:hAnsi="宋体" w:eastAsia="宋体" w:cs="宋体"/>
          <w:color w:val="auto"/>
          <w:sz w:val="52"/>
          <w:szCs w:val="52"/>
          <w:highlight w:val="none"/>
          <w:lang w:bidi="ar"/>
        </w:rPr>
      </w:pPr>
    </w:p>
    <w:p w14:paraId="6EAF0C32">
      <w:pPr>
        <w:pStyle w:val="25"/>
        <w:rPr>
          <w:color w:val="auto"/>
          <w:highlight w:val="none"/>
        </w:rPr>
      </w:pPr>
    </w:p>
    <w:p w14:paraId="2212F5A9">
      <w:pPr>
        <w:wordWrap w:val="0"/>
        <w:spacing w:line="360" w:lineRule="auto"/>
        <w:rPr>
          <w:rFonts w:ascii="宋体" w:hAnsi="宋体" w:eastAsia="宋体" w:cs="宋体"/>
          <w:color w:val="auto"/>
          <w:sz w:val="52"/>
          <w:szCs w:val="52"/>
          <w:highlight w:val="none"/>
          <w:lang w:bidi="ar"/>
        </w:rPr>
      </w:pPr>
    </w:p>
    <w:p w14:paraId="1EF6B0DB">
      <w:pPr>
        <w:wordWrap w:val="0"/>
        <w:spacing w:line="360" w:lineRule="auto"/>
        <w:ind w:firstLine="992" w:firstLineChars="31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   标   人：</w:t>
      </w:r>
      <w:r>
        <w:rPr>
          <w:rFonts w:hint="eastAsia" w:ascii="宋体" w:hAnsi="宋体" w:eastAsia="宋体" w:cs="宋体"/>
          <w:color w:val="auto"/>
          <w:sz w:val="32"/>
          <w:szCs w:val="32"/>
          <w:highlight w:val="none"/>
          <w:u w:val="single"/>
          <w:lang w:eastAsia="zh-CN" w:bidi="ar"/>
        </w:rPr>
        <w:t>广州市中心区交通项目管理中心</w:t>
      </w:r>
    </w:p>
    <w:p w14:paraId="19C266D6">
      <w:pPr>
        <w:wordWrap w:val="0"/>
        <w:spacing w:line="360" w:lineRule="auto"/>
        <w:ind w:firstLine="992" w:firstLineChars="31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sz w:val="32"/>
          <w:szCs w:val="32"/>
          <w:highlight w:val="none"/>
          <w:u w:val="single"/>
          <w:lang w:eastAsia="zh-CN" w:bidi="ar"/>
        </w:rPr>
        <w:t>谷德数智咨询（广州）有限公司</w:t>
      </w:r>
    </w:p>
    <w:p w14:paraId="17CFFA7A">
      <w:pPr>
        <w:wordWrap w:val="0"/>
        <w:spacing w:line="360" w:lineRule="auto"/>
        <w:ind w:firstLine="992" w:firstLineChars="31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日        期：2025年</w:t>
      </w:r>
      <w:r>
        <w:rPr>
          <w:rFonts w:hint="eastAsia" w:ascii="宋体" w:hAnsi="宋体" w:eastAsia="宋体" w:cs="宋体"/>
          <w:color w:val="auto"/>
          <w:sz w:val="32"/>
          <w:szCs w:val="32"/>
          <w:highlight w:val="none"/>
          <w:u w:val="none"/>
          <w:lang w:val="en-US" w:eastAsia="zh-CN" w:bidi="ar"/>
        </w:rPr>
        <w:t>8</w:t>
      </w:r>
      <w:bookmarkStart w:id="233" w:name="_GoBack"/>
      <w:bookmarkEnd w:id="233"/>
      <w:r>
        <w:rPr>
          <w:rFonts w:hint="eastAsia" w:ascii="宋体" w:hAnsi="宋体" w:eastAsia="宋体" w:cs="宋体"/>
          <w:color w:val="auto"/>
          <w:sz w:val="32"/>
          <w:szCs w:val="32"/>
          <w:highlight w:val="none"/>
          <w:lang w:bidi="ar"/>
        </w:rPr>
        <w:t>月</w:t>
      </w:r>
    </w:p>
    <w:p w14:paraId="57FA5B65">
      <w:pPr>
        <w:wordWrap w:val="0"/>
        <w:spacing w:line="360" w:lineRule="auto"/>
        <w:rPr>
          <w:rFonts w:ascii="Calibri" w:hAnsi="Calibri" w:eastAsia="宋体" w:cs="Times New Roman"/>
          <w:b/>
          <w:color w:val="auto"/>
          <w:sz w:val="36"/>
          <w:szCs w:val="36"/>
          <w:highlight w:val="none"/>
        </w:rPr>
        <w:sectPr>
          <w:footerReference r:id="rId3" w:type="default"/>
          <w:type w:val="continuous"/>
          <w:pgSz w:w="11905" w:h="16838"/>
          <w:pgMar w:top="1440" w:right="1800" w:bottom="1440" w:left="1800" w:header="720" w:footer="720" w:gutter="0"/>
          <w:pgBorders>
            <w:top w:val="none" w:sz="0" w:space="0"/>
            <w:left w:val="none" w:sz="0" w:space="0"/>
            <w:bottom w:val="none" w:sz="0" w:space="0"/>
            <w:right w:val="none" w:sz="0" w:space="0"/>
          </w:pgBorders>
          <w:pgNumType w:start="0"/>
          <w:cols w:space="425" w:num="1"/>
          <w:titlePg/>
          <w:docGrid w:type="lines" w:linePitch="312" w:charSpace="0"/>
        </w:sectPr>
      </w:pPr>
    </w:p>
    <w:p w14:paraId="098EE765">
      <w:pPr>
        <w:widowControl/>
        <w:wordWrap w:val="0"/>
        <w:jc w:val="left"/>
        <w:rPr>
          <w:rFonts w:ascii="Times New Roman" w:hAnsi="Times New Roman" w:eastAsia="宋体" w:cs="Times New Roman"/>
          <w:color w:val="auto"/>
          <w:kern w:val="0"/>
          <w:sz w:val="20"/>
          <w:szCs w:val="20"/>
          <w:highlight w:val="none"/>
        </w:rPr>
      </w:pPr>
      <w:r>
        <w:rPr>
          <w:rFonts w:ascii="Times New Roman" w:hAnsi="Times New Roman" w:eastAsia="宋体" w:cs="Times New Roman"/>
          <w:color w:val="auto"/>
          <w:kern w:val="0"/>
          <w:sz w:val="20"/>
          <w:szCs w:val="20"/>
          <w:highlight w:val="none"/>
        </w:rPr>
        <w:br w:type="page"/>
      </w:r>
    </w:p>
    <w:p w14:paraId="0CA6F431">
      <w:pPr>
        <w:wordWrap w:val="0"/>
        <w:spacing w:after="120"/>
        <w:ind w:firstLine="200" w:firstLineChars="100"/>
        <w:rPr>
          <w:rFonts w:ascii="Times New Roman" w:hAnsi="Times New Roman" w:eastAsia="宋体" w:cs="Times New Roman"/>
          <w:color w:val="auto"/>
          <w:kern w:val="0"/>
          <w:sz w:val="20"/>
          <w:szCs w:val="20"/>
          <w:highlight w:val="none"/>
        </w:rPr>
      </w:pPr>
    </w:p>
    <w:p w14:paraId="3131062C">
      <w:pPr>
        <w:keepNext/>
        <w:keepLines/>
        <w:widowControl/>
        <w:wordWrap w:val="0"/>
        <w:spacing w:before="480" w:line="276"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zh-CN"/>
        </w:rPr>
        <w:t>目 录</w:t>
      </w:r>
    </w:p>
    <w:p w14:paraId="0EE3C898">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aps w:val="0"/>
          <w:color w:val="auto"/>
          <w:sz w:val="24"/>
          <w:szCs w:val="24"/>
          <w:highlight w:val="none"/>
        </w:rPr>
        <w:fldChar w:fldCharType="begin"/>
      </w:r>
      <w:r>
        <w:rPr>
          <w:rFonts w:hint="eastAsia" w:ascii="宋体" w:hAnsi="宋体" w:eastAsia="宋体" w:cs="宋体"/>
          <w:b w:val="0"/>
          <w:bCs/>
          <w:caps w:val="0"/>
          <w:color w:val="auto"/>
          <w:sz w:val="24"/>
          <w:szCs w:val="24"/>
          <w:highlight w:val="none"/>
        </w:rPr>
        <w:instrText xml:space="preserve"> TOC \o "1-3" \h \z \u </w:instrText>
      </w:r>
      <w:r>
        <w:rPr>
          <w:rFonts w:hint="eastAsia" w:ascii="宋体" w:hAnsi="宋体" w:eastAsia="宋体" w:cs="宋体"/>
          <w:b w:val="0"/>
          <w:bCs/>
          <w:caps w:val="0"/>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"_Toc193357935"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rPr>
        <w:t>第一卷</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_Toc193357935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5D759CF">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"_Toc193357936"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lang w:bidi="ar"/>
        </w:rPr>
        <w:t>第一章  招标公告</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_Toc193357936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0692DD9">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"_Toc193357937"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lang w:bidi="ar"/>
        </w:rPr>
        <w:t>第二章  投标人须知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_Toc193357937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80D4CCE">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"_Toc193358002"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rPr>
        <w:t>第三章  评标办法（综合评估法）</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_Toc193358002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46</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4D06D585">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"_Toc193358019"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rPr>
        <w:t>第四章  合同条款及格式</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_Toc193358019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75</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4D938CF7">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"_Toc193358020"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rPr>
        <w:t>第二卷</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_Toc193358020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76</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7DEE33D">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"_Toc193358021"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rPr>
        <w:t>第五章  发包人要求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_Toc193358021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76</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F3C3A99">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"_Toc193358022"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rPr>
        <w:t>第三卷</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_Toc193358022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77</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D13A1BB">
      <w:pPr>
        <w:pStyle w:val="32"/>
        <w:keepNext w:val="0"/>
        <w:keepLines w:val="0"/>
        <w:pageBreakBefore w:val="0"/>
        <w:widowControl w:val="0"/>
        <w:tabs>
          <w:tab w:val="right" w:leader="dot" w:pos="8289"/>
        </w:tabs>
        <w:kinsoku/>
        <w:wordWrap w:val="0"/>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b w:val="0"/>
          <w:bCs/>
          <w:caps w:val="0"/>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"_Toc193358023" </w:instrText>
      </w:r>
      <w:r>
        <w:rPr>
          <w:rFonts w:hint="eastAsia" w:ascii="宋体" w:hAnsi="宋体" w:eastAsia="宋体" w:cs="宋体"/>
          <w:b w:val="0"/>
          <w:bCs/>
          <w:color w:val="auto"/>
          <w:sz w:val="24"/>
          <w:szCs w:val="24"/>
          <w:highlight w:val="none"/>
        </w:rPr>
        <w:fldChar w:fldCharType="separate"/>
      </w:r>
      <w:r>
        <w:rPr>
          <w:rStyle w:val="52"/>
          <w:rFonts w:hint="eastAsia" w:ascii="宋体" w:hAnsi="宋体" w:eastAsia="宋体" w:cs="宋体"/>
          <w:b w:val="0"/>
          <w:bCs/>
          <w:color w:val="auto"/>
          <w:sz w:val="24"/>
          <w:szCs w:val="24"/>
          <w:highlight w:val="none"/>
        </w:rPr>
        <w:t>第六章  投标文件格式</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_Toc193358023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77</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BF1F17B">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宋体" w:hAnsi="宋体" w:eastAsia="宋体" w:cs="宋体"/>
          <w:color w:val="auto"/>
          <w:kern w:val="0"/>
          <w:szCs w:val="21"/>
          <w:highlight w:val="none"/>
        </w:rPr>
      </w:pPr>
      <w:r>
        <w:rPr>
          <w:rFonts w:hint="eastAsia" w:ascii="宋体" w:hAnsi="宋体" w:eastAsia="宋体" w:cs="宋体"/>
          <w:b w:val="0"/>
          <w:bCs/>
          <w:color w:val="auto"/>
          <w:sz w:val="24"/>
          <w:szCs w:val="24"/>
          <w:highlight w:val="none"/>
          <w:lang w:val="zh-CN"/>
        </w:rPr>
        <w:fldChar w:fldCharType="end"/>
      </w:r>
    </w:p>
    <w:p w14:paraId="0743EF2A">
      <w:pPr>
        <w:wordWrap w:val="0"/>
        <w:autoSpaceDE w:val="0"/>
        <w:autoSpaceDN w:val="0"/>
        <w:spacing w:line="2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page"/>
      </w:r>
    </w:p>
    <w:p w14:paraId="307A4830">
      <w:pPr>
        <w:pStyle w:val="2"/>
        <w:rPr>
          <w:color w:val="auto"/>
          <w:highlight w:val="none"/>
        </w:rPr>
      </w:pPr>
      <w:bookmarkStart w:id="0" w:name="_Toc111186720"/>
      <w:bookmarkStart w:id="1" w:name="_Toc193357935"/>
      <w:r>
        <w:rPr>
          <w:rFonts w:hint="eastAsia"/>
          <w:color w:val="auto"/>
          <w:highlight w:val="none"/>
        </w:rPr>
        <w:t>第一卷</w:t>
      </w:r>
      <w:bookmarkEnd w:id="0"/>
      <w:bookmarkEnd w:id="1"/>
    </w:p>
    <w:p w14:paraId="40B61E08">
      <w:pPr>
        <w:widowControl/>
        <w:wordWrap w:val="0"/>
        <w:jc w:val="left"/>
        <w:rPr>
          <w:rFonts w:ascii="宋体" w:hAnsi="宋体" w:eastAsia="宋体" w:cs="宋体"/>
          <w:color w:val="auto"/>
          <w:spacing w:val="2"/>
          <w:kern w:val="0"/>
          <w:sz w:val="44"/>
          <w:szCs w:val="44"/>
          <w:highlight w:val="none"/>
        </w:rPr>
        <w:sectPr>
          <w:footerReference r:id="rId4" w:type="default"/>
          <w:type w:val="continuous"/>
          <w:pgSz w:w="11905" w:h="16838"/>
          <w:pgMar w:top="1440" w:right="1803" w:bottom="1440" w:left="1803" w:header="720" w:footer="720" w:gutter="0"/>
          <w:pgBorders>
            <w:top w:val="none" w:sz="0" w:space="0"/>
            <w:left w:val="none" w:sz="0" w:space="0"/>
            <w:bottom w:val="none" w:sz="0" w:space="0"/>
            <w:right w:val="none" w:sz="0" w:space="0"/>
          </w:pgBorders>
          <w:pgNumType w:start="0"/>
          <w:cols w:space="720" w:num="1"/>
          <w:titlePg/>
          <w:docGrid w:linePitch="286" w:charSpace="0"/>
        </w:sectPr>
      </w:pPr>
    </w:p>
    <w:p w14:paraId="443884DC">
      <w:pPr>
        <w:pStyle w:val="2"/>
        <w:rPr>
          <w:color w:val="auto"/>
          <w:highlight w:val="none"/>
          <w:lang w:bidi="ar"/>
        </w:rPr>
      </w:pPr>
      <w:bookmarkStart w:id="2" w:name="_Toc193357936"/>
      <w:bookmarkStart w:id="3" w:name="_Toc111186721"/>
      <w:r>
        <w:rPr>
          <w:rFonts w:hint="eastAsia"/>
          <w:color w:val="auto"/>
          <w:highlight w:val="none"/>
          <w:lang w:bidi="ar"/>
        </w:rPr>
        <w:t>第一章  招标公告</w:t>
      </w:r>
      <w:bookmarkEnd w:id="2"/>
      <w:bookmarkEnd w:id="3"/>
    </w:p>
    <w:p w14:paraId="57F8F7BF">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1C55FCD7">
      <w:pPr>
        <w:widowControl/>
        <w:wordWrap w:val="0"/>
        <w:jc w:val="left"/>
        <w:rPr>
          <w:rFonts w:ascii="宋体" w:hAnsi="宋体" w:eastAsia="宋体" w:cs="宋体"/>
          <w:color w:val="auto"/>
          <w:spacing w:val="2"/>
          <w:kern w:val="0"/>
          <w:sz w:val="44"/>
          <w:szCs w:val="44"/>
          <w:highlight w:val="none"/>
        </w:rPr>
      </w:pPr>
      <w:r>
        <w:rPr>
          <w:rFonts w:ascii="宋体" w:hAnsi="宋体" w:eastAsia="宋体" w:cs="宋体"/>
          <w:color w:val="auto"/>
          <w:spacing w:val="2"/>
          <w:kern w:val="0"/>
          <w:sz w:val="44"/>
          <w:szCs w:val="44"/>
          <w:highlight w:val="none"/>
        </w:rPr>
        <w:br w:type="page"/>
      </w:r>
    </w:p>
    <w:p w14:paraId="52D8A53C">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sectPr>
      </w:pPr>
    </w:p>
    <w:p w14:paraId="16A0AA89">
      <w:pPr>
        <w:pStyle w:val="2"/>
        <w:rPr>
          <w:color w:val="auto"/>
          <w:highlight w:val="none"/>
          <w:lang w:bidi="ar"/>
        </w:rPr>
      </w:pPr>
      <w:bookmarkStart w:id="4" w:name="_Toc111186722"/>
      <w:bookmarkStart w:id="5" w:name="_Toc193357937"/>
      <w:r>
        <w:rPr>
          <w:rFonts w:hint="eastAsia"/>
          <w:color w:val="auto"/>
          <w:highlight w:val="none"/>
          <w:lang w:bidi="ar"/>
        </w:rPr>
        <w:t>第二章  投标人须知</w:t>
      </w:r>
      <w:bookmarkEnd w:id="4"/>
      <w:bookmarkEnd w:id="5"/>
    </w:p>
    <w:p w14:paraId="5AB6FBD5">
      <w:pPr>
        <w:pStyle w:val="3"/>
        <w:wordWrap w:val="0"/>
        <w:rPr>
          <w:color w:val="auto"/>
          <w:highlight w:val="none"/>
          <w:lang w:bidi="ar"/>
        </w:rPr>
      </w:pPr>
      <w:bookmarkStart w:id="6" w:name="_Toc193357938"/>
      <w:bookmarkStart w:id="7" w:name="_Toc26350"/>
      <w:bookmarkStart w:id="8" w:name="_Toc111186723"/>
      <w:r>
        <w:rPr>
          <w:rFonts w:hint="eastAsia"/>
          <w:color w:val="auto"/>
          <w:highlight w:val="none"/>
          <w:lang w:bidi="ar"/>
        </w:rPr>
        <w:t>投标人须知前附表</w:t>
      </w:r>
      <w:bookmarkEnd w:id="6"/>
      <w:bookmarkEnd w:id="7"/>
      <w:bookmarkEnd w:id="8"/>
    </w:p>
    <w:tbl>
      <w:tblPr>
        <w:tblStyle w:val="45"/>
        <w:tblW w:w="49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811"/>
        <w:gridCol w:w="5936"/>
      </w:tblGrid>
      <w:tr w14:paraId="49AE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trPr>
        <w:tc>
          <w:tcPr>
            <w:tcW w:w="440" w:type="pct"/>
            <w:vAlign w:val="center"/>
          </w:tcPr>
          <w:p w14:paraId="4DDC361C">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1065" w:type="pct"/>
            <w:vAlign w:val="center"/>
          </w:tcPr>
          <w:p w14:paraId="13A89390">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条款名称</w:t>
            </w:r>
          </w:p>
        </w:tc>
        <w:tc>
          <w:tcPr>
            <w:tcW w:w="3493" w:type="pct"/>
            <w:vAlign w:val="center"/>
          </w:tcPr>
          <w:p w14:paraId="5FAE9C63">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编列内容</w:t>
            </w:r>
          </w:p>
        </w:tc>
      </w:tr>
      <w:tr w14:paraId="14C62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418332F">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065" w:type="pct"/>
            <w:vAlign w:val="center"/>
          </w:tcPr>
          <w:p w14:paraId="5A2333D8">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3493" w:type="pct"/>
            <w:vAlign w:val="center"/>
          </w:tcPr>
          <w:p w14:paraId="2A7B6E15">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广州市中心区交通项目管理中心</w:t>
            </w:r>
          </w:p>
          <w:p w14:paraId="77EA30F0">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广州市东风中路318号15-16楼</w:t>
            </w:r>
          </w:p>
          <w:p w14:paraId="16B086EC">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刘</w:t>
            </w:r>
            <w:r>
              <w:rPr>
                <w:rFonts w:hint="eastAsia" w:ascii="宋体" w:hAnsi="宋体" w:eastAsia="宋体" w:cs="宋体"/>
                <w:color w:val="auto"/>
                <w:szCs w:val="21"/>
                <w:highlight w:val="none"/>
                <w:u w:val="single"/>
              </w:rPr>
              <w:t>工</w:t>
            </w:r>
          </w:p>
          <w:p w14:paraId="27546E95">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u w:val="single"/>
              </w:rPr>
              <w:t>020-</w:t>
            </w:r>
            <w:r>
              <w:rPr>
                <w:rFonts w:hint="eastAsia" w:ascii="宋体" w:hAnsi="宋体" w:eastAsia="宋体" w:cs="宋体"/>
                <w:color w:val="auto"/>
                <w:szCs w:val="21"/>
                <w:highlight w:val="none"/>
                <w:u w:val="single"/>
              </w:rPr>
              <w:t>83630420</w:t>
            </w:r>
          </w:p>
        </w:tc>
      </w:tr>
      <w:tr w14:paraId="3C5F8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58228E9">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065" w:type="pct"/>
            <w:vAlign w:val="center"/>
          </w:tcPr>
          <w:p w14:paraId="1420E653">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3493" w:type="pct"/>
            <w:vAlign w:val="center"/>
          </w:tcPr>
          <w:p w14:paraId="3AFA8428">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谷德数智咨询（广州）有限公司</w:t>
            </w:r>
          </w:p>
          <w:p w14:paraId="4641D62D">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广州市天河区黄埔大道西159号西塔7楼</w:t>
            </w:r>
          </w:p>
          <w:p w14:paraId="05CC5E7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梁</w:t>
            </w:r>
            <w:r>
              <w:rPr>
                <w:rFonts w:hint="eastAsia" w:ascii="宋体" w:hAnsi="宋体" w:eastAsia="宋体" w:cs="宋体"/>
                <w:color w:val="auto"/>
                <w:szCs w:val="21"/>
                <w:highlight w:val="none"/>
                <w:u w:val="single"/>
              </w:rPr>
              <w:t>工</w:t>
            </w:r>
          </w:p>
          <w:p w14:paraId="3A43331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u w:val="single"/>
              </w:rPr>
              <w:t>020-</w:t>
            </w:r>
            <w:r>
              <w:rPr>
                <w:rFonts w:hint="eastAsia" w:ascii="宋体" w:hAnsi="宋体" w:eastAsia="宋体" w:cs="宋体"/>
                <w:color w:val="auto"/>
                <w:szCs w:val="21"/>
                <w:highlight w:val="none"/>
                <w:u w:val="single"/>
              </w:rPr>
              <w:t>85262454-859</w:t>
            </w:r>
          </w:p>
        </w:tc>
      </w:tr>
      <w:tr w14:paraId="648D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18A15A0">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065" w:type="pct"/>
            <w:vAlign w:val="center"/>
          </w:tcPr>
          <w:p w14:paraId="7C3F54D6">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3493" w:type="pct"/>
            <w:vAlign w:val="center"/>
          </w:tcPr>
          <w:p w14:paraId="05A74E85">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广州市中心城区如意坊隧道干坞内地下智慧停车场及配套工程勘察设计</w:t>
            </w:r>
          </w:p>
        </w:tc>
      </w:tr>
      <w:tr w14:paraId="431A3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3E452A9">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065" w:type="pct"/>
            <w:vAlign w:val="center"/>
          </w:tcPr>
          <w:p w14:paraId="4C919DC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3493" w:type="pct"/>
            <w:vAlign w:val="center"/>
          </w:tcPr>
          <w:p w14:paraId="6F528334">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7C8B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D2DE945">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1.1.6</w:t>
            </w:r>
          </w:p>
        </w:tc>
        <w:tc>
          <w:tcPr>
            <w:tcW w:w="1065" w:type="pct"/>
            <w:vAlign w:val="center"/>
          </w:tcPr>
          <w:p w14:paraId="2231096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3493" w:type="pct"/>
            <w:vAlign w:val="center"/>
          </w:tcPr>
          <w:p w14:paraId="5209869A">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7A6C2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D42A30E">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1.1.7</w:t>
            </w:r>
          </w:p>
        </w:tc>
        <w:tc>
          <w:tcPr>
            <w:tcW w:w="1065" w:type="pct"/>
            <w:vAlign w:val="center"/>
          </w:tcPr>
          <w:p w14:paraId="431B810A">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项目投资估算</w:t>
            </w:r>
          </w:p>
        </w:tc>
        <w:tc>
          <w:tcPr>
            <w:tcW w:w="3493" w:type="pct"/>
            <w:vAlign w:val="center"/>
          </w:tcPr>
          <w:p w14:paraId="03B38CE4">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590A8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84A6693">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065" w:type="pct"/>
            <w:vAlign w:val="center"/>
          </w:tcPr>
          <w:p w14:paraId="68E16A4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3493" w:type="pct"/>
            <w:vAlign w:val="center"/>
          </w:tcPr>
          <w:p w14:paraId="6A128DCD">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3CFC7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A91A6F5">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065" w:type="pct"/>
            <w:vAlign w:val="center"/>
          </w:tcPr>
          <w:p w14:paraId="3241DC89">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3493" w:type="pct"/>
            <w:vAlign w:val="center"/>
          </w:tcPr>
          <w:p w14:paraId="792DECE5">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已落实</w:t>
            </w:r>
          </w:p>
        </w:tc>
      </w:tr>
      <w:tr w14:paraId="745D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C2DABB0">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065" w:type="pct"/>
            <w:vAlign w:val="center"/>
          </w:tcPr>
          <w:p w14:paraId="4FA34A20">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493" w:type="pct"/>
            <w:vAlign w:val="center"/>
          </w:tcPr>
          <w:p w14:paraId="7DE892B9">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2299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E397639">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065" w:type="pct"/>
            <w:vAlign w:val="center"/>
          </w:tcPr>
          <w:p w14:paraId="75CC744A">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勘察设计服务期限</w:t>
            </w:r>
          </w:p>
        </w:tc>
        <w:tc>
          <w:tcPr>
            <w:tcW w:w="3493" w:type="pct"/>
            <w:vAlign w:val="center"/>
          </w:tcPr>
          <w:p w14:paraId="028050E2">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3CBF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497DB33">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065" w:type="pct"/>
            <w:vAlign w:val="center"/>
          </w:tcPr>
          <w:p w14:paraId="5C5C2514">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493" w:type="pct"/>
            <w:vAlign w:val="center"/>
          </w:tcPr>
          <w:p w14:paraId="19E93D2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符合《建设工程质量管理条例》、《建设工程勘察设计管理条例》、《市政公用工程设计文件编制深度规定》</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《建筑工程设计文件编制深度规定》等国家及地方有关工程勘察设计管理法规和规章，达到行业相关规范技术标准等要求。</w:t>
            </w:r>
          </w:p>
        </w:tc>
      </w:tr>
      <w:tr w14:paraId="4D14D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0C18D40">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1065" w:type="pct"/>
            <w:vAlign w:val="center"/>
          </w:tcPr>
          <w:p w14:paraId="3B8D34BE">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3493" w:type="pct"/>
            <w:vAlign w:val="center"/>
          </w:tcPr>
          <w:p w14:paraId="4CA165F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14:paraId="5920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3CB737F">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065" w:type="pct"/>
            <w:vAlign w:val="center"/>
          </w:tcPr>
          <w:p w14:paraId="259EFEBE">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3493" w:type="pct"/>
            <w:vAlign w:val="center"/>
          </w:tcPr>
          <w:p w14:paraId="177060E8">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p w14:paraId="7A1A13C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详见招标公告</w:t>
            </w:r>
          </w:p>
        </w:tc>
      </w:tr>
      <w:tr w14:paraId="5DFF6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0E961E2">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w:t>
            </w:r>
          </w:p>
        </w:tc>
        <w:tc>
          <w:tcPr>
            <w:tcW w:w="1065" w:type="pct"/>
            <w:vAlign w:val="center"/>
          </w:tcPr>
          <w:p w14:paraId="35AD74E6">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3493" w:type="pct"/>
            <w:vAlign w:val="center"/>
          </w:tcPr>
          <w:p w14:paraId="17FF2BC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1C4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0D2E037">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065" w:type="pct"/>
            <w:vAlign w:val="center"/>
          </w:tcPr>
          <w:p w14:paraId="5AAC80F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3493" w:type="pct"/>
            <w:vAlign w:val="center"/>
          </w:tcPr>
          <w:p w14:paraId="12B19E10">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■招标人不集中组织，由投标人自行踏勘；自</w:t>
            </w:r>
            <w:r>
              <w:rPr>
                <w:rFonts w:hint="eastAsia"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起具备现场踏勘条件；</w:t>
            </w:r>
          </w:p>
          <w:p w14:paraId="040AAA78">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现场详细地点：详见招标公告</w:t>
            </w:r>
          </w:p>
          <w:p w14:paraId="47BE493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补充说明如下：</w:t>
            </w:r>
          </w:p>
          <w:p w14:paraId="79DE207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12D06C13">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6B1D289E">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（3）由招标人提供的资料和数据，只是为了使投标人能够利用招标人现有的资料。招标人对投标人由此而作出的推论、解释和结论概不负责。</w:t>
            </w:r>
          </w:p>
          <w:p w14:paraId="1E10CA3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（4）不论投标结果如何，投标人应承担其投标文件编制与递交所涉及的一切费用，发包人对上述费用不负任何责任。</w:t>
            </w:r>
          </w:p>
          <w:p w14:paraId="7E296B7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w:t>
            </w:r>
          </w:p>
          <w:p w14:paraId="5301BDEA">
            <w:pPr>
              <w:keepNext w:val="0"/>
              <w:keepLines w:val="0"/>
              <w:pageBreakBefore w:val="0"/>
              <w:kinsoku/>
              <w:wordWrap w:val="0"/>
              <w:overflowPunct/>
              <w:bidi w:val="0"/>
              <w:adjustRightInd/>
              <w:snapToGrid/>
              <w:spacing w:line="360" w:lineRule="auto"/>
              <w:ind w:firstLine="840" w:firstLineChars="4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w:t>
            </w:r>
          </w:p>
        </w:tc>
      </w:tr>
      <w:tr w14:paraId="40C4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5ABC232">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065" w:type="pct"/>
            <w:vAlign w:val="center"/>
          </w:tcPr>
          <w:p w14:paraId="388CDFF0">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3493" w:type="pct"/>
            <w:vAlign w:val="center"/>
          </w:tcPr>
          <w:p w14:paraId="1660AB45">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■不召开</w:t>
            </w:r>
          </w:p>
          <w:p w14:paraId="270949E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w:t>
            </w:r>
          </w:p>
          <w:p w14:paraId="061A93C1">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w:t>
            </w:r>
          </w:p>
        </w:tc>
      </w:tr>
      <w:tr w14:paraId="18DDC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restart"/>
            <w:vAlign w:val="center"/>
          </w:tcPr>
          <w:p w14:paraId="5CE9355D">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1.10.2</w:t>
            </w:r>
          </w:p>
        </w:tc>
        <w:tc>
          <w:tcPr>
            <w:tcW w:w="1065" w:type="pct"/>
            <w:vMerge w:val="restart"/>
            <w:vAlign w:val="center"/>
          </w:tcPr>
          <w:p w14:paraId="57BC74A5">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3493" w:type="pct"/>
            <w:vAlign w:val="center"/>
          </w:tcPr>
          <w:p w14:paraId="50B03AA5">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bidi="ar"/>
              </w:rPr>
              <w:t>/（本项目不召开投标预备会）。</w:t>
            </w:r>
          </w:p>
        </w:tc>
      </w:tr>
      <w:tr w14:paraId="14788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continue"/>
            <w:vAlign w:val="center"/>
          </w:tcPr>
          <w:p w14:paraId="5F523E4E">
            <w:pPr>
              <w:keepNext w:val="0"/>
              <w:keepLines w:val="0"/>
              <w:pageBreakBefore w:val="0"/>
              <w:widowControl/>
              <w:kinsoku/>
              <w:wordWrap w:val="0"/>
              <w:overflowPunct/>
              <w:bidi w:val="0"/>
              <w:adjustRightInd/>
              <w:snapToGrid/>
              <w:spacing w:line="360" w:lineRule="auto"/>
              <w:jc w:val="center"/>
              <w:textAlignment w:val="auto"/>
              <w:rPr>
                <w:rFonts w:ascii="宋体" w:hAnsi="宋体" w:eastAsia="宋体" w:cs="宋体"/>
                <w:color w:val="auto"/>
                <w:kern w:val="0"/>
                <w:szCs w:val="21"/>
                <w:highlight w:val="none"/>
              </w:rPr>
            </w:pPr>
          </w:p>
        </w:tc>
        <w:tc>
          <w:tcPr>
            <w:tcW w:w="1065" w:type="pct"/>
            <w:vMerge w:val="continue"/>
            <w:vAlign w:val="center"/>
          </w:tcPr>
          <w:p w14:paraId="40F98C69">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p>
        </w:tc>
        <w:tc>
          <w:tcPr>
            <w:tcW w:w="3493" w:type="pct"/>
            <w:vAlign w:val="center"/>
          </w:tcPr>
          <w:p w14:paraId="78D17421">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lang w:bidi="ar"/>
              </w:rPr>
              <w:t>/（本项目不召开投标预备会）。</w:t>
            </w:r>
          </w:p>
        </w:tc>
      </w:tr>
      <w:tr w14:paraId="1B41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F286305">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w:t>
            </w:r>
          </w:p>
        </w:tc>
        <w:tc>
          <w:tcPr>
            <w:tcW w:w="1065" w:type="pct"/>
            <w:vAlign w:val="center"/>
          </w:tcPr>
          <w:p w14:paraId="14F78590">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3493" w:type="pct"/>
            <w:vAlign w:val="center"/>
          </w:tcPr>
          <w:p w14:paraId="093AD04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/（不召开投标预备会，此为投标预备会的答疑澄清）。</w:t>
            </w:r>
          </w:p>
        </w:tc>
      </w:tr>
      <w:tr w14:paraId="50957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AD06C7A">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7"/>
                <w:kern w:val="0"/>
                <w:szCs w:val="21"/>
                <w:highlight w:val="none"/>
              </w:rPr>
              <w:t>1</w:t>
            </w:r>
            <w:r>
              <w:rPr>
                <w:rFonts w:hint="eastAsia" w:ascii="宋体" w:hAnsi="宋体" w:eastAsia="宋体" w:cs="宋体"/>
                <w:color w:val="auto"/>
                <w:kern w:val="0"/>
                <w:szCs w:val="21"/>
                <w:highlight w:val="none"/>
              </w:rPr>
              <w:t>1.1</w:t>
            </w:r>
          </w:p>
        </w:tc>
        <w:tc>
          <w:tcPr>
            <w:tcW w:w="1065" w:type="pct"/>
            <w:vAlign w:val="center"/>
          </w:tcPr>
          <w:p w14:paraId="4BE231CF">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3493" w:type="pct"/>
            <w:vAlign w:val="center"/>
          </w:tcPr>
          <w:p w14:paraId="06EF329E">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6E1D441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■允许，分包内容要求：</w:t>
            </w:r>
            <w:r>
              <w:rPr>
                <w:rFonts w:hint="eastAsia" w:ascii="宋体" w:hAnsi="宋体" w:eastAsia="宋体" w:cs="宋体"/>
                <w:color w:val="auto"/>
                <w:szCs w:val="21"/>
                <w:highlight w:val="none"/>
                <w:u w:val="single"/>
              </w:rPr>
              <w:t>按有关规定。</w:t>
            </w:r>
          </w:p>
          <w:p w14:paraId="6E627A1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分包金额要求：</w:t>
            </w:r>
            <w:r>
              <w:rPr>
                <w:rFonts w:hint="eastAsia" w:ascii="宋体" w:hAnsi="宋体" w:eastAsia="宋体" w:cs="宋体"/>
                <w:color w:val="auto"/>
                <w:szCs w:val="21"/>
                <w:highlight w:val="none"/>
                <w:u w:val="single"/>
              </w:rPr>
              <w:t>/。</w:t>
            </w:r>
          </w:p>
          <w:p w14:paraId="0A5EA8FE">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对分包人的资质要求：</w:t>
            </w:r>
            <w:r>
              <w:rPr>
                <w:rFonts w:hint="eastAsia" w:ascii="宋体" w:hAnsi="宋体" w:eastAsia="宋体" w:cs="宋体"/>
                <w:color w:val="auto"/>
                <w:szCs w:val="21"/>
                <w:highlight w:val="none"/>
                <w:u w:val="single"/>
              </w:rPr>
              <w:t>按国家规定。</w:t>
            </w:r>
          </w:p>
        </w:tc>
      </w:tr>
      <w:tr w14:paraId="6C661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9F83534">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1.12.1</w:t>
            </w:r>
          </w:p>
        </w:tc>
        <w:tc>
          <w:tcPr>
            <w:tcW w:w="1065" w:type="pct"/>
            <w:vAlign w:val="center"/>
          </w:tcPr>
          <w:p w14:paraId="799652E0">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3493" w:type="pct"/>
            <w:vAlign w:val="center"/>
          </w:tcPr>
          <w:p w14:paraId="1BCE7110">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296E7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F1C0DA2">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1.12.3</w:t>
            </w:r>
          </w:p>
        </w:tc>
        <w:tc>
          <w:tcPr>
            <w:tcW w:w="1065" w:type="pct"/>
            <w:vAlign w:val="center"/>
          </w:tcPr>
          <w:p w14:paraId="71E8BA1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3493" w:type="pct"/>
            <w:vAlign w:val="center"/>
          </w:tcPr>
          <w:p w14:paraId="1E2633A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3A2EF9A">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□允许，偏差范围：</w:t>
            </w:r>
            <w:r>
              <w:rPr>
                <w:rFonts w:hint="eastAsia" w:ascii="宋体" w:hAnsi="宋体" w:eastAsia="宋体" w:cs="宋体"/>
                <w:color w:val="auto"/>
                <w:szCs w:val="21"/>
                <w:highlight w:val="none"/>
                <w:u w:val="single"/>
              </w:rPr>
              <w:t>/。</w:t>
            </w:r>
          </w:p>
          <w:p w14:paraId="0F7A8C30">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偏差幅度：</w:t>
            </w:r>
            <w:r>
              <w:rPr>
                <w:rFonts w:hint="eastAsia" w:ascii="宋体" w:hAnsi="宋体" w:eastAsia="宋体" w:cs="宋体"/>
                <w:color w:val="auto"/>
                <w:szCs w:val="21"/>
                <w:highlight w:val="none"/>
                <w:u w:val="single"/>
              </w:rPr>
              <w:t>/。</w:t>
            </w:r>
          </w:p>
        </w:tc>
      </w:tr>
      <w:tr w14:paraId="39A4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DB407CE">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065" w:type="pct"/>
            <w:vAlign w:val="center"/>
          </w:tcPr>
          <w:p w14:paraId="55607DDB">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3493" w:type="pct"/>
            <w:vAlign w:val="center"/>
          </w:tcPr>
          <w:p w14:paraId="687D90C1">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4F355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1998013">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065" w:type="pct"/>
            <w:vAlign w:val="center"/>
          </w:tcPr>
          <w:p w14:paraId="6818D8EE">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招标文件的答疑</w:t>
            </w:r>
          </w:p>
        </w:tc>
        <w:tc>
          <w:tcPr>
            <w:tcW w:w="3493" w:type="pct"/>
            <w:vAlign w:val="center"/>
          </w:tcPr>
          <w:p w14:paraId="2046785C">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rPr>
              <w:t xml:space="preserve">  年   月   日   时前。</w:t>
            </w:r>
          </w:p>
          <w:p w14:paraId="1CCAA04A">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投标人的疑问通过广州交易集团有限公司（广州公共资源交易中心）网站提交。</w:t>
            </w:r>
          </w:p>
          <w:p w14:paraId="2AE4BB90">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具体要求：</w:t>
            </w:r>
            <w:r>
              <w:rPr>
                <w:rFonts w:hint="eastAsia" w:ascii="宋体" w:hAnsi="宋体" w:eastAsia="宋体" w:cs="宋体"/>
                <w:color w:val="auto"/>
                <w:szCs w:val="21"/>
                <w:highlight w:val="none"/>
                <w:u w:val="single"/>
              </w:rPr>
              <w:t>按照广州交易集团有限公司（广州公共资源交易中心）网站关于全流程电子化项目的相关指南进行操作，提问一律不得署名。</w:t>
            </w:r>
          </w:p>
        </w:tc>
      </w:tr>
      <w:tr w14:paraId="1C21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440" w:type="pct"/>
            <w:vAlign w:val="center"/>
          </w:tcPr>
          <w:p w14:paraId="1F686719">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065" w:type="pct"/>
            <w:vAlign w:val="center"/>
          </w:tcPr>
          <w:p w14:paraId="4FED0779">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招标文件的澄清和修改</w:t>
            </w:r>
          </w:p>
        </w:tc>
        <w:tc>
          <w:tcPr>
            <w:tcW w:w="3493" w:type="pct"/>
            <w:vAlign w:val="center"/>
          </w:tcPr>
          <w:p w14:paraId="33017A59">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招标文件的修改期限：</w:t>
            </w:r>
            <w:r>
              <w:rPr>
                <w:rFonts w:hint="eastAsia" w:ascii="宋体" w:hAnsi="宋体" w:eastAsia="宋体" w:cs="宋体"/>
                <w:color w:val="auto"/>
                <w:szCs w:val="21"/>
                <w:highlight w:val="none"/>
                <w:u w:val="single"/>
              </w:rPr>
              <w:t>在投标截止时间 15 天前。</w:t>
            </w:r>
          </w:p>
        </w:tc>
      </w:tr>
      <w:tr w14:paraId="2C737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D642D8A">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065" w:type="pct"/>
            <w:vAlign w:val="center"/>
          </w:tcPr>
          <w:p w14:paraId="0D24B765">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3493" w:type="pct"/>
            <w:vAlign w:val="center"/>
          </w:tcPr>
          <w:p w14:paraId="7981B741">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投标人认为有必要提供的其他资料，格式自定。</w:t>
            </w:r>
          </w:p>
        </w:tc>
      </w:tr>
      <w:tr w14:paraId="1A81C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8F6E6DF">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p>
        </w:tc>
        <w:tc>
          <w:tcPr>
            <w:tcW w:w="1065" w:type="pct"/>
            <w:vAlign w:val="center"/>
          </w:tcPr>
          <w:p w14:paraId="756DF18A">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3493" w:type="pct"/>
            <w:vAlign w:val="center"/>
          </w:tcPr>
          <w:p w14:paraId="2889A0C2">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投标人的报价为含税报价。</w:t>
            </w:r>
          </w:p>
        </w:tc>
      </w:tr>
      <w:tr w14:paraId="30163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5758B5A">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p>
        </w:tc>
        <w:tc>
          <w:tcPr>
            <w:tcW w:w="1065" w:type="pct"/>
            <w:vAlign w:val="center"/>
          </w:tcPr>
          <w:p w14:paraId="4D3AE94C">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3493" w:type="pct"/>
            <w:vAlign w:val="center"/>
          </w:tcPr>
          <w:p w14:paraId="4F86A7C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按招标文件第六章投标文件格式进行报价。</w:t>
            </w:r>
          </w:p>
        </w:tc>
      </w:tr>
      <w:tr w14:paraId="66F29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C6DF6EA">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w:t>
            </w:r>
          </w:p>
        </w:tc>
        <w:tc>
          <w:tcPr>
            <w:tcW w:w="1065" w:type="pct"/>
            <w:vAlign w:val="center"/>
          </w:tcPr>
          <w:p w14:paraId="3A79BA2E">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493" w:type="pct"/>
            <w:vAlign w:val="center"/>
          </w:tcPr>
          <w:p w14:paraId="073BA3F0">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6561AECA">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 w:val="21"/>
                <w:szCs w:val="21"/>
                <w:highlight w:val="none"/>
                <w:u w:val="single"/>
              </w:rPr>
            </w:pPr>
            <w:r>
              <w:rPr>
                <w:rFonts w:hint="eastAsia" w:ascii="宋体" w:hAnsi="宋体" w:eastAsia="宋体" w:cs="宋体"/>
                <w:color w:val="auto"/>
                <w:szCs w:val="21"/>
                <w:highlight w:val="none"/>
              </w:rPr>
              <w:t>■有，最高投标限价：</w:t>
            </w:r>
            <w:r>
              <w:rPr>
                <w:rFonts w:hint="eastAsia" w:ascii="宋体" w:hAnsi="宋体" w:eastAsia="宋体" w:cs="宋体"/>
                <w:color w:val="auto"/>
                <w:szCs w:val="21"/>
                <w:highlight w:val="none"/>
                <w:u w:val="single"/>
                <w:lang w:val="en-US" w:eastAsia="zh-CN"/>
              </w:rPr>
              <w:t>985.9315</w:t>
            </w:r>
            <w:r>
              <w:rPr>
                <w:rFonts w:hint="eastAsia" w:ascii="宋体" w:hAnsi="宋体" w:eastAsia="宋体" w:cs="宋体"/>
                <w:color w:val="auto"/>
                <w:szCs w:val="21"/>
                <w:highlight w:val="none"/>
              </w:rPr>
              <w:t>万元，其中：勘察费最高投标限价：</w:t>
            </w:r>
            <w:r>
              <w:rPr>
                <w:rFonts w:hint="eastAsia" w:ascii="宋体" w:hAnsi="宋体" w:eastAsia="宋体" w:cs="宋体"/>
                <w:color w:val="auto"/>
                <w:szCs w:val="21"/>
                <w:highlight w:val="none"/>
                <w:u w:val="single"/>
                <w:lang w:val="en-US" w:eastAsia="zh-CN"/>
              </w:rPr>
              <w:t>104.3105</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eastAsia="zh-CN"/>
              </w:rPr>
              <w:t>（其中：</w:t>
            </w:r>
            <w:r>
              <w:rPr>
                <w:rFonts w:hint="eastAsia" w:ascii="宋体" w:hAnsi="宋体" w:eastAsia="宋体" w:cs="宋体"/>
                <w:color w:val="auto"/>
                <w:szCs w:val="21"/>
                <w:highlight w:val="none"/>
                <w:lang w:val="en-US" w:eastAsia="zh-CN"/>
              </w:rPr>
              <w:t>岩土工程勘察费限价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84.25</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eastAsia="zh-CN"/>
              </w:rPr>
              <w:t>，测量费限价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20.0605</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，设计费最高投标限价：</w:t>
            </w:r>
            <w:r>
              <w:rPr>
                <w:rFonts w:hint="eastAsia" w:ascii="宋体" w:hAnsi="宋体" w:eastAsia="宋体" w:cs="宋体"/>
                <w:color w:val="auto"/>
                <w:szCs w:val="21"/>
                <w:highlight w:val="none"/>
                <w:u w:val="single"/>
                <w:lang w:val="en-US" w:eastAsia="zh-CN"/>
              </w:rPr>
              <w:t>881.621</w:t>
            </w:r>
            <w:r>
              <w:rPr>
                <w:rFonts w:hint="eastAsia" w:ascii="宋体" w:hAnsi="宋体" w:eastAsia="宋体" w:cs="宋体"/>
                <w:color w:val="auto"/>
                <w:szCs w:val="21"/>
                <w:highlight w:val="none"/>
              </w:rPr>
              <w:t>万元</w:t>
            </w:r>
            <w:r>
              <w:rPr>
                <w:rFonts w:hint="eastAsia" w:ascii="宋体" w:hAnsi="宋体" w:eastAsia="宋体" w:cs="Times New Roman"/>
                <w:color w:val="auto"/>
                <w:kern w:val="0"/>
                <w:sz w:val="21"/>
                <w:szCs w:val="21"/>
                <w:highlight w:val="none"/>
              </w:rPr>
              <w:t>。</w:t>
            </w:r>
          </w:p>
          <w:p w14:paraId="723E74FA">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注：投标报价由投标人根据招标文件要求以及企业自身情况填报。投标人未按要求报价或投标报价（含投标总报价、勘察费报价、设计费报价）超过上述相应最高投标限价的为无效标</w:t>
            </w:r>
            <w:r>
              <w:rPr>
                <w:rFonts w:hint="eastAsia" w:ascii="宋体" w:hAnsi="宋体" w:eastAsia="宋体" w:cs="宋体"/>
                <w:color w:val="auto"/>
                <w:szCs w:val="21"/>
                <w:highlight w:val="none"/>
                <w:u w:val="single"/>
                <w:lang w:eastAsia="zh-CN"/>
              </w:rPr>
              <w:t>；投标人</w:t>
            </w:r>
            <w:r>
              <w:rPr>
                <w:rFonts w:hint="eastAsia" w:ascii="宋体" w:hAnsi="宋体" w:eastAsia="宋体" w:cs="宋体"/>
                <w:color w:val="auto"/>
                <w:szCs w:val="21"/>
                <w:highlight w:val="none"/>
                <w:u w:val="single"/>
                <w:lang w:val="en-US" w:eastAsia="zh-CN"/>
              </w:rPr>
              <w:t>综合单价</w:t>
            </w:r>
            <w:r>
              <w:rPr>
                <w:rFonts w:hint="eastAsia" w:ascii="宋体" w:hAnsi="宋体" w:eastAsia="宋体" w:cs="宋体"/>
                <w:color w:val="auto"/>
                <w:szCs w:val="21"/>
                <w:highlight w:val="none"/>
                <w:u w:val="single"/>
                <w:lang w:eastAsia="zh-CN"/>
              </w:rPr>
              <w:t>投标报价超过相应</w:t>
            </w:r>
            <w:r>
              <w:rPr>
                <w:rFonts w:hint="eastAsia" w:ascii="宋体" w:hAnsi="宋体" w:eastAsia="宋体" w:cs="宋体"/>
                <w:color w:val="auto"/>
                <w:szCs w:val="21"/>
                <w:highlight w:val="none"/>
                <w:u w:val="single"/>
                <w:lang w:val="en-US" w:eastAsia="zh-CN"/>
              </w:rPr>
              <w:t>综合单价</w:t>
            </w:r>
            <w:r>
              <w:rPr>
                <w:rFonts w:hint="eastAsia" w:ascii="宋体" w:hAnsi="宋体" w:eastAsia="宋体" w:cs="宋体"/>
                <w:color w:val="auto"/>
                <w:szCs w:val="21"/>
                <w:highlight w:val="none"/>
                <w:u w:val="single"/>
                <w:lang w:eastAsia="zh-CN"/>
              </w:rPr>
              <w:t>最高投标限价的为无效标（</w:t>
            </w:r>
            <w:r>
              <w:rPr>
                <w:rFonts w:hint="eastAsia" w:ascii="宋体" w:hAnsi="宋体" w:eastAsia="宋体" w:cs="宋体"/>
                <w:color w:val="auto"/>
                <w:szCs w:val="21"/>
                <w:highlight w:val="none"/>
                <w:u w:val="single"/>
                <w:lang w:val="en-US" w:eastAsia="zh-CN"/>
              </w:rPr>
              <w:t>综合单价详见《勘察设计费报价表》</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w:t>
            </w:r>
          </w:p>
        </w:tc>
      </w:tr>
      <w:tr w14:paraId="38986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8F6A2FD">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3.2.5</w:t>
            </w:r>
          </w:p>
        </w:tc>
        <w:tc>
          <w:tcPr>
            <w:tcW w:w="1065" w:type="pct"/>
            <w:vAlign w:val="center"/>
          </w:tcPr>
          <w:p w14:paraId="402F8958">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3493" w:type="pct"/>
            <w:vAlign w:val="center"/>
          </w:tcPr>
          <w:p w14:paraId="347C236E">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投标人必须详细审阅全部招标文件，充分考虑职责和义务，全面地理解招标文件对投标报价的要求，并按招标人提出的条件及内容进行报价。</w:t>
            </w:r>
            <w:r>
              <w:rPr>
                <w:rFonts w:hint="eastAsia" w:ascii="宋体" w:hAnsi="宋体" w:eastAsia="宋体" w:cs="宋体"/>
                <w:color w:val="auto"/>
                <w:szCs w:val="21"/>
                <w:highlight w:val="none"/>
                <w:lang w:bidi="ar"/>
              </w:rPr>
              <w:t>所有报价均以人民币表示，以元为单位，保留小数点后两位小数，第三位小数四舍五入。</w:t>
            </w:r>
          </w:p>
        </w:tc>
      </w:tr>
      <w:tr w14:paraId="13B3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6C595AE">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065" w:type="pct"/>
            <w:vAlign w:val="center"/>
          </w:tcPr>
          <w:p w14:paraId="43FC413C">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493" w:type="pct"/>
            <w:vAlign w:val="center"/>
          </w:tcPr>
          <w:p w14:paraId="6E384BE9">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b/>
                <w:bCs/>
                <w:color w:val="auto"/>
                <w:szCs w:val="21"/>
                <w:highlight w:val="none"/>
                <w:u w:val="single"/>
                <w:lang w:val="en-US" w:eastAsia="zh-CN"/>
              </w:rPr>
              <w:t>120</w:t>
            </w:r>
            <w:r>
              <w:rPr>
                <w:rFonts w:hint="eastAsia" w:ascii="宋体" w:hAnsi="宋体" w:eastAsia="宋体" w:cs="宋体"/>
                <w:color w:val="auto"/>
                <w:szCs w:val="21"/>
                <w:highlight w:val="none"/>
              </w:rPr>
              <w:t>日历天（从投标截止之日计起）</w:t>
            </w:r>
          </w:p>
        </w:tc>
      </w:tr>
      <w:tr w14:paraId="1A8D0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6DC984D">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w:t>
            </w:r>
          </w:p>
        </w:tc>
        <w:tc>
          <w:tcPr>
            <w:tcW w:w="1065" w:type="pct"/>
            <w:vAlign w:val="center"/>
          </w:tcPr>
          <w:p w14:paraId="4FB159F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93" w:type="pct"/>
            <w:vAlign w:val="center"/>
          </w:tcPr>
          <w:p w14:paraId="11284D7D">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66889FAA">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，投标保证金的金额：</w:t>
            </w:r>
            <w:r>
              <w:rPr>
                <w:rFonts w:hint="eastAsia" w:ascii="宋体" w:hAnsi="宋体" w:eastAsia="宋体" w:cs="宋体"/>
                <w:color w:val="auto"/>
                <w:kern w:val="0"/>
                <w:szCs w:val="21"/>
                <w:highlight w:val="none"/>
                <w:u w:val="single"/>
                <w:lang w:val="zh-CN"/>
              </w:rPr>
              <w:t>/。</w:t>
            </w:r>
          </w:p>
          <w:p w14:paraId="0D8F1610">
            <w:pPr>
              <w:keepNext w:val="0"/>
              <w:keepLines w:val="0"/>
              <w:pageBreakBefore w:val="0"/>
              <w:widowControl/>
              <w:kinsoku/>
              <w:wordWrap w:val="0"/>
              <w:overflowPunct/>
              <w:topLinePunct/>
              <w:bidi w:val="0"/>
              <w:adjustRightInd/>
              <w:snapToGrid/>
              <w:spacing w:line="360" w:lineRule="auto"/>
              <w:ind w:firstLine="840" w:firstLineChars="4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投标保证金的形式：</w:t>
            </w:r>
            <w:r>
              <w:rPr>
                <w:rFonts w:hint="eastAsia" w:ascii="宋体" w:hAnsi="宋体" w:eastAsia="宋体" w:cs="宋体"/>
                <w:color w:val="auto"/>
                <w:kern w:val="0"/>
                <w:szCs w:val="21"/>
                <w:highlight w:val="none"/>
                <w:u w:val="single"/>
                <w:lang w:val="zh-CN"/>
              </w:rPr>
              <w:t>/。</w:t>
            </w:r>
          </w:p>
          <w:p w14:paraId="27E35DA9">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56B0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936F9F5">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3.4.4</w:t>
            </w:r>
          </w:p>
        </w:tc>
        <w:tc>
          <w:tcPr>
            <w:tcW w:w="1065" w:type="pct"/>
            <w:vAlign w:val="center"/>
          </w:tcPr>
          <w:p w14:paraId="3B913AD2">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其他可以不予退还投标保证金的情形</w:t>
            </w:r>
          </w:p>
        </w:tc>
        <w:tc>
          <w:tcPr>
            <w:tcW w:w="3493" w:type="pct"/>
            <w:vAlign w:val="center"/>
          </w:tcPr>
          <w:p w14:paraId="15763B0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7394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3608319">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p>
        </w:tc>
        <w:tc>
          <w:tcPr>
            <w:tcW w:w="1065" w:type="pct"/>
            <w:vAlign w:val="center"/>
          </w:tcPr>
          <w:p w14:paraId="138AE94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3493" w:type="pct"/>
            <w:vAlign w:val="center"/>
          </w:tcPr>
          <w:p w14:paraId="5AFCAE1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1238777D">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□有，具体要求：</w:t>
            </w:r>
          </w:p>
        </w:tc>
      </w:tr>
      <w:tr w14:paraId="61F5C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C63FFF6">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3.5.2</w:t>
            </w:r>
          </w:p>
        </w:tc>
        <w:tc>
          <w:tcPr>
            <w:tcW w:w="1065" w:type="pct"/>
            <w:vAlign w:val="center"/>
          </w:tcPr>
          <w:p w14:paraId="3754E83F">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3493" w:type="pct"/>
            <w:vAlign w:val="center"/>
          </w:tcPr>
          <w:p w14:paraId="6AA29E09">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41093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8EA8DEC">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w:t>
            </w:r>
          </w:p>
        </w:tc>
        <w:tc>
          <w:tcPr>
            <w:tcW w:w="1065" w:type="pct"/>
            <w:vAlign w:val="center"/>
          </w:tcPr>
          <w:p w14:paraId="581E8418">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3493" w:type="pct"/>
            <w:vAlign w:val="center"/>
          </w:tcPr>
          <w:p w14:paraId="74FD655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12502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318B846">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065" w:type="pct"/>
            <w:vAlign w:val="center"/>
          </w:tcPr>
          <w:p w14:paraId="4CC6D3D7">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3493" w:type="pct"/>
            <w:vAlign w:val="center"/>
          </w:tcPr>
          <w:p w14:paraId="4130C09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0AD6BCB9">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0838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6519875">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065" w:type="pct"/>
            <w:vAlign w:val="center"/>
          </w:tcPr>
          <w:p w14:paraId="713FBFFD">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3493" w:type="pct"/>
            <w:vAlign w:val="center"/>
          </w:tcPr>
          <w:p w14:paraId="3C109AE6">
            <w:pPr>
              <w:keepNext w:val="0"/>
              <w:keepLines w:val="0"/>
              <w:pageBreakBefore w:val="0"/>
              <w:kinsoku/>
              <w:wordWrap w:val="0"/>
              <w:overflowPunct/>
              <w:bidi w:val="0"/>
              <w:adjustRightInd/>
              <w:snapToGrid/>
              <w:spacing w:line="360" w:lineRule="auto"/>
              <w:textAlignment w:val="auto"/>
              <w:rPr>
                <w:rFonts w:hint="eastAsia" w:ascii="宋体" w:hAnsi="宋体" w:eastAsia="宋体"/>
                <w:color w:val="auto"/>
                <w:szCs w:val="24"/>
                <w:highlight w:val="none"/>
                <w:u w:val="single"/>
              </w:rPr>
            </w:pPr>
            <w:r>
              <w:rPr>
                <w:rFonts w:hint="eastAsia" w:ascii="宋体" w:hAnsi="宋体" w:eastAsia="宋体"/>
                <w:color w:val="auto"/>
                <w:szCs w:val="24"/>
                <w:highlight w:val="none"/>
                <w:u w:val="single"/>
              </w:rPr>
              <w:t>投标文件全部采用电子文档，投标文件所附证书证件均为清晰扫描件或电子证书，并采用单位数字证书，按招标文件要求在相应位置加盖电子印章（技术文件除外）。投标文件中需个人签字或盖章的，应加盖个人电子印章或在线下完成后扫描上传（可靠的电子签名与手写签名或者盖章具有同等的法律效力）。投标文件格式规定盖单位公章的页面必须盖单位公章或电子公章（公章与电子公章具有相同法律效力）。具体操作详见广州交易集团有限公司（广州公共资源交易中心）官网最新发布的最新版操作指引。</w:t>
            </w:r>
          </w:p>
          <w:p w14:paraId="33F39B31">
            <w:pPr>
              <w:keepNext w:val="0"/>
              <w:keepLines w:val="0"/>
              <w:pageBreakBefore w:val="0"/>
              <w:kinsoku/>
              <w:wordWrap w:val="0"/>
              <w:overflowPunct/>
              <w:bidi w:val="0"/>
              <w:adjustRightInd/>
              <w:snapToGrid/>
              <w:spacing w:line="360" w:lineRule="auto"/>
              <w:textAlignment w:val="auto"/>
              <w:rPr>
                <w:rFonts w:ascii="宋体" w:hAnsi="宋体" w:eastAsia="宋体"/>
                <w:color w:val="auto"/>
                <w:szCs w:val="24"/>
                <w:highlight w:val="none"/>
                <w:u w:val="single"/>
              </w:rPr>
            </w:pPr>
            <w:r>
              <w:rPr>
                <w:rFonts w:hint="eastAsia" w:ascii="宋体" w:hAnsi="宋体" w:eastAsia="宋体"/>
                <w:color w:val="auto"/>
                <w:szCs w:val="24"/>
                <w:highlight w:val="none"/>
                <w:u w:val="single"/>
              </w:rPr>
              <w:t>联合体投标的，电子投标文件统一由联合体主办方进行电子印章，并在交易平台网站办理网上投标登记手续，开标评标均以联合体主办方通过交易平台网上递交的电子投标文件为准。</w:t>
            </w:r>
          </w:p>
        </w:tc>
      </w:tr>
      <w:tr w14:paraId="3E460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E8C1920">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065" w:type="pct"/>
            <w:vAlign w:val="center"/>
          </w:tcPr>
          <w:p w14:paraId="2E441718">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封套上应载明的信息（适用于提交备用光盘或U盘的情况）</w:t>
            </w:r>
          </w:p>
        </w:tc>
        <w:tc>
          <w:tcPr>
            <w:tcW w:w="3493" w:type="pct"/>
            <w:vAlign w:val="center"/>
          </w:tcPr>
          <w:p w14:paraId="50E9FF0A">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如有提交投标文件光盘备用，封套上应注明如下信息：</w:t>
            </w:r>
          </w:p>
          <w:p w14:paraId="1DAC070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刻录好的投标文件光盘分别密封在不透明的密封袋并作标记，其中：</w:t>
            </w:r>
          </w:p>
          <w:p w14:paraId="1F619FD3">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1.“商务文件光盘”应在密封袋上写明（1）招标人名称；（2）“[项目名称] 商务文件光盘”字样；（3）投标人名称；并在封口处加盖投标人单位公章；</w:t>
            </w:r>
          </w:p>
          <w:p w14:paraId="14DB0EE9">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2.“技术文件光盘”、“保密文件光盘”应仅在密封袋上写明“[项目名称][技术文件光盘或保密文件光盘]”字样，并不得盖章或加具其它可以识别投标人身份的标记。</w:t>
            </w:r>
          </w:p>
        </w:tc>
      </w:tr>
      <w:tr w14:paraId="3E06E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63CEB83">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w:t>
            </w:r>
          </w:p>
        </w:tc>
        <w:tc>
          <w:tcPr>
            <w:tcW w:w="1065" w:type="pct"/>
            <w:vAlign w:val="center"/>
          </w:tcPr>
          <w:p w14:paraId="6D2584FF">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3493" w:type="pct"/>
            <w:vAlign w:val="center"/>
          </w:tcPr>
          <w:p w14:paraId="4814B962">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ascii="宋体" w:hAnsi="Times New Roman" w:eastAsia="宋体"/>
                <w:color w:val="auto"/>
                <w:szCs w:val="24"/>
                <w:highlight w:val="none"/>
              </w:rPr>
              <w:t>投标截止时间：</w:t>
            </w:r>
            <w:r>
              <w:rPr>
                <w:rFonts w:hint="eastAsia" w:ascii="宋体" w:hAnsi="宋体" w:eastAsia="宋体" w:cs="宋体"/>
                <w:color w:val="auto"/>
                <w:szCs w:val="21"/>
                <w:highlight w:val="none"/>
                <w:u w:val="single"/>
              </w:rPr>
              <w:t xml:space="preserve">   年   月    日   时   分</w:t>
            </w:r>
            <w:r>
              <w:rPr>
                <w:rFonts w:hint="eastAsia" w:ascii="宋体" w:hAnsi="宋体" w:eastAsia="宋体" w:cs="宋体"/>
                <w:color w:val="auto"/>
                <w:szCs w:val="21"/>
                <w:highlight w:val="none"/>
              </w:rPr>
              <w:t>（北京时间），以广州交易集团有限公司（广州公共资源交易中心）网站发布信息为准。</w:t>
            </w:r>
          </w:p>
        </w:tc>
      </w:tr>
      <w:tr w14:paraId="752F4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F574065">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1065" w:type="pct"/>
            <w:vAlign w:val="center"/>
          </w:tcPr>
          <w:p w14:paraId="474FC31C">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3493" w:type="pct"/>
            <w:vAlign w:val="center"/>
          </w:tcPr>
          <w:p w14:paraId="7B5AFD6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1.开标时间：</w:t>
            </w:r>
            <w:r>
              <w:rPr>
                <w:rFonts w:hint="eastAsia" w:ascii="宋体" w:hAnsi="宋体" w:eastAsia="宋体" w:cs="宋体"/>
                <w:color w:val="auto"/>
                <w:szCs w:val="21"/>
                <w:highlight w:val="none"/>
                <w:u w:val="single"/>
                <w:lang w:bidi="ar"/>
              </w:rPr>
              <w:t>同投标截止时间</w:t>
            </w:r>
          </w:p>
          <w:p w14:paraId="2486B33D">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2.开标地点：</w:t>
            </w:r>
            <w:r>
              <w:rPr>
                <w:rFonts w:hint="eastAsia" w:ascii="宋体" w:hAnsi="宋体" w:eastAsia="宋体" w:cs="宋体"/>
                <w:color w:val="auto"/>
                <w:szCs w:val="21"/>
                <w:highlight w:val="none"/>
                <w:u w:val="single"/>
                <w:lang w:bidi="ar"/>
              </w:rPr>
              <w:t>广州交易集团有限公司（广州公共资源交易中心）指定开标室，具体详见本项目公告的日程安排。</w:t>
            </w:r>
          </w:p>
          <w:p w14:paraId="2C77EBB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3.递交投标文件备用光盘时间：____年____月____日____时____分至____年____月____日____时____分；递交地点：</w:t>
            </w:r>
            <w:r>
              <w:rPr>
                <w:rFonts w:hint="eastAsia" w:ascii="宋体" w:hAnsi="宋体" w:eastAsia="宋体" w:cs="宋体"/>
                <w:color w:val="auto"/>
                <w:szCs w:val="21"/>
                <w:highlight w:val="none"/>
                <w:u w:val="single"/>
                <w:lang w:bidi="ar"/>
              </w:rPr>
              <w:t>广州交易集团有限公司（广州公共资源交易中心）指定开标室</w:t>
            </w:r>
            <w:r>
              <w:rPr>
                <w:rFonts w:hint="eastAsia" w:ascii="宋体" w:hAnsi="宋体" w:eastAsia="宋体" w:cs="宋体"/>
                <w:color w:val="auto"/>
                <w:szCs w:val="21"/>
                <w:highlight w:val="none"/>
                <w:lang w:bidi="ar"/>
              </w:rPr>
              <w:t>。(建议安排在投标文件截止时间前 15 分钟至投标文件截止时间）</w:t>
            </w:r>
          </w:p>
          <w:p w14:paraId="55518672">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4.提交投标文件光盘备用</w:t>
            </w:r>
          </w:p>
          <w:p w14:paraId="047789FE">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（1）投标人可制作非加密的电子投标文件（PDF格式）刻入光盘（1份），在规定的时间、地点提交备用光盘。1份完整的投标文件光盘（备用）包括“商务文件光盘”、“技术文件光盘”、“保密文件光盘”共</w:t>
            </w:r>
            <w:r>
              <w:rPr>
                <w:rFonts w:hint="eastAsia" w:ascii="宋体" w:hAnsi="宋体" w:eastAsia="宋体" w:cs="宋体"/>
                <w:color w:val="auto"/>
                <w:szCs w:val="21"/>
                <w:highlight w:val="none"/>
                <w:u w:val="single"/>
                <w:lang w:val="en-US" w:eastAsia="zh-CN" w:bidi="ar"/>
              </w:rPr>
              <w:t>3</w:t>
            </w:r>
            <w:r>
              <w:rPr>
                <w:rFonts w:hint="eastAsia" w:ascii="宋体" w:hAnsi="宋体" w:eastAsia="宋体" w:cs="宋体"/>
                <w:color w:val="auto"/>
                <w:szCs w:val="21"/>
                <w:highlight w:val="none"/>
                <w:u w:val="single"/>
                <w:lang w:bidi="ar"/>
              </w:rPr>
              <w:t>份光盘。</w:t>
            </w:r>
          </w:p>
          <w:p w14:paraId="5653AA7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2）光盘按照投标人须知前附表4.1.2规定密封。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1F3419FC">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5.补救方案</w:t>
            </w:r>
          </w:p>
          <w:p w14:paraId="46C6FE9A">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840BA8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（2）评标时突发情况的补救方案：若遇不可抗力发生（指网络瘫痪、服务器损坏、交易系统故障短期无法恢复等因素），由评标委员会开启投标人递交的全部投标文件光盘，并按光盘内容进行评审。</w:t>
            </w:r>
          </w:p>
          <w:p w14:paraId="3D7C6F3D">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（3）除发生上述情况外，开标评标均以投标人通过交易平台网上递交的电子投标文件为准。</w:t>
            </w:r>
          </w:p>
          <w:p w14:paraId="679D75C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6.开标时，投标人代表有权参加现场开标或在线开标，也可以自主决定不参加开标，投标人选择参加在线开标的，具体按照交易平台相关指南进行操作。</w:t>
            </w:r>
          </w:p>
          <w:p w14:paraId="6CD37DA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7.上述时间及地点是否有改变，请密切留意补充公告或招标答疑纪要的相关信息。</w:t>
            </w:r>
          </w:p>
        </w:tc>
      </w:tr>
      <w:tr w14:paraId="75D4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729AC9F">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065" w:type="pct"/>
            <w:vAlign w:val="center"/>
          </w:tcPr>
          <w:p w14:paraId="17038BE4">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3493" w:type="pct"/>
            <w:vAlign w:val="center"/>
          </w:tcPr>
          <w:p w14:paraId="162E44CD">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评标委员会构成：</w:t>
            </w:r>
            <w:r>
              <w:rPr>
                <w:rFonts w:hint="eastAsia" w:ascii="宋体" w:hAnsi="宋体" w:eastAsia="宋体" w:cs="宋体"/>
                <w:color w:val="auto"/>
                <w:szCs w:val="21"/>
                <w:highlight w:val="none"/>
                <w:u w:val="single"/>
                <w:lang w:val="en-US" w:eastAsia="zh-CN" w:bidi="ar"/>
              </w:rPr>
              <w:t>5</w:t>
            </w:r>
            <w:r>
              <w:rPr>
                <w:rFonts w:hint="eastAsia" w:ascii="宋体" w:hAnsi="宋体" w:eastAsia="宋体" w:cs="宋体"/>
                <w:color w:val="auto"/>
                <w:szCs w:val="21"/>
                <w:highlight w:val="none"/>
                <w:u w:val="none"/>
                <w:lang w:bidi="ar"/>
              </w:rPr>
              <w:t>人</w:t>
            </w:r>
          </w:p>
          <w:p w14:paraId="574B3F50">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u w:val="none"/>
                <w:lang w:bidi="ar"/>
              </w:rPr>
              <w:t>其中招标人代表</w:t>
            </w:r>
            <w:r>
              <w:rPr>
                <w:rFonts w:hint="eastAsia" w:ascii="宋体" w:hAnsi="宋体" w:eastAsia="宋体" w:cs="宋体"/>
                <w:color w:val="auto"/>
                <w:szCs w:val="21"/>
                <w:highlight w:val="none"/>
                <w:u w:val="single"/>
                <w:lang w:val="en-US" w:eastAsia="zh-CN" w:bidi="ar"/>
              </w:rPr>
              <w:t>1</w:t>
            </w:r>
            <w:r>
              <w:rPr>
                <w:rFonts w:hint="eastAsia" w:ascii="宋体" w:hAnsi="宋体" w:eastAsia="宋体" w:cs="宋体"/>
                <w:color w:val="auto"/>
                <w:szCs w:val="21"/>
                <w:highlight w:val="none"/>
                <w:u w:val="none"/>
                <w:lang w:bidi="ar"/>
              </w:rPr>
              <w:t>人，专家</w:t>
            </w:r>
            <w:r>
              <w:rPr>
                <w:rFonts w:hint="eastAsia" w:ascii="宋体" w:hAnsi="宋体" w:eastAsia="宋体" w:cs="宋体"/>
                <w:color w:val="auto"/>
                <w:szCs w:val="21"/>
                <w:highlight w:val="none"/>
                <w:u w:val="single"/>
                <w:lang w:val="en-US" w:eastAsia="zh-CN" w:bidi="ar"/>
              </w:rPr>
              <w:t>4</w:t>
            </w:r>
            <w:r>
              <w:rPr>
                <w:rFonts w:hint="eastAsia" w:ascii="宋体" w:hAnsi="宋体" w:eastAsia="宋体" w:cs="宋体"/>
                <w:color w:val="auto"/>
                <w:szCs w:val="21"/>
                <w:highlight w:val="none"/>
                <w:u w:val="none"/>
                <w:lang w:bidi="ar"/>
              </w:rPr>
              <w:t>人；</w:t>
            </w:r>
          </w:p>
          <w:p w14:paraId="44035B9D">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none"/>
                <w:lang w:bidi="ar"/>
              </w:rPr>
              <w:t>评标专家确定方式：</w:t>
            </w:r>
            <w:r>
              <w:rPr>
                <w:rFonts w:hint="eastAsia" w:ascii="宋体" w:hAnsi="宋体" w:eastAsia="宋体" w:cs="宋体"/>
                <w:color w:val="auto"/>
                <w:szCs w:val="21"/>
                <w:highlight w:val="none"/>
                <w:u w:val="single"/>
                <w:lang w:val="en-US" w:eastAsia="zh-CN" w:bidi="ar"/>
              </w:rPr>
              <w:t>在除招标人代表外，其余评标专家均从</w:t>
            </w:r>
            <w:r>
              <w:rPr>
                <w:rFonts w:hint="eastAsia" w:ascii="宋体" w:hAnsi="宋体" w:eastAsia="宋体" w:cs="宋体"/>
                <w:color w:val="auto"/>
                <w:szCs w:val="21"/>
                <w:highlight w:val="none"/>
                <w:u w:val="none"/>
                <w:lang w:val="en-US" w:eastAsia="zh-CN" w:bidi="ar"/>
              </w:rPr>
              <w:t>广东省综合评标评审专家库中随机抽取。</w:t>
            </w:r>
          </w:p>
        </w:tc>
      </w:tr>
      <w:tr w14:paraId="6540B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A25C0A6">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w:t>
            </w:r>
          </w:p>
        </w:tc>
        <w:tc>
          <w:tcPr>
            <w:tcW w:w="1065" w:type="pct"/>
            <w:vAlign w:val="center"/>
          </w:tcPr>
          <w:p w14:paraId="1EF1EC08">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定标委员会的组建</w:t>
            </w:r>
          </w:p>
        </w:tc>
        <w:tc>
          <w:tcPr>
            <w:tcW w:w="3493" w:type="pct"/>
            <w:vAlign w:val="center"/>
          </w:tcPr>
          <w:p w14:paraId="2C499C3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由招标人组建。</w:t>
            </w:r>
          </w:p>
        </w:tc>
      </w:tr>
      <w:tr w14:paraId="11ADF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B17AF4E">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065" w:type="pct"/>
            <w:vAlign w:val="center"/>
          </w:tcPr>
          <w:p w14:paraId="18AC2C34">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3493" w:type="pct"/>
            <w:vAlign w:val="center"/>
          </w:tcPr>
          <w:p w14:paraId="1920117E">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评标阶段采用定量评审。投标人总得分=商务文件部分（100分）×20%+技术文件部分（100分）×</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u w:val="single"/>
                <w:lang w:val="en-US" w:eastAsia="zh-CN"/>
              </w:rPr>
              <w:t>+投标报价（100分）×10%</w:t>
            </w:r>
            <w:r>
              <w:rPr>
                <w:rFonts w:hint="eastAsia" w:ascii="宋体" w:hAnsi="宋体" w:eastAsia="宋体" w:cs="宋体"/>
                <w:color w:val="auto"/>
                <w:szCs w:val="21"/>
                <w:highlight w:val="none"/>
                <w:u w:val="single"/>
              </w:rPr>
              <w:t>。</w:t>
            </w:r>
          </w:p>
          <w:p w14:paraId="42FF2C2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评标委员会按照招标文件规定的评标程序对投标人进行评审。按投标人总得分由高至低推荐排前</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名的合格中标候选人【不排序，按统一社会信用代码后4位（除校验码外）大小排位】进入定标阶段，进入定标阶段不排序。</w:t>
            </w:r>
          </w:p>
        </w:tc>
      </w:tr>
      <w:tr w14:paraId="3EE2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7541E55">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065" w:type="pct"/>
            <w:vAlign w:val="center"/>
          </w:tcPr>
          <w:p w14:paraId="0034C86E">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3493" w:type="pct"/>
            <w:vAlign w:val="center"/>
          </w:tcPr>
          <w:p w14:paraId="12A2CEBC">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lang w:bidi="ar"/>
              </w:rPr>
              <w:t>广州交易集团有限公司（广州公共资源交易中心）网、广东省招标投标监管网、中国招标投标公共服务平台</w:t>
            </w:r>
          </w:p>
          <w:p w14:paraId="2B3E20E8">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日（不少于3日，最后一天应为工作日）</w:t>
            </w:r>
          </w:p>
        </w:tc>
      </w:tr>
      <w:tr w14:paraId="08458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restart"/>
            <w:vAlign w:val="center"/>
          </w:tcPr>
          <w:p w14:paraId="1197EFE4">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065" w:type="pct"/>
            <w:vAlign w:val="center"/>
          </w:tcPr>
          <w:p w14:paraId="68E332A8">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3493" w:type="pct"/>
            <w:vAlign w:val="center"/>
          </w:tcPr>
          <w:p w14:paraId="749A1A2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p w14:paraId="13D2652F">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评标委员会按照招标文件规定的评标程序对投标人进行评审。按投标人总得分由高至低推荐排前3名的合格中标候选人【不排序，按统一社会信用代码后4位（除校验码外）大小排位】进入定标阶段，进入定标阶段不排序。</w:t>
            </w:r>
          </w:p>
          <w:p w14:paraId="59415ABD">
            <w:pPr>
              <w:keepNext w:val="0"/>
              <w:keepLines w:val="0"/>
              <w:pageBreakBefore w:val="0"/>
              <w:kinsoku/>
              <w:wordWrap w:val="0"/>
              <w:overflowPunct/>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u w:val="single"/>
              </w:rPr>
              <w:t>总得分相同的投标文件，以技术文件部分得分较高的排前；总得分与技术文件部分得分均相同的投标文件，则按名次并列计算。若名次排列出现并列，则占用下一名次(如：第一名分数均相同的投标人有N个，则该N个投标人并列为第一名，下一名按第N+1名计算，依此类推）。如排名第3名的投标人有N个，则这N个投标人都推荐进入定标阶段。</w:t>
            </w:r>
          </w:p>
        </w:tc>
      </w:tr>
      <w:tr w14:paraId="0E61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continue"/>
            <w:vAlign w:val="center"/>
          </w:tcPr>
          <w:p w14:paraId="2B58ED94">
            <w:pPr>
              <w:keepNext w:val="0"/>
              <w:keepLines w:val="0"/>
              <w:pageBreakBefore w:val="0"/>
              <w:kinsoku/>
              <w:wordWrap w:val="0"/>
              <w:overflowPunct/>
              <w:autoSpaceDE w:val="0"/>
              <w:autoSpaceDN w:val="0"/>
              <w:bidi w:val="0"/>
              <w:adjustRightInd/>
              <w:snapToGrid/>
              <w:spacing w:line="360" w:lineRule="auto"/>
              <w:jc w:val="center"/>
              <w:textAlignment w:val="auto"/>
              <w:rPr>
                <w:rFonts w:hint="eastAsia" w:ascii="宋体" w:hAnsi="宋体" w:eastAsia="宋体" w:cs="宋体"/>
                <w:color w:val="auto"/>
                <w:kern w:val="0"/>
                <w:szCs w:val="21"/>
                <w:highlight w:val="none"/>
              </w:rPr>
            </w:pPr>
          </w:p>
        </w:tc>
        <w:tc>
          <w:tcPr>
            <w:tcW w:w="1065" w:type="pct"/>
            <w:vAlign w:val="center"/>
          </w:tcPr>
          <w:p w14:paraId="67C1A261">
            <w:pPr>
              <w:keepNext w:val="0"/>
              <w:keepLines w:val="0"/>
              <w:pageBreakBefore w:val="0"/>
              <w:kinsoku/>
              <w:wordWrap w:val="0"/>
              <w:overflowPunct/>
              <w:bidi w:val="0"/>
              <w:adjustRightInd/>
              <w:snapToGrid/>
              <w:spacing w:line="36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采用评定分离定标办法</w:t>
            </w:r>
          </w:p>
        </w:tc>
        <w:tc>
          <w:tcPr>
            <w:tcW w:w="3493" w:type="pct"/>
            <w:vAlign w:val="center"/>
          </w:tcPr>
          <w:p w14:paraId="46BE3C09">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评标办法：</w:t>
            </w:r>
            <w:r>
              <w:rPr>
                <w:rFonts w:hint="eastAsia" w:ascii="宋体" w:hAnsi="宋体" w:eastAsia="宋体" w:cs="宋体"/>
                <w:color w:val="auto"/>
                <w:szCs w:val="21"/>
                <w:highlight w:val="none"/>
                <w:u w:val="single"/>
                <w:lang w:val="en-US" w:eastAsia="zh-CN"/>
              </w:rPr>
              <w:t>定量评审（投标人总得分=商务文件部分（100分）×20%+技术文件部分（100分）×</w:t>
            </w:r>
            <w:r>
              <w:rPr>
                <w:rFonts w:hint="default"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lang w:val="en-US" w:eastAsia="zh-CN"/>
              </w:rPr>
              <w:t>0%+投标报价（100分）×10%</w:t>
            </w:r>
          </w:p>
          <w:p w14:paraId="7EC3B00C">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定标办法：采用评分法（方案因素+答辩因素</w:t>
            </w:r>
            <w:r>
              <w:rPr>
                <w:rFonts w:hint="eastAsia" w:ascii="宋体" w:hAnsi="宋体" w:eastAsia="宋体" w:cs="宋体"/>
                <w:color w:val="auto"/>
                <w:szCs w:val="21"/>
                <w:highlight w:val="none"/>
                <w:u w:val="single"/>
                <w:lang w:eastAsia="zh-CN"/>
              </w:rPr>
              <w:t>，总得分（100分）=方案因素（</w:t>
            </w:r>
            <w:r>
              <w:rPr>
                <w:rFonts w:hint="eastAsia" w:ascii="宋体" w:hAnsi="宋体" w:eastAsia="宋体" w:cs="宋体"/>
                <w:color w:val="auto"/>
                <w:szCs w:val="21"/>
                <w:highlight w:val="none"/>
                <w:u w:val="single"/>
                <w:lang w:val="en-US" w:eastAsia="zh-CN"/>
              </w:rPr>
              <w:t>60</w:t>
            </w:r>
            <w:r>
              <w:rPr>
                <w:rFonts w:hint="eastAsia" w:ascii="宋体" w:hAnsi="宋体" w:eastAsia="宋体" w:cs="宋体"/>
                <w:color w:val="auto"/>
                <w:szCs w:val="21"/>
                <w:highlight w:val="none"/>
                <w:u w:val="single"/>
                <w:lang w:eastAsia="zh-CN"/>
              </w:rPr>
              <w:t>分）+答辩因素（</w:t>
            </w:r>
            <w:r>
              <w:rPr>
                <w:rFonts w:hint="eastAsia" w:ascii="宋体" w:hAnsi="宋体" w:eastAsia="宋体" w:cs="宋体"/>
                <w:color w:val="auto"/>
                <w:szCs w:val="21"/>
                <w:highlight w:val="none"/>
                <w:u w:val="single"/>
                <w:lang w:val="en-US" w:eastAsia="zh-CN"/>
              </w:rPr>
              <w:t>40</w:t>
            </w:r>
            <w:r>
              <w:rPr>
                <w:rFonts w:hint="eastAsia" w:ascii="宋体" w:hAnsi="宋体" w:eastAsia="宋体" w:cs="宋体"/>
                <w:color w:val="auto"/>
                <w:szCs w:val="21"/>
                <w:highlight w:val="none"/>
                <w:u w:val="single"/>
                <w:lang w:eastAsia="zh-CN"/>
              </w:rPr>
              <w:t>分）</w:t>
            </w:r>
          </w:p>
          <w:p w14:paraId="436E3CC4">
            <w:pPr>
              <w:keepNext w:val="0"/>
              <w:keepLines w:val="0"/>
              <w:pageBreakBefore w:val="0"/>
              <w:kinsoku/>
              <w:wordWrap w:val="0"/>
              <w:overflowPunct/>
              <w:bidi w:val="0"/>
              <w:adjustRightInd/>
              <w:snapToGrid/>
              <w:spacing w:line="360" w:lineRule="auto"/>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具体要求详见第三章评标及定标办法</w:t>
            </w:r>
            <w:r>
              <w:rPr>
                <w:rFonts w:hint="eastAsia" w:ascii="宋体" w:hAnsi="宋体" w:eastAsia="宋体" w:cs="宋体"/>
                <w:color w:val="auto"/>
                <w:szCs w:val="21"/>
                <w:highlight w:val="none"/>
                <w:u w:val="single"/>
                <w:lang w:eastAsia="zh-CN"/>
              </w:rPr>
              <w:t>。</w:t>
            </w:r>
          </w:p>
        </w:tc>
      </w:tr>
      <w:tr w14:paraId="2ACEE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073A786">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w:t>
            </w:r>
          </w:p>
        </w:tc>
        <w:tc>
          <w:tcPr>
            <w:tcW w:w="1065" w:type="pct"/>
            <w:vAlign w:val="center"/>
          </w:tcPr>
          <w:p w14:paraId="55260CB6">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技术成果经济补偿</w:t>
            </w:r>
          </w:p>
        </w:tc>
        <w:tc>
          <w:tcPr>
            <w:tcW w:w="3493" w:type="pct"/>
            <w:vAlign w:val="center"/>
          </w:tcPr>
          <w:p w14:paraId="75865C63">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■不补偿</w:t>
            </w:r>
          </w:p>
          <w:p w14:paraId="7A2A48D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□补偿，补偿标准：</w:t>
            </w:r>
          </w:p>
        </w:tc>
      </w:tr>
      <w:tr w14:paraId="735C9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6E1CD73">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065" w:type="pct"/>
            <w:vAlign w:val="center"/>
          </w:tcPr>
          <w:p w14:paraId="0D57E64E">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3493" w:type="pct"/>
            <w:vAlign w:val="center"/>
          </w:tcPr>
          <w:p w14:paraId="7AC12D0C">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040C825B">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□要求，履约保证金的形式：</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w:t>
            </w:r>
          </w:p>
          <w:p w14:paraId="22985C73">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履约保证金的金额：</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w:t>
            </w:r>
          </w:p>
          <w:p w14:paraId="76B9EB93">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6AF20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9FCDE43">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65" w:type="pct"/>
            <w:vAlign w:val="center"/>
          </w:tcPr>
          <w:p w14:paraId="6D62CCA0">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3493" w:type="pct"/>
            <w:vAlign w:val="center"/>
          </w:tcPr>
          <w:p w14:paraId="24A3AAE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□否</w:t>
            </w:r>
          </w:p>
          <w:p w14:paraId="310E7C18">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tc>
      </w:tr>
      <w:tr w14:paraId="4BC7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65DFC64">
            <w:pPr>
              <w:keepNext w:val="0"/>
              <w:keepLines w:val="0"/>
              <w:pageBreakBefore w:val="0"/>
              <w:kinsoku/>
              <w:wordWrap w:val="0"/>
              <w:overflowPunct/>
              <w:autoSpaceDE w:val="0"/>
              <w:autoSpaceDN w:val="0"/>
              <w:bidi w:val="0"/>
              <w:adjustRightInd/>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u w:val="single"/>
                <w:lang w:val="en-US" w:eastAsia="zh-CN"/>
              </w:rPr>
              <w:t>11</w:t>
            </w:r>
          </w:p>
        </w:tc>
        <w:tc>
          <w:tcPr>
            <w:tcW w:w="4559" w:type="pct"/>
            <w:gridSpan w:val="2"/>
            <w:vAlign w:val="center"/>
          </w:tcPr>
          <w:p w14:paraId="3E1F87DD">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4B69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66F5ABA">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.1</w:t>
            </w:r>
          </w:p>
        </w:tc>
        <w:tc>
          <w:tcPr>
            <w:tcW w:w="1065" w:type="pct"/>
            <w:vAlign w:val="center"/>
          </w:tcPr>
          <w:p w14:paraId="64894DFB">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特别提示</w:t>
            </w:r>
          </w:p>
        </w:tc>
        <w:tc>
          <w:tcPr>
            <w:tcW w:w="3493" w:type="pct"/>
            <w:vAlign w:val="center"/>
          </w:tcPr>
          <w:p w14:paraId="256E09E5">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投标人在本项目招标人的工程项目中存在下列行为的，将被拒绝一年内参与我单位后续工程投标。（注：拒绝投标时限自招标人发出通知之日起计）：</w:t>
            </w:r>
          </w:p>
          <w:p w14:paraId="5310EB98">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1）将中标工程转包或者违法分包的；</w:t>
            </w:r>
          </w:p>
          <w:p w14:paraId="30958DD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2）在中标工程中不执行质量、安全生产相关规定的，造成质量或安全事故的；</w:t>
            </w:r>
          </w:p>
          <w:p w14:paraId="77198399">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3）出让投标资格的；</w:t>
            </w:r>
          </w:p>
          <w:p w14:paraId="3B435CC0">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4）存在围标或串标情形的；</w:t>
            </w:r>
          </w:p>
          <w:p w14:paraId="017B8CB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5）在投标文件中提供虚假材料的；</w:t>
            </w:r>
          </w:p>
          <w:p w14:paraId="28D9AB4C">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6）存在少放、不放业绩、奖项等客观评审资料，减少自身竞争力情形的；</w:t>
            </w:r>
          </w:p>
          <w:p w14:paraId="7C201A86">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7）存在行贿情形的；</w:t>
            </w:r>
          </w:p>
          <w:p w14:paraId="0E15AF10">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8）拖欠农民工工资的；</w:t>
            </w:r>
          </w:p>
          <w:p w14:paraId="4A9745C2">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9）未按照国家、省、市有关建筑施工实名制管理和工人工资支付分账管理的规定执行，被行政监管部门处罚的。</w:t>
            </w:r>
          </w:p>
        </w:tc>
      </w:tr>
      <w:tr w14:paraId="1C86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8120104">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.2</w:t>
            </w:r>
          </w:p>
        </w:tc>
        <w:tc>
          <w:tcPr>
            <w:tcW w:w="1065" w:type="pct"/>
            <w:vAlign w:val="center"/>
          </w:tcPr>
          <w:p w14:paraId="696626F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招标失败的情形</w:t>
            </w:r>
          </w:p>
        </w:tc>
        <w:tc>
          <w:tcPr>
            <w:tcW w:w="3493" w:type="pct"/>
            <w:vAlign w:val="center"/>
          </w:tcPr>
          <w:p w14:paraId="40BC9F3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参与投标的家数不足3家，或者评标时通过形式评审或资格评审或响应性评审的投标人家数不足3家时为招标失败。招标人分析招标失败原因，修正招标方案，按相关规定重新组织招标。</w:t>
            </w:r>
          </w:p>
        </w:tc>
      </w:tr>
      <w:tr w14:paraId="0B053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92E4A0E">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.3</w:t>
            </w:r>
          </w:p>
        </w:tc>
        <w:tc>
          <w:tcPr>
            <w:tcW w:w="1065" w:type="pct"/>
            <w:vAlign w:val="center"/>
          </w:tcPr>
          <w:p w14:paraId="1D370021">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3493" w:type="pct"/>
            <w:vAlign w:val="center"/>
          </w:tcPr>
          <w:p w14:paraId="5E9A7541">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1、招标公告、招标文件、答疑纪要等招标资料全部发布在广州交易集团有限公司（广州公共资源交易中心）网站，由投标人自行下载查阅。</w:t>
            </w:r>
          </w:p>
          <w:p w14:paraId="53CDCAC7">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2、投标截止时间、开标时间和地点：发布在广州交易集团有限公司（广州公共资源交易中心）网站（具体在网站主页“建设工程”中“项目查询”输入“项目名称”或“项目编号”进行查询）。</w:t>
            </w:r>
          </w:p>
          <w:p w14:paraId="2BADAF1F">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3、中标后，中标单位须提交与网上上传电子投标文件完全一致的纸质投标文件（一式四份，加盖公章）至招标人。</w:t>
            </w:r>
          </w:p>
        </w:tc>
      </w:tr>
      <w:tr w14:paraId="4EC80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CE10393">
            <w:pPr>
              <w:keepNext w:val="0"/>
              <w:keepLines w:val="0"/>
              <w:pageBreakBefore w:val="0"/>
              <w:kinsoku/>
              <w:wordWrap w:val="0"/>
              <w:overflowPunct/>
              <w:autoSpaceDE w:val="0"/>
              <w:autoSpaceDN w:val="0"/>
              <w:bidi w:val="0"/>
              <w:adjustRightInd/>
              <w:snapToGrid/>
              <w:spacing w:line="360" w:lineRule="auto"/>
              <w:jc w:val="center"/>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rPr>
              <w:t>4</w:t>
            </w:r>
          </w:p>
        </w:tc>
        <w:tc>
          <w:tcPr>
            <w:tcW w:w="1065" w:type="pct"/>
            <w:vAlign w:val="center"/>
          </w:tcPr>
          <w:p w14:paraId="34981CFA">
            <w:pPr>
              <w:keepNext w:val="0"/>
              <w:keepLines w:val="0"/>
              <w:pageBreakBefore w:val="0"/>
              <w:kinsoku/>
              <w:wordWrap w:val="0"/>
              <w:overflowPunct/>
              <w:bidi w:val="0"/>
              <w:adjustRightInd/>
              <w:snapToGrid/>
              <w:spacing w:line="360" w:lineRule="auto"/>
              <w:jc w:val="center"/>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其他费用</w:t>
            </w:r>
          </w:p>
        </w:tc>
        <w:tc>
          <w:tcPr>
            <w:tcW w:w="3493" w:type="pct"/>
            <w:vAlign w:val="center"/>
          </w:tcPr>
          <w:p w14:paraId="54554765">
            <w:pPr>
              <w:keepNext w:val="0"/>
              <w:keepLines w:val="0"/>
              <w:pageBreakBefore w:val="0"/>
              <w:kinsoku/>
              <w:wordWrap w:val="0"/>
              <w:overflowPunct/>
              <w:bidi w:val="0"/>
              <w:adjustRightInd/>
              <w:snapToGrid/>
              <w:spacing w:line="360" w:lineRule="auto"/>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交易服务费：</w:t>
            </w:r>
            <w:r>
              <w:rPr>
                <w:rFonts w:hint="eastAsia" w:ascii="宋体" w:hAnsi="宋体" w:eastAsia="宋体" w:cs="宋体"/>
                <w:color w:val="auto"/>
                <w:kern w:val="0"/>
                <w:szCs w:val="21"/>
                <w:highlight w:val="none"/>
                <w:u w:val="single"/>
              </w:rPr>
              <w:t>由中标单位支付。</w:t>
            </w:r>
          </w:p>
        </w:tc>
      </w:tr>
      <w:tr w14:paraId="0842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AE72173">
            <w:pPr>
              <w:wordWrap w:val="0"/>
              <w:snapToGrid w:val="0"/>
              <w:spacing w:line="276" w:lineRule="auto"/>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Times New Roman"/>
                <w:color w:val="auto"/>
                <w:szCs w:val="21"/>
                <w:highlight w:val="none"/>
              </w:rPr>
              <w:t>11.</w:t>
            </w:r>
            <w:r>
              <w:rPr>
                <w:rFonts w:hint="eastAsia" w:ascii="宋体" w:hAnsi="宋体" w:eastAsia="宋体" w:cs="Times New Roman"/>
                <w:color w:val="auto"/>
                <w:szCs w:val="21"/>
                <w:highlight w:val="none"/>
                <w:lang w:val="en-US" w:eastAsia="zh-CN"/>
              </w:rPr>
              <w:t>5</w:t>
            </w:r>
          </w:p>
        </w:tc>
        <w:tc>
          <w:tcPr>
            <w:tcW w:w="1065" w:type="pct"/>
            <w:vAlign w:val="center"/>
          </w:tcPr>
          <w:p w14:paraId="69279809">
            <w:pPr>
              <w:wordWrap w:val="0"/>
              <w:snapToGrid w:val="0"/>
              <w:spacing w:line="276" w:lineRule="auto"/>
              <w:jc w:val="center"/>
              <w:rPr>
                <w:rFonts w:hint="eastAsia" w:ascii="宋体" w:hAnsi="宋体" w:eastAsia="宋体" w:cs="宋体"/>
                <w:color w:val="auto"/>
                <w:szCs w:val="21"/>
                <w:highlight w:val="none"/>
                <w:u w:val="single"/>
              </w:rPr>
            </w:pPr>
            <w:r>
              <w:rPr>
                <w:rFonts w:hint="eastAsia" w:ascii="宋体" w:hAnsi="宋体" w:eastAsia="宋体" w:cs="Times New Roman"/>
                <w:color w:val="auto"/>
                <w:szCs w:val="21"/>
                <w:highlight w:val="none"/>
              </w:rPr>
              <w:t>投标报价得分评审优惠政策</w:t>
            </w:r>
          </w:p>
        </w:tc>
        <w:tc>
          <w:tcPr>
            <w:tcW w:w="3493" w:type="pct"/>
            <w:shd w:val="clear" w:color="auto" w:fill="auto"/>
            <w:vAlign w:val="center"/>
          </w:tcPr>
          <w:p w14:paraId="726F848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评审优惠政策（仅适用于招标人为国家机关、事业单位、团体组织，且使用财政性资金开展的依法必须招标项目）</w:t>
            </w:r>
          </w:p>
          <w:p w14:paraId="0F47F5D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color w:val="auto"/>
                <w:szCs w:val="21"/>
                <w:highlight w:val="none"/>
              </w:rPr>
              <w:t>■</w:t>
            </w:r>
            <w:r>
              <w:rPr>
                <w:rFonts w:hint="eastAsia" w:ascii="宋体" w:hAnsi="宋体" w:eastAsia="宋体" w:cs="宋体"/>
                <w:b w:val="0"/>
                <w:bCs w:val="0"/>
                <w:color w:val="auto"/>
                <w:sz w:val="21"/>
                <w:szCs w:val="21"/>
                <w:highlight w:val="none"/>
                <w:u w:val="single"/>
                <w:lang w:val="en-US"/>
              </w:rPr>
              <w:t>本招标项目执行</w:t>
            </w: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w:t>
            </w:r>
          </w:p>
          <w:p w14:paraId="20B07E0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rPr>
              <w:t>□本招标项目不执行</w:t>
            </w: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w:t>
            </w:r>
          </w:p>
          <w:p w14:paraId="3E0A07F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rPr>
              <w:t>注：</w:t>
            </w:r>
            <w:r>
              <w:rPr>
                <w:rFonts w:hint="eastAsia" w:ascii="宋体" w:hAnsi="宋体" w:eastAsia="宋体" w:cs="宋体"/>
                <w:b w:val="0"/>
                <w:bCs w:val="0"/>
                <w:color w:val="auto"/>
                <w:sz w:val="21"/>
                <w:szCs w:val="21"/>
                <w:highlight w:val="none"/>
                <w:u w:val="single"/>
                <w:lang w:val="en-US" w:eastAsia="zh-CN"/>
              </w:rPr>
              <w:t>（1）</w:t>
            </w:r>
            <w:r>
              <w:rPr>
                <w:rFonts w:hint="eastAsia" w:ascii="宋体" w:hAnsi="宋体" w:eastAsia="宋体" w:cs="宋体"/>
                <w:b w:val="0"/>
                <w:bCs w:val="0"/>
                <w:color w:val="auto"/>
                <w:sz w:val="21"/>
                <w:szCs w:val="21"/>
                <w:highlight w:val="none"/>
                <w:u w:val="single"/>
                <w:lang w:val="en-US"/>
              </w:rPr>
              <w:t>符合</w:t>
            </w: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评审优惠政策条件的，应当执行该政策；不符合</w:t>
            </w: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评审优惠政策条件的，不得执行该政策。</w:t>
            </w:r>
          </w:p>
          <w:p w14:paraId="4F8CB77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（2）</w:t>
            </w:r>
            <w:r>
              <w:rPr>
                <w:rFonts w:hint="eastAsia" w:ascii="宋体" w:hAnsi="宋体" w:eastAsia="宋体" w:cs="宋体"/>
                <w:b w:val="0"/>
                <w:bCs w:val="0"/>
                <w:color w:val="auto"/>
                <w:sz w:val="21"/>
                <w:szCs w:val="21"/>
                <w:highlight w:val="none"/>
                <w:u w:val="single"/>
                <w:lang w:val="en-US"/>
              </w:rPr>
              <w:t>财政性资金是指纳入预算管理的资金，以财政性资金作为还款来源的借贷资金，视同财政性资金。</w:t>
            </w:r>
          </w:p>
          <w:p w14:paraId="343ED99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（3）</w:t>
            </w:r>
            <w:r>
              <w:rPr>
                <w:rFonts w:hint="eastAsia" w:ascii="宋体" w:hAnsi="宋体" w:eastAsia="宋体" w:cs="宋体"/>
                <w:b w:val="0"/>
                <w:bCs w:val="0"/>
                <w:strike w:val="0"/>
                <w:color w:val="auto"/>
                <w:sz w:val="21"/>
                <w:szCs w:val="21"/>
                <w:highlight w:val="none"/>
                <w:u w:val="single"/>
                <w:lang w:val="en-US" w:eastAsia="zh-CN"/>
              </w:rPr>
              <w:t>☑</w:t>
            </w:r>
            <w:r>
              <w:rPr>
                <w:rFonts w:hint="eastAsia" w:ascii="宋体" w:hAnsi="宋体" w:eastAsia="宋体" w:cs="宋体"/>
                <w:b w:val="0"/>
                <w:bCs w:val="0"/>
                <w:strike w:val="0"/>
                <w:color w:val="auto"/>
                <w:sz w:val="21"/>
                <w:szCs w:val="21"/>
                <w:highlight w:val="none"/>
                <w:u w:val="single"/>
                <w:lang w:val="en-US"/>
              </w:rPr>
              <w:t>若本招标项目执行</w:t>
            </w:r>
            <w:r>
              <w:rPr>
                <w:rFonts w:hint="eastAsia" w:ascii="宋体" w:hAnsi="宋体" w:eastAsia="宋体" w:cs="宋体"/>
                <w:b w:val="0"/>
                <w:bCs w:val="0"/>
                <w:strike w:val="0"/>
                <w:color w:val="auto"/>
                <w:sz w:val="21"/>
                <w:szCs w:val="21"/>
                <w:highlight w:val="none"/>
                <w:u w:val="single"/>
                <w:lang w:val="en-US" w:eastAsia="zh-CN"/>
              </w:rPr>
              <w:t>投标报价</w:t>
            </w:r>
            <w:r>
              <w:rPr>
                <w:rFonts w:hint="eastAsia" w:ascii="宋体" w:hAnsi="宋体" w:eastAsia="宋体" w:cs="宋体"/>
                <w:b w:val="0"/>
                <w:bCs w:val="0"/>
                <w:strike w:val="0"/>
                <w:color w:val="auto"/>
                <w:sz w:val="21"/>
                <w:szCs w:val="21"/>
                <w:highlight w:val="none"/>
                <w:u w:val="single"/>
                <w:lang w:val="en-US"/>
              </w:rPr>
              <w:t>评审优惠政策，当投标人为大中型企业与小微企业组成联合体，联合协议约定小微企业的合同份额占到合同总金额30%以上，应附联合协议书</w:t>
            </w:r>
            <w:r>
              <w:rPr>
                <w:rFonts w:hint="eastAsia" w:ascii="宋体" w:hAnsi="宋体" w:eastAsia="宋体" w:cs="宋体"/>
                <w:b w:val="0"/>
                <w:bCs w:val="0"/>
                <w:strike w:val="0"/>
                <w:color w:val="auto"/>
                <w:sz w:val="21"/>
                <w:szCs w:val="21"/>
                <w:highlight w:val="none"/>
                <w:u w:val="single"/>
                <w:lang w:val="en-US" w:eastAsia="zh-CN"/>
              </w:rPr>
              <w:t>（格式详见招标公告）</w:t>
            </w:r>
            <w:r>
              <w:rPr>
                <w:rFonts w:hint="eastAsia" w:ascii="宋体" w:hAnsi="宋体" w:eastAsia="宋体" w:cs="宋体"/>
                <w:b w:val="0"/>
                <w:bCs w:val="0"/>
                <w:strike w:val="0"/>
                <w:color w:val="auto"/>
                <w:sz w:val="21"/>
                <w:szCs w:val="21"/>
                <w:highlight w:val="none"/>
                <w:u w:val="single"/>
                <w:lang w:val="en-US"/>
              </w:rPr>
              <w:t>对该内容进行明确。</w:t>
            </w:r>
          </w:p>
          <w:p w14:paraId="2104BC2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strike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lang w:val="en-US" w:eastAsia="zh-CN"/>
              </w:rPr>
              <w:t>若</w:t>
            </w:r>
            <w:r>
              <w:rPr>
                <w:rFonts w:hint="eastAsia" w:ascii="宋体" w:hAnsi="宋体" w:eastAsia="宋体" w:cs="宋体"/>
                <w:b w:val="0"/>
                <w:bCs w:val="0"/>
                <w:color w:val="auto"/>
                <w:sz w:val="21"/>
                <w:szCs w:val="21"/>
                <w:highlight w:val="none"/>
                <w:u w:val="single"/>
                <w:lang w:val="en-US"/>
              </w:rPr>
              <w:t>本招标项目执行</w:t>
            </w: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w:t>
            </w:r>
            <w:r>
              <w:rPr>
                <w:rFonts w:hint="eastAsia" w:ascii="宋体" w:hAnsi="宋体" w:eastAsia="宋体" w:cs="宋体"/>
                <w:b w:val="0"/>
                <w:bCs w:val="0"/>
                <w:color w:val="auto"/>
                <w:sz w:val="21"/>
                <w:szCs w:val="21"/>
                <w:highlight w:val="none"/>
                <w:u w:val="single"/>
                <w:lang w:val="en-US" w:eastAsia="zh-CN"/>
              </w:rPr>
              <w:t>当</w:t>
            </w:r>
            <w:r>
              <w:rPr>
                <w:rFonts w:hint="eastAsia" w:ascii="宋体" w:hAnsi="宋体" w:eastAsia="宋体" w:cs="宋体"/>
                <w:b w:val="0"/>
                <w:bCs w:val="0"/>
                <w:color w:val="auto"/>
                <w:sz w:val="21"/>
                <w:szCs w:val="21"/>
                <w:highlight w:val="none"/>
                <w:u w:val="single"/>
                <w:lang w:val="en-US"/>
              </w:rPr>
              <w:t>允许大中型企业向一家或者多家小微企业分包，且分包承诺小微企业的合同份额占到合同总金额30%以上的，应附分包意向协议（格式详见第</w:t>
            </w:r>
            <w:r>
              <w:rPr>
                <w:rFonts w:hint="eastAsia" w:ascii="宋体" w:hAnsi="宋体" w:eastAsia="宋体" w:cs="宋体"/>
                <w:b w:val="0"/>
                <w:bCs w:val="0"/>
                <w:color w:val="auto"/>
                <w:sz w:val="21"/>
                <w:szCs w:val="21"/>
                <w:highlight w:val="none"/>
                <w:u w:val="single"/>
                <w:lang w:val="en-US" w:eastAsia="zh-CN"/>
              </w:rPr>
              <w:t>六</w:t>
            </w:r>
            <w:r>
              <w:rPr>
                <w:rFonts w:hint="eastAsia" w:ascii="宋体" w:hAnsi="宋体" w:eastAsia="宋体" w:cs="宋体"/>
                <w:b w:val="0"/>
                <w:bCs w:val="0"/>
                <w:color w:val="auto"/>
                <w:sz w:val="21"/>
                <w:szCs w:val="21"/>
                <w:highlight w:val="none"/>
                <w:u w:val="single"/>
                <w:lang w:val="en-US"/>
              </w:rPr>
              <w:t>章投标文件格式）对该内容进行明确。</w:t>
            </w:r>
          </w:p>
          <w:p w14:paraId="58C58CE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1、根据《广东省政府采购促进中小企业发展实施细则（试行）》（粤财采购〔2022〕10号）要求，对符合《政府采购促进中小企业发展管理办法》（财库〔2020〕46号）的投标人，给予相应的价格评审优惠。</w:t>
            </w:r>
          </w:p>
          <w:p w14:paraId="275ECD7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left"/>
              <w:textAlignment w:val="auto"/>
              <w:rPr>
                <w:rFonts w:hint="eastAsia" w:ascii="宋体" w:hAnsi="宋体" w:eastAsia="宋体" w:cs="宋体"/>
                <w:b w:val="0"/>
                <w:bCs w:val="0"/>
                <w:color w:val="auto"/>
                <w:sz w:val="21"/>
                <w:szCs w:val="21"/>
                <w:highlight w:val="none"/>
                <w:u w:val="single"/>
                <w:lang w:val="zh-CN" w:eastAsia="zh-CN"/>
              </w:rPr>
            </w:pPr>
            <w:r>
              <w:rPr>
                <w:rFonts w:hint="eastAsia" w:ascii="宋体" w:hAnsi="宋体" w:eastAsia="宋体" w:cs="宋体"/>
                <w:b w:val="0"/>
                <w:bCs w:val="0"/>
                <w:color w:val="auto"/>
                <w:kern w:val="2"/>
                <w:sz w:val="21"/>
                <w:szCs w:val="21"/>
                <w:highlight w:val="none"/>
                <w:u w:val="single"/>
                <w:lang w:val="en-US" w:eastAsia="zh-CN" w:bidi="ar-SA"/>
              </w:rPr>
              <w:t>2、本招标项目评标计算价格分</w:t>
            </w:r>
            <w:r>
              <w:rPr>
                <w:rFonts w:hint="eastAsia" w:ascii="宋体" w:hAnsi="宋体" w:eastAsia="宋体" w:cs="宋体"/>
                <w:b w:val="0"/>
                <w:bCs w:val="0"/>
                <w:color w:val="auto"/>
                <w:sz w:val="21"/>
                <w:szCs w:val="21"/>
                <w:highlight w:val="none"/>
                <w:u w:val="single"/>
                <w:lang w:val="zh-CN" w:eastAsia="zh-CN"/>
              </w:rPr>
              <w:t>（</w:t>
            </w:r>
            <w:r>
              <w:rPr>
                <w:rFonts w:hint="eastAsia" w:ascii="宋体" w:hAnsi="宋体" w:eastAsia="宋体" w:cs="宋体"/>
                <w:b w:val="0"/>
                <w:bCs w:val="0"/>
                <w:color w:val="auto"/>
                <w:sz w:val="21"/>
                <w:szCs w:val="21"/>
                <w:highlight w:val="none"/>
                <w:u w:val="single"/>
                <w:lang w:val="en-US" w:eastAsia="zh-CN"/>
              </w:rPr>
              <w:t>投标报价得</w:t>
            </w:r>
            <w:r>
              <w:rPr>
                <w:rFonts w:hint="eastAsia" w:ascii="宋体" w:hAnsi="宋体" w:eastAsia="宋体" w:cs="宋体"/>
                <w:b w:val="0"/>
                <w:bCs w:val="0"/>
                <w:color w:val="auto"/>
                <w:sz w:val="21"/>
                <w:szCs w:val="21"/>
                <w:highlight w:val="none"/>
                <w:u w:val="single"/>
                <w:lang w:val="zh-CN" w:eastAsia="zh-CN"/>
              </w:rPr>
              <w:t>分）</w:t>
            </w:r>
            <w:r>
              <w:rPr>
                <w:rFonts w:hint="eastAsia" w:ascii="宋体" w:hAnsi="宋体" w:eastAsia="宋体" w:cs="宋体"/>
                <w:b w:val="0"/>
                <w:bCs w:val="0"/>
                <w:color w:val="auto"/>
                <w:kern w:val="2"/>
                <w:sz w:val="21"/>
                <w:szCs w:val="21"/>
                <w:highlight w:val="none"/>
                <w:u w:val="single"/>
                <w:lang w:val="en-US" w:eastAsia="zh-CN" w:bidi="ar-SA"/>
              </w:rPr>
              <w:t>时，对承担勘察设计任务的单位为小微企业投标的，在采用原报价进行评分的基础上增加其价格得分的5%作为其价格分</w:t>
            </w:r>
            <w:r>
              <w:rPr>
                <w:rFonts w:hint="eastAsia" w:ascii="宋体" w:hAnsi="宋体" w:eastAsia="宋体" w:cs="宋体"/>
                <w:b w:val="0"/>
                <w:bCs w:val="0"/>
                <w:color w:val="auto"/>
                <w:sz w:val="21"/>
                <w:szCs w:val="21"/>
                <w:highlight w:val="none"/>
                <w:u w:val="single"/>
                <w:lang w:val="zh-CN" w:eastAsia="zh-CN"/>
              </w:rPr>
              <w:t>（</w:t>
            </w:r>
            <w:r>
              <w:rPr>
                <w:rFonts w:hint="eastAsia" w:ascii="宋体" w:hAnsi="宋体" w:eastAsia="宋体" w:cs="宋体"/>
                <w:b w:val="0"/>
                <w:bCs w:val="0"/>
                <w:color w:val="auto"/>
                <w:sz w:val="21"/>
                <w:szCs w:val="21"/>
                <w:highlight w:val="none"/>
                <w:u w:val="single"/>
                <w:lang w:val="en-US" w:eastAsia="zh-CN"/>
              </w:rPr>
              <w:t>投标报价得</w:t>
            </w:r>
            <w:r>
              <w:rPr>
                <w:rFonts w:hint="eastAsia" w:ascii="宋体" w:hAnsi="宋体" w:eastAsia="宋体" w:cs="宋体"/>
                <w:b w:val="0"/>
                <w:bCs w:val="0"/>
                <w:color w:val="auto"/>
                <w:sz w:val="21"/>
                <w:szCs w:val="21"/>
                <w:highlight w:val="none"/>
                <w:u w:val="single"/>
                <w:lang w:val="zh-CN" w:eastAsia="zh-CN"/>
              </w:rPr>
              <w:t>分）</w:t>
            </w:r>
            <w:r>
              <w:rPr>
                <w:rFonts w:hint="eastAsia" w:ascii="宋体" w:hAnsi="宋体" w:eastAsia="宋体" w:cs="宋体"/>
                <w:b w:val="0"/>
                <w:bCs w:val="0"/>
                <w:color w:val="auto"/>
                <w:kern w:val="2"/>
                <w:sz w:val="21"/>
                <w:szCs w:val="21"/>
                <w:highlight w:val="none"/>
                <w:u w:val="single"/>
                <w:lang w:val="en-US" w:eastAsia="zh-CN" w:bidi="ar-SA"/>
              </w:rPr>
              <w:t>；</w:t>
            </w:r>
            <w:r>
              <w:rPr>
                <w:rFonts w:hint="eastAsia" w:ascii="宋体" w:hAnsi="宋体" w:eastAsia="宋体" w:cs="宋体"/>
                <w:b w:val="0"/>
                <w:bCs w:val="0"/>
                <w:strike w:val="0"/>
                <w:color w:val="auto"/>
                <w:kern w:val="2"/>
                <w:sz w:val="21"/>
                <w:szCs w:val="21"/>
                <w:highlight w:val="none"/>
                <w:u w:val="single"/>
                <w:lang w:val="en-US" w:eastAsia="zh-CN" w:bidi="ar-SA"/>
              </w:rPr>
              <w:t>对承担</w:t>
            </w:r>
            <w:r>
              <w:rPr>
                <w:rFonts w:hint="eastAsia" w:ascii="宋体" w:hAnsi="宋体" w:eastAsia="宋体" w:cs="宋体"/>
                <w:b w:val="0"/>
                <w:bCs w:val="0"/>
                <w:color w:val="auto"/>
                <w:kern w:val="2"/>
                <w:sz w:val="21"/>
                <w:szCs w:val="21"/>
                <w:highlight w:val="none"/>
                <w:u w:val="single"/>
                <w:lang w:val="en-US" w:eastAsia="zh-CN" w:bidi="ar-SA"/>
              </w:rPr>
              <w:t>勘察设计</w:t>
            </w:r>
            <w:r>
              <w:rPr>
                <w:rFonts w:hint="eastAsia" w:ascii="宋体" w:hAnsi="宋体" w:eastAsia="宋体" w:cs="宋体"/>
                <w:b w:val="0"/>
                <w:bCs w:val="0"/>
                <w:strike w:val="0"/>
                <w:color w:val="auto"/>
                <w:kern w:val="2"/>
                <w:sz w:val="21"/>
                <w:szCs w:val="21"/>
                <w:highlight w:val="none"/>
                <w:u w:val="single"/>
                <w:lang w:val="en-US" w:eastAsia="zh-CN" w:bidi="ar-SA"/>
              </w:rPr>
              <w:t>任务的单位为大中型企业与小微企业组成联合体或者</w:t>
            </w:r>
            <w:r>
              <w:rPr>
                <w:rFonts w:hint="eastAsia" w:ascii="宋体" w:hAnsi="宋体" w:eastAsia="宋体" w:cs="宋体"/>
                <w:b w:val="0"/>
                <w:bCs w:val="0"/>
                <w:color w:val="auto"/>
                <w:kern w:val="2"/>
                <w:sz w:val="21"/>
                <w:szCs w:val="21"/>
                <w:highlight w:val="none"/>
                <w:u w:val="single"/>
                <w:lang w:val="en-US" w:eastAsia="zh-CN" w:bidi="ar-SA"/>
              </w:rPr>
              <w:t>允许大中型企业向一家或者多家小微企业分包（联合协议或者分包意向协议约定小微企业的合同份额占到合同总金额30%以上）的，在采用原报价进行评分的基础上增加其价格得分的2%作为其价格分</w:t>
            </w:r>
            <w:r>
              <w:rPr>
                <w:rFonts w:hint="eastAsia" w:ascii="宋体" w:hAnsi="宋体" w:eastAsia="宋体" w:cs="宋体"/>
                <w:b w:val="0"/>
                <w:bCs w:val="0"/>
                <w:color w:val="auto"/>
                <w:sz w:val="21"/>
                <w:szCs w:val="21"/>
                <w:highlight w:val="none"/>
                <w:u w:val="single"/>
                <w:lang w:val="zh-CN" w:eastAsia="zh-CN"/>
              </w:rPr>
              <w:t>（</w:t>
            </w:r>
            <w:r>
              <w:rPr>
                <w:rFonts w:hint="eastAsia" w:ascii="宋体" w:hAnsi="宋体" w:eastAsia="宋体" w:cs="宋体"/>
                <w:b w:val="0"/>
                <w:bCs w:val="0"/>
                <w:color w:val="auto"/>
                <w:sz w:val="21"/>
                <w:szCs w:val="21"/>
                <w:highlight w:val="none"/>
                <w:u w:val="single"/>
                <w:lang w:val="en-US" w:eastAsia="zh-CN"/>
              </w:rPr>
              <w:t>投标报价得</w:t>
            </w:r>
            <w:r>
              <w:rPr>
                <w:rFonts w:hint="eastAsia" w:ascii="宋体" w:hAnsi="宋体" w:eastAsia="宋体" w:cs="宋体"/>
                <w:b w:val="0"/>
                <w:bCs w:val="0"/>
                <w:color w:val="auto"/>
                <w:sz w:val="21"/>
                <w:szCs w:val="21"/>
                <w:highlight w:val="none"/>
                <w:u w:val="single"/>
                <w:lang w:val="zh-CN" w:eastAsia="zh-CN"/>
              </w:rPr>
              <w:t>分）</w:t>
            </w:r>
            <w:r>
              <w:rPr>
                <w:rFonts w:hint="eastAsia" w:ascii="宋体" w:hAnsi="宋体" w:eastAsia="宋体" w:cs="宋体"/>
                <w:b w:val="0"/>
                <w:bCs w:val="0"/>
                <w:color w:val="auto"/>
                <w:kern w:val="2"/>
                <w:sz w:val="21"/>
                <w:szCs w:val="21"/>
                <w:highlight w:val="none"/>
                <w:u w:val="single"/>
                <w:lang w:val="en-US" w:eastAsia="zh-CN" w:bidi="ar-SA"/>
              </w:rPr>
              <w:t>。</w:t>
            </w:r>
            <w:r>
              <w:rPr>
                <w:rFonts w:hint="eastAsia" w:ascii="宋体" w:hAnsi="宋体" w:eastAsia="宋体" w:cs="宋体"/>
                <w:b w:val="0"/>
                <w:bCs w:val="0"/>
                <w:color w:val="auto"/>
                <w:sz w:val="21"/>
                <w:szCs w:val="21"/>
                <w:highlight w:val="none"/>
                <w:u w:val="single"/>
                <w:lang w:val="zh-CN" w:eastAsia="zh-CN"/>
              </w:rPr>
              <w:t>若原报价已满分，仍可突破满分上限继续享受加分优惠，以实际计算结果作为最终价格分（</w:t>
            </w:r>
            <w:r>
              <w:rPr>
                <w:rFonts w:hint="eastAsia" w:ascii="宋体" w:hAnsi="宋体" w:eastAsia="宋体" w:cs="宋体"/>
                <w:b w:val="0"/>
                <w:bCs w:val="0"/>
                <w:color w:val="auto"/>
                <w:sz w:val="21"/>
                <w:szCs w:val="21"/>
                <w:highlight w:val="none"/>
                <w:u w:val="single"/>
                <w:lang w:val="en-US" w:eastAsia="zh-CN"/>
              </w:rPr>
              <w:t>投标报价得</w:t>
            </w:r>
            <w:r>
              <w:rPr>
                <w:rFonts w:hint="eastAsia" w:ascii="宋体" w:hAnsi="宋体" w:eastAsia="宋体" w:cs="宋体"/>
                <w:b w:val="0"/>
                <w:bCs w:val="0"/>
                <w:color w:val="auto"/>
                <w:sz w:val="21"/>
                <w:szCs w:val="21"/>
                <w:highlight w:val="none"/>
                <w:u w:val="single"/>
                <w:lang w:val="zh-CN" w:eastAsia="zh-CN"/>
              </w:rPr>
              <w:t>分）。</w:t>
            </w:r>
          </w:p>
          <w:p w14:paraId="22E8B76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left"/>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sz w:val="21"/>
                <w:szCs w:val="21"/>
                <w:highlight w:val="none"/>
                <w:u w:val="single"/>
                <w:lang w:val="zh-CN" w:eastAsia="zh-CN"/>
              </w:rPr>
              <w:t>【</w:t>
            </w:r>
            <w:r>
              <w:rPr>
                <w:rFonts w:hint="eastAsia" w:ascii="宋体" w:hAnsi="宋体" w:eastAsia="宋体" w:cs="宋体"/>
                <w:b w:val="0"/>
                <w:bCs w:val="0"/>
                <w:color w:val="auto"/>
                <w:sz w:val="21"/>
                <w:szCs w:val="21"/>
                <w:highlight w:val="none"/>
                <w:u w:val="single"/>
                <w:lang w:val="en-US" w:eastAsia="zh-CN"/>
              </w:rPr>
              <w:t>特别说明：</w:t>
            </w:r>
            <w:r>
              <w:rPr>
                <w:rFonts w:hint="eastAsia" w:ascii="宋体" w:hAnsi="宋体" w:eastAsia="宋体" w:cs="宋体"/>
                <w:b w:val="0"/>
                <w:bCs w:val="0"/>
                <w:color w:val="auto"/>
                <w:kern w:val="2"/>
                <w:sz w:val="21"/>
                <w:szCs w:val="21"/>
                <w:highlight w:val="none"/>
                <w:u w:val="single"/>
                <w:lang w:val="en-US" w:eastAsia="zh-CN" w:bidi="ar-SA"/>
              </w:rPr>
              <w:t>允许大中型企业向一家或者多家小微企业分包的，不得违反《中华人民共和国建筑法》、《建设工程质量管理条例》、《住房和城乡建设部关于印发建筑工程施工发包与承包违法行为认定查处管理办法的通知》等法律法规关于违法分包和转包的有关管理规定</w:t>
            </w:r>
            <w:r>
              <w:rPr>
                <w:rFonts w:hint="eastAsia" w:ascii="宋体" w:hAnsi="宋体" w:eastAsia="宋体" w:cs="宋体"/>
                <w:b w:val="0"/>
                <w:bCs w:val="0"/>
                <w:color w:val="auto"/>
                <w:sz w:val="21"/>
                <w:szCs w:val="21"/>
                <w:highlight w:val="none"/>
                <w:u w:val="single"/>
                <w:lang w:val="zh-CN" w:eastAsia="zh-CN"/>
              </w:rPr>
              <w:t>】</w:t>
            </w:r>
          </w:p>
          <w:p w14:paraId="13A0B27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3、投标人应按《政府采购促进中小企业发展管理办法》（财库〔2020〕46号）规定出具《中小企业声明函》、《分包意向协议》（格式详见第六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FCEE30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u w:val="single"/>
                <w:lang w:val="en-US" w:eastAsia="zh-CN" w:bidi="ar-SA"/>
              </w:rPr>
              <w:t>4、小微企业划分标准按照《工业和信息化部 国家统计局国家发展和改革委员会财政部关于印发中小企业划型标准规定的通知》(工信部联企业(2011)300号)执行。</w:t>
            </w:r>
            <w:r>
              <w:rPr>
                <w:rFonts w:hint="eastAsia" w:ascii="宋体" w:hAnsi="宋体" w:eastAsia="宋体" w:cs="宋体"/>
                <w:b/>
                <w:bCs/>
                <w:color w:val="auto"/>
                <w:kern w:val="2"/>
                <w:sz w:val="21"/>
                <w:szCs w:val="21"/>
                <w:highlight w:val="none"/>
                <w:u w:val="single"/>
                <w:lang w:val="en-US" w:eastAsia="zh-CN" w:bidi="ar-SA"/>
              </w:rPr>
              <w:t>本招标项目属于其他未列明行业。</w:t>
            </w:r>
            <w:r>
              <w:rPr>
                <w:rFonts w:hint="eastAsia" w:ascii="宋体" w:hAnsi="宋体" w:eastAsia="宋体" w:cs="宋体"/>
                <w:b w:val="0"/>
                <w:bCs w:val="0"/>
                <w:color w:val="auto"/>
                <w:kern w:val="2"/>
                <w:sz w:val="21"/>
                <w:szCs w:val="21"/>
                <w:highlight w:val="none"/>
                <w:u w:val="single"/>
                <w:lang w:val="en-US" w:eastAsia="zh-CN" w:bidi="ar-SA"/>
              </w:rPr>
              <w:t>从业人员300人以下的为中小微型企业。其中，从业人员100人及以上的为中型企业；从业人员10人及以上的为小型企业；从业人员10人以下的为微型企业。</w:t>
            </w:r>
          </w:p>
          <w:p w14:paraId="67BCDA2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strike/>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p>
          <w:p w14:paraId="7D65E0DA">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（2）组成联合体或者接受分包合同的小微企业与联合体内其他企业、分包企业之间存在直接控股、管理关系的，不享受价格评分优惠。</w:t>
            </w:r>
          </w:p>
          <w:p w14:paraId="3192227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14:paraId="02CF1B5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sz w:val="21"/>
                <w:szCs w:val="21"/>
                <w:highlight w:val="none"/>
                <w:u w:val="single"/>
                <w:lang w:val="zh-CN" w:eastAsia="zh-CN"/>
              </w:rPr>
              <w:t>（</w:t>
            </w:r>
            <w:r>
              <w:rPr>
                <w:rFonts w:hint="eastAsia" w:ascii="宋体" w:hAnsi="宋体" w:eastAsia="宋体" w:cs="宋体"/>
                <w:b w:val="0"/>
                <w:bCs w:val="0"/>
                <w:color w:val="auto"/>
                <w:sz w:val="21"/>
                <w:szCs w:val="21"/>
                <w:highlight w:val="none"/>
                <w:u w:val="single"/>
                <w:lang w:val="en-US" w:eastAsia="zh-CN"/>
              </w:rPr>
              <w:t>4</w:t>
            </w:r>
            <w:r>
              <w:rPr>
                <w:rFonts w:hint="eastAsia" w:ascii="宋体" w:hAnsi="宋体" w:eastAsia="宋体" w:cs="宋体"/>
                <w:b w:val="0"/>
                <w:bCs w:val="0"/>
                <w:color w:val="auto"/>
                <w:sz w:val="21"/>
                <w:szCs w:val="21"/>
                <w:highlight w:val="none"/>
                <w:u w:val="single"/>
                <w:lang w:val="zh-CN" w:eastAsia="zh-CN"/>
              </w:rPr>
              <w:t>）规定享受扶持政策获得</w:t>
            </w:r>
            <w:r>
              <w:rPr>
                <w:rFonts w:hint="eastAsia" w:ascii="宋体" w:hAnsi="宋体" w:eastAsia="宋体" w:cs="宋体"/>
                <w:b w:val="0"/>
                <w:bCs w:val="0"/>
                <w:color w:val="auto"/>
                <w:sz w:val="21"/>
                <w:szCs w:val="21"/>
                <w:highlight w:val="none"/>
                <w:u w:val="single"/>
                <w:lang w:val="en-US" w:eastAsia="zh-CN"/>
              </w:rPr>
              <w:t>承包</w:t>
            </w:r>
            <w:r>
              <w:rPr>
                <w:rFonts w:hint="eastAsia" w:ascii="宋体" w:hAnsi="宋体" w:eastAsia="宋体" w:cs="宋体"/>
                <w:b w:val="0"/>
                <w:bCs w:val="0"/>
                <w:color w:val="auto"/>
                <w:sz w:val="21"/>
                <w:szCs w:val="21"/>
                <w:highlight w:val="none"/>
                <w:u w:val="single"/>
                <w:lang w:val="zh-CN" w:eastAsia="zh-CN"/>
              </w:rPr>
              <w:t>合同的，小微企业不得将合同分包给大中型企业，中型企业不得将合同分包给大型企业。</w:t>
            </w:r>
          </w:p>
          <w:p w14:paraId="68B6468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14:paraId="24ABD971">
      <w:pPr>
        <w:wordWrap w:val="0"/>
        <w:ind w:left="420" w:leftChars="200"/>
        <w:rPr>
          <w:rFonts w:ascii="宋体" w:hAnsi="宋体" w:eastAsia="宋体" w:cs="宋体"/>
          <w:color w:val="auto"/>
          <w:szCs w:val="24"/>
          <w:highlight w:val="none"/>
        </w:rPr>
      </w:pPr>
    </w:p>
    <w:p w14:paraId="73ABCEFB">
      <w:pPr>
        <w:widowControl/>
        <w:jc w:val="left"/>
        <w:rPr>
          <w:rFonts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0AE5F81D">
      <w:pPr>
        <w:pStyle w:val="3"/>
        <w:rPr>
          <w:color w:val="auto"/>
          <w:highlight w:val="none"/>
        </w:rPr>
      </w:pPr>
      <w:r>
        <w:rPr>
          <w:color w:val="auto"/>
          <w:highlight w:val="none"/>
        </w:rPr>
        <w:t>投标须知修改表</w:t>
      </w:r>
    </w:p>
    <w:p w14:paraId="58CB78DC">
      <w:pPr>
        <w:pStyle w:val="43"/>
        <w:pBdr>
          <w:bottom w:val="single" w:color="auto" w:sz="6" w:space="1"/>
        </w:pBdr>
        <w:spacing w:after="0" w:line="360" w:lineRule="auto"/>
        <w:ind w:firstLine="0" w:firstLineChars="0"/>
        <w:rPr>
          <w:rFonts w:ascii="宋体" w:hAnsi="宋体"/>
          <w:bCs/>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招标文件范本的投标须知通用条款，与该通用条款不同之处，均在本表中列明，并以现文为准，原文不再有效。</w:t>
      </w:r>
      <w:r>
        <w:rPr>
          <w:rFonts w:hint="eastAsia" w:ascii="宋体" w:hAnsi="宋体"/>
          <w:bCs/>
          <w:color w:val="auto"/>
          <w:sz w:val="24"/>
          <w:szCs w:val="24"/>
          <w:highlight w:val="none"/>
        </w:rPr>
        <w:t>（注：招标人按《投标须知修改表》修改的内容对应修改通用条款，属于删除的采用“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3755CBD9">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1.4.1（3）</w:t>
      </w:r>
      <w:r>
        <w:rPr>
          <w:rFonts w:ascii="宋体" w:hAnsi="宋体" w:eastAsia="宋体"/>
          <w:b/>
          <w:bCs/>
          <w:color w:val="auto"/>
          <w:sz w:val="24"/>
          <w:szCs w:val="24"/>
          <w:highlight w:val="none"/>
        </w:rPr>
        <w:t xml:space="preserve">         修改类型：修改</w:t>
      </w:r>
    </w:p>
    <w:p w14:paraId="12CFD1D7">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（3）项目负责人的资格要求：应当具备工程设计类注册执业资格（如有），具体要求见投标人须知前附表；</w:t>
      </w:r>
    </w:p>
    <w:p w14:paraId="05878943">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spacing w:val="-2"/>
          <w:kern w:val="0"/>
          <w:sz w:val="24"/>
          <w:szCs w:val="24"/>
          <w:highlight w:val="none"/>
        </w:rPr>
        <w:t>（3）项目负责人的资格要求：</w:t>
      </w:r>
      <w:r>
        <w:rPr>
          <w:rFonts w:hint="eastAsia" w:ascii="宋体" w:hAnsi="宋体" w:eastAsia="宋体" w:cs="宋体"/>
          <w:strike/>
          <w:color w:val="auto"/>
          <w:spacing w:val="-2"/>
          <w:kern w:val="0"/>
          <w:sz w:val="24"/>
          <w:szCs w:val="24"/>
          <w:highlight w:val="none"/>
        </w:rPr>
        <w:t>应当具备工程设计类注册执业资格（如有），</w:t>
      </w:r>
      <w:r>
        <w:rPr>
          <w:rFonts w:hint="eastAsia" w:ascii="宋体" w:hAnsi="宋体" w:eastAsia="宋体" w:cs="宋体"/>
          <w:color w:val="auto"/>
          <w:spacing w:val="-2"/>
          <w:kern w:val="0"/>
          <w:sz w:val="24"/>
          <w:szCs w:val="24"/>
          <w:highlight w:val="none"/>
        </w:rPr>
        <w:t>具体要求见投标人须知前附表；</w:t>
      </w:r>
    </w:p>
    <w:p w14:paraId="40DA4D36">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1.4.</w:t>
      </w:r>
      <w:r>
        <w:rPr>
          <w:rFonts w:hint="eastAsia" w:ascii="宋体" w:hAnsi="宋体" w:eastAsia="宋体"/>
          <w:b/>
          <w:bCs/>
          <w:color w:val="auto"/>
          <w:sz w:val="24"/>
          <w:szCs w:val="24"/>
          <w:highlight w:val="none"/>
          <w:lang w:val="en-US" w:eastAsia="zh-CN"/>
        </w:rPr>
        <w:t>2</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1</w:t>
      </w: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 xml:space="preserve">         修改类型：修改</w:t>
      </w:r>
    </w:p>
    <w:p w14:paraId="6AF8159F">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（1）联合体各方应按招标文件提供的格式签订联合体协议书，明确联合体牵头人和各方权利义务，并承诺就中标项目向招标人承担连带责任；</w:t>
      </w:r>
    </w:p>
    <w:p w14:paraId="326B01ED">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spacing w:val="-2"/>
          <w:kern w:val="0"/>
          <w:sz w:val="24"/>
          <w:szCs w:val="24"/>
          <w:highlight w:val="none"/>
        </w:rPr>
        <w:t>（1）联合体各方应按招标文件提供的格式签订联合体协议书，明确联合体</w:t>
      </w:r>
      <w:r>
        <w:rPr>
          <w:rFonts w:hint="eastAsia" w:ascii="宋体" w:hAnsi="宋体" w:eastAsia="宋体" w:cs="宋体"/>
          <w:b/>
          <w:bCs/>
          <w:color w:val="auto"/>
          <w:spacing w:val="-2"/>
          <w:kern w:val="0"/>
          <w:sz w:val="24"/>
          <w:szCs w:val="24"/>
          <w:highlight w:val="none"/>
          <w:u w:val="single"/>
          <w:lang w:val="en-US" w:eastAsia="zh-CN"/>
        </w:rPr>
        <w:t>主办方</w:t>
      </w:r>
      <w:r>
        <w:rPr>
          <w:rFonts w:hint="eastAsia" w:ascii="宋体" w:hAnsi="宋体" w:eastAsia="宋体" w:cs="宋体"/>
          <w:strike/>
          <w:color w:val="auto"/>
          <w:spacing w:val="-2"/>
          <w:kern w:val="0"/>
          <w:sz w:val="24"/>
          <w:szCs w:val="24"/>
          <w:highlight w:val="none"/>
        </w:rPr>
        <w:t>牵头人</w:t>
      </w:r>
      <w:r>
        <w:rPr>
          <w:rFonts w:hint="eastAsia" w:ascii="宋体" w:hAnsi="宋体" w:eastAsia="宋体" w:cs="宋体"/>
          <w:color w:val="auto"/>
          <w:spacing w:val="-2"/>
          <w:kern w:val="0"/>
          <w:sz w:val="24"/>
          <w:szCs w:val="24"/>
          <w:highlight w:val="none"/>
        </w:rPr>
        <w:t>和各方权利义务，并承诺就中标项目向招标人承担连带责任；</w:t>
      </w:r>
    </w:p>
    <w:p w14:paraId="45532075">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12.2</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修改类型：修改</w:t>
      </w:r>
    </w:p>
    <w:p w14:paraId="329781DD">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s="宋体"/>
          <w:color w:val="auto"/>
          <w:spacing w:val="-2"/>
          <w:kern w:val="0"/>
          <w:sz w:val="24"/>
          <w:szCs w:val="24"/>
          <w:highlight w:val="none"/>
        </w:rPr>
        <w:t>1.12.2 投标人应根据招标文件的要求提供投标设计方案等内容以对招标文件作出响应。</w:t>
      </w:r>
    </w:p>
    <w:p w14:paraId="1F9B24D1">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spacing w:val="-2"/>
          <w:kern w:val="0"/>
          <w:sz w:val="24"/>
          <w:szCs w:val="24"/>
          <w:highlight w:val="none"/>
        </w:rPr>
        <w:t>1.12.2 投标人应根据招标文件的要求提供投标</w:t>
      </w:r>
      <w:r>
        <w:rPr>
          <w:rFonts w:hint="eastAsia" w:ascii="宋体" w:hAnsi="宋体" w:eastAsia="宋体" w:cs="宋体"/>
          <w:b/>
          <w:bCs/>
          <w:color w:val="auto"/>
          <w:spacing w:val="-2"/>
          <w:kern w:val="0"/>
          <w:sz w:val="24"/>
          <w:szCs w:val="24"/>
          <w:highlight w:val="none"/>
          <w:u w:val="single"/>
          <w:lang w:val="en-US" w:eastAsia="zh-CN"/>
        </w:rPr>
        <w:t>勘察</w:t>
      </w:r>
      <w:r>
        <w:rPr>
          <w:rFonts w:hint="eastAsia" w:ascii="宋体" w:hAnsi="宋体" w:eastAsia="宋体" w:cs="宋体"/>
          <w:color w:val="auto"/>
          <w:spacing w:val="-2"/>
          <w:kern w:val="0"/>
          <w:sz w:val="24"/>
          <w:szCs w:val="24"/>
          <w:highlight w:val="none"/>
        </w:rPr>
        <w:t>设计方案等内容以对招标文件作出响应。</w:t>
      </w:r>
    </w:p>
    <w:p w14:paraId="01273E74">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default" w:ascii="宋体" w:hAnsi="宋体" w:eastAsia="宋体"/>
          <w:b/>
          <w:bCs/>
          <w:color w:val="auto"/>
          <w:sz w:val="24"/>
          <w:szCs w:val="24"/>
          <w:highlight w:val="none"/>
        </w:rPr>
        <w:t>2.2.3</w:t>
      </w:r>
      <w:r>
        <w:rPr>
          <w:rFonts w:hint="eastAsia" w:ascii="宋体" w:hAnsi="宋体" w:eastAsia="宋体"/>
          <w:b/>
          <w:bCs/>
          <w:color w:val="auto"/>
          <w:sz w:val="24"/>
          <w:szCs w:val="24"/>
          <w:highlight w:val="none"/>
          <w:lang w:eastAsia="zh-CN"/>
        </w:rPr>
        <w:t>、2.2.</w:t>
      </w:r>
      <w:r>
        <w:rPr>
          <w:rFonts w:hint="eastAsia" w:ascii="宋体" w:hAnsi="宋体" w:eastAsia="宋体"/>
          <w:b/>
          <w:bCs/>
          <w:color w:val="auto"/>
          <w:sz w:val="24"/>
          <w:szCs w:val="24"/>
          <w:highlight w:val="none"/>
          <w:lang w:val="en-US" w:eastAsia="zh-CN"/>
        </w:rPr>
        <w:t>4</w:t>
      </w:r>
      <w:r>
        <w:rPr>
          <w:rFonts w:ascii="宋体" w:hAnsi="宋体" w:eastAsia="宋体"/>
          <w:b/>
          <w:bCs/>
          <w:color w:val="auto"/>
          <w:sz w:val="24"/>
          <w:szCs w:val="24"/>
          <w:highlight w:val="none"/>
        </w:rPr>
        <w:t xml:space="preserve">       修改类型：修改</w:t>
      </w:r>
    </w:p>
    <w:p w14:paraId="3BB8DE1A">
      <w:pPr>
        <w:wordWrap w:val="0"/>
        <w:autoSpaceDE w:val="0"/>
        <w:autoSpaceDN w:val="0"/>
        <w:spacing w:line="360" w:lineRule="auto"/>
        <w:ind w:firstLine="482" w:firstLineChars="200"/>
        <w:rPr>
          <w:rFonts w:ascii="宋体" w:hAnsi="宋体" w:eastAsia="宋体" w:cs="宋体"/>
          <w:color w:val="auto"/>
          <w:spacing w:val="-2"/>
          <w:kern w:val="0"/>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pacing w:val="-2"/>
          <w:kern w:val="0"/>
          <w:sz w:val="24"/>
          <w:szCs w:val="24"/>
          <w:highlight w:val="none"/>
        </w:rPr>
        <w:t>2.2.3 招标答疑会会议纪要将在提交投标文件截止时间15日前在</w:t>
      </w:r>
      <w:r>
        <w:rPr>
          <w:rFonts w:hint="eastAsia" w:ascii="宋体" w:hAnsi="宋体" w:eastAsia="宋体" w:cs="宋体"/>
          <w:color w:val="auto"/>
          <w:spacing w:val="-2"/>
          <w:kern w:val="0"/>
          <w:sz w:val="24"/>
          <w:szCs w:val="24"/>
          <w:highlight w:val="none"/>
          <w:u w:val="single"/>
        </w:rPr>
        <w:t>广州交易集团有限公司（广州公共资源交易中心）网站“项目答疑纪要”专区公开</w:t>
      </w:r>
      <w:r>
        <w:rPr>
          <w:rFonts w:hint="eastAsia" w:ascii="宋体" w:hAnsi="宋体" w:eastAsia="宋体" w:cs="宋体"/>
          <w:color w:val="auto"/>
          <w:spacing w:val="-2"/>
          <w:kern w:val="0"/>
          <w:sz w:val="24"/>
          <w:szCs w:val="24"/>
          <w:highlight w:val="none"/>
        </w:rPr>
        <w:t>发布。答疑纪要一经在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网站发布，视作已发放给所有投标人。澄清发出的时间距本章第4.2.1项规定的投标截止时间不足15日的，并且澄清内容可能影响投标文件编制的，将相应延长投标截止时间。</w:t>
      </w:r>
    </w:p>
    <w:p w14:paraId="05FA5AB8">
      <w:pPr>
        <w:spacing w:line="360" w:lineRule="auto"/>
        <w:ind w:firstLine="417" w:firstLineChars="177"/>
        <w:rPr>
          <w:rFonts w:ascii="宋体" w:hAnsi="宋体" w:eastAsia="宋体"/>
          <w:b/>
          <w:bCs/>
          <w:color w:val="auto"/>
          <w:sz w:val="24"/>
          <w:szCs w:val="24"/>
          <w:highlight w:val="none"/>
          <w:u w:val="single"/>
        </w:rPr>
      </w:pPr>
      <w:r>
        <w:rPr>
          <w:rFonts w:hint="eastAsia" w:ascii="宋体" w:hAnsi="宋体" w:eastAsia="宋体" w:cs="宋体"/>
          <w:color w:val="auto"/>
          <w:spacing w:val="-2"/>
          <w:kern w:val="0"/>
          <w:sz w:val="24"/>
          <w:szCs w:val="24"/>
          <w:highlight w:val="none"/>
        </w:rPr>
        <w:t>2.2.4 招标答疑会会议纪要是招标文件的组成部分，对投标人起约束作用。若招标答疑会会议纪要与招标文件有矛盾时，以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网站最后发布的答疑纪要为准。</w:t>
      </w:r>
    </w:p>
    <w:p w14:paraId="22AF2201">
      <w:pPr>
        <w:wordWrap w:val="0"/>
        <w:autoSpaceDE w:val="0"/>
        <w:autoSpaceDN w:val="0"/>
        <w:spacing w:line="360" w:lineRule="auto"/>
        <w:ind w:firstLine="482" w:firstLineChars="200"/>
        <w:rPr>
          <w:rFonts w:ascii="宋体" w:hAnsi="宋体" w:eastAsia="宋体" w:cs="宋体"/>
          <w:color w:val="auto"/>
          <w:spacing w:val="-2"/>
          <w:kern w:val="0"/>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s="宋体"/>
          <w:color w:val="auto"/>
          <w:spacing w:val="-2"/>
          <w:kern w:val="0"/>
          <w:sz w:val="24"/>
          <w:szCs w:val="24"/>
          <w:highlight w:val="none"/>
        </w:rPr>
        <w:t xml:space="preserve">2.2.3 </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将在提交投标文件截止时间15日前在</w:t>
      </w:r>
      <w:r>
        <w:rPr>
          <w:rFonts w:hint="eastAsia" w:ascii="宋体" w:hAnsi="宋体" w:eastAsia="宋体" w:cs="宋体"/>
          <w:color w:val="auto"/>
          <w:spacing w:val="-2"/>
          <w:kern w:val="0"/>
          <w:sz w:val="24"/>
          <w:szCs w:val="24"/>
          <w:highlight w:val="none"/>
          <w:u w:val="single"/>
        </w:rPr>
        <w:t>广州交易集团有限公司（广州公共资源交易中心）网站“项目答疑纪要”专区公开</w:t>
      </w:r>
      <w:r>
        <w:rPr>
          <w:rFonts w:hint="eastAsia" w:ascii="宋体" w:hAnsi="宋体" w:eastAsia="宋体" w:cs="宋体"/>
          <w:color w:val="auto"/>
          <w:spacing w:val="-2"/>
          <w:kern w:val="0"/>
          <w:sz w:val="24"/>
          <w:szCs w:val="24"/>
          <w:highlight w:val="none"/>
        </w:rPr>
        <w:t>发布。答疑纪要一经在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网站发布，视作已发放给所有投标人。澄清发出的时间距本章第4.2.1项规定的投标截止时间不足15日的，并且澄清内容可能影响投标文件编制的，将相应延长投标截止时间。</w:t>
      </w:r>
    </w:p>
    <w:p w14:paraId="775546F6">
      <w:pPr>
        <w:pBdr>
          <w:bottom w:val="single" w:color="auto" w:sz="6" w:space="1"/>
        </w:pBdr>
        <w:spacing w:line="360" w:lineRule="auto"/>
        <w:ind w:firstLine="417" w:firstLineChars="177"/>
        <w:rPr>
          <w:rFonts w:ascii="宋体" w:hAnsi="宋体" w:eastAsia="宋体"/>
          <w:b/>
          <w:bCs/>
          <w:color w:val="auto"/>
          <w:sz w:val="24"/>
          <w:szCs w:val="24"/>
          <w:highlight w:val="none"/>
          <w:u w:val="single"/>
        </w:rPr>
      </w:pPr>
      <w:r>
        <w:rPr>
          <w:rFonts w:hint="eastAsia" w:ascii="宋体" w:hAnsi="宋体" w:eastAsia="宋体" w:cs="宋体"/>
          <w:color w:val="auto"/>
          <w:spacing w:val="-2"/>
          <w:kern w:val="0"/>
          <w:sz w:val="24"/>
          <w:szCs w:val="24"/>
          <w:highlight w:val="none"/>
        </w:rPr>
        <w:t xml:space="preserve">2.2.4 </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是招标文件的组成部分，对投标人起约束作用。若</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与招标文件有矛盾时，以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网站最后发布的答疑纪要为准。</w:t>
      </w:r>
    </w:p>
    <w:p w14:paraId="1C2D67DE">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3.3.3</w:t>
      </w:r>
      <w:r>
        <w:rPr>
          <w:rFonts w:ascii="宋体" w:hAnsi="宋体" w:eastAsia="宋体"/>
          <w:b/>
          <w:bCs/>
          <w:color w:val="auto"/>
          <w:sz w:val="24"/>
          <w:szCs w:val="24"/>
          <w:highlight w:val="none"/>
        </w:rPr>
        <w:t xml:space="preserve">         修改类型：修改</w:t>
      </w:r>
    </w:p>
    <w:p w14:paraId="765420E5">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55A844C">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出现特殊情况需要延长投标有效期的，招标人以书面形式通知所有投标人延长投标有效期。投标人应予以书面答复，同意延长的</w:t>
      </w:r>
      <w:r>
        <w:rPr>
          <w:rFonts w:hint="eastAsia" w:ascii="宋体" w:hAnsi="宋体" w:eastAsia="宋体" w:cs="宋体"/>
          <w:strike/>
          <w:color w:val="auto"/>
          <w:kern w:val="0"/>
          <w:sz w:val="24"/>
          <w:szCs w:val="24"/>
          <w:highlight w:val="none"/>
        </w:rPr>
        <w:t>，应相应延长其投标保证金的有效期</w:t>
      </w:r>
      <w:r>
        <w:rPr>
          <w:rFonts w:hint="eastAsia" w:ascii="宋体" w:hAnsi="宋体" w:eastAsia="宋体" w:cs="宋体"/>
          <w:strike w:val="0"/>
          <w:color w:val="auto"/>
          <w:kern w:val="0"/>
          <w:sz w:val="24"/>
          <w:szCs w:val="24"/>
          <w:highlight w:val="none"/>
        </w:rPr>
        <w:t>，但</w:t>
      </w:r>
      <w:r>
        <w:rPr>
          <w:rFonts w:hint="eastAsia" w:ascii="宋体" w:hAnsi="宋体" w:eastAsia="宋体" w:cs="宋体"/>
          <w:color w:val="auto"/>
          <w:kern w:val="0"/>
          <w:sz w:val="24"/>
          <w:szCs w:val="24"/>
          <w:highlight w:val="none"/>
        </w:rPr>
        <w:t>不得要求或被允许修改其投标文件；投标人拒绝延长的，其投标失效</w:t>
      </w:r>
      <w:r>
        <w:rPr>
          <w:rFonts w:hint="eastAsia" w:ascii="宋体" w:hAnsi="宋体" w:eastAsia="宋体" w:cs="宋体"/>
          <w:strike/>
          <w:color w:val="auto"/>
          <w:kern w:val="0"/>
          <w:sz w:val="24"/>
          <w:szCs w:val="24"/>
          <w:highlight w:val="none"/>
        </w:rPr>
        <w:t>，但投标人有权收回其投标保证金及以现金或者支票形式递交的投标保证金的银行同期存款利息</w:t>
      </w:r>
      <w:r>
        <w:rPr>
          <w:rFonts w:hint="eastAsia" w:ascii="宋体" w:hAnsi="宋体" w:eastAsia="宋体" w:cs="宋体"/>
          <w:color w:val="auto"/>
          <w:kern w:val="0"/>
          <w:sz w:val="24"/>
          <w:szCs w:val="24"/>
          <w:highlight w:val="none"/>
        </w:rPr>
        <w:t>。</w:t>
      </w:r>
    </w:p>
    <w:p w14:paraId="6E55825D">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3.4</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修改类型：修改</w:t>
      </w:r>
    </w:p>
    <w:p w14:paraId="5ACF9DE7">
      <w:pPr>
        <w:spacing w:line="360" w:lineRule="auto"/>
        <w:ind w:firstLine="426" w:firstLineChars="177"/>
        <w:rPr>
          <w:rFonts w:hint="eastAsia" w:ascii="宋体" w:hAnsi="宋体" w:eastAsia="宋体" w:cs="宋体"/>
          <w:color w:val="auto"/>
          <w:spacing w:val="-2"/>
          <w:kern w:val="0"/>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pacing w:val="-2"/>
          <w:kern w:val="0"/>
          <w:sz w:val="24"/>
          <w:szCs w:val="24"/>
          <w:highlight w:val="none"/>
        </w:rPr>
        <w:t>3.4 投标保证金</w:t>
      </w:r>
    </w:p>
    <w:p w14:paraId="504CF1AB">
      <w:pPr>
        <w:spacing w:line="360" w:lineRule="auto"/>
        <w:ind w:firstLine="417" w:firstLineChars="177"/>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37F1C058">
      <w:pPr>
        <w:spacing w:line="360" w:lineRule="auto"/>
        <w:ind w:firstLine="417" w:firstLineChars="177"/>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37949A65">
      <w:pPr>
        <w:spacing w:line="360" w:lineRule="auto"/>
        <w:ind w:firstLine="417" w:firstLineChars="177"/>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65B6E075">
      <w:pPr>
        <w:spacing w:line="360" w:lineRule="auto"/>
        <w:ind w:firstLine="417" w:firstLineChars="177"/>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3.4.4 在提交投标文件截止时间后到招标文件规定的投标有效期终止之前，投标人不得撤销其投标文件，否则招标人可以不退还投标保证金。</w:t>
      </w:r>
    </w:p>
    <w:p w14:paraId="607F54BE">
      <w:pPr>
        <w:spacing w:line="360" w:lineRule="auto"/>
        <w:ind w:firstLine="417" w:firstLineChars="177"/>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3.4.5 有下列情形之一的，投标保证金将不予退还：</w:t>
      </w:r>
    </w:p>
    <w:p w14:paraId="2D7B9C5D">
      <w:pPr>
        <w:spacing w:line="360" w:lineRule="auto"/>
        <w:ind w:firstLine="417" w:firstLineChars="177"/>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（1）投标人在提交投标文件截止时间后到招标文件规定的投标有效期终止之前撤销投标文件；</w:t>
      </w:r>
    </w:p>
    <w:p w14:paraId="3A62B2FA">
      <w:pPr>
        <w:spacing w:line="360" w:lineRule="auto"/>
        <w:ind w:firstLine="417" w:firstLineChars="177"/>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（2）中标人在收到中标通知书后，无正当理由不与招标人订立合同，在签订合同时向招标人提出附加条件，或者不按照招标文件要求提交履约保证金；</w:t>
      </w:r>
    </w:p>
    <w:p w14:paraId="088C7287">
      <w:pPr>
        <w:spacing w:line="360" w:lineRule="auto"/>
        <w:ind w:firstLine="417" w:firstLineChars="177"/>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（3）发生投标人须知前附表规定的其他可以不予退还投标保证金的情形。</w:t>
      </w:r>
    </w:p>
    <w:p w14:paraId="23BE75D0">
      <w:pPr>
        <w:spacing w:line="360" w:lineRule="auto"/>
        <w:ind w:firstLine="417" w:firstLineChars="177"/>
        <w:rPr>
          <w:rFonts w:ascii="宋体" w:hAnsi="宋体" w:eastAsia="宋体"/>
          <w:b/>
          <w:bCs/>
          <w:color w:val="auto"/>
          <w:sz w:val="24"/>
          <w:szCs w:val="24"/>
          <w:highlight w:val="none"/>
          <w:u w:val="single"/>
        </w:rPr>
      </w:pPr>
      <w:r>
        <w:rPr>
          <w:rFonts w:hint="eastAsia" w:ascii="宋体" w:hAnsi="宋体" w:eastAsia="宋体" w:cs="宋体"/>
          <w:color w:val="auto"/>
          <w:spacing w:val="-2"/>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4179F08A">
      <w:pPr>
        <w:spacing w:line="360" w:lineRule="auto"/>
        <w:ind w:firstLine="426" w:firstLineChars="177"/>
        <w:rPr>
          <w:rFonts w:hint="eastAsia" w:ascii="宋体" w:hAnsi="宋体" w:eastAsia="宋体" w:cs="宋体"/>
          <w:b/>
          <w:bCs/>
          <w:color w:val="auto"/>
          <w:spacing w:val="-2"/>
          <w:kern w:val="0"/>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spacing w:val="-2"/>
          <w:kern w:val="0"/>
          <w:sz w:val="24"/>
          <w:szCs w:val="24"/>
          <w:highlight w:val="none"/>
        </w:rPr>
        <w:t>3.4 投标保证金</w:t>
      </w:r>
      <w:r>
        <w:rPr>
          <w:rFonts w:hint="eastAsia" w:ascii="宋体" w:hAnsi="宋体" w:eastAsia="宋体" w:cs="宋体"/>
          <w:b/>
          <w:bCs/>
          <w:color w:val="auto"/>
          <w:spacing w:val="-2"/>
          <w:kern w:val="0"/>
          <w:sz w:val="24"/>
          <w:szCs w:val="24"/>
          <w:highlight w:val="none"/>
          <w:u w:val="single"/>
        </w:rPr>
        <w:t>（本项目不适用）</w:t>
      </w:r>
    </w:p>
    <w:p w14:paraId="48747BF4">
      <w:pPr>
        <w:spacing w:line="360" w:lineRule="auto"/>
        <w:ind w:firstLine="417" w:firstLineChars="177"/>
        <w:rPr>
          <w:rFonts w:hint="eastAsia" w:ascii="宋体" w:hAnsi="宋体" w:eastAsia="宋体" w:cs="宋体"/>
          <w:strike/>
          <w:color w:val="auto"/>
          <w:spacing w:val="-2"/>
          <w:kern w:val="0"/>
          <w:sz w:val="24"/>
          <w:szCs w:val="24"/>
          <w:highlight w:val="none"/>
        </w:rPr>
      </w:pPr>
      <w:r>
        <w:rPr>
          <w:rFonts w:hint="eastAsia" w:ascii="宋体" w:hAnsi="宋体" w:eastAsia="宋体" w:cs="宋体"/>
          <w:strike/>
          <w:color w:val="auto"/>
          <w:spacing w:val="-2"/>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35D9B07E">
      <w:pPr>
        <w:spacing w:line="360" w:lineRule="auto"/>
        <w:ind w:firstLine="417" w:firstLineChars="177"/>
        <w:rPr>
          <w:rFonts w:hint="eastAsia" w:ascii="宋体" w:hAnsi="宋体" w:eastAsia="宋体" w:cs="宋体"/>
          <w:strike/>
          <w:color w:val="auto"/>
          <w:spacing w:val="-2"/>
          <w:kern w:val="0"/>
          <w:sz w:val="24"/>
          <w:szCs w:val="24"/>
          <w:highlight w:val="none"/>
        </w:rPr>
      </w:pPr>
      <w:r>
        <w:rPr>
          <w:rFonts w:hint="eastAsia" w:ascii="宋体" w:hAnsi="宋体" w:eastAsia="宋体" w:cs="宋体"/>
          <w:strike/>
          <w:color w:val="auto"/>
          <w:spacing w:val="-2"/>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26314DBC">
      <w:pPr>
        <w:spacing w:line="360" w:lineRule="auto"/>
        <w:ind w:firstLine="417" w:firstLineChars="177"/>
        <w:rPr>
          <w:rFonts w:hint="eastAsia" w:ascii="宋体" w:hAnsi="宋体" w:eastAsia="宋体" w:cs="宋体"/>
          <w:strike/>
          <w:color w:val="auto"/>
          <w:spacing w:val="-2"/>
          <w:kern w:val="0"/>
          <w:sz w:val="24"/>
          <w:szCs w:val="24"/>
          <w:highlight w:val="none"/>
        </w:rPr>
      </w:pPr>
      <w:r>
        <w:rPr>
          <w:rFonts w:hint="eastAsia" w:ascii="宋体" w:hAnsi="宋体" w:eastAsia="宋体" w:cs="宋体"/>
          <w:strike/>
          <w:color w:val="auto"/>
          <w:spacing w:val="-2"/>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0273431E">
      <w:pPr>
        <w:spacing w:line="360" w:lineRule="auto"/>
        <w:ind w:firstLine="417" w:firstLineChars="177"/>
        <w:rPr>
          <w:rFonts w:hint="eastAsia" w:ascii="宋体" w:hAnsi="宋体" w:eastAsia="宋体" w:cs="宋体"/>
          <w:strike/>
          <w:color w:val="auto"/>
          <w:spacing w:val="-2"/>
          <w:kern w:val="0"/>
          <w:sz w:val="24"/>
          <w:szCs w:val="24"/>
          <w:highlight w:val="none"/>
        </w:rPr>
      </w:pPr>
      <w:r>
        <w:rPr>
          <w:rFonts w:hint="eastAsia" w:ascii="宋体" w:hAnsi="宋体" w:eastAsia="宋体" w:cs="宋体"/>
          <w:strike/>
          <w:color w:val="auto"/>
          <w:spacing w:val="-2"/>
          <w:kern w:val="0"/>
          <w:sz w:val="24"/>
          <w:szCs w:val="24"/>
          <w:highlight w:val="none"/>
        </w:rPr>
        <w:t>3.4.4 在提交投标文件截止时间后到招标文件规定的投标有效期终止之前，投标人不得撤销其投标文件，否则招标人可以不退还投标保证金。</w:t>
      </w:r>
    </w:p>
    <w:p w14:paraId="3AFE5E9B">
      <w:pPr>
        <w:spacing w:line="360" w:lineRule="auto"/>
        <w:ind w:firstLine="417" w:firstLineChars="177"/>
        <w:rPr>
          <w:rFonts w:hint="eastAsia" w:ascii="宋体" w:hAnsi="宋体" w:eastAsia="宋体" w:cs="宋体"/>
          <w:strike/>
          <w:color w:val="auto"/>
          <w:spacing w:val="-2"/>
          <w:kern w:val="0"/>
          <w:sz w:val="24"/>
          <w:szCs w:val="24"/>
          <w:highlight w:val="none"/>
        </w:rPr>
      </w:pPr>
      <w:r>
        <w:rPr>
          <w:rFonts w:hint="eastAsia" w:ascii="宋体" w:hAnsi="宋体" w:eastAsia="宋体" w:cs="宋体"/>
          <w:strike/>
          <w:color w:val="auto"/>
          <w:spacing w:val="-2"/>
          <w:kern w:val="0"/>
          <w:sz w:val="24"/>
          <w:szCs w:val="24"/>
          <w:highlight w:val="none"/>
        </w:rPr>
        <w:t>3.4.5 有下列情形之一的，投标保证金将不予退还：</w:t>
      </w:r>
    </w:p>
    <w:p w14:paraId="75942233">
      <w:pPr>
        <w:spacing w:line="360" w:lineRule="auto"/>
        <w:ind w:firstLine="417" w:firstLineChars="177"/>
        <w:rPr>
          <w:rFonts w:hint="eastAsia" w:ascii="宋体" w:hAnsi="宋体" w:eastAsia="宋体" w:cs="宋体"/>
          <w:strike/>
          <w:color w:val="auto"/>
          <w:spacing w:val="-2"/>
          <w:kern w:val="0"/>
          <w:sz w:val="24"/>
          <w:szCs w:val="24"/>
          <w:highlight w:val="none"/>
        </w:rPr>
      </w:pPr>
      <w:r>
        <w:rPr>
          <w:rFonts w:hint="eastAsia" w:ascii="宋体" w:hAnsi="宋体" w:eastAsia="宋体" w:cs="宋体"/>
          <w:strike/>
          <w:color w:val="auto"/>
          <w:spacing w:val="-2"/>
          <w:kern w:val="0"/>
          <w:sz w:val="24"/>
          <w:szCs w:val="24"/>
          <w:highlight w:val="none"/>
        </w:rPr>
        <w:t>（1）投标人在提交投标文件截止时间后到招标文件规定的投标有效期终止之前撤销投标文件；</w:t>
      </w:r>
    </w:p>
    <w:p w14:paraId="0AF3E642">
      <w:pPr>
        <w:spacing w:line="360" w:lineRule="auto"/>
        <w:ind w:firstLine="417" w:firstLineChars="177"/>
        <w:rPr>
          <w:rFonts w:hint="eastAsia" w:ascii="宋体" w:hAnsi="宋体" w:eastAsia="宋体" w:cs="宋体"/>
          <w:strike/>
          <w:color w:val="auto"/>
          <w:spacing w:val="-2"/>
          <w:kern w:val="0"/>
          <w:sz w:val="24"/>
          <w:szCs w:val="24"/>
          <w:highlight w:val="none"/>
        </w:rPr>
      </w:pPr>
      <w:r>
        <w:rPr>
          <w:rFonts w:hint="eastAsia" w:ascii="宋体" w:hAnsi="宋体" w:eastAsia="宋体" w:cs="宋体"/>
          <w:strike/>
          <w:color w:val="auto"/>
          <w:spacing w:val="-2"/>
          <w:kern w:val="0"/>
          <w:sz w:val="24"/>
          <w:szCs w:val="24"/>
          <w:highlight w:val="none"/>
        </w:rPr>
        <w:t>（2）中标人在收到中标通知书后，无正当理由不与招标人订立合同，在签订合同时向招标人提出附加条件，或者不按照招标文件要求提交履约保证金；</w:t>
      </w:r>
    </w:p>
    <w:p w14:paraId="3E17B818">
      <w:pPr>
        <w:spacing w:line="360" w:lineRule="auto"/>
        <w:ind w:firstLine="417" w:firstLineChars="177"/>
        <w:rPr>
          <w:rFonts w:hint="eastAsia" w:ascii="宋体" w:hAnsi="宋体" w:eastAsia="宋体" w:cs="宋体"/>
          <w:strike/>
          <w:color w:val="auto"/>
          <w:spacing w:val="-2"/>
          <w:kern w:val="0"/>
          <w:sz w:val="24"/>
          <w:szCs w:val="24"/>
          <w:highlight w:val="none"/>
        </w:rPr>
      </w:pPr>
      <w:r>
        <w:rPr>
          <w:rFonts w:hint="eastAsia" w:ascii="宋体" w:hAnsi="宋体" w:eastAsia="宋体" w:cs="宋体"/>
          <w:strike/>
          <w:color w:val="auto"/>
          <w:spacing w:val="-2"/>
          <w:kern w:val="0"/>
          <w:sz w:val="24"/>
          <w:szCs w:val="24"/>
          <w:highlight w:val="none"/>
        </w:rPr>
        <w:t>（3）发生投标人须知前附表规定的其他可以不予退还投标保证金的情形。</w:t>
      </w:r>
    </w:p>
    <w:p w14:paraId="397784A6">
      <w:pPr>
        <w:pBdr>
          <w:bottom w:val="single" w:color="auto" w:sz="6" w:space="1"/>
        </w:pBdr>
        <w:spacing w:line="360" w:lineRule="auto"/>
        <w:ind w:firstLine="417" w:firstLineChars="177"/>
        <w:rPr>
          <w:rFonts w:ascii="宋体" w:hAnsi="宋体" w:eastAsia="宋体"/>
          <w:b/>
          <w:bCs/>
          <w:strike/>
          <w:color w:val="auto"/>
          <w:sz w:val="24"/>
          <w:szCs w:val="24"/>
          <w:highlight w:val="none"/>
          <w:u w:val="single"/>
        </w:rPr>
      </w:pPr>
      <w:r>
        <w:rPr>
          <w:rFonts w:hint="eastAsia" w:ascii="宋体" w:hAnsi="宋体" w:eastAsia="宋体" w:cs="宋体"/>
          <w:strike/>
          <w:color w:val="auto"/>
          <w:spacing w:val="-2"/>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2CA85244">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3.5.1至3.5.4</w:t>
      </w:r>
      <w:r>
        <w:rPr>
          <w:rFonts w:ascii="宋体" w:hAnsi="宋体" w:eastAsia="宋体"/>
          <w:b/>
          <w:bCs/>
          <w:color w:val="auto"/>
          <w:sz w:val="24"/>
          <w:szCs w:val="24"/>
          <w:highlight w:val="none"/>
        </w:rPr>
        <w:t xml:space="preserve">         修改类型：修改</w:t>
      </w:r>
    </w:p>
    <w:p w14:paraId="5F6E828D">
      <w:pPr>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15CA6645">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57607FC2">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223A7D5F">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3.5.4 投标人须知前附表规定接受联合体投标的，本章第3.5.1项至第3.5.3项规定的表格和资料应包括联合体各方相关情况。</w:t>
      </w:r>
    </w:p>
    <w:p w14:paraId="3D2A22CE">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 xml:space="preserve">3.5.1 </w:t>
      </w:r>
      <w:r>
        <w:rPr>
          <w:rFonts w:hint="eastAsia" w:ascii="宋体" w:hAnsi="宋体" w:eastAsia="宋体"/>
          <w:b/>
          <w:bCs/>
          <w:color w:val="auto"/>
          <w:sz w:val="24"/>
          <w:szCs w:val="24"/>
          <w:highlight w:val="none"/>
          <w:u w:val="single"/>
        </w:rPr>
        <w:t>资格审查资料详见第六章“投标文件格式”。</w:t>
      </w:r>
    </w:p>
    <w:p w14:paraId="23BC405B">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3.7.3</w:t>
      </w:r>
      <w:r>
        <w:rPr>
          <w:rFonts w:hint="eastAsia" w:ascii="宋体" w:hAnsi="宋体" w:eastAsia="宋体"/>
          <w:b/>
          <w:bCs/>
          <w:color w:val="auto"/>
          <w:sz w:val="24"/>
          <w:szCs w:val="24"/>
          <w:highlight w:val="none"/>
          <w:lang w:val="en-US" w:eastAsia="zh-CN"/>
        </w:rPr>
        <w:t>至3.7.4</w:t>
      </w:r>
      <w:r>
        <w:rPr>
          <w:rFonts w:ascii="宋体" w:hAnsi="宋体" w:eastAsia="宋体"/>
          <w:b/>
          <w:bCs/>
          <w:color w:val="auto"/>
          <w:sz w:val="24"/>
          <w:szCs w:val="24"/>
          <w:highlight w:val="none"/>
        </w:rPr>
        <w:t xml:space="preserve">         修改类型：修改</w:t>
      </w:r>
    </w:p>
    <w:p w14:paraId="7077B645">
      <w:pPr>
        <w:spacing w:line="360" w:lineRule="auto"/>
        <w:ind w:firstLine="426" w:firstLineChars="177"/>
        <w:rPr>
          <w:rFonts w:hint="eastAsia" w:ascii="宋体" w:hAnsi="宋体" w:eastAsia="宋体"/>
          <w:b w:val="0"/>
          <w:bCs w:val="0"/>
          <w:color w:val="auto"/>
          <w:sz w:val="24"/>
          <w:szCs w:val="24"/>
          <w:highlight w:val="none"/>
          <w:u w:val="none"/>
        </w:rPr>
      </w:pPr>
      <w:r>
        <w:rPr>
          <w:rFonts w:ascii="宋体" w:hAnsi="宋体" w:eastAsia="宋体"/>
          <w:b/>
          <w:bCs/>
          <w:color w:val="auto"/>
          <w:sz w:val="24"/>
          <w:szCs w:val="24"/>
          <w:highlight w:val="none"/>
        </w:rPr>
        <w:t>原文：</w:t>
      </w:r>
      <w:r>
        <w:rPr>
          <w:rFonts w:hint="eastAsia" w:ascii="宋体" w:hAnsi="宋体" w:eastAsia="宋体"/>
          <w:b w:val="0"/>
          <w:bCs w:val="0"/>
          <w:color w:val="auto"/>
          <w:sz w:val="24"/>
          <w:szCs w:val="24"/>
          <w:highlight w:val="none"/>
          <w:u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w:t>
      </w:r>
      <w:r>
        <w:rPr>
          <w:rFonts w:hint="eastAsia" w:ascii="宋体" w:hAnsi="宋体" w:eastAsia="宋体"/>
          <w:b w:val="0"/>
          <w:bCs w:val="0"/>
          <w:color w:val="auto"/>
          <w:sz w:val="24"/>
          <w:szCs w:val="24"/>
          <w:highlight w:val="none"/>
          <w:u w:val="single"/>
        </w:rPr>
        <w:t>广州交易集团有限公司（广州公共资源交易中心）</w:t>
      </w:r>
      <w:r>
        <w:rPr>
          <w:rFonts w:hint="eastAsia" w:ascii="宋体" w:hAnsi="宋体" w:eastAsia="宋体"/>
          <w:b w:val="0"/>
          <w:bCs w:val="0"/>
          <w:color w:val="auto"/>
          <w:sz w:val="24"/>
          <w:szCs w:val="24"/>
          <w:highlight w:val="none"/>
          <w:u w:val="none"/>
        </w:rPr>
        <w:t>网站关于全流程电子化项目的相关指南进行操作。</w:t>
      </w:r>
    </w:p>
    <w:p w14:paraId="15DF7487">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b w:val="0"/>
          <w:bCs w:val="0"/>
          <w:color w:val="auto"/>
          <w:sz w:val="24"/>
          <w:szCs w:val="24"/>
          <w:highlight w:val="none"/>
          <w:u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身份证明，若由联合体主办方法定代表人授权签字的电子投标文件需提供法定代表人身份证明及其授权委托书、授权委托人身份证扫描件。</w:t>
      </w:r>
    </w:p>
    <w:p w14:paraId="1C078A3B">
      <w:pPr>
        <w:spacing w:line="360" w:lineRule="auto"/>
        <w:ind w:firstLine="426" w:firstLineChars="177"/>
        <w:rPr>
          <w:rFonts w:hint="eastAsia" w:ascii="宋体" w:hAnsi="宋体" w:eastAsia="宋体"/>
          <w:b w:val="0"/>
          <w:bCs w:val="0"/>
          <w:color w:val="auto"/>
          <w:sz w:val="24"/>
          <w:szCs w:val="24"/>
          <w:highlight w:val="none"/>
          <w:u w:val="none"/>
        </w:rPr>
      </w:pPr>
      <w:r>
        <w:rPr>
          <w:rFonts w:hint="eastAsia" w:ascii="宋体" w:hAnsi="宋体" w:eastAsia="宋体"/>
          <w:b/>
          <w:bCs/>
          <w:color w:val="auto"/>
          <w:sz w:val="24"/>
          <w:szCs w:val="24"/>
          <w:highlight w:val="none"/>
        </w:rPr>
        <w:t>现文：</w:t>
      </w:r>
      <w:r>
        <w:rPr>
          <w:rFonts w:hint="eastAsia" w:ascii="宋体" w:hAnsi="宋体" w:eastAsia="宋体"/>
          <w:b w:val="0"/>
          <w:bCs w:val="0"/>
          <w:color w:val="auto"/>
          <w:sz w:val="24"/>
          <w:szCs w:val="24"/>
          <w:highlight w:val="none"/>
          <w:u w:val="none"/>
        </w:rPr>
        <w:t>3.7.3 投标文件全部采用电子文档，</w:t>
      </w:r>
      <w:r>
        <w:rPr>
          <w:rFonts w:hint="eastAsia" w:ascii="宋体" w:hAnsi="宋体" w:eastAsia="宋体"/>
          <w:b/>
          <w:bCs/>
          <w:color w:val="auto"/>
          <w:sz w:val="24"/>
          <w:szCs w:val="24"/>
          <w:highlight w:val="none"/>
          <w:u w:val="single"/>
        </w:rPr>
        <w:t>除招标文件另有规定外，</w:t>
      </w:r>
      <w:r>
        <w:rPr>
          <w:rFonts w:hint="eastAsia" w:ascii="宋体" w:hAnsi="宋体" w:eastAsia="宋体"/>
          <w:b w:val="0"/>
          <w:bCs w:val="0"/>
          <w:color w:val="auto"/>
          <w:sz w:val="24"/>
          <w:szCs w:val="24"/>
          <w:highlight w:val="none"/>
          <w:u w:val="none"/>
        </w:rPr>
        <w:t>投标文件所附证书证件均为</w:t>
      </w:r>
      <w:r>
        <w:rPr>
          <w:rFonts w:hint="eastAsia" w:ascii="宋体" w:hAnsi="宋体" w:eastAsia="宋体"/>
          <w:b w:val="0"/>
          <w:bCs w:val="0"/>
          <w:strike/>
          <w:color w:val="auto"/>
          <w:sz w:val="24"/>
          <w:szCs w:val="24"/>
          <w:highlight w:val="none"/>
          <w:u w:val="none"/>
        </w:rPr>
        <w:t>原件</w:t>
      </w:r>
      <w:r>
        <w:rPr>
          <w:rFonts w:hint="eastAsia" w:ascii="宋体" w:hAnsi="宋体" w:eastAsia="宋体"/>
          <w:b w:val="0"/>
          <w:bCs w:val="0"/>
          <w:color w:val="auto"/>
          <w:sz w:val="24"/>
          <w:szCs w:val="24"/>
          <w:highlight w:val="none"/>
          <w:u w:val="none"/>
        </w:rPr>
        <w:t>扫描件或电子证书，并采用单位数字证书，按招标文件要求在相应位置加盖电子印章</w:t>
      </w:r>
      <w:r>
        <w:rPr>
          <w:rFonts w:hint="default" w:ascii="宋体" w:hAnsi="宋体" w:eastAsia="宋体"/>
          <w:b/>
          <w:bCs/>
          <w:color w:val="auto"/>
          <w:sz w:val="24"/>
          <w:szCs w:val="24"/>
          <w:highlight w:val="none"/>
          <w:u w:val="single"/>
        </w:rPr>
        <w:t>（技术文件除外）</w:t>
      </w:r>
      <w:r>
        <w:rPr>
          <w:rFonts w:hint="eastAsia" w:ascii="宋体" w:hAnsi="宋体" w:eastAsia="宋体"/>
          <w:b w:val="0"/>
          <w:bCs w:val="0"/>
          <w:color w:val="auto"/>
          <w:sz w:val="24"/>
          <w:szCs w:val="24"/>
          <w:highlight w:val="none"/>
          <w:u w:val="none"/>
        </w:rPr>
        <w:t>。投标文件中需个人签字或盖章的，应加盖个人电子印章或在线下完成后扫描上传（可靠的电子签名与手写签名或者盖章具有同等的法律效力）。</w:t>
      </w:r>
      <w:r>
        <w:rPr>
          <w:rFonts w:hint="default" w:ascii="宋体" w:hAnsi="宋体" w:eastAsia="宋体"/>
          <w:b/>
          <w:bCs/>
          <w:color w:val="auto"/>
          <w:sz w:val="24"/>
          <w:szCs w:val="24"/>
          <w:highlight w:val="none"/>
          <w:u w:val="single"/>
        </w:rPr>
        <w:t>投标文件格式规定盖单位公章的页面必须盖单位公章或电子公章（公章与电子公章具有相同法律效力）。</w:t>
      </w:r>
      <w:r>
        <w:rPr>
          <w:rFonts w:hint="eastAsia" w:ascii="宋体" w:hAnsi="宋体" w:eastAsia="宋体"/>
          <w:b w:val="0"/>
          <w:bCs w:val="0"/>
          <w:color w:val="auto"/>
          <w:sz w:val="24"/>
          <w:szCs w:val="24"/>
          <w:highlight w:val="none"/>
          <w:u w:val="none"/>
        </w:rPr>
        <w:t>按照</w:t>
      </w:r>
      <w:r>
        <w:rPr>
          <w:rFonts w:hint="eastAsia" w:ascii="宋体" w:hAnsi="宋体" w:eastAsia="宋体"/>
          <w:b w:val="0"/>
          <w:bCs w:val="0"/>
          <w:color w:val="auto"/>
          <w:sz w:val="24"/>
          <w:szCs w:val="24"/>
          <w:highlight w:val="none"/>
          <w:u w:val="single"/>
        </w:rPr>
        <w:t>广州交易集团有限公司（广州公共资源交易中心）</w:t>
      </w:r>
      <w:r>
        <w:rPr>
          <w:rFonts w:hint="eastAsia" w:ascii="宋体" w:hAnsi="宋体" w:eastAsia="宋体"/>
          <w:b w:val="0"/>
          <w:bCs w:val="0"/>
          <w:color w:val="auto"/>
          <w:sz w:val="24"/>
          <w:szCs w:val="24"/>
          <w:highlight w:val="none"/>
          <w:u w:val="none"/>
        </w:rPr>
        <w:t>网站关于全流程电子化项目的相关指南进行操作。</w:t>
      </w:r>
    </w:p>
    <w:p w14:paraId="38C8F4A6">
      <w:pPr>
        <w:pBdr>
          <w:bottom w:val="single" w:color="auto" w:sz="6" w:space="1"/>
        </w:pBd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b w:val="0"/>
          <w:bCs w:val="0"/>
          <w:color w:val="auto"/>
          <w:sz w:val="24"/>
          <w:szCs w:val="24"/>
          <w:highlight w:val="none"/>
          <w:u w:val="none"/>
        </w:rPr>
        <w:t>3.7.4 联合体投标时，投标人封面及其他内容落款中的“投标人”</w:t>
      </w:r>
      <w:r>
        <w:rPr>
          <w:rFonts w:hint="default" w:ascii="宋体" w:hAnsi="宋体" w:eastAsia="宋体"/>
          <w:b/>
          <w:bCs/>
          <w:color w:val="auto"/>
          <w:sz w:val="24"/>
          <w:szCs w:val="24"/>
          <w:highlight w:val="none"/>
          <w:u w:val="single"/>
        </w:rPr>
        <w:t>“承诺企业”“声明企业”</w:t>
      </w:r>
      <w:r>
        <w:rPr>
          <w:rFonts w:hint="eastAsia" w:ascii="宋体" w:hAnsi="宋体" w:eastAsia="宋体"/>
          <w:b w:val="0"/>
          <w:bCs w:val="0"/>
          <w:color w:val="auto"/>
          <w:sz w:val="24"/>
          <w:szCs w:val="24"/>
          <w:highlight w:val="none"/>
          <w:u w:val="none"/>
        </w:rPr>
        <w:t>应填写联合体各方的单位全称【格式为：（主）XXXX公司（成）XXXX公司</w:t>
      </w:r>
      <w:r>
        <w:rPr>
          <w:rFonts w:hint="eastAsia" w:ascii="宋体" w:hAnsi="宋体" w:eastAsia="宋体"/>
          <w:b/>
          <w:bCs/>
          <w:color w:val="auto"/>
          <w:sz w:val="24"/>
          <w:szCs w:val="24"/>
          <w:highlight w:val="none"/>
          <w:u w:val="single"/>
          <w:lang w:val="en-US" w:eastAsia="zh-CN"/>
        </w:rPr>
        <w:t>......</w:t>
      </w:r>
      <w:r>
        <w:rPr>
          <w:rFonts w:hint="eastAsia" w:ascii="宋体" w:hAnsi="宋体" w:eastAsia="宋体"/>
          <w:b w:val="0"/>
          <w:bCs w:val="0"/>
          <w:color w:val="auto"/>
          <w:sz w:val="24"/>
          <w:szCs w:val="24"/>
          <w:highlight w:val="none"/>
          <w:u w:val="none"/>
        </w:rPr>
        <w:t>】</w:t>
      </w:r>
      <w:r>
        <w:rPr>
          <w:rFonts w:hint="default" w:ascii="宋体" w:hAnsi="宋体" w:eastAsia="宋体"/>
          <w:b/>
          <w:bCs/>
          <w:color w:val="auto"/>
          <w:sz w:val="24"/>
          <w:szCs w:val="24"/>
          <w:highlight w:val="none"/>
          <w:u w:val="single"/>
        </w:rPr>
        <w:t>（系统生成的单位名称除外）</w:t>
      </w:r>
      <w:r>
        <w:rPr>
          <w:rFonts w:hint="eastAsia" w:ascii="宋体" w:hAnsi="宋体" w:eastAsia="宋体"/>
          <w:b w:val="0"/>
          <w:bCs w:val="0"/>
          <w:color w:val="auto"/>
          <w:sz w:val="24"/>
          <w:szCs w:val="24"/>
          <w:highlight w:val="none"/>
          <w:u w:val="none"/>
        </w:rPr>
        <w:t>。除</w:t>
      </w:r>
      <w:r>
        <w:rPr>
          <w:rFonts w:hint="default" w:ascii="宋体" w:hAnsi="宋体" w:eastAsia="宋体"/>
          <w:b/>
          <w:bCs/>
          <w:color w:val="auto"/>
          <w:sz w:val="24"/>
          <w:szCs w:val="24"/>
          <w:highlight w:val="none"/>
          <w:u w:val="single"/>
        </w:rPr>
        <w:t>《联合体协议书》</w:t>
      </w:r>
      <w:r>
        <w:rPr>
          <w:rFonts w:hint="eastAsia" w:ascii="宋体" w:hAnsi="宋体" w:eastAsia="宋体"/>
          <w:b w:val="0"/>
          <w:bCs w:val="0"/>
          <w:strike/>
          <w:color w:val="auto"/>
          <w:sz w:val="24"/>
          <w:szCs w:val="24"/>
          <w:highlight w:val="none"/>
          <w:u w:val="none"/>
        </w:rPr>
        <w:t>联合体共同投标协议</w:t>
      </w:r>
      <w:r>
        <w:rPr>
          <w:rFonts w:hint="eastAsia" w:ascii="宋体" w:hAnsi="宋体" w:eastAsia="宋体"/>
          <w:b w:val="0"/>
          <w:bCs w:val="0"/>
          <w:color w:val="auto"/>
          <w:sz w:val="24"/>
          <w:szCs w:val="24"/>
          <w:highlight w:val="none"/>
          <w:u w:val="none"/>
        </w:rPr>
        <w:t>需联合体各方按要求共同盖章</w:t>
      </w:r>
      <w:r>
        <w:rPr>
          <w:rFonts w:hint="eastAsia" w:ascii="宋体" w:hAnsi="宋体" w:eastAsia="宋体"/>
          <w:b/>
          <w:bCs/>
          <w:color w:val="auto"/>
          <w:sz w:val="24"/>
          <w:szCs w:val="24"/>
          <w:highlight w:val="none"/>
          <w:u w:val="single"/>
          <w:lang w:eastAsia="zh-CN"/>
        </w:rPr>
        <w:t>、</w:t>
      </w:r>
      <w:r>
        <w:rPr>
          <w:rFonts w:hint="eastAsia" w:ascii="宋体" w:hAnsi="宋体" w:eastAsia="宋体"/>
          <w:b w:val="0"/>
          <w:bCs w:val="0"/>
          <w:color w:val="auto"/>
          <w:sz w:val="24"/>
          <w:szCs w:val="24"/>
          <w:highlight w:val="none"/>
          <w:u w:val="none"/>
        </w:rPr>
        <w:t>签字</w:t>
      </w:r>
      <w:r>
        <w:rPr>
          <w:rFonts w:hint="eastAsia" w:ascii="宋体" w:hAnsi="宋体" w:eastAsia="宋体"/>
          <w:b/>
          <w:bCs/>
          <w:color w:val="auto"/>
          <w:sz w:val="24"/>
          <w:szCs w:val="24"/>
          <w:highlight w:val="none"/>
          <w:u w:val="single"/>
          <w:lang w:val="en-US" w:eastAsia="zh-CN"/>
        </w:rPr>
        <w:t>外</w:t>
      </w:r>
      <w:r>
        <w:rPr>
          <w:rFonts w:hint="eastAsia" w:ascii="宋体" w:hAnsi="宋体" w:eastAsia="宋体"/>
          <w:b w:val="0"/>
          <w:bCs w:val="0"/>
          <w:color w:val="auto"/>
          <w:sz w:val="24"/>
          <w:szCs w:val="24"/>
          <w:highlight w:val="none"/>
          <w:u w:val="none"/>
        </w:rPr>
        <w:t>，其余</w:t>
      </w:r>
      <w:r>
        <w:rPr>
          <w:rFonts w:hint="default" w:ascii="宋体" w:hAnsi="宋体" w:eastAsia="宋体"/>
          <w:b/>
          <w:bCs/>
          <w:color w:val="auto"/>
          <w:sz w:val="24"/>
          <w:szCs w:val="24"/>
          <w:highlight w:val="none"/>
          <w:u w:val="single"/>
        </w:rPr>
        <w:t>资料没有明确哪一方盖章的，若需要签字或盖章的均</w:t>
      </w:r>
      <w:r>
        <w:rPr>
          <w:rFonts w:hint="eastAsia" w:ascii="宋体" w:hAnsi="宋体" w:eastAsia="宋体"/>
          <w:b w:val="0"/>
          <w:bCs w:val="0"/>
          <w:color w:val="auto"/>
          <w:sz w:val="24"/>
          <w:szCs w:val="24"/>
          <w:highlight w:val="none"/>
          <w:u w:val="none"/>
        </w:rPr>
        <w:t>可由联合体主办方签字</w:t>
      </w:r>
      <w:r>
        <w:rPr>
          <w:rFonts w:hint="eastAsia" w:ascii="宋体" w:hAnsi="宋体" w:eastAsia="宋体"/>
          <w:b w:val="0"/>
          <w:bCs w:val="0"/>
          <w:strike/>
          <w:color w:val="auto"/>
          <w:sz w:val="24"/>
          <w:szCs w:val="24"/>
          <w:highlight w:val="none"/>
          <w:u w:val="none"/>
        </w:rPr>
        <w:t>、</w:t>
      </w:r>
      <w:r>
        <w:rPr>
          <w:rFonts w:hint="eastAsia" w:ascii="宋体" w:hAnsi="宋体" w:eastAsia="宋体" w:cs="宋体"/>
          <w:b/>
          <w:bCs/>
          <w:strike w:val="0"/>
          <w:color w:val="auto"/>
          <w:kern w:val="0"/>
          <w:sz w:val="24"/>
          <w:szCs w:val="24"/>
          <w:highlight w:val="none"/>
          <w:u w:val="single"/>
          <w:lang w:val="en-US" w:eastAsia="zh-CN"/>
        </w:rPr>
        <w:t>或</w:t>
      </w:r>
      <w:r>
        <w:rPr>
          <w:rFonts w:hint="eastAsia" w:ascii="宋体" w:hAnsi="宋体" w:eastAsia="宋体"/>
          <w:b w:val="0"/>
          <w:bCs w:val="0"/>
          <w:color w:val="auto"/>
          <w:sz w:val="24"/>
          <w:szCs w:val="24"/>
          <w:highlight w:val="none"/>
          <w:u w:val="none"/>
        </w:rPr>
        <w:t>盖章即可，由联合体主办方法人签字</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或盖章</w:t>
      </w:r>
      <w:r>
        <w:rPr>
          <w:rFonts w:hint="eastAsia" w:ascii="宋体" w:hAnsi="宋体" w:eastAsia="宋体"/>
          <w:b/>
          <w:bCs/>
          <w:color w:val="auto"/>
          <w:sz w:val="24"/>
          <w:szCs w:val="24"/>
          <w:highlight w:val="none"/>
          <w:u w:val="single"/>
          <w:lang w:eastAsia="zh-CN"/>
        </w:rPr>
        <w:t>）</w:t>
      </w:r>
      <w:r>
        <w:rPr>
          <w:rFonts w:hint="eastAsia" w:ascii="宋体" w:hAnsi="宋体" w:eastAsia="宋体"/>
          <w:b w:val="0"/>
          <w:bCs w:val="0"/>
          <w:color w:val="auto"/>
          <w:sz w:val="24"/>
          <w:szCs w:val="24"/>
          <w:highlight w:val="none"/>
          <w:u w:val="none"/>
        </w:rPr>
        <w:t>的电子投标文件需提供主办方法定代表人身份证明</w:t>
      </w:r>
      <w:r>
        <w:rPr>
          <w:rFonts w:hint="eastAsia" w:ascii="宋体" w:hAnsi="宋体" w:eastAsia="宋体" w:cs="宋体"/>
          <w:b/>
          <w:bCs/>
          <w:color w:val="auto"/>
          <w:kern w:val="0"/>
          <w:sz w:val="24"/>
          <w:szCs w:val="24"/>
          <w:highlight w:val="none"/>
          <w:u w:val="single"/>
          <w:lang w:val="en-US" w:eastAsia="zh-CN"/>
        </w:rPr>
        <w:t>书</w:t>
      </w:r>
      <w:r>
        <w:rPr>
          <w:rFonts w:hint="eastAsia" w:ascii="宋体" w:hAnsi="宋体" w:eastAsia="宋体"/>
          <w:b w:val="0"/>
          <w:bCs w:val="0"/>
          <w:color w:val="auto"/>
          <w:sz w:val="24"/>
          <w:szCs w:val="24"/>
          <w:highlight w:val="none"/>
          <w:u w:val="none"/>
        </w:rPr>
        <w:t>，若由联合体主办方法定代表人授权签字</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或盖章</w:t>
      </w:r>
      <w:r>
        <w:rPr>
          <w:rFonts w:hint="eastAsia" w:ascii="宋体" w:hAnsi="宋体" w:eastAsia="宋体"/>
          <w:b/>
          <w:bCs/>
          <w:color w:val="auto"/>
          <w:sz w:val="24"/>
          <w:szCs w:val="24"/>
          <w:highlight w:val="none"/>
          <w:u w:val="single"/>
          <w:lang w:eastAsia="zh-CN"/>
        </w:rPr>
        <w:t>）</w:t>
      </w:r>
      <w:r>
        <w:rPr>
          <w:rFonts w:hint="eastAsia" w:ascii="宋体" w:hAnsi="宋体" w:eastAsia="宋体"/>
          <w:b w:val="0"/>
          <w:bCs w:val="0"/>
          <w:color w:val="auto"/>
          <w:sz w:val="24"/>
          <w:szCs w:val="24"/>
          <w:highlight w:val="none"/>
          <w:u w:val="none"/>
        </w:rPr>
        <w:t>的电子投标文件需提供法定代表人身份证明</w:t>
      </w:r>
      <w:r>
        <w:rPr>
          <w:rFonts w:hint="eastAsia" w:ascii="宋体" w:hAnsi="宋体" w:eastAsia="宋体" w:cs="宋体"/>
          <w:b/>
          <w:bCs/>
          <w:color w:val="auto"/>
          <w:kern w:val="0"/>
          <w:sz w:val="24"/>
          <w:szCs w:val="24"/>
          <w:highlight w:val="none"/>
          <w:u w:val="single"/>
          <w:lang w:val="en-US" w:eastAsia="zh-CN"/>
        </w:rPr>
        <w:t>书</w:t>
      </w:r>
      <w:r>
        <w:rPr>
          <w:rFonts w:hint="eastAsia" w:ascii="宋体" w:hAnsi="宋体" w:eastAsia="宋体"/>
          <w:b w:val="0"/>
          <w:bCs w:val="0"/>
          <w:color w:val="auto"/>
          <w:sz w:val="24"/>
          <w:szCs w:val="24"/>
          <w:highlight w:val="none"/>
          <w:u w:val="none"/>
        </w:rPr>
        <w:t>及其授权委托书、授权委托人身份证扫描件。</w:t>
      </w:r>
      <w:r>
        <w:rPr>
          <w:rFonts w:hint="eastAsia" w:ascii="宋体" w:hAnsi="宋体" w:eastAsia="宋体" w:cs="宋体"/>
          <w:b/>
          <w:bCs/>
          <w:color w:val="auto"/>
          <w:kern w:val="0"/>
          <w:sz w:val="24"/>
          <w:szCs w:val="24"/>
          <w:highlight w:val="none"/>
          <w:u w:val="single"/>
        </w:rPr>
        <w:t>（技术文件的编制不在此要求内。）</w:t>
      </w:r>
    </w:p>
    <w:p w14:paraId="3D1882AF">
      <w:pPr>
        <w:spacing w:line="360" w:lineRule="auto"/>
        <w:ind w:firstLine="426" w:firstLineChars="177"/>
        <w:rPr>
          <w:rFonts w:hint="eastAsia" w:ascii="宋体" w:hAnsi="宋体" w:eastAsia="宋体"/>
          <w:b/>
          <w:bCs/>
          <w:color w:val="auto"/>
          <w:sz w:val="24"/>
          <w:szCs w:val="24"/>
          <w:highlight w:val="none"/>
          <w:lang w:eastAsia="zh-CN"/>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4.3.5</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w:t>
      </w:r>
      <w:r>
        <w:rPr>
          <w:rFonts w:hint="eastAsia" w:ascii="宋体" w:hAnsi="宋体" w:eastAsia="宋体"/>
          <w:b/>
          <w:bCs/>
          <w:color w:val="auto"/>
          <w:sz w:val="24"/>
          <w:szCs w:val="24"/>
          <w:highlight w:val="none"/>
          <w:lang w:val="en-US" w:eastAsia="zh-CN"/>
        </w:rPr>
        <w:t>删除</w:t>
      </w:r>
    </w:p>
    <w:p w14:paraId="27EBCA61">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lang w:val="en-US" w:eastAsia="zh-CN"/>
        </w:rPr>
        <w:t>原</w:t>
      </w:r>
      <w:r>
        <w:rPr>
          <w:rFonts w:hint="eastAsia" w:ascii="宋体" w:hAnsi="宋体" w:eastAsia="宋体"/>
          <w:b/>
          <w:bCs/>
          <w:color w:val="auto"/>
          <w:sz w:val="24"/>
          <w:szCs w:val="24"/>
          <w:highlight w:val="none"/>
        </w:rPr>
        <w:t>文：</w:t>
      </w:r>
      <w:r>
        <w:rPr>
          <w:rFonts w:hint="eastAsia" w:ascii="宋体" w:hAnsi="宋体" w:eastAsia="宋体" w:cs="宋体"/>
          <w:color w:val="auto"/>
          <w:spacing w:val="-2"/>
          <w:kern w:val="0"/>
          <w:sz w:val="24"/>
          <w:szCs w:val="24"/>
          <w:highlight w:val="none"/>
        </w:rPr>
        <w:t>4.3.5 投标人撤回投标文件的，招标人自收到投标人书面撤回通知之日起5日内退还已收取的投标保证金。</w:t>
      </w:r>
    </w:p>
    <w:p w14:paraId="2C352298">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5.2.1至5.2.2</w:t>
      </w:r>
      <w:r>
        <w:rPr>
          <w:rFonts w:ascii="宋体" w:hAnsi="宋体" w:eastAsia="宋体"/>
          <w:b/>
          <w:bCs/>
          <w:color w:val="auto"/>
          <w:sz w:val="24"/>
          <w:szCs w:val="24"/>
          <w:highlight w:val="none"/>
        </w:rPr>
        <w:t xml:space="preserve">         修改类型：修改</w:t>
      </w:r>
    </w:p>
    <w:p w14:paraId="5E2E26F7">
      <w:pPr>
        <w:spacing w:line="360" w:lineRule="auto"/>
        <w:ind w:firstLine="426" w:firstLineChars="177"/>
        <w:rPr>
          <w:rFonts w:hint="eastAsia" w:ascii="宋体" w:hAnsi="宋体" w:eastAsia="宋体" w:cs="宋体"/>
          <w:color w:val="auto"/>
          <w:kern w:val="0"/>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5.2.1 在投标截止时间后一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592BEC2B">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s="宋体"/>
          <w:color w:val="auto"/>
          <w:kern w:val="0"/>
          <w:sz w:val="24"/>
          <w:szCs w:val="24"/>
          <w:highlight w:val="none"/>
        </w:rPr>
        <w:t>5.2.2 按开标记录表规定的内容进行唱标。</w:t>
      </w:r>
    </w:p>
    <w:p w14:paraId="722D272B">
      <w:pPr>
        <w:pBdr>
          <w:bottom w:val="single" w:color="auto" w:sz="6" w:space="1"/>
        </w:pBdr>
        <w:spacing w:line="360" w:lineRule="auto"/>
        <w:ind w:firstLine="426" w:firstLineChars="177"/>
        <w:rPr>
          <w:rFonts w:hint="eastAsia" w:ascii="宋体" w:hAnsi="宋体" w:eastAsia="宋体" w:cs="宋体"/>
          <w:color w:val="auto"/>
          <w:kern w:val="0"/>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5.2.1 在投标截止时间后一小时内，投标人通过递交投标文件的交易平台对已递交的电子投标文件进行解密。投标人完成解密后，再由招标人进行解密。解密完成后，公布招标项目名称、投标人名称、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宋体"/>
          <w:strike/>
          <w:color w:val="auto"/>
          <w:kern w:val="0"/>
          <w:sz w:val="24"/>
          <w:szCs w:val="24"/>
          <w:highlight w:val="none"/>
        </w:rPr>
        <w:t>投标保证金的递交情况、</w:t>
      </w:r>
      <w:r>
        <w:rPr>
          <w:rFonts w:hint="eastAsia" w:ascii="宋体" w:hAnsi="宋体" w:eastAsia="宋体" w:cs="宋体"/>
          <w:color w:val="auto"/>
          <w:kern w:val="0"/>
          <w:sz w:val="24"/>
          <w:szCs w:val="24"/>
          <w:highlight w:val="none"/>
        </w:rPr>
        <w:t>投标报价、项目负责人及其他内容。未在规定时间内解密的投标文件不参与开标、评标。</w:t>
      </w:r>
    </w:p>
    <w:p w14:paraId="3EF8D9C3">
      <w:pPr>
        <w:pBdr>
          <w:bottom w:val="single" w:color="auto" w:sz="6" w:space="1"/>
        </w:pBd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s="宋体"/>
          <w:color w:val="auto"/>
          <w:kern w:val="0"/>
          <w:sz w:val="24"/>
          <w:szCs w:val="24"/>
          <w:highlight w:val="none"/>
        </w:rPr>
        <w:t>5.2.2 按开标记录表规定的内容进行唱标。</w:t>
      </w:r>
      <w:r>
        <w:rPr>
          <w:rFonts w:hint="eastAsia" w:ascii="宋体" w:hAnsi="宋体" w:eastAsia="宋体" w:cs="宋体"/>
          <w:b/>
          <w:bCs/>
          <w:color w:val="auto"/>
          <w:kern w:val="0"/>
          <w:sz w:val="24"/>
          <w:szCs w:val="24"/>
          <w:highlight w:val="none"/>
          <w:u w:val="single"/>
        </w:rPr>
        <w:t>技术文件（勘察设计方案）开标时不得开启，在评标时由交易平台随机编号后开启，交由评标委员会进行评审。编号所对应的投标人在技术文件评审结束前不得告知评标委员会、交易平台工作人员、招标人或招标代理机构。</w:t>
      </w:r>
    </w:p>
    <w:p w14:paraId="6D5BD04A">
      <w:pPr>
        <w:spacing w:line="360" w:lineRule="auto"/>
        <w:ind w:firstLine="426" w:firstLineChars="177"/>
        <w:rPr>
          <w:rFonts w:hint="eastAsia" w:ascii="宋体" w:hAnsi="宋体" w:eastAsia="宋体"/>
          <w:b/>
          <w:bCs/>
          <w:color w:val="auto"/>
          <w:sz w:val="24"/>
          <w:szCs w:val="24"/>
          <w:highlight w:val="none"/>
          <w:lang w:eastAsia="zh-CN"/>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6.1.4</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w:t>
      </w:r>
      <w:r>
        <w:rPr>
          <w:rFonts w:hint="eastAsia" w:ascii="宋体" w:hAnsi="宋体" w:eastAsia="宋体"/>
          <w:b/>
          <w:bCs/>
          <w:color w:val="auto"/>
          <w:sz w:val="24"/>
          <w:szCs w:val="24"/>
          <w:highlight w:val="none"/>
          <w:lang w:val="en-US" w:eastAsia="zh-CN"/>
        </w:rPr>
        <w:t>增加</w:t>
      </w:r>
    </w:p>
    <w:p w14:paraId="28B5E88B">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b/>
          <w:bCs/>
          <w:color w:val="auto"/>
          <w:sz w:val="24"/>
          <w:szCs w:val="24"/>
          <w:highlight w:val="none"/>
          <w:u w:val="single"/>
        </w:rPr>
        <w:t>6.1.4 评标委员会在开始评标前，应了解评标专家的职责及守则，认真阅读附件《评标委员会成员声明》的内容并签名，签名后方可进行评标。</w:t>
      </w:r>
    </w:p>
    <w:p w14:paraId="799DDF90">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7.1.2</w:t>
      </w:r>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修改类型：修改</w:t>
      </w:r>
    </w:p>
    <w:p w14:paraId="44065B7B">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7.1.2 在产生中标候选人后，招标人将中标候选人的投标文件商务部分（包括人员、业绩、奖项等资料）在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网站和广东省招标投标监管网公开。</w:t>
      </w:r>
    </w:p>
    <w:p w14:paraId="46300214">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7.1.2 在产生中标候选人后，招标人将中标候选人的投标文件商务部分（包括人员、业绩、奖项等资料</w:t>
      </w:r>
      <w:r>
        <w:rPr>
          <w:rFonts w:hint="eastAsia" w:ascii="宋体" w:hAnsi="宋体" w:eastAsia="宋体" w:cs="宋体"/>
          <w:b/>
          <w:bCs/>
          <w:color w:val="auto"/>
          <w:kern w:val="0"/>
          <w:sz w:val="24"/>
          <w:szCs w:val="24"/>
          <w:highlight w:val="none"/>
          <w:u w:val="single"/>
        </w:rPr>
        <w:t>，但报价清单、方案等涉及商业秘密的内容除外</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网站和广东省招标投标监管网公开。</w:t>
      </w:r>
    </w:p>
    <w:p w14:paraId="7CA30ABE">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7.5.1</w:t>
      </w:r>
      <w:r>
        <w:rPr>
          <w:rFonts w:ascii="宋体" w:hAnsi="宋体" w:eastAsia="宋体"/>
          <w:b/>
          <w:bCs/>
          <w:color w:val="auto"/>
          <w:sz w:val="24"/>
          <w:szCs w:val="24"/>
          <w:highlight w:val="none"/>
        </w:rPr>
        <w:t xml:space="preserve">         修改类型：修改</w:t>
      </w:r>
    </w:p>
    <w:p w14:paraId="525FB594">
      <w:pPr>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原文：</w:t>
      </w:r>
      <w:r>
        <w:rPr>
          <w:rFonts w:hint="eastAsia" w:ascii="宋体" w:hAnsi="宋体" w:eastAsia="宋体" w:cs="宋体"/>
          <w:color w:val="auto"/>
          <w:kern w:val="0"/>
          <w:sz w:val="24"/>
          <w:szCs w:val="24"/>
          <w:highlight w:val="none"/>
        </w:rPr>
        <w:t>7.5.1 在法规规定的时间内，招标人向中标人发出中标通知书。在广东省招标投标监管网和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网站发布中标信息，视同将中标结果通知未中标的投标人。</w:t>
      </w:r>
    </w:p>
    <w:p w14:paraId="12421216">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color w:val="auto"/>
          <w:kern w:val="0"/>
          <w:sz w:val="24"/>
          <w:szCs w:val="24"/>
          <w:highlight w:val="none"/>
        </w:rPr>
        <w:t>7.5.1 在法规规定的时间内，招标人向中标人发出中标通知书</w:t>
      </w:r>
      <w:r>
        <w:rPr>
          <w:rFonts w:hint="eastAsia" w:ascii="宋体" w:hAnsi="宋体" w:eastAsia="宋体"/>
          <w:b/>
          <w:bCs/>
          <w:color w:val="auto"/>
          <w:sz w:val="24"/>
          <w:szCs w:val="24"/>
          <w:highlight w:val="none"/>
          <w:u w:val="single"/>
          <w:lang w:eastAsia="zh-CN"/>
        </w:rPr>
        <w:t>，中标人自行于广州交易集团有限公司（广州公共资源交易中心）交易平台下载中标通知书</w:t>
      </w:r>
      <w:r>
        <w:rPr>
          <w:rFonts w:hint="eastAsia" w:ascii="宋体" w:hAnsi="宋体" w:eastAsia="宋体" w:cs="宋体"/>
          <w:color w:val="auto"/>
          <w:kern w:val="0"/>
          <w:sz w:val="24"/>
          <w:szCs w:val="24"/>
          <w:highlight w:val="none"/>
        </w:rPr>
        <w:t>。在广东省招标投标监管网和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网站发布中标信息，视同将中标结果通知未中标的投标人。</w:t>
      </w:r>
      <w:r>
        <w:rPr>
          <w:rFonts w:hint="default" w:ascii="宋体" w:hAnsi="宋体" w:eastAsia="宋体"/>
          <w:b/>
          <w:bCs/>
          <w:color w:val="auto"/>
          <w:sz w:val="24"/>
          <w:szCs w:val="24"/>
          <w:highlight w:val="none"/>
          <w:u w:val="single"/>
        </w:rPr>
        <w:t>中标人须对其投标文件真实性负责，并准备投标文件涉及的所有原件待查，如存在弄虚作假情况或原件不齐或与原件不符的，招标人有权取消其中标人资格，并上报建设行政主管部门。</w:t>
      </w:r>
    </w:p>
    <w:p w14:paraId="7C21A58C">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7.6</w:t>
      </w:r>
      <w:r>
        <w:rPr>
          <w:rFonts w:ascii="宋体" w:hAnsi="宋体" w:eastAsia="宋体"/>
          <w:b/>
          <w:bCs/>
          <w:color w:val="auto"/>
          <w:sz w:val="24"/>
          <w:szCs w:val="24"/>
          <w:highlight w:val="none"/>
        </w:rPr>
        <w:t xml:space="preserve">         修改类型：修改</w:t>
      </w:r>
    </w:p>
    <w:p w14:paraId="08AEAA40">
      <w:pPr>
        <w:spacing w:line="360" w:lineRule="auto"/>
        <w:ind w:firstLine="426" w:firstLineChars="177"/>
        <w:rPr>
          <w:rFonts w:hint="eastAsia" w:ascii="宋体" w:hAnsi="宋体" w:eastAsia="宋体" w:cs="宋体"/>
          <w:color w:val="auto"/>
          <w:spacing w:val="-2"/>
          <w:kern w:val="0"/>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pacing w:val="-2"/>
          <w:kern w:val="0"/>
          <w:sz w:val="24"/>
          <w:szCs w:val="24"/>
          <w:highlight w:val="none"/>
        </w:rPr>
        <w:t>7.6 技术成果经济补偿</w:t>
      </w:r>
    </w:p>
    <w:p w14:paraId="49EEFCA8">
      <w:pPr>
        <w:spacing w:line="360" w:lineRule="auto"/>
        <w:ind w:firstLine="417" w:firstLineChars="177"/>
        <w:rPr>
          <w:rFonts w:ascii="宋体" w:hAnsi="宋体" w:eastAsia="宋体"/>
          <w:b/>
          <w:bCs/>
          <w:color w:val="auto"/>
          <w:sz w:val="24"/>
          <w:szCs w:val="24"/>
          <w:highlight w:val="none"/>
          <w:u w:val="single"/>
        </w:rPr>
      </w:pPr>
      <w:r>
        <w:rPr>
          <w:rFonts w:hint="eastAsia" w:ascii="宋体" w:hAnsi="宋体" w:eastAsia="宋体" w:cs="宋体"/>
          <w:color w:val="auto"/>
          <w:spacing w:val="-2"/>
          <w:kern w:val="0"/>
          <w:sz w:val="24"/>
          <w:szCs w:val="24"/>
          <w:highlight w:val="none"/>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14:paraId="66BE20E1">
      <w:pPr>
        <w:spacing w:line="360" w:lineRule="auto"/>
        <w:ind w:firstLine="426" w:firstLineChars="177"/>
        <w:rPr>
          <w:rFonts w:hint="eastAsia" w:ascii="宋体" w:hAnsi="宋体" w:eastAsia="宋体" w:cs="宋体"/>
          <w:color w:val="auto"/>
          <w:spacing w:val="-2"/>
          <w:kern w:val="0"/>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s="宋体"/>
          <w:color w:val="auto"/>
          <w:spacing w:val="-2"/>
          <w:kern w:val="0"/>
          <w:sz w:val="24"/>
          <w:szCs w:val="24"/>
          <w:highlight w:val="none"/>
        </w:rPr>
        <w:t>7.6 技术成果经济补偿</w:t>
      </w:r>
    </w:p>
    <w:p w14:paraId="6C28DDCB">
      <w:pPr>
        <w:pBdr>
          <w:bottom w:val="single" w:color="auto" w:sz="6" w:space="1"/>
        </w:pBdr>
        <w:spacing w:line="360" w:lineRule="auto"/>
        <w:ind w:firstLine="417" w:firstLineChars="177"/>
        <w:rPr>
          <w:rFonts w:ascii="宋体" w:hAnsi="宋体" w:eastAsia="宋体"/>
          <w:b/>
          <w:bCs/>
          <w:color w:val="auto"/>
          <w:sz w:val="24"/>
          <w:szCs w:val="24"/>
          <w:highlight w:val="none"/>
          <w:u w:val="single"/>
        </w:rPr>
      </w:pPr>
      <w:r>
        <w:rPr>
          <w:rFonts w:hint="eastAsia" w:ascii="宋体" w:hAnsi="宋体" w:eastAsia="宋体" w:cs="宋体"/>
          <w:strike/>
          <w:color w:val="auto"/>
          <w:spacing w:val="-2"/>
          <w:kern w:val="0"/>
          <w:sz w:val="24"/>
          <w:szCs w:val="24"/>
          <w:highlight w:val="none"/>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r>
        <w:rPr>
          <w:rFonts w:hint="eastAsia" w:ascii="宋体" w:hAnsi="宋体" w:eastAsia="宋体" w:cs="宋体"/>
          <w:b/>
          <w:bCs/>
          <w:strike w:val="0"/>
          <w:color w:val="auto"/>
          <w:spacing w:val="-2"/>
          <w:kern w:val="0"/>
          <w:sz w:val="24"/>
          <w:szCs w:val="24"/>
          <w:highlight w:val="none"/>
          <w:u w:val="single"/>
        </w:rPr>
        <w:t>本次招标对未中标人投标文件中的技术成果不给予经济补偿。</w:t>
      </w:r>
    </w:p>
    <w:p w14:paraId="2BDEFA4A">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7.7</w:t>
      </w:r>
      <w:r>
        <w:rPr>
          <w:rFonts w:ascii="宋体" w:hAnsi="宋体" w:eastAsia="宋体"/>
          <w:b/>
          <w:bCs/>
          <w:color w:val="auto"/>
          <w:sz w:val="24"/>
          <w:szCs w:val="24"/>
          <w:highlight w:val="none"/>
        </w:rPr>
        <w:t xml:space="preserve">         修改类型：修改</w:t>
      </w:r>
    </w:p>
    <w:p w14:paraId="20CE2F9F">
      <w:pPr>
        <w:spacing w:line="360" w:lineRule="auto"/>
        <w:ind w:firstLine="426" w:firstLineChars="177"/>
        <w:rPr>
          <w:rFonts w:hint="eastAsia"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7.7 履约保证金</w:t>
      </w:r>
    </w:p>
    <w:p w14:paraId="3E38EF21">
      <w:pPr>
        <w:spacing w:line="360" w:lineRule="auto"/>
        <w:ind w:firstLine="424" w:firstLineChars="17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F1A9DC9">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s="宋体"/>
          <w:color w:val="auto"/>
          <w:kern w:val="0"/>
          <w:sz w:val="24"/>
          <w:szCs w:val="24"/>
          <w:highlight w:val="none"/>
        </w:rPr>
        <w:t>7.7.2 中标人不能按本章第7.7.1项要求提交履约保证金的，视为放弃中标，其投标保证金不予退还，给招标人造成的损失超过投标保证金数额的，中标人还应当对超过部分予以赔偿。</w:t>
      </w:r>
    </w:p>
    <w:p w14:paraId="3B0C3EC4">
      <w:pPr>
        <w:spacing w:line="360" w:lineRule="auto"/>
        <w:ind w:firstLine="426" w:firstLineChars="177"/>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现文：7.7 履约保证金</w:t>
      </w:r>
      <w:r>
        <w:rPr>
          <w:rFonts w:hint="eastAsia" w:ascii="宋体" w:hAnsi="宋体" w:eastAsia="宋体" w:cs="宋体"/>
          <w:b/>
          <w:bCs/>
          <w:color w:val="auto"/>
          <w:spacing w:val="-2"/>
          <w:kern w:val="0"/>
          <w:sz w:val="24"/>
          <w:szCs w:val="24"/>
          <w:highlight w:val="none"/>
          <w:u w:val="single"/>
        </w:rPr>
        <w:t>（本项目不适用）</w:t>
      </w:r>
    </w:p>
    <w:p w14:paraId="59D396BD">
      <w:pPr>
        <w:spacing w:line="360" w:lineRule="auto"/>
        <w:ind w:firstLine="424" w:firstLineChars="177"/>
        <w:rPr>
          <w:rFonts w:hint="eastAsia"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D62C09B">
      <w:pPr>
        <w:pBdr>
          <w:bottom w:val="single" w:color="auto" w:sz="6" w:space="1"/>
        </w:pBdr>
        <w:spacing w:line="360" w:lineRule="auto"/>
        <w:ind w:firstLine="424" w:firstLineChars="177"/>
        <w:rPr>
          <w:rFonts w:ascii="宋体" w:hAnsi="宋体" w:eastAsia="宋体"/>
          <w:b/>
          <w:bCs/>
          <w:strike/>
          <w:color w:val="auto"/>
          <w:sz w:val="24"/>
          <w:szCs w:val="24"/>
          <w:highlight w:val="none"/>
          <w:u w:val="single"/>
        </w:rPr>
      </w:pPr>
      <w:r>
        <w:rPr>
          <w:rFonts w:hint="eastAsia" w:ascii="宋体" w:hAnsi="宋体" w:eastAsia="宋体" w:cs="宋体"/>
          <w:strike/>
          <w:color w:val="auto"/>
          <w:kern w:val="0"/>
          <w:sz w:val="24"/>
          <w:szCs w:val="24"/>
          <w:highlight w:val="none"/>
        </w:rPr>
        <w:t>7.7.2 中标人不能按本章第7.7.1项要求提交履约保证金的，视为放弃中标，其投标保证金不予退还，给招标人造成的损失超过投标保证金数额的，中标人还应当对超过部分予以赔偿。</w:t>
      </w:r>
    </w:p>
    <w:p w14:paraId="13CC1823">
      <w:pPr>
        <w:spacing w:line="360" w:lineRule="auto"/>
        <w:ind w:firstLine="426" w:firstLineChars="177"/>
        <w:rPr>
          <w:rFonts w:hint="eastAsia" w:ascii="宋体" w:hAnsi="宋体" w:eastAsia="宋体"/>
          <w:b/>
          <w:bCs/>
          <w:color w:val="auto"/>
          <w:sz w:val="24"/>
          <w:szCs w:val="24"/>
          <w:highlight w:val="none"/>
          <w:lang w:eastAsia="zh-CN"/>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附件《评标委员会成员声明》</w:t>
      </w:r>
      <w:r>
        <w:rPr>
          <w:rFonts w:ascii="宋体" w:hAnsi="宋体" w:eastAsia="宋体"/>
          <w:b/>
          <w:bCs/>
          <w:color w:val="auto"/>
          <w:sz w:val="24"/>
          <w:szCs w:val="24"/>
          <w:highlight w:val="none"/>
        </w:rPr>
        <w:t xml:space="preserve">         修改类型：</w:t>
      </w:r>
      <w:r>
        <w:rPr>
          <w:rFonts w:hint="eastAsia" w:ascii="宋体" w:hAnsi="宋体" w:eastAsia="宋体"/>
          <w:b/>
          <w:bCs/>
          <w:color w:val="auto"/>
          <w:sz w:val="24"/>
          <w:szCs w:val="24"/>
          <w:highlight w:val="none"/>
          <w:lang w:val="en-US" w:eastAsia="zh-CN"/>
        </w:rPr>
        <w:t>增加</w:t>
      </w:r>
    </w:p>
    <w:p w14:paraId="4EAC3DD0">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rPr>
        <w:t>现文：</w:t>
      </w:r>
      <w:r>
        <w:rPr>
          <w:rFonts w:hint="eastAsia" w:ascii="宋体" w:hAnsi="宋体" w:eastAsia="宋体" w:cs="宋体"/>
          <w:b/>
          <w:bCs/>
          <w:color w:val="auto"/>
          <w:spacing w:val="-2"/>
          <w:kern w:val="0"/>
          <w:sz w:val="24"/>
          <w:szCs w:val="24"/>
          <w:highlight w:val="none"/>
          <w:u w:val="single"/>
        </w:rPr>
        <w:t>详见附件《评标委员会成员声明》</w:t>
      </w:r>
    </w:p>
    <w:p w14:paraId="439EC8B6">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7F546060">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（以下无正文）</w:t>
      </w:r>
    </w:p>
    <w:p w14:paraId="2382BE8F">
      <w:pPr>
        <w:wordWrap w:val="0"/>
        <w:spacing w:line="360" w:lineRule="auto"/>
        <w:ind w:left="420" w:lef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C491EDC">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9" w:name="_Toc193357939"/>
      <w:bookmarkStart w:id="10" w:name="_Toc3060"/>
      <w:bookmarkStart w:id="11" w:name="_Toc111186724"/>
      <w:r>
        <w:rPr>
          <w:rFonts w:hint="eastAsia" w:ascii="宋体" w:hAnsi="宋体" w:eastAsia="宋体" w:cs="宋体"/>
          <w:b/>
          <w:bCs/>
          <w:color w:val="auto"/>
          <w:kern w:val="0"/>
          <w:sz w:val="30"/>
          <w:szCs w:val="30"/>
          <w:highlight w:val="none"/>
          <w:lang w:val="zh-CN"/>
        </w:rPr>
        <w:t>1. 总则</w:t>
      </w:r>
      <w:bookmarkEnd w:id="9"/>
      <w:bookmarkEnd w:id="10"/>
      <w:bookmarkEnd w:id="11"/>
    </w:p>
    <w:p w14:paraId="32304DB0">
      <w:pPr>
        <w:keepNext/>
        <w:keepLines/>
        <w:wordWrap w:val="0"/>
        <w:spacing w:before="260" w:line="416" w:lineRule="auto"/>
        <w:outlineLvl w:val="2"/>
        <w:rPr>
          <w:rFonts w:ascii="宋体" w:hAnsi="宋体" w:eastAsia="宋体" w:cs="宋体"/>
          <w:b/>
          <w:bCs/>
          <w:color w:val="auto"/>
          <w:spacing w:val="-2"/>
          <w:kern w:val="0"/>
          <w:sz w:val="24"/>
          <w:szCs w:val="24"/>
          <w:highlight w:val="none"/>
          <w:lang w:val="zh-CN"/>
        </w:rPr>
      </w:pPr>
      <w:bookmarkStart w:id="12" w:name="_Toc193357940"/>
      <w:bookmarkStart w:id="13" w:name="_Toc111186725"/>
      <w:bookmarkStart w:id="14" w:name="_Toc7733"/>
      <w:r>
        <w:rPr>
          <w:rFonts w:hint="eastAsia" w:ascii="宋体" w:hAnsi="宋体" w:eastAsia="宋体" w:cs="宋体"/>
          <w:b/>
          <w:bCs/>
          <w:color w:val="auto"/>
          <w:spacing w:val="1"/>
          <w:sz w:val="28"/>
          <w:szCs w:val="32"/>
          <w:highlight w:val="none"/>
          <w:lang w:val="zh-CN"/>
        </w:rPr>
        <w:t>1.1 招标项目概况</w:t>
      </w:r>
      <w:bookmarkEnd w:id="12"/>
      <w:bookmarkEnd w:id="13"/>
      <w:bookmarkEnd w:id="14"/>
    </w:p>
    <w:p w14:paraId="0CEA502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 根据《中华人民共和国招标投标法》、《中华人民共和国招标投标法实施条例》等有关法律、法规和规章的规定，本招标项目已具备招标条件，现对勘察设计进行招标。</w:t>
      </w:r>
    </w:p>
    <w:p w14:paraId="2FD2E77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 招标人：见投标人须知前附表。</w:t>
      </w:r>
    </w:p>
    <w:p w14:paraId="78A3961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1.1.3 招标代理机构：见投标人须知前附表。</w:t>
      </w:r>
    </w:p>
    <w:p w14:paraId="7D6E335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1.1.4 招标项目名称：见投标人须知前附表。</w:t>
      </w:r>
    </w:p>
    <w:p w14:paraId="158543E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1.1.5 项目建设地点：见投标人须知前附表。</w:t>
      </w:r>
    </w:p>
    <w:p w14:paraId="702E762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1.1.6 项目建设规模：见投标人须知前附表。</w:t>
      </w:r>
    </w:p>
    <w:p w14:paraId="67AEB1D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1.1.7 项目投资估算：见投标人须知前附表。</w:t>
      </w:r>
    </w:p>
    <w:p w14:paraId="0309D1A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05CAF6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 w:name="_Toc14504"/>
      <w:bookmarkStart w:id="16" w:name="_Toc111186726"/>
      <w:bookmarkStart w:id="17" w:name="_Toc193357941"/>
      <w:r>
        <w:rPr>
          <w:rFonts w:hint="eastAsia" w:ascii="宋体" w:hAnsi="宋体" w:eastAsia="宋体" w:cs="宋体"/>
          <w:b/>
          <w:bCs/>
          <w:color w:val="auto"/>
          <w:spacing w:val="1"/>
          <w:sz w:val="28"/>
          <w:szCs w:val="32"/>
          <w:highlight w:val="none"/>
          <w:lang w:val="zh-CN"/>
        </w:rPr>
        <w:t>1.2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招标项目</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资</w:t>
      </w:r>
      <w:r>
        <w:rPr>
          <w:rFonts w:hint="eastAsia" w:ascii="宋体" w:hAnsi="宋体" w:eastAsia="宋体" w:cs="宋体"/>
          <w:b/>
          <w:bCs/>
          <w:color w:val="auto"/>
          <w:spacing w:val="-3"/>
          <w:sz w:val="28"/>
          <w:szCs w:val="32"/>
          <w:highlight w:val="none"/>
          <w:lang w:val="zh-CN"/>
        </w:rPr>
        <w:t>金</w:t>
      </w:r>
      <w:r>
        <w:rPr>
          <w:rFonts w:hint="eastAsia" w:ascii="宋体" w:hAnsi="宋体" w:eastAsia="宋体" w:cs="宋体"/>
          <w:b/>
          <w:bCs/>
          <w:color w:val="auto"/>
          <w:spacing w:val="1"/>
          <w:sz w:val="28"/>
          <w:szCs w:val="32"/>
          <w:highlight w:val="none"/>
          <w:lang w:val="zh-CN"/>
        </w:rPr>
        <w:t>来源和</w:t>
      </w:r>
      <w:r>
        <w:rPr>
          <w:rFonts w:hint="eastAsia" w:ascii="宋体" w:hAnsi="宋体" w:eastAsia="宋体" w:cs="宋体"/>
          <w:b/>
          <w:bCs/>
          <w:color w:val="auto"/>
          <w:spacing w:val="-3"/>
          <w:sz w:val="28"/>
          <w:szCs w:val="32"/>
          <w:highlight w:val="none"/>
          <w:lang w:val="zh-CN"/>
        </w:rPr>
        <w:t>落</w:t>
      </w:r>
      <w:r>
        <w:rPr>
          <w:rFonts w:hint="eastAsia" w:ascii="宋体" w:hAnsi="宋体" w:eastAsia="宋体" w:cs="宋体"/>
          <w:b/>
          <w:bCs/>
          <w:color w:val="auto"/>
          <w:spacing w:val="1"/>
          <w:sz w:val="28"/>
          <w:szCs w:val="32"/>
          <w:highlight w:val="none"/>
          <w:lang w:val="zh-CN"/>
        </w:rPr>
        <w:t>实情况</w:t>
      </w:r>
      <w:bookmarkEnd w:id="15"/>
      <w:bookmarkEnd w:id="16"/>
      <w:bookmarkEnd w:id="17"/>
    </w:p>
    <w:p w14:paraId="011B2E8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1.2.1 资金来源及比例：见投标人须知前附表。</w:t>
      </w:r>
    </w:p>
    <w:p w14:paraId="29F5ED7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1.2.2 资金落实情况：见投标人须知前附表。</w:t>
      </w:r>
    </w:p>
    <w:p w14:paraId="3301965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B2358F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8" w:name="_Toc13854"/>
      <w:bookmarkStart w:id="19" w:name="_Toc193357942"/>
      <w:bookmarkStart w:id="20" w:name="_Toc111186727"/>
      <w:r>
        <w:rPr>
          <w:rFonts w:hint="eastAsia" w:ascii="宋体" w:hAnsi="宋体" w:eastAsia="宋体" w:cs="宋体"/>
          <w:b/>
          <w:bCs/>
          <w:color w:val="auto"/>
          <w:spacing w:val="1"/>
          <w:sz w:val="28"/>
          <w:szCs w:val="32"/>
          <w:highlight w:val="none"/>
          <w:lang w:val="zh-CN"/>
        </w:rPr>
        <w:t>1.3</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招标范</w:t>
      </w:r>
      <w:r>
        <w:rPr>
          <w:rFonts w:hint="eastAsia" w:ascii="宋体" w:hAnsi="宋体" w:eastAsia="宋体" w:cs="宋体"/>
          <w:b/>
          <w:bCs/>
          <w:color w:val="auto"/>
          <w:spacing w:val="-3"/>
          <w:sz w:val="28"/>
          <w:szCs w:val="32"/>
          <w:highlight w:val="none"/>
          <w:lang w:val="zh-CN"/>
        </w:rPr>
        <w:t>围</w:t>
      </w:r>
      <w:r>
        <w:rPr>
          <w:rFonts w:hint="eastAsia" w:ascii="宋体" w:hAnsi="宋体" w:eastAsia="宋体" w:cs="宋体"/>
          <w:b/>
          <w:bCs/>
          <w:color w:val="auto"/>
          <w:spacing w:val="1"/>
          <w:sz w:val="28"/>
          <w:szCs w:val="32"/>
          <w:highlight w:val="none"/>
          <w:lang w:val="zh-CN"/>
        </w:rPr>
        <w:t>、勘察设</w:t>
      </w:r>
      <w:r>
        <w:rPr>
          <w:rFonts w:hint="eastAsia" w:ascii="宋体" w:hAnsi="宋体" w:eastAsia="宋体" w:cs="宋体"/>
          <w:b/>
          <w:bCs/>
          <w:color w:val="auto"/>
          <w:spacing w:val="-2"/>
          <w:sz w:val="28"/>
          <w:szCs w:val="32"/>
          <w:highlight w:val="none"/>
          <w:lang w:val="zh-CN"/>
        </w:rPr>
        <w:t>计</w:t>
      </w:r>
      <w:r>
        <w:rPr>
          <w:rFonts w:hint="eastAsia" w:ascii="宋体" w:hAnsi="宋体" w:eastAsia="宋体" w:cs="宋体"/>
          <w:b/>
          <w:bCs/>
          <w:color w:val="auto"/>
          <w:spacing w:val="1"/>
          <w:sz w:val="28"/>
          <w:szCs w:val="32"/>
          <w:highlight w:val="none"/>
          <w:lang w:val="zh-CN"/>
        </w:rPr>
        <w:t>服务期</w:t>
      </w:r>
      <w:r>
        <w:rPr>
          <w:rFonts w:hint="eastAsia" w:ascii="宋体" w:hAnsi="宋体" w:eastAsia="宋体" w:cs="宋体"/>
          <w:b/>
          <w:bCs/>
          <w:color w:val="auto"/>
          <w:spacing w:val="-3"/>
          <w:sz w:val="28"/>
          <w:szCs w:val="32"/>
          <w:highlight w:val="none"/>
          <w:lang w:val="zh-CN"/>
        </w:rPr>
        <w:t>限</w:t>
      </w:r>
      <w:r>
        <w:rPr>
          <w:rFonts w:hint="eastAsia" w:ascii="宋体" w:hAnsi="宋体" w:eastAsia="宋体" w:cs="宋体"/>
          <w:b/>
          <w:bCs/>
          <w:color w:val="auto"/>
          <w:spacing w:val="1"/>
          <w:sz w:val="28"/>
          <w:szCs w:val="32"/>
          <w:highlight w:val="none"/>
          <w:lang w:val="zh-CN"/>
        </w:rPr>
        <w:t>和质</w:t>
      </w:r>
      <w:r>
        <w:rPr>
          <w:rFonts w:hint="eastAsia" w:ascii="宋体" w:hAnsi="宋体" w:eastAsia="宋体" w:cs="宋体"/>
          <w:b/>
          <w:bCs/>
          <w:color w:val="auto"/>
          <w:spacing w:val="-3"/>
          <w:sz w:val="28"/>
          <w:szCs w:val="32"/>
          <w:highlight w:val="none"/>
          <w:lang w:val="zh-CN"/>
        </w:rPr>
        <w:t>量标</w:t>
      </w:r>
      <w:r>
        <w:rPr>
          <w:rFonts w:hint="eastAsia" w:ascii="宋体" w:hAnsi="宋体" w:eastAsia="宋体" w:cs="宋体"/>
          <w:b/>
          <w:bCs/>
          <w:color w:val="auto"/>
          <w:spacing w:val="1"/>
          <w:sz w:val="28"/>
          <w:szCs w:val="32"/>
          <w:highlight w:val="none"/>
          <w:lang w:val="zh-CN"/>
        </w:rPr>
        <w:t>准</w:t>
      </w:r>
      <w:bookmarkEnd w:id="18"/>
      <w:bookmarkEnd w:id="19"/>
      <w:bookmarkEnd w:id="20"/>
    </w:p>
    <w:p w14:paraId="49F1A17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1.3.1 招标范围：见投标人须知前附表。</w:t>
      </w:r>
    </w:p>
    <w:p w14:paraId="56F757D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1.3.2 勘察设计服务期限：见投标人须知前附表。</w:t>
      </w:r>
    </w:p>
    <w:p w14:paraId="5457D2E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1.3.3 质量标准：见投标人须知前附表。</w:t>
      </w:r>
    </w:p>
    <w:p w14:paraId="00FAD33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56D8E72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1" w:name="_Toc22012"/>
      <w:bookmarkStart w:id="22" w:name="_Toc193357943"/>
      <w:bookmarkStart w:id="23" w:name="_Toc111186728"/>
      <w:r>
        <w:rPr>
          <w:rFonts w:hint="eastAsia" w:ascii="宋体" w:hAnsi="宋体" w:eastAsia="宋体" w:cs="宋体"/>
          <w:b/>
          <w:bCs/>
          <w:color w:val="auto"/>
          <w:spacing w:val="1"/>
          <w:sz w:val="28"/>
          <w:szCs w:val="32"/>
          <w:highlight w:val="none"/>
          <w:lang w:val="zh-CN"/>
        </w:rPr>
        <w:t>1.4</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投标人</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格要求</w:t>
      </w:r>
      <w:bookmarkEnd w:id="21"/>
      <w:bookmarkEnd w:id="22"/>
      <w:bookmarkEnd w:id="23"/>
    </w:p>
    <w:p w14:paraId="5E69ACF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1.4.1 投标人应具备承担本招标项目资质条件、能力和信誉：</w:t>
      </w:r>
    </w:p>
    <w:p w14:paraId="51DAD36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（1）资质要求：见投标人须知前附表；</w:t>
      </w:r>
    </w:p>
    <w:p w14:paraId="0016DB7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（2）业绩要求：见投标人须知前附表；</w:t>
      </w:r>
    </w:p>
    <w:p w14:paraId="35EC244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（3）项目负责人的资格要求：</w:t>
      </w:r>
      <w:r>
        <w:rPr>
          <w:rFonts w:hint="eastAsia" w:ascii="宋体" w:hAnsi="宋体" w:eastAsia="宋体" w:cs="宋体"/>
          <w:strike/>
          <w:color w:val="auto"/>
          <w:spacing w:val="-2"/>
          <w:kern w:val="0"/>
          <w:sz w:val="24"/>
          <w:szCs w:val="24"/>
          <w:highlight w:val="none"/>
        </w:rPr>
        <w:t>应当具备工程设计类注册执业资格（如有），</w:t>
      </w:r>
      <w:r>
        <w:rPr>
          <w:rFonts w:hint="eastAsia" w:ascii="宋体" w:hAnsi="宋体" w:eastAsia="宋体" w:cs="宋体"/>
          <w:color w:val="auto"/>
          <w:spacing w:val="-2"/>
          <w:kern w:val="0"/>
          <w:sz w:val="24"/>
          <w:szCs w:val="24"/>
          <w:highlight w:val="none"/>
        </w:rPr>
        <w:t>具体要求见投标人须知前附表；</w:t>
      </w:r>
    </w:p>
    <w:p w14:paraId="56DF770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（4）其他主要人员要求：见投标人须知前附表。</w:t>
      </w:r>
    </w:p>
    <w:p w14:paraId="6D4A5B2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（5）其他要求：见投标人须知前附表。</w:t>
      </w:r>
    </w:p>
    <w:p w14:paraId="13D98CF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需要提交的相关证明材料见本章第3.5款的规定。</w:t>
      </w:r>
    </w:p>
    <w:p w14:paraId="7EC59B6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1.4.2 投标人须知前附表规定接受联合体投标的，联合体除应符合本章第1.4.1项和投标人须知前附表的要求外，还应遵守以下规定：</w:t>
      </w:r>
    </w:p>
    <w:p w14:paraId="40FDBCC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（1）联合体各方应按招标文件提供的格式签订联合体协议书，明确联合体</w:t>
      </w:r>
      <w:r>
        <w:rPr>
          <w:rFonts w:hint="eastAsia" w:ascii="宋体" w:hAnsi="宋体" w:eastAsia="宋体" w:cs="宋体"/>
          <w:b/>
          <w:bCs/>
          <w:color w:val="auto"/>
          <w:spacing w:val="-2"/>
          <w:kern w:val="0"/>
          <w:sz w:val="24"/>
          <w:szCs w:val="24"/>
          <w:highlight w:val="none"/>
          <w:u w:val="single"/>
          <w:lang w:val="en-US" w:eastAsia="zh-CN"/>
        </w:rPr>
        <w:t>主办方</w:t>
      </w:r>
      <w:r>
        <w:rPr>
          <w:rFonts w:hint="eastAsia" w:ascii="宋体" w:hAnsi="宋体" w:eastAsia="宋体" w:cs="宋体"/>
          <w:strike/>
          <w:color w:val="auto"/>
          <w:spacing w:val="-2"/>
          <w:kern w:val="0"/>
          <w:sz w:val="24"/>
          <w:szCs w:val="24"/>
          <w:highlight w:val="none"/>
        </w:rPr>
        <w:t>牵头人</w:t>
      </w:r>
      <w:r>
        <w:rPr>
          <w:rFonts w:hint="eastAsia" w:ascii="宋体" w:hAnsi="宋体" w:eastAsia="宋体" w:cs="宋体"/>
          <w:color w:val="auto"/>
          <w:spacing w:val="-2"/>
          <w:kern w:val="0"/>
          <w:sz w:val="24"/>
          <w:szCs w:val="24"/>
          <w:highlight w:val="none"/>
        </w:rPr>
        <w:t>和各方权利义务，并承诺就中标项目向招标人承担连带责任；</w:t>
      </w:r>
    </w:p>
    <w:p w14:paraId="33A200F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（2）由同一专业的单位组成的联合体，按照资质等级较低的单位确定资质等级；</w:t>
      </w:r>
    </w:p>
    <w:p w14:paraId="1824427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（3）联合体各方不得再以自己名义单独或参加其他联合体在本招标项目中投标，否则各相关投标均无效。</w:t>
      </w:r>
    </w:p>
    <w:p w14:paraId="21EDAA0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1.4.3 投标人不得存在下列情形之一：</w:t>
      </w:r>
    </w:p>
    <w:p w14:paraId="3445B3B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（1）为招标人不具有独立法人资格的附属机构（单位）；</w:t>
      </w:r>
    </w:p>
    <w:p w14:paraId="011B525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（2）与招标人存在利害关系且可能影响招标公正性；</w:t>
      </w:r>
    </w:p>
    <w:p w14:paraId="33B4960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（3）与本招标项目的其他投标人为同一个单位负责人；</w:t>
      </w:r>
    </w:p>
    <w:p w14:paraId="40287A0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（4）与本招标项目的其他投标人存在控股、管理关系；</w:t>
      </w:r>
    </w:p>
    <w:p w14:paraId="5019DDD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（5）为本招标项目的代建人或建设管理单位；</w:t>
      </w:r>
    </w:p>
    <w:p w14:paraId="34C7395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（6）为本招标项目的招标代理机构；</w:t>
      </w:r>
    </w:p>
    <w:p w14:paraId="13795F7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（7）与本招标项目的代建人或招标代理机构同为一个法定代表人；</w:t>
      </w:r>
    </w:p>
    <w:p w14:paraId="27A6F01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（8）与本招标项目的代建人或招标代理机构存在控股或参股关系；</w:t>
      </w:r>
    </w:p>
    <w:p w14:paraId="0049CDB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9）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403CD26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（10）被责令停产停业、暂扣或者吊销许可证、暂扣或者吊销执照（本项事实应当以根据《中华人民共和国行政处罚法》依法作出并已生效的行政处罚决定为认定依据）；</w:t>
      </w:r>
    </w:p>
    <w:p w14:paraId="2BAF23F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（11）进入清算程序，或被宣告破产，或其他丧失履约能力的情形；</w:t>
      </w:r>
    </w:p>
    <w:p w14:paraId="0591122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在最近三年内发生重大设计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63F00B9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u w:val="single"/>
        </w:rPr>
      </w:pPr>
      <w:r>
        <w:rPr>
          <w:rFonts w:hint="eastAsia" w:ascii="宋体" w:hAnsi="宋体" w:eastAsia="宋体" w:cs="宋体"/>
          <w:color w:val="auto"/>
          <w:spacing w:val="-2"/>
          <w:kern w:val="0"/>
          <w:sz w:val="24"/>
          <w:szCs w:val="24"/>
          <w:highlight w:val="none"/>
        </w:rPr>
        <w:t>（13）法律法规或投标人须知前附表规定的其他情形。</w:t>
      </w:r>
    </w:p>
    <w:p w14:paraId="6E23098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5FD90A1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4" w:name="_Toc193357944"/>
      <w:bookmarkStart w:id="25" w:name="_Toc29074"/>
      <w:bookmarkStart w:id="26" w:name="_Toc111186729"/>
      <w:r>
        <w:rPr>
          <w:rFonts w:hint="eastAsia" w:ascii="宋体" w:hAnsi="宋体" w:eastAsia="宋体" w:cs="宋体"/>
          <w:b/>
          <w:bCs/>
          <w:color w:val="auto"/>
          <w:spacing w:val="1"/>
          <w:sz w:val="28"/>
          <w:szCs w:val="32"/>
          <w:highlight w:val="none"/>
          <w:lang w:val="zh-CN"/>
        </w:rPr>
        <w:t>1.5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费用承担</w:t>
      </w:r>
      <w:bookmarkEnd w:id="24"/>
      <w:bookmarkEnd w:id="25"/>
      <w:bookmarkEnd w:id="26"/>
    </w:p>
    <w:p w14:paraId="179453C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投标人准备和参加投标活动发生的费用自理。</w:t>
      </w:r>
    </w:p>
    <w:p w14:paraId="7880D48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E2CBC50">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7" w:name="_Toc193357945"/>
      <w:bookmarkStart w:id="28" w:name="_Toc111186730"/>
      <w:bookmarkStart w:id="29" w:name="_Toc8560"/>
      <w:r>
        <w:rPr>
          <w:rFonts w:hint="eastAsia" w:ascii="宋体" w:hAnsi="宋体" w:eastAsia="宋体" w:cs="宋体"/>
          <w:b/>
          <w:bCs/>
          <w:color w:val="auto"/>
          <w:spacing w:val="1"/>
          <w:sz w:val="28"/>
          <w:szCs w:val="32"/>
          <w:highlight w:val="none"/>
          <w:lang w:val="zh-CN"/>
        </w:rPr>
        <w:t>1.6</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保密</w:t>
      </w:r>
      <w:bookmarkEnd w:id="27"/>
      <w:bookmarkEnd w:id="28"/>
      <w:bookmarkEnd w:id="29"/>
    </w:p>
    <w:p w14:paraId="65E119F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参与招标投标活动的各方应对招标文件和投标文件中的商业和技术等秘密保密，否则应承担相应的法律责任。</w:t>
      </w:r>
    </w:p>
    <w:p w14:paraId="4008A07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3A9DC0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0" w:name="_Toc111186731"/>
      <w:bookmarkStart w:id="31" w:name="_Toc28000"/>
      <w:bookmarkStart w:id="32" w:name="_Toc193357946"/>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语言文字</w:t>
      </w:r>
      <w:bookmarkEnd w:id="30"/>
      <w:bookmarkEnd w:id="31"/>
      <w:bookmarkEnd w:id="32"/>
    </w:p>
    <w:p w14:paraId="34D18ED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招标投标文件使用的语言文字为中文。专用术语使用外文的，应附有中文注释。</w:t>
      </w:r>
    </w:p>
    <w:p w14:paraId="41AD3E8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4002FA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3" w:name="_Toc3237"/>
      <w:bookmarkStart w:id="34" w:name="_Toc193357947"/>
      <w:bookmarkStart w:id="35" w:name="_Toc111186732"/>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计量单位</w:t>
      </w:r>
      <w:bookmarkEnd w:id="33"/>
      <w:bookmarkEnd w:id="34"/>
      <w:bookmarkEnd w:id="35"/>
    </w:p>
    <w:p w14:paraId="5FF68FE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所有计量均采用中华人民共和国法定计量单位。</w:t>
      </w:r>
    </w:p>
    <w:p w14:paraId="0232BF5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4BF8B10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6" w:name="_Toc193357948"/>
      <w:bookmarkStart w:id="37" w:name="_Toc9357"/>
      <w:bookmarkStart w:id="38" w:name="_Toc111186733"/>
      <w:r>
        <w:rPr>
          <w:rFonts w:hint="eastAsia" w:ascii="宋体" w:hAnsi="宋体" w:eastAsia="宋体" w:cs="宋体"/>
          <w:b/>
          <w:bCs/>
          <w:color w:val="auto"/>
          <w:spacing w:val="1"/>
          <w:sz w:val="28"/>
          <w:szCs w:val="32"/>
          <w:highlight w:val="none"/>
          <w:lang w:val="zh-CN"/>
        </w:rPr>
        <w:t>1.9</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踏勘现场</w:t>
      </w:r>
      <w:bookmarkEnd w:id="36"/>
      <w:bookmarkEnd w:id="37"/>
      <w:bookmarkEnd w:id="38"/>
    </w:p>
    <w:p w14:paraId="5C518D7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13F007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1.9.2 投标人踏勘现场发生的费用自理。</w:t>
      </w:r>
    </w:p>
    <w:p w14:paraId="596C200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1.9.3 除招标人的原因外，投标人自行负责踏勘现场中所发生的人员伤亡和财产损失。</w:t>
      </w:r>
    </w:p>
    <w:p w14:paraId="134A689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1.9.4 由于投标人没有对工程现场及周围环境进行踏勘，造成投标失误的，由投标人自行承担责任和损失。</w:t>
      </w:r>
    </w:p>
    <w:p w14:paraId="6C84062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72779C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9" w:name="_Toc111186734"/>
      <w:bookmarkStart w:id="40" w:name="_Toc193357949"/>
      <w:bookmarkStart w:id="41" w:name="_Toc16096"/>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0</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投标预备会</w:t>
      </w:r>
      <w:bookmarkEnd w:id="39"/>
      <w:bookmarkEnd w:id="40"/>
      <w:bookmarkEnd w:id="41"/>
    </w:p>
    <w:p w14:paraId="0413D78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1.10.1 投标人须知前附表规定召开投标预备会的，招标人按投标人须知前附表规定的时间和地点召开投标预备会，澄清投标人提出的问题。</w:t>
      </w:r>
    </w:p>
    <w:p w14:paraId="524B3B7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1.10.2 投标人应按投标人须知前附表规定的时间和形式将提出的问题送达招标人，以便招标人在会议期间澄清。</w:t>
      </w:r>
    </w:p>
    <w:p w14:paraId="7D0C04A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1.10.3 投标预备会后，招标人将对投标人所提问题的澄清，以投标人须知前附表规定的形式通知所有购买招标文件的投标人。该澄清内容为招标文件的组成部分。</w:t>
      </w:r>
    </w:p>
    <w:p w14:paraId="3C67C57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E5C4B6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2" w:name="_Toc16438"/>
      <w:bookmarkStart w:id="43" w:name="_Toc193357950"/>
      <w:bookmarkStart w:id="44" w:name="_Toc111186735"/>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2"/>
          <w:sz w:val="28"/>
          <w:szCs w:val="32"/>
          <w:highlight w:val="none"/>
          <w:lang w:val="zh-CN"/>
        </w:rPr>
        <w:t>1</w:t>
      </w:r>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分包</w:t>
      </w:r>
      <w:bookmarkEnd w:id="42"/>
      <w:bookmarkEnd w:id="43"/>
      <w:bookmarkEnd w:id="44"/>
    </w:p>
    <w:p w14:paraId="0115600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27BD20A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1.11.2 中标人不得向他人转让中标项目，接受分包的人不得再次分包。中标人应当就分包项目向招标人负责，接受分包的人就分包项目承担连带责任。</w:t>
      </w:r>
    </w:p>
    <w:p w14:paraId="60EB7DE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C92E28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5" w:name="_Toc10229"/>
      <w:bookmarkStart w:id="46" w:name="_Toc111186736"/>
      <w:bookmarkStart w:id="47" w:name="_Toc193357951"/>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2"/>
          <w:sz w:val="28"/>
          <w:szCs w:val="32"/>
          <w:highlight w:val="none"/>
          <w:lang w:val="zh-CN"/>
        </w:rPr>
        <w:t>1</w:t>
      </w:r>
      <w:r>
        <w:rPr>
          <w:rFonts w:hint="eastAsia" w:ascii="宋体" w:hAnsi="宋体" w:eastAsia="宋体" w:cs="宋体"/>
          <w:b/>
          <w:bCs/>
          <w:color w:val="auto"/>
          <w:spacing w:val="1"/>
          <w:sz w:val="28"/>
          <w:szCs w:val="32"/>
          <w:highlight w:val="none"/>
          <w:lang w:val="zh-CN"/>
        </w:rPr>
        <w:t>2</w:t>
      </w:r>
      <w:r>
        <w:rPr>
          <w:rFonts w:hint="eastAsia" w:ascii="宋体" w:hAnsi="宋体" w:eastAsia="宋体" w:cs="宋体"/>
          <w:b/>
          <w:bCs/>
          <w:color w:val="auto"/>
          <w:spacing w:val="-1"/>
          <w:sz w:val="28"/>
          <w:szCs w:val="32"/>
          <w:highlight w:val="none"/>
          <w:lang w:val="zh-CN"/>
        </w:rPr>
        <w:t xml:space="preserve"> </w:t>
      </w:r>
      <w:r>
        <w:rPr>
          <w:rFonts w:hint="eastAsia" w:ascii="宋体" w:hAnsi="宋体" w:eastAsia="宋体" w:cs="宋体"/>
          <w:b/>
          <w:bCs/>
          <w:color w:val="auto"/>
          <w:spacing w:val="1"/>
          <w:sz w:val="28"/>
          <w:szCs w:val="32"/>
          <w:highlight w:val="none"/>
          <w:lang w:val="zh-CN"/>
        </w:rPr>
        <w:t>响应和偏差</w:t>
      </w:r>
      <w:bookmarkEnd w:id="45"/>
      <w:bookmarkEnd w:id="46"/>
      <w:bookmarkEnd w:id="47"/>
    </w:p>
    <w:p w14:paraId="40CC1C7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1.12.1 投标文件应当对招标文件的实质性要求和条件作出满足性或更有利于招标人的响应，否则，投标人的投标将被否决。实质性要求和条件见投标人须知前附表。</w:t>
      </w:r>
    </w:p>
    <w:p w14:paraId="033C74B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1.12.2 投标人应根据招标文件的要求提供投标设计方案等内容以对招标文件作出响应。</w:t>
      </w:r>
    </w:p>
    <w:p w14:paraId="4CA0125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1.12.3 投标人须知前附表允许投标文件偏离招标文件某些要求的，偏差应当符合招标文件规定的偏差范围和幅度。</w:t>
      </w:r>
    </w:p>
    <w:p w14:paraId="2ED56A7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69C893D8">
      <w:pPr>
        <w:keepNext/>
        <w:keepLines/>
        <w:wordWrap w:val="0"/>
        <w:spacing w:line="360" w:lineRule="auto"/>
        <w:outlineLvl w:val="1"/>
        <w:rPr>
          <w:rFonts w:ascii="宋体" w:hAnsi="宋体" w:eastAsia="宋体" w:cs="宋体"/>
          <w:b/>
          <w:bCs/>
          <w:color w:val="auto"/>
          <w:kern w:val="0"/>
          <w:sz w:val="24"/>
          <w:szCs w:val="30"/>
          <w:highlight w:val="none"/>
          <w:lang w:val="zh-CN"/>
        </w:rPr>
      </w:pPr>
      <w:bookmarkStart w:id="48" w:name="_Toc22370"/>
      <w:bookmarkStart w:id="49" w:name="_Toc111186737"/>
      <w:bookmarkStart w:id="50" w:name="_Toc193357952"/>
      <w:r>
        <w:rPr>
          <w:rFonts w:hint="eastAsia" w:ascii="宋体" w:hAnsi="宋体" w:eastAsia="宋体" w:cs="宋体"/>
          <w:b/>
          <w:bCs/>
          <w:color w:val="auto"/>
          <w:kern w:val="0"/>
          <w:sz w:val="30"/>
          <w:szCs w:val="30"/>
          <w:highlight w:val="none"/>
          <w:lang w:val="zh-CN"/>
        </w:rPr>
        <w:t>2.</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招标文件</w:t>
      </w:r>
      <w:bookmarkEnd w:id="48"/>
      <w:bookmarkEnd w:id="49"/>
      <w:bookmarkEnd w:id="50"/>
    </w:p>
    <w:p w14:paraId="2DF8B8E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1" w:name="_Toc193357953"/>
      <w:bookmarkStart w:id="52" w:name="_Toc22346"/>
      <w:bookmarkStart w:id="53" w:name="_Toc111186738"/>
      <w:r>
        <w:rPr>
          <w:rFonts w:hint="eastAsia" w:ascii="宋体" w:hAnsi="宋体" w:eastAsia="宋体" w:cs="宋体"/>
          <w:b/>
          <w:bCs/>
          <w:color w:val="auto"/>
          <w:spacing w:val="1"/>
          <w:sz w:val="28"/>
          <w:szCs w:val="32"/>
          <w:highlight w:val="none"/>
          <w:lang w:val="zh-CN"/>
        </w:rPr>
        <w:t>2.1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51"/>
      <w:bookmarkEnd w:id="52"/>
      <w:bookmarkEnd w:id="53"/>
    </w:p>
    <w:p w14:paraId="5ECC23C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本招标文件包括：</w:t>
      </w:r>
    </w:p>
    <w:p w14:paraId="18B36E3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（1）招标公告；</w:t>
      </w:r>
    </w:p>
    <w:p w14:paraId="7062429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（2）投标人须知；</w:t>
      </w:r>
    </w:p>
    <w:p w14:paraId="453EDC4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（3）评标办法；</w:t>
      </w:r>
    </w:p>
    <w:p w14:paraId="1BBA5BB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（4）合同条款及格式；</w:t>
      </w:r>
    </w:p>
    <w:p w14:paraId="79BC5E4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（5）委托人要求；</w:t>
      </w:r>
    </w:p>
    <w:p w14:paraId="2DAA1D7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（6）投标文件格式；</w:t>
      </w:r>
    </w:p>
    <w:p w14:paraId="5D2FD08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（7）投标人须知前附表规定的其他资料。</w:t>
      </w:r>
    </w:p>
    <w:p w14:paraId="5D45519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根据本章第1.10款、第2.2款和第2.3款对招标文件所作的澄清、修改，构成招标文件的组成部分。</w:t>
      </w:r>
    </w:p>
    <w:p w14:paraId="2597DF9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5739573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4" w:name="_Toc111186739"/>
      <w:bookmarkStart w:id="55" w:name="_Toc9843"/>
      <w:bookmarkStart w:id="56" w:name="_Toc193357954"/>
      <w:r>
        <w:rPr>
          <w:rFonts w:hint="eastAsia" w:ascii="宋体" w:hAnsi="宋体" w:eastAsia="宋体" w:cs="宋体"/>
          <w:b/>
          <w:bCs/>
          <w:color w:val="auto"/>
          <w:spacing w:val="1"/>
          <w:sz w:val="28"/>
          <w:szCs w:val="32"/>
          <w:highlight w:val="none"/>
          <w:lang w:val="zh-CN"/>
        </w:rPr>
        <w:t>2.2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bookmarkEnd w:id="54"/>
      <w:bookmarkEnd w:id="55"/>
      <w:bookmarkEnd w:id="56"/>
      <w:r>
        <w:rPr>
          <w:rFonts w:hint="eastAsia" w:ascii="宋体" w:hAnsi="宋体" w:eastAsia="宋体" w:cs="宋体"/>
          <w:b/>
          <w:bCs/>
          <w:color w:val="auto"/>
          <w:spacing w:val="1"/>
          <w:sz w:val="28"/>
          <w:szCs w:val="32"/>
          <w:highlight w:val="none"/>
          <w:lang w:val="zh-CN"/>
        </w:rPr>
        <w:t>答疑</w:t>
      </w:r>
    </w:p>
    <w:p w14:paraId="655F2D4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2.2.1 投标人应仔细阅读和检查招标文件的全部内容。如有疑问，应按投标人须知前附表规定的时间和形式将提出的问题送达招标人，要求招标人对招标文件予以澄清。</w:t>
      </w:r>
    </w:p>
    <w:p w14:paraId="14C7A99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2.2.2 招标答疑采用网上答疑方式进行。投标人若对招标文件有疑问的，通过</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网站提交，应按照</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网站关于全流程电子化项目的相关指南进行操作。提问一律不得署名。</w:t>
      </w:r>
    </w:p>
    <w:p w14:paraId="444EAAA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 xml:space="preserve">2.2.3 </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将在提交投标文件截止时间15日前在</w:t>
      </w:r>
      <w:r>
        <w:rPr>
          <w:rFonts w:hint="eastAsia" w:ascii="宋体" w:hAnsi="宋体" w:eastAsia="宋体" w:cs="宋体"/>
          <w:color w:val="auto"/>
          <w:spacing w:val="-2"/>
          <w:kern w:val="0"/>
          <w:sz w:val="24"/>
          <w:szCs w:val="24"/>
          <w:highlight w:val="none"/>
          <w:u w:val="single"/>
        </w:rPr>
        <w:t>广州交易集团有限公司（广州公共资源交易中心）网站“项目答疑纪要”专区公开</w:t>
      </w:r>
      <w:r>
        <w:rPr>
          <w:rFonts w:hint="eastAsia" w:ascii="宋体" w:hAnsi="宋体" w:eastAsia="宋体" w:cs="宋体"/>
          <w:color w:val="auto"/>
          <w:spacing w:val="-2"/>
          <w:kern w:val="0"/>
          <w:sz w:val="24"/>
          <w:szCs w:val="24"/>
          <w:highlight w:val="none"/>
        </w:rPr>
        <w:t>发布。答疑纪要一经在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网站发布，视作已发放给所有投标人。澄清发出的时间距本章第4.2.1项规定的投标截止时间不足15日的，并且澄清内容可能影响投标文件编制的，将相应延长投标截止时间。</w:t>
      </w:r>
    </w:p>
    <w:p w14:paraId="4112054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 xml:space="preserve">2.2.4 </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是招标文件的组成部分，对投标人起约束作用。若</w:t>
      </w:r>
      <w:r>
        <w:rPr>
          <w:rFonts w:hint="default" w:ascii="宋体" w:hAnsi="宋体" w:eastAsia="宋体"/>
          <w:b/>
          <w:bCs/>
          <w:color w:val="auto"/>
          <w:sz w:val="24"/>
          <w:szCs w:val="24"/>
          <w:highlight w:val="none"/>
          <w:u w:val="single"/>
        </w:rPr>
        <w:t>招标答疑纪要</w:t>
      </w:r>
      <w:r>
        <w:rPr>
          <w:rFonts w:hint="eastAsia" w:ascii="宋体" w:hAnsi="宋体" w:eastAsia="宋体" w:cs="宋体"/>
          <w:strike/>
          <w:color w:val="auto"/>
          <w:spacing w:val="-2"/>
          <w:kern w:val="0"/>
          <w:sz w:val="24"/>
          <w:szCs w:val="24"/>
          <w:highlight w:val="none"/>
        </w:rPr>
        <w:t>招标答疑会会议纪要</w:t>
      </w:r>
      <w:r>
        <w:rPr>
          <w:rFonts w:hint="eastAsia" w:ascii="宋体" w:hAnsi="宋体" w:eastAsia="宋体" w:cs="宋体"/>
          <w:color w:val="auto"/>
          <w:spacing w:val="-2"/>
          <w:kern w:val="0"/>
          <w:sz w:val="24"/>
          <w:szCs w:val="24"/>
          <w:highlight w:val="none"/>
        </w:rPr>
        <w:t>与招标文件有矛盾时，以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网站最后发布的答疑纪要为准。</w:t>
      </w:r>
    </w:p>
    <w:p w14:paraId="56E4BA5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2.2.5 除非招标人认为确有必要答复，否则，招标人有权拒绝回复投标人在本章第2.2.1项规定的时间后的任何澄清要求。</w:t>
      </w:r>
    </w:p>
    <w:p w14:paraId="5CC94B8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9153A92">
      <w:pPr>
        <w:keepNext/>
        <w:keepLines/>
        <w:wordWrap w:val="0"/>
        <w:spacing w:before="260" w:line="416" w:lineRule="auto"/>
        <w:outlineLvl w:val="2"/>
        <w:rPr>
          <w:rFonts w:ascii="宋体" w:hAnsi="宋体" w:eastAsia="宋体" w:cs="宋体"/>
          <w:b/>
          <w:bCs/>
          <w:color w:val="auto"/>
          <w:spacing w:val="1"/>
          <w:kern w:val="0"/>
          <w:sz w:val="28"/>
          <w:szCs w:val="28"/>
          <w:highlight w:val="none"/>
          <w:lang w:val="zh-CN"/>
        </w:rPr>
      </w:pPr>
      <w:bookmarkStart w:id="57" w:name="_Toc111186740"/>
      <w:bookmarkStart w:id="58" w:name="_Toc193357955"/>
      <w:bookmarkStart w:id="59" w:name="_Toc8197"/>
      <w:r>
        <w:rPr>
          <w:rFonts w:hint="eastAsia" w:ascii="宋体" w:hAnsi="宋体" w:eastAsia="宋体" w:cs="宋体"/>
          <w:b/>
          <w:bCs/>
          <w:color w:val="auto"/>
          <w:spacing w:val="1"/>
          <w:sz w:val="28"/>
          <w:szCs w:val="32"/>
          <w:highlight w:val="none"/>
          <w:lang w:val="zh-CN"/>
        </w:rPr>
        <w:t>2.3 招标文件的澄清与修改</w:t>
      </w:r>
      <w:bookmarkEnd w:id="57"/>
      <w:bookmarkEnd w:id="58"/>
      <w:bookmarkEnd w:id="59"/>
    </w:p>
    <w:p w14:paraId="4F9488B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2.3.1 招标文件发出后，在提交投标文件截止时间15日前，招标人可对招标文件进行必要的澄清或修改。</w:t>
      </w:r>
    </w:p>
    <w:p w14:paraId="7C1F60F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2.3.2 招标文件的澄清或修改将在广州交易集团有限公司（广州公共资源交易中心）网站“项目答疑纪要”专区公开发布。招标文件的澄清或修改一经在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网站发布时间作为送达时间。</w:t>
      </w:r>
    </w:p>
    <w:p w14:paraId="61F0CDD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2.3.3 招标文件的澄清或修改是招标文件的组成部分，对投标人起约束作用。</w:t>
      </w:r>
    </w:p>
    <w:p w14:paraId="0464854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2.3.4 招标文件的澄清或修改均以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网站发布的内容为准。当招标文件的澄清、修改、补充等在同一内容的表述不一致时，以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网站最后发布的内容为准。</w:t>
      </w:r>
    </w:p>
    <w:p w14:paraId="72FAC07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F48DF3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7A3630D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0" w:name="_Toc111186741"/>
      <w:bookmarkStart w:id="61" w:name="_Toc193357956"/>
      <w:bookmarkStart w:id="62" w:name="_Toc17179"/>
      <w:r>
        <w:rPr>
          <w:rFonts w:hint="eastAsia" w:ascii="宋体" w:hAnsi="宋体" w:eastAsia="宋体" w:cs="宋体"/>
          <w:b/>
          <w:bCs/>
          <w:color w:val="auto"/>
          <w:spacing w:val="1"/>
          <w:sz w:val="28"/>
          <w:szCs w:val="32"/>
          <w:highlight w:val="none"/>
          <w:lang w:val="zh-CN"/>
        </w:rPr>
        <w:t>2.4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异议</w:t>
      </w:r>
      <w:bookmarkEnd w:id="60"/>
      <w:bookmarkEnd w:id="61"/>
      <w:bookmarkEnd w:id="62"/>
    </w:p>
    <w:p w14:paraId="58A190B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13E59B1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058BB0E">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63" w:name="_Toc193357957"/>
      <w:bookmarkStart w:id="64" w:name="_Toc111186742"/>
      <w:bookmarkStart w:id="65" w:name="_Toc7081"/>
      <w:r>
        <w:rPr>
          <w:rFonts w:hint="eastAsia" w:ascii="宋体" w:hAnsi="宋体" w:eastAsia="宋体" w:cs="宋体"/>
          <w:b/>
          <w:bCs/>
          <w:color w:val="auto"/>
          <w:kern w:val="0"/>
          <w:sz w:val="30"/>
          <w:szCs w:val="30"/>
          <w:highlight w:val="none"/>
          <w:lang w:val="zh-CN"/>
        </w:rPr>
        <w:t>3.</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投标文件</w:t>
      </w:r>
      <w:bookmarkEnd w:id="63"/>
      <w:bookmarkEnd w:id="64"/>
      <w:bookmarkEnd w:id="65"/>
    </w:p>
    <w:p w14:paraId="082BE60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6" w:name="_Toc193357958"/>
      <w:bookmarkStart w:id="67" w:name="_Toc14590"/>
      <w:bookmarkStart w:id="68" w:name="_Toc111186743"/>
      <w:r>
        <w:rPr>
          <w:rFonts w:hint="eastAsia" w:ascii="宋体" w:hAnsi="宋体" w:eastAsia="宋体" w:cs="宋体"/>
          <w:b/>
          <w:bCs/>
          <w:color w:val="auto"/>
          <w:spacing w:val="1"/>
          <w:sz w:val="28"/>
          <w:szCs w:val="32"/>
          <w:highlight w:val="none"/>
          <w:lang w:val="zh-CN"/>
        </w:rPr>
        <w:t>3.1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66"/>
      <w:bookmarkEnd w:id="67"/>
      <w:bookmarkEnd w:id="68"/>
      <w:r>
        <w:rPr>
          <w:rFonts w:hint="eastAsia" w:ascii="宋体" w:hAnsi="宋体" w:eastAsia="宋体" w:cs="宋体"/>
          <w:b/>
          <w:bCs/>
          <w:color w:val="auto"/>
          <w:spacing w:val="1"/>
          <w:sz w:val="28"/>
          <w:szCs w:val="32"/>
          <w:highlight w:val="none"/>
          <w:lang w:val="zh-CN"/>
        </w:rPr>
        <w:t>（适用于暗标形式）</w:t>
      </w:r>
    </w:p>
    <w:p w14:paraId="0CFAE561">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14:paraId="61D759E7">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5208B2B2">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0F231572">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522C2FC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（4）投标保证金（如有）；</w:t>
      </w:r>
    </w:p>
    <w:p w14:paraId="531E02D2">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2D9D206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69680CA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2E0E5EF3">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14:paraId="74288CC2">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0FF9497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14:paraId="069CA0D3">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14:paraId="3D80C4A2">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14:paraId="367737AF">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7020FFF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5E66BD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9" w:name="_Toc26290"/>
      <w:bookmarkStart w:id="70" w:name="_Toc193357959"/>
      <w:bookmarkStart w:id="71" w:name="_Toc111186744"/>
      <w:r>
        <w:rPr>
          <w:rFonts w:hint="eastAsia" w:ascii="宋体" w:hAnsi="宋体" w:eastAsia="宋体" w:cs="宋体"/>
          <w:b/>
          <w:bCs/>
          <w:color w:val="auto"/>
          <w:spacing w:val="1"/>
          <w:sz w:val="28"/>
          <w:szCs w:val="32"/>
          <w:highlight w:val="none"/>
          <w:lang w:val="zh-CN"/>
        </w:rPr>
        <w:t>3.2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投标报价</w:t>
      </w:r>
      <w:bookmarkEnd w:id="69"/>
      <w:bookmarkEnd w:id="70"/>
      <w:bookmarkEnd w:id="71"/>
    </w:p>
    <w:p w14:paraId="7983E7A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14:paraId="65D1CD9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3.2.2 投标人应充分了解该项目的总体情况以及影响投标报价的其他要素。</w:t>
      </w:r>
    </w:p>
    <w:p w14:paraId="47D5EE6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3.2.3 本项目的报价方式见投标人须知前附表。投标人在投标截止时间前修改投标函中的投标报价总额，应同时修改投标文件“勘察设计费报价表”中的相应报价。此修改须符合本章第4.3款的有关要求。</w:t>
      </w:r>
    </w:p>
    <w:p w14:paraId="674A305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3.2.4 招标人设有最高投标限价的，投标人的投标报价不得超过最高投标限价，最高投标限价在投标人须知前附表中载明。</w:t>
      </w:r>
    </w:p>
    <w:p w14:paraId="19D0CF26">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3.2.5 投标报价的其他要求见投标人须知前附表。</w:t>
      </w:r>
    </w:p>
    <w:p w14:paraId="3E3ADB9D">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EF936B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2" w:name="_Toc193357960"/>
      <w:bookmarkStart w:id="73" w:name="_Toc111186745"/>
      <w:bookmarkStart w:id="74" w:name="_Toc7276"/>
      <w:r>
        <w:rPr>
          <w:rFonts w:hint="eastAsia" w:ascii="宋体" w:hAnsi="宋体" w:eastAsia="宋体" w:cs="宋体"/>
          <w:b/>
          <w:bCs/>
          <w:color w:val="auto"/>
          <w:spacing w:val="1"/>
          <w:sz w:val="28"/>
          <w:szCs w:val="32"/>
          <w:highlight w:val="none"/>
          <w:lang w:val="zh-CN"/>
        </w:rPr>
        <w:t>3.3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投标有效期</w:t>
      </w:r>
      <w:bookmarkEnd w:id="72"/>
      <w:bookmarkEnd w:id="73"/>
      <w:bookmarkEnd w:id="74"/>
    </w:p>
    <w:p w14:paraId="5B69882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除投标人须知前附表另有规定外，投标有效期不少于90天。</w:t>
      </w:r>
    </w:p>
    <w:p w14:paraId="7A695D0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在投标有效期内，投标人撤销投标文件的，应承担招标文件和法律规定的责任。</w:t>
      </w:r>
    </w:p>
    <w:p w14:paraId="7852DE6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出现特殊情况需要延长投标有效期的，招标人以书面形式通知所有投标人延长投标有效期。投标人应予以书面答复，同意延长的</w:t>
      </w:r>
      <w:r>
        <w:rPr>
          <w:rFonts w:hint="eastAsia" w:ascii="宋体" w:hAnsi="宋体" w:eastAsia="宋体" w:cs="宋体"/>
          <w:strike/>
          <w:color w:val="auto"/>
          <w:kern w:val="0"/>
          <w:sz w:val="24"/>
          <w:szCs w:val="24"/>
          <w:highlight w:val="none"/>
        </w:rPr>
        <w:t>，应相应延长其投标保证金的有效期</w:t>
      </w:r>
      <w:r>
        <w:rPr>
          <w:rFonts w:hint="eastAsia" w:ascii="宋体" w:hAnsi="宋体" w:eastAsia="宋体" w:cs="宋体"/>
          <w:color w:val="auto"/>
          <w:kern w:val="0"/>
          <w:sz w:val="24"/>
          <w:szCs w:val="24"/>
          <w:highlight w:val="none"/>
        </w:rPr>
        <w:t>，但不得要求或被允许修改其投标文件；投标人拒绝延长的，其投标失效</w:t>
      </w:r>
      <w:r>
        <w:rPr>
          <w:rFonts w:hint="eastAsia" w:ascii="宋体" w:hAnsi="宋体" w:eastAsia="宋体" w:cs="宋体"/>
          <w:strike/>
          <w:color w:val="auto"/>
          <w:kern w:val="0"/>
          <w:sz w:val="24"/>
          <w:szCs w:val="24"/>
          <w:highlight w:val="none"/>
        </w:rPr>
        <w:t>，但投标人有权收回其投标保证金及以现金或者支票形式递交的投标保证金的银行同期存款利息</w:t>
      </w:r>
      <w:r>
        <w:rPr>
          <w:rFonts w:hint="eastAsia" w:ascii="宋体" w:hAnsi="宋体" w:eastAsia="宋体" w:cs="宋体"/>
          <w:color w:val="auto"/>
          <w:kern w:val="0"/>
          <w:sz w:val="24"/>
          <w:szCs w:val="24"/>
          <w:highlight w:val="none"/>
        </w:rPr>
        <w:t>。</w:t>
      </w:r>
    </w:p>
    <w:p w14:paraId="7DD718EF">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3ACADE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5" w:name="_Toc3821"/>
      <w:bookmarkStart w:id="76" w:name="_Toc111186746"/>
      <w:bookmarkStart w:id="77" w:name="_Toc193357961"/>
      <w:r>
        <w:rPr>
          <w:rFonts w:hint="eastAsia" w:ascii="宋体" w:hAnsi="宋体" w:eastAsia="宋体" w:cs="宋体"/>
          <w:b/>
          <w:bCs/>
          <w:color w:val="auto"/>
          <w:spacing w:val="1"/>
          <w:sz w:val="28"/>
          <w:szCs w:val="32"/>
          <w:highlight w:val="none"/>
          <w:lang w:val="zh-CN"/>
        </w:rPr>
        <w:t>3.4 投标保证金</w:t>
      </w:r>
      <w:bookmarkEnd w:id="75"/>
      <w:bookmarkEnd w:id="76"/>
      <w:bookmarkEnd w:id="77"/>
      <w:r>
        <w:rPr>
          <w:rFonts w:hint="eastAsia" w:ascii="宋体" w:hAnsi="宋体" w:eastAsia="宋体" w:cs="宋体"/>
          <w:b/>
          <w:bCs/>
          <w:color w:val="auto"/>
          <w:spacing w:val="1"/>
          <w:sz w:val="28"/>
          <w:szCs w:val="32"/>
          <w:highlight w:val="none"/>
          <w:lang w:val="zh-CN"/>
        </w:rPr>
        <w:t>（本项目不适用）</w:t>
      </w:r>
    </w:p>
    <w:p w14:paraId="57951788">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794F7E77">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2BE3E1F6">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092C37EA">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3.4.4 在提交投标文件截止时间后到招标文件规定的投标有效期终止之前，投标人不得撤销其投标文件，否则招标人可以不退还投标保证金。</w:t>
      </w:r>
    </w:p>
    <w:p w14:paraId="31B609F3">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3.4.5 有下列情形之一的，投标保证金将不予退还：</w:t>
      </w:r>
    </w:p>
    <w:p w14:paraId="6A518D24">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（1）投标人在提交投标文件截止时间后到招标文件规定的投标有效期终止之前撤销投标文件；</w:t>
      </w:r>
    </w:p>
    <w:p w14:paraId="0DAB24B9">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（2）中标人在收到中标通知书后，无正当理由不与招标人订立合同，在签订合同时向招标人提出附加条件，或者不按照招标文件要求提交履约保证金；</w:t>
      </w:r>
    </w:p>
    <w:p w14:paraId="015879E6">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（3）发生投标人须知前附表规定的其他可以不予退还投标保证金的情形。</w:t>
      </w:r>
    </w:p>
    <w:p w14:paraId="18191BB0">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52C55515">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p>
    <w:p w14:paraId="3233149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8" w:name="_Toc19411"/>
      <w:bookmarkStart w:id="79" w:name="_Toc193357963"/>
      <w:bookmarkStart w:id="80" w:name="_Toc111186747"/>
      <w:r>
        <w:rPr>
          <w:rFonts w:hint="eastAsia" w:ascii="宋体" w:hAnsi="宋体" w:eastAsia="宋体" w:cs="宋体"/>
          <w:b/>
          <w:bCs/>
          <w:color w:val="auto"/>
          <w:spacing w:val="1"/>
          <w:sz w:val="28"/>
          <w:szCs w:val="32"/>
          <w:highlight w:val="none"/>
          <w:lang w:val="zh-CN"/>
        </w:rPr>
        <w:t>3.5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资格审查</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料</w:t>
      </w:r>
      <w:r>
        <w:rPr>
          <w:rFonts w:hint="eastAsia" w:ascii="宋体" w:hAnsi="宋体" w:eastAsia="宋体" w:cs="宋体"/>
          <w:b/>
          <w:bCs/>
          <w:color w:val="auto"/>
          <w:spacing w:val="-3"/>
          <w:sz w:val="28"/>
          <w:szCs w:val="32"/>
          <w:highlight w:val="none"/>
          <w:lang w:val="zh-CN"/>
        </w:rPr>
        <w:t>（</w:t>
      </w:r>
      <w:r>
        <w:rPr>
          <w:rFonts w:hint="eastAsia" w:ascii="宋体" w:hAnsi="宋体" w:eastAsia="宋体" w:cs="宋体"/>
          <w:b/>
          <w:bCs/>
          <w:color w:val="auto"/>
          <w:spacing w:val="1"/>
          <w:sz w:val="28"/>
          <w:szCs w:val="32"/>
          <w:highlight w:val="none"/>
          <w:lang w:val="zh-CN"/>
        </w:rPr>
        <w:t>适用于</w:t>
      </w:r>
      <w:r>
        <w:rPr>
          <w:rFonts w:hint="eastAsia" w:ascii="宋体" w:hAnsi="宋体" w:eastAsia="宋体" w:cs="宋体"/>
          <w:b/>
          <w:bCs/>
          <w:color w:val="auto"/>
          <w:spacing w:val="-3"/>
          <w:sz w:val="28"/>
          <w:szCs w:val="32"/>
          <w:highlight w:val="none"/>
          <w:lang w:val="zh-CN"/>
        </w:rPr>
        <w:t>未</w:t>
      </w:r>
      <w:r>
        <w:rPr>
          <w:rFonts w:hint="eastAsia" w:ascii="宋体" w:hAnsi="宋体" w:eastAsia="宋体" w:cs="宋体"/>
          <w:b/>
          <w:bCs/>
          <w:color w:val="auto"/>
          <w:spacing w:val="1"/>
          <w:sz w:val="28"/>
          <w:szCs w:val="32"/>
          <w:highlight w:val="none"/>
          <w:lang w:val="zh-CN"/>
        </w:rPr>
        <w:t>进行</w:t>
      </w:r>
      <w:r>
        <w:rPr>
          <w:rFonts w:hint="eastAsia" w:ascii="宋体" w:hAnsi="宋体" w:eastAsia="宋体" w:cs="宋体"/>
          <w:b/>
          <w:bCs/>
          <w:color w:val="auto"/>
          <w:spacing w:val="-3"/>
          <w:sz w:val="28"/>
          <w:szCs w:val="32"/>
          <w:highlight w:val="none"/>
          <w:lang w:val="zh-CN"/>
        </w:rPr>
        <w:t>资格</w:t>
      </w:r>
      <w:r>
        <w:rPr>
          <w:rFonts w:hint="eastAsia" w:ascii="宋体" w:hAnsi="宋体" w:eastAsia="宋体" w:cs="宋体"/>
          <w:b/>
          <w:bCs/>
          <w:color w:val="auto"/>
          <w:spacing w:val="1"/>
          <w:sz w:val="28"/>
          <w:szCs w:val="32"/>
          <w:highlight w:val="none"/>
          <w:lang w:val="zh-CN"/>
        </w:rPr>
        <w:t>预审的）</w:t>
      </w:r>
      <w:bookmarkEnd w:id="78"/>
      <w:bookmarkEnd w:id="79"/>
      <w:bookmarkEnd w:id="80"/>
    </w:p>
    <w:p w14:paraId="07BF67A5">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除投标人须知前附表另有规定外，投标人应按招标公告投标人资格要求及下列规定提供资格审查资料，以证明其满足本章第1.4款规定的资质、业绩等要求。</w:t>
      </w:r>
    </w:p>
    <w:p w14:paraId="08B22700">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color w:val="auto"/>
          <w:kern w:val="0"/>
          <w:sz w:val="24"/>
          <w:szCs w:val="24"/>
          <w:highlight w:val="none"/>
        </w:rPr>
        <w:t xml:space="preserve">3.5.1 </w:t>
      </w:r>
      <w:r>
        <w:rPr>
          <w:rFonts w:hint="eastAsia" w:ascii="宋体" w:hAnsi="宋体" w:eastAsia="宋体" w:cs="宋体"/>
          <w:b/>
          <w:bCs/>
          <w:color w:val="auto"/>
          <w:kern w:val="0"/>
          <w:sz w:val="24"/>
          <w:szCs w:val="24"/>
          <w:highlight w:val="none"/>
          <w:u w:val="single"/>
        </w:rPr>
        <w:t>资格审查资料详见第六章“投标文件格式”。</w:t>
      </w:r>
      <w:r>
        <w:rPr>
          <w:rFonts w:hint="eastAsia" w:ascii="宋体" w:hAnsi="宋体" w:eastAsia="宋体" w:cs="宋体"/>
          <w:strike/>
          <w:dstrike w:val="0"/>
          <w:color w:val="auto"/>
          <w:kern w:val="0"/>
          <w:sz w:val="24"/>
          <w:szCs w:val="24"/>
          <w:highlight w:val="none"/>
        </w:rPr>
        <w:t>“投标人基本情况表”应附投标人营业执照和组织机构代码证的扫描件（按照“三证合一”或“五证合一”登记制度进行登记的，可仅提供营业执照扫描件）、投标人勘察设计资质证书副本等材料的扫描件。</w:t>
      </w:r>
    </w:p>
    <w:p w14:paraId="30E9881E">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482DC447">
      <w:pPr>
        <w:wordWrap w:val="0"/>
        <w:spacing w:line="360" w:lineRule="auto"/>
        <w:ind w:firstLine="480" w:firstLineChars="200"/>
        <w:rPr>
          <w:rFonts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kern w:val="0"/>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63ED50EA">
      <w:pPr>
        <w:wordWrap w:val="0"/>
        <w:spacing w:line="360" w:lineRule="auto"/>
        <w:ind w:firstLine="480" w:firstLineChars="200"/>
        <w:rPr>
          <w:rFonts w:ascii="宋体" w:hAnsi="宋体" w:eastAsia="宋体" w:cs="宋体"/>
          <w:strike/>
          <w:dstrike w:val="0"/>
          <w:color w:val="auto"/>
          <w:sz w:val="24"/>
          <w:szCs w:val="24"/>
          <w:highlight w:val="none"/>
          <w:u w:val="single"/>
        </w:rPr>
      </w:pPr>
      <w:r>
        <w:rPr>
          <w:rFonts w:hint="eastAsia" w:ascii="宋体" w:hAnsi="宋体" w:eastAsia="宋体" w:cs="宋体"/>
          <w:strike/>
          <w:dstrike w:val="0"/>
          <w:color w:val="auto"/>
          <w:kern w:val="0"/>
          <w:sz w:val="24"/>
          <w:szCs w:val="24"/>
          <w:highlight w:val="none"/>
        </w:rPr>
        <w:t>3.5.4 投标人须知前附表规定接受联合体投标的，本章第3.5.1项至第3.5.3项规定的表格和资料应包括联合体各方相关情况。</w:t>
      </w:r>
    </w:p>
    <w:p w14:paraId="22E15BE0">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4897D5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1" w:name="_Toc10646"/>
      <w:bookmarkStart w:id="82" w:name="_Toc193357964"/>
      <w:bookmarkStart w:id="83" w:name="_Toc111186748"/>
      <w:r>
        <w:rPr>
          <w:rFonts w:hint="eastAsia" w:ascii="宋体" w:hAnsi="宋体" w:eastAsia="宋体" w:cs="宋体"/>
          <w:b/>
          <w:bCs/>
          <w:color w:val="auto"/>
          <w:spacing w:val="1"/>
          <w:sz w:val="28"/>
          <w:szCs w:val="32"/>
          <w:highlight w:val="none"/>
          <w:lang w:val="zh-CN"/>
        </w:rPr>
        <w:t>3.6 备选投标方案</w:t>
      </w:r>
      <w:bookmarkEnd w:id="81"/>
      <w:bookmarkEnd w:id="82"/>
      <w:bookmarkEnd w:id="83"/>
    </w:p>
    <w:p w14:paraId="446F5CC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 除投标人须知前附表规定允许外，投标人不得递交备选投标方案，否则其投标将被否决。</w:t>
      </w:r>
    </w:p>
    <w:p w14:paraId="5780DEF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7B6C19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 投标人提供两个或两个以上投标报价，或者在投标文件中提供一个报价，但同时提供两个或两个以上勘察设计方案的，视为提供备选方案。</w:t>
      </w:r>
    </w:p>
    <w:p w14:paraId="4723C54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AD5A71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4" w:name="_Toc7643"/>
      <w:bookmarkStart w:id="85" w:name="_Toc111186749"/>
      <w:bookmarkStart w:id="86" w:name="_Toc193357965"/>
      <w:r>
        <w:rPr>
          <w:rFonts w:hint="eastAsia" w:ascii="宋体" w:hAnsi="宋体" w:eastAsia="宋体" w:cs="宋体"/>
          <w:b/>
          <w:bCs/>
          <w:color w:val="auto"/>
          <w:spacing w:val="1"/>
          <w:sz w:val="28"/>
          <w:szCs w:val="32"/>
          <w:highlight w:val="none"/>
          <w:lang w:val="zh-CN"/>
        </w:rPr>
        <w:t>3.7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编制</w:t>
      </w:r>
      <w:bookmarkEnd w:id="84"/>
      <w:bookmarkEnd w:id="85"/>
      <w:bookmarkEnd w:id="86"/>
    </w:p>
    <w:p w14:paraId="566C90D4">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5C6E90DE">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 投标文件应当对招标文件有关勘察设计服务期限、投标有效期、发包人要求、招标范围等实质性内容作出响应。</w:t>
      </w:r>
    </w:p>
    <w:p w14:paraId="2904169B">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 投标文件全部采用电子文档，</w:t>
      </w:r>
      <w:r>
        <w:rPr>
          <w:rFonts w:hint="eastAsia" w:ascii="宋体" w:hAnsi="宋体" w:eastAsia="宋体"/>
          <w:b/>
          <w:bCs/>
          <w:color w:val="auto"/>
          <w:sz w:val="24"/>
          <w:szCs w:val="24"/>
          <w:highlight w:val="none"/>
          <w:u w:val="single"/>
        </w:rPr>
        <w:t>除招标文件另有规定外，</w:t>
      </w:r>
      <w:r>
        <w:rPr>
          <w:rFonts w:hint="eastAsia" w:ascii="宋体" w:hAnsi="宋体" w:eastAsia="宋体" w:cs="宋体"/>
          <w:color w:val="auto"/>
          <w:kern w:val="0"/>
          <w:sz w:val="24"/>
          <w:szCs w:val="24"/>
          <w:highlight w:val="none"/>
        </w:rPr>
        <w:t>投标文件所附证书证件均为</w:t>
      </w:r>
      <w:r>
        <w:rPr>
          <w:rFonts w:hint="eastAsia" w:ascii="宋体" w:hAnsi="宋体" w:eastAsia="宋体" w:cs="宋体"/>
          <w:strike/>
          <w:color w:val="auto"/>
          <w:kern w:val="0"/>
          <w:sz w:val="24"/>
          <w:szCs w:val="24"/>
          <w:highlight w:val="none"/>
        </w:rPr>
        <w:t>原件</w:t>
      </w:r>
      <w:r>
        <w:rPr>
          <w:rFonts w:hint="eastAsia" w:ascii="宋体" w:hAnsi="宋体" w:eastAsia="宋体" w:cs="宋体"/>
          <w:color w:val="auto"/>
          <w:kern w:val="0"/>
          <w:sz w:val="24"/>
          <w:szCs w:val="24"/>
          <w:highlight w:val="none"/>
        </w:rPr>
        <w:t>扫描件或电子证书，并采用单位数字证书，按招标文件要求在相应位置加盖电子印章</w:t>
      </w:r>
      <w:r>
        <w:rPr>
          <w:rFonts w:hint="default" w:ascii="宋体" w:hAnsi="宋体" w:eastAsia="宋体"/>
          <w:b/>
          <w:bCs/>
          <w:color w:val="auto"/>
          <w:sz w:val="24"/>
          <w:szCs w:val="24"/>
          <w:highlight w:val="none"/>
          <w:u w:val="single"/>
        </w:rPr>
        <w:t>（技术文件除外）</w:t>
      </w:r>
      <w:r>
        <w:rPr>
          <w:rFonts w:hint="eastAsia" w:ascii="宋体" w:hAnsi="宋体" w:eastAsia="宋体" w:cs="宋体"/>
          <w:color w:val="auto"/>
          <w:kern w:val="0"/>
          <w:sz w:val="24"/>
          <w:szCs w:val="24"/>
          <w:highlight w:val="none"/>
        </w:rPr>
        <w:t>。投标文件中需个人签字或盖章的，应加盖个人电子印章或在线下完成后扫描上传（可靠的电子签名与手写签名或者盖章具有同等的法律效力）。</w:t>
      </w:r>
      <w:r>
        <w:rPr>
          <w:rFonts w:hint="default" w:ascii="宋体" w:hAnsi="宋体" w:eastAsia="宋体"/>
          <w:b/>
          <w:bCs/>
          <w:color w:val="auto"/>
          <w:sz w:val="24"/>
          <w:szCs w:val="24"/>
          <w:highlight w:val="none"/>
          <w:u w:val="single"/>
        </w:rPr>
        <w:t>投标文件格式规定盖单位公章的页面必须盖单位公章或电子公章（公章与电子公章具有相同法律效力）。</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35DB4B6F">
      <w:pPr>
        <w:wordWrap w:val="0"/>
        <w:spacing w:line="360" w:lineRule="auto"/>
        <w:ind w:firstLine="480" w:firstLineChars="200"/>
        <w:rPr>
          <w:rFonts w:ascii="宋体" w:hAnsi="宋体" w:eastAsia="宋体" w:cs="宋体"/>
          <w:b/>
          <w:bCs/>
          <w:color w:val="auto"/>
          <w:kern w:val="0"/>
          <w:sz w:val="24"/>
          <w:szCs w:val="24"/>
          <w:highlight w:val="none"/>
          <w:u w:val="single"/>
        </w:rPr>
      </w:pPr>
      <w:r>
        <w:rPr>
          <w:rFonts w:hint="eastAsia" w:ascii="宋体" w:hAnsi="宋体" w:eastAsia="宋体" w:cs="宋体"/>
          <w:color w:val="auto"/>
          <w:kern w:val="0"/>
          <w:sz w:val="24"/>
          <w:szCs w:val="24"/>
          <w:highlight w:val="none"/>
        </w:rPr>
        <w:t>3.7.4 联合体投标时，投标人封面及其他内容落款中的“投标人”</w:t>
      </w:r>
      <w:r>
        <w:rPr>
          <w:rFonts w:hint="default" w:ascii="宋体" w:hAnsi="宋体" w:eastAsia="宋体"/>
          <w:b/>
          <w:bCs/>
          <w:color w:val="auto"/>
          <w:sz w:val="24"/>
          <w:szCs w:val="24"/>
          <w:highlight w:val="none"/>
          <w:u w:val="single"/>
        </w:rPr>
        <w:t>“承诺企业”“声明企业”</w:t>
      </w:r>
      <w:r>
        <w:rPr>
          <w:rFonts w:hint="eastAsia" w:ascii="宋体" w:hAnsi="宋体" w:eastAsia="宋体" w:cs="宋体"/>
          <w:color w:val="auto"/>
          <w:kern w:val="0"/>
          <w:sz w:val="24"/>
          <w:szCs w:val="24"/>
          <w:highlight w:val="none"/>
        </w:rPr>
        <w:t>应填写联合体各方的单位全称【格式为：（主）XXXX公司（成）XXXX公司】</w:t>
      </w:r>
      <w:r>
        <w:rPr>
          <w:rFonts w:hint="default" w:ascii="宋体" w:hAnsi="宋体" w:eastAsia="宋体"/>
          <w:b/>
          <w:bCs/>
          <w:color w:val="auto"/>
          <w:sz w:val="24"/>
          <w:szCs w:val="24"/>
          <w:highlight w:val="none"/>
          <w:u w:val="single"/>
        </w:rPr>
        <w:t>（系统生成的单位名称除外）</w:t>
      </w:r>
      <w:r>
        <w:rPr>
          <w:rFonts w:hint="eastAsia" w:ascii="宋体" w:hAnsi="宋体" w:eastAsia="宋体" w:cs="宋体"/>
          <w:color w:val="auto"/>
          <w:kern w:val="0"/>
          <w:sz w:val="24"/>
          <w:szCs w:val="24"/>
          <w:highlight w:val="none"/>
        </w:rPr>
        <w:t>。除</w:t>
      </w:r>
      <w:r>
        <w:rPr>
          <w:rFonts w:hint="default" w:ascii="宋体" w:hAnsi="宋体" w:eastAsia="宋体"/>
          <w:b/>
          <w:bCs/>
          <w:color w:val="auto"/>
          <w:sz w:val="24"/>
          <w:szCs w:val="24"/>
          <w:highlight w:val="none"/>
          <w:u w:val="single"/>
        </w:rPr>
        <w:t>《联合体协议书》</w:t>
      </w:r>
      <w:r>
        <w:rPr>
          <w:rFonts w:hint="eastAsia" w:ascii="宋体" w:hAnsi="宋体" w:eastAsia="宋体" w:cs="宋体"/>
          <w:strike/>
          <w:color w:val="auto"/>
          <w:kern w:val="0"/>
          <w:sz w:val="24"/>
          <w:szCs w:val="24"/>
          <w:highlight w:val="none"/>
        </w:rPr>
        <w:t>联合体共同投标协议</w:t>
      </w:r>
      <w:r>
        <w:rPr>
          <w:rFonts w:hint="eastAsia" w:ascii="宋体" w:hAnsi="宋体" w:eastAsia="宋体" w:cs="宋体"/>
          <w:color w:val="auto"/>
          <w:kern w:val="0"/>
          <w:sz w:val="24"/>
          <w:szCs w:val="24"/>
          <w:highlight w:val="none"/>
        </w:rPr>
        <w:t>需联合体各方按要求共同盖章</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签字</w:t>
      </w:r>
      <w:r>
        <w:rPr>
          <w:rFonts w:hint="eastAsia" w:ascii="宋体" w:hAnsi="宋体" w:eastAsia="宋体" w:cs="宋体"/>
          <w:b/>
          <w:bCs/>
          <w:color w:val="auto"/>
          <w:kern w:val="0"/>
          <w:sz w:val="24"/>
          <w:szCs w:val="24"/>
          <w:highlight w:val="none"/>
          <w:u w:val="single"/>
          <w:lang w:val="en-US" w:eastAsia="zh-CN"/>
        </w:rPr>
        <w:t>外</w:t>
      </w:r>
      <w:r>
        <w:rPr>
          <w:rFonts w:hint="eastAsia" w:ascii="宋体" w:hAnsi="宋体" w:eastAsia="宋体" w:cs="宋体"/>
          <w:color w:val="auto"/>
          <w:kern w:val="0"/>
          <w:sz w:val="24"/>
          <w:szCs w:val="24"/>
          <w:highlight w:val="none"/>
        </w:rPr>
        <w:t>，其余</w:t>
      </w:r>
      <w:r>
        <w:rPr>
          <w:rFonts w:hint="default" w:ascii="宋体" w:hAnsi="宋体" w:eastAsia="宋体"/>
          <w:b/>
          <w:bCs/>
          <w:color w:val="auto"/>
          <w:sz w:val="24"/>
          <w:szCs w:val="24"/>
          <w:highlight w:val="none"/>
          <w:u w:val="single"/>
        </w:rPr>
        <w:t>资料没有明确哪一方盖章的，若需要签字或盖章的均</w:t>
      </w:r>
      <w:r>
        <w:rPr>
          <w:rFonts w:hint="eastAsia" w:ascii="宋体" w:hAnsi="宋体" w:eastAsia="宋体" w:cs="宋体"/>
          <w:color w:val="auto"/>
          <w:kern w:val="0"/>
          <w:sz w:val="24"/>
          <w:szCs w:val="24"/>
          <w:highlight w:val="none"/>
        </w:rPr>
        <w:t>可由联合体主办方签字</w:t>
      </w:r>
      <w:r>
        <w:rPr>
          <w:rFonts w:hint="eastAsia" w:ascii="宋体" w:hAnsi="宋体" w:eastAsia="宋体" w:cs="宋体"/>
          <w:strike/>
          <w:color w:val="auto"/>
          <w:kern w:val="0"/>
          <w:sz w:val="24"/>
          <w:szCs w:val="24"/>
          <w:highlight w:val="none"/>
        </w:rPr>
        <w:t>、</w:t>
      </w:r>
      <w:r>
        <w:rPr>
          <w:rFonts w:hint="eastAsia" w:ascii="宋体" w:hAnsi="宋体" w:eastAsia="宋体" w:cs="宋体"/>
          <w:b/>
          <w:bCs/>
          <w:strike w:val="0"/>
          <w:color w:val="auto"/>
          <w:kern w:val="0"/>
          <w:sz w:val="24"/>
          <w:szCs w:val="24"/>
          <w:highlight w:val="none"/>
          <w:u w:val="single"/>
          <w:lang w:val="en-US" w:eastAsia="zh-CN"/>
        </w:rPr>
        <w:t>或</w:t>
      </w:r>
      <w:r>
        <w:rPr>
          <w:rFonts w:hint="eastAsia" w:ascii="宋体" w:hAnsi="宋体" w:eastAsia="宋体" w:cs="宋体"/>
          <w:color w:val="auto"/>
          <w:kern w:val="0"/>
          <w:sz w:val="24"/>
          <w:szCs w:val="24"/>
          <w:highlight w:val="none"/>
        </w:rPr>
        <w:t>盖章即可，由联合体主办方法人签字</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或盖章</w:t>
      </w:r>
      <w:r>
        <w:rPr>
          <w:rFonts w:hint="eastAsia" w:ascii="宋体" w:hAnsi="宋体" w:eastAsia="宋体"/>
          <w:b/>
          <w:bCs/>
          <w:color w:val="auto"/>
          <w:sz w:val="24"/>
          <w:szCs w:val="24"/>
          <w:highlight w:val="none"/>
          <w:u w:val="single"/>
          <w:lang w:eastAsia="zh-CN"/>
        </w:rPr>
        <w:t>）</w:t>
      </w:r>
      <w:r>
        <w:rPr>
          <w:rFonts w:hint="eastAsia" w:ascii="宋体" w:hAnsi="宋体" w:eastAsia="宋体" w:cs="宋体"/>
          <w:color w:val="auto"/>
          <w:kern w:val="0"/>
          <w:sz w:val="24"/>
          <w:szCs w:val="24"/>
          <w:highlight w:val="none"/>
        </w:rPr>
        <w:t>的电子投标文件需提供主办方法定代表人身份证明，若由联合体主办方法定代表人授权签字</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或盖章</w:t>
      </w:r>
      <w:r>
        <w:rPr>
          <w:rFonts w:hint="eastAsia" w:ascii="宋体" w:hAnsi="宋体" w:eastAsia="宋体"/>
          <w:b/>
          <w:bCs/>
          <w:color w:val="auto"/>
          <w:sz w:val="24"/>
          <w:szCs w:val="24"/>
          <w:highlight w:val="none"/>
          <w:u w:val="single"/>
          <w:lang w:eastAsia="zh-CN"/>
        </w:rPr>
        <w:t>）</w:t>
      </w:r>
      <w:r>
        <w:rPr>
          <w:rFonts w:hint="eastAsia" w:ascii="宋体" w:hAnsi="宋体" w:eastAsia="宋体" w:cs="宋体"/>
          <w:color w:val="auto"/>
          <w:kern w:val="0"/>
          <w:sz w:val="24"/>
          <w:szCs w:val="24"/>
          <w:highlight w:val="none"/>
        </w:rPr>
        <w:t>的电子投标文件需提供法定代表人身份证明</w:t>
      </w:r>
      <w:r>
        <w:rPr>
          <w:rFonts w:hint="eastAsia" w:ascii="宋体" w:hAnsi="宋体" w:eastAsia="宋体" w:cs="宋体"/>
          <w:b/>
          <w:bCs/>
          <w:color w:val="auto"/>
          <w:kern w:val="0"/>
          <w:sz w:val="24"/>
          <w:szCs w:val="24"/>
          <w:highlight w:val="none"/>
          <w:u w:val="single"/>
          <w:lang w:val="en-US" w:eastAsia="zh-CN"/>
        </w:rPr>
        <w:t>书</w:t>
      </w:r>
      <w:r>
        <w:rPr>
          <w:rFonts w:hint="eastAsia" w:ascii="宋体" w:hAnsi="宋体" w:eastAsia="宋体" w:cs="宋体"/>
          <w:color w:val="auto"/>
          <w:kern w:val="0"/>
          <w:sz w:val="24"/>
          <w:szCs w:val="24"/>
          <w:highlight w:val="none"/>
        </w:rPr>
        <w:t>及其授权委托书、授权委托人身份证扫描件。</w:t>
      </w:r>
      <w:r>
        <w:rPr>
          <w:rFonts w:hint="eastAsia" w:ascii="宋体" w:hAnsi="宋体" w:eastAsia="宋体" w:cs="宋体"/>
          <w:b/>
          <w:bCs/>
          <w:color w:val="auto"/>
          <w:kern w:val="0"/>
          <w:sz w:val="24"/>
          <w:szCs w:val="24"/>
          <w:highlight w:val="none"/>
          <w:u w:val="single"/>
        </w:rPr>
        <w:t>（技术文件的编制不在此要求内。）</w:t>
      </w:r>
    </w:p>
    <w:p w14:paraId="4621C1CD">
      <w:pPr>
        <w:wordWrap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3.7.5 投标文件应按照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网站关于全流程电子化项目的相关指南进行编制。如因不按上述编排要求编制而所引起系统无法检索、读取相关信息时，其后果将由投标人自行承担。</w:t>
      </w:r>
    </w:p>
    <w:p w14:paraId="7B3C3148">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4C3D293">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87" w:name="_Toc193357966"/>
      <w:bookmarkStart w:id="88" w:name="_Toc111186750"/>
      <w:bookmarkStart w:id="89" w:name="_Toc30610"/>
      <w:r>
        <w:rPr>
          <w:rFonts w:hint="eastAsia" w:ascii="宋体" w:hAnsi="宋体" w:eastAsia="宋体" w:cs="宋体"/>
          <w:b/>
          <w:bCs/>
          <w:color w:val="auto"/>
          <w:spacing w:val="1"/>
          <w:kern w:val="0"/>
          <w:sz w:val="30"/>
          <w:szCs w:val="30"/>
          <w:highlight w:val="none"/>
          <w:lang w:val="zh-CN"/>
        </w:rPr>
        <w:t>4</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w:t>
      </w:r>
      <w:bookmarkEnd w:id="87"/>
      <w:bookmarkEnd w:id="88"/>
      <w:bookmarkEnd w:id="89"/>
    </w:p>
    <w:p w14:paraId="1532D2B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0" w:name="_Toc26954"/>
      <w:bookmarkStart w:id="91" w:name="_Toc111186751"/>
      <w:bookmarkStart w:id="92" w:name="_Toc193357967"/>
      <w:r>
        <w:rPr>
          <w:rFonts w:hint="eastAsia" w:ascii="宋体" w:hAnsi="宋体" w:eastAsia="宋体" w:cs="宋体"/>
          <w:b/>
          <w:bCs/>
          <w:color w:val="auto"/>
          <w:spacing w:val="1"/>
          <w:sz w:val="28"/>
          <w:szCs w:val="32"/>
          <w:highlight w:val="none"/>
          <w:lang w:val="zh-CN"/>
        </w:rPr>
        <w:t>4.1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密</w:t>
      </w:r>
      <w:r>
        <w:rPr>
          <w:rFonts w:hint="eastAsia" w:ascii="宋体" w:hAnsi="宋体" w:eastAsia="宋体" w:cs="宋体"/>
          <w:b/>
          <w:bCs/>
          <w:color w:val="auto"/>
          <w:spacing w:val="-3"/>
          <w:sz w:val="28"/>
          <w:szCs w:val="32"/>
          <w:highlight w:val="none"/>
          <w:lang w:val="zh-CN"/>
        </w:rPr>
        <w:t>封</w:t>
      </w:r>
      <w:r>
        <w:rPr>
          <w:rFonts w:hint="eastAsia" w:ascii="宋体" w:hAnsi="宋体" w:eastAsia="宋体" w:cs="宋体"/>
          <w:b/>
          <w:bCs/>
          <w:color w:val="auto"/>
          <w:spacing w:val="1"/>
          <w:sz w:val="28"/>
          <w:szCs w:val="32"/>
          <w:highlight w:val="none"/>
          <w:lang w:val="zh-CN"/>
        </w:rPr>
        <w:t>和标记</w:t>
      </w:r>
      <w:bookmarkEnd w:id="90"/>
      <w:bookmarkEnd w:id="91"/>
      <w:bookmarkEnd w:id="92"/>
    </w:p>
    <w:p w14:paraId="77B3676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投标人应当按照招标文件和电子招标投标交易平台的要求加密投标文件（不含备用光盘），具体要求见投标人须知前附表。</w:t>
      </w:r>
    </w:p>
    <w:p w14:paraId="2990EAC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（如有）投标文件备用光盘封套上应写明的内容见投标人须知前附表。</w:t>
      </w:r>
    </w:p>
    <w:p w14:paraId="082A035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4.1.3 未按本章第4.1.1项要求加密的投标文件，招标人将授权</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网站交易平台予以拒收。</w:t>
      </w:r>
    </w:p>
    <w:p w14:paraId="0F3F768C">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D1DB06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3" w:name="_Toc28727"/>
      <w:bookmarkStart w:id="94" w:name="_Toc111186752"/>
      <w:bookmarkStart w:id="95" w:name="_Toc193357968"/>
      <w:r>
        <w:rPr>
          <w:rFonts w:hint="eastAsia" w:ascii="宋体" w:hAnsi="宋体" w:eastAsia="宋体" w:cs="宋体"/>
          <w:b/>
          <w:bCs/>
          <w:color w:val="auto"/>
          <w:spacing w:val="1"/>
          <w:sz w:val="28"/>
          <w:szCs w:val="32"/>
          <w:highlight w:val="none"/>
          <w:lang w:val="zh-CN"/>
        </w:rPr>
        <w:t>4.2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递交</w:t>
      </w:r>
      <w:bookmarkEnd w:id="93"/>
      <w:bookmarkEnd w:id="94"/>
      <w:bookmarkEnd w:id="95"/>
    </w:p>
    <w:p w14:paraId="166AB43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4.2.1 投标人应在投标人须知前附表规定的投标截止时间前</w:t>
      </w:r>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网站交易平台递交电子投标文件</w:t>
      </w:r>
      <w:r>
        <w:rPr>
          <w:rFonts w:ascii="宋体" w:hAnsi="宋体" w:eastAsia="宋体" w:cs="宋体"/>
          <w:color w:val="auto"/>
          <w:kern w:val="0"/>
          <w:sz w:val="24"/>
          <w:szCs w:val="24"/>
          <w:highlight w:val="none"/>
        </w:rPr>
        <w:t>。</w:t>
      </w:r>
    </w:p>
    <w:p w14:paraId="3BA4342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4.2.2</w:t>
      </w:r>
      <w:r>
        <w:rPr>
          <w:rFonts w:hint="eastAsia" w:ascii="宋体" w:hAnsi="宋体" w:eastAsia="宋体" w:cs="宋体"/>
          <w:color w:val="auto"/>
          <w:kern w:val="0"/>
          <w:sz w:val="24"/>
          <w:szCs w:val="24"/>
          <w:highlight w:val="none"/>
        </w:rPr>
        <w:t xml:space="preserve"> 投标人完成电子投标文件上传后，</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网站交易平台即时向投标人发出递交回执通知。递交时间以递交回执通知载明的传输完成时间为准</w:t>
      </w:r>
      <w:r>
        <w:rPr>
          <w:rFonts w:ascii="宋体" w:hAnsi="宋体" w:eastAsia="宋体" w:cs="宋体"/>
          <w:color w:val="auto"/>
          <w:kern w:val="0"/>
          <w:sz w:val="24"/>
          <w:szCs w:val="24"/>
          <w:highlight w:val="none"/>
        </w:rPr>
        <w:t>。</w:t>
      </w:r>
    </w:p>
    <w:p w14:paraId="30877DD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4.2.3 </w:t>
      </w:r>
      <w:r>
        <w:rPr>
          <w:rFonts w:hint="eastAsia" w:ascii="宋体" w:hAnsi="宋体" w:eastAsia="宋体" w:cs="宋体"/>
          <w:color w:val="auto"/>
          <w:kern w:val="0"/>
          <w:sz w:val="24"/>
          <w:szCs w:val="24"/>
          <w:highlight w:val="none"/>
        </w:rPr>
        <w:t>逾期送达的电子投标文件，</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网站交易平台将予以拒收。</w:t>
      </w:r>
    </w:p>
    <w:p w14:paraId="4A7BBC8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w:t>
      </w:r>
      <w:r>
        <w:rPr>
          <w:rFonts w:hint="eastAsia" w:ascii="宋体" w:hAnsi="宋体" w:eastAsia="宋体" w:cs="宋体"/>
          <w:color w:val="auto"/>
          <w:kern w:val="0"/>
          <w:sz w:val="24"/>
          <w:szCs w:val="24"/>
          <w:highlight w:val="none"/>
        </w:rPr>
        <w:t>4 投标截止前，招标人拒绝接收符合条件的投标文件，投标人可向招标监督机构投诉</w:t>
      </w:r>
      <w:r>
        <w:rPr>
          <w:rFonts w:ascii="宋体" w:hAnsi="宋体" w:eastAsia="宋体" w:cs="宋体"/>
          <w:color w:val="auto"/>
          <w:kern w:val="0"/>
          <w:sz w:val="24"/>
          <w:szCs w:val="24"/>
          <w:highlight w:val="none"/>
        </w:rPr>
        <w:t>。</w:t>
      </w:r>
    </w:p>
    <w:p w14:paraId="7CB9EAD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E14BE3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6" w:name="_Toc193357969"/>
      <w:bookmarkStart w:id="97" w:name="_Toc32035"/>
      <w:bookmarkStart w:id="98" w:name="_Toc111186753"/>
      <w:r>
        <w:rPr>
          <w:rFonts w:hint="eastAsia" w:ascii="宋体" w:hAnsi="宋体" w:eastAsia="宋体" w:cs="宋体"/>
          <w:b/>
          <w:bCs/>
          <w:color w:val="auto"/>
          <w:spacing w:val="1"/>
          <w:sz w:val="28"/>
          <w:szCs w:val="32"/>
          <w:highlight w:val="none"/>
          <w:lang w:val="zh-CN"/>
        </w:rPr>
        <w:t>4.3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修</w:t>
      </w:r>
      <w:r>
        <w:rPr>
          <w:rFonts w:hint="eastAsia" w:ascii="宋体" w:hAnsi="宋体" w:eastAsia="宋体" w:cs="宋体"/>
          <w:b/>
          <w:bCs/>
          <w:color w:val="auto"/>
          <w:spacing w:val="-3"/>
          <w:sz w:val="28"/>
          <w:szCs w:val="32"/>
          <w:highlight w:val="none"/>
          <w:lang w:val="zh-CN"/>
        </w:rPr>
        <w:t>改</w:t>
      </w:r>
      <w:r>
        <w:rPr>
          <w:rFonts w:hint="eastAsia" w:ascii="宋体" w:hAnsi="宋体" w:eastAsia="宋体" w:cs="宋体"/>
          <w:b/>
          <w:bCs/>
          <w:color w:val="auto"/>
          <w:spacing w:val="1"/>
          <w:sz w:val="28"/>
          <w:szCs w:val="32"/>
          <w:highlight w:val="none"/>
          <w:lang w:val="zh-CN"/>
        </w:rPr>
        <w:t>与撤回</w:t>
      </w:r>
      <w:bookmarkEnd w:id="96"/>
      <w:bookmarkEnd w:id="97"/>
      <w:bookmarkEnd w:id="98"/>
    </w:p>
    <w:p w14:paraId="170CB70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在规定的投标截止时间前，投标人可以修改或撤回已递交的投标文件，但应以书面形式通知招标人。</w:t>
      </w:r>
    </w:p>
    <w:p w14:paraId="08634C9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投标人修改或撤回已递交投标文件，需在交易平台发出修改或撤回通知，并按要求加盖电子印章。电子招标投标交易平台收到通知后，即时向投标人发出确认回执通知。</w:t>
      </w:r>
    </w:p>
    <w:p w14:paraId="021162E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4.3.3 修改后再次递交的，按第4.2项的规定执行。</w:t>
      </w:r>
    </w:p>
    <w:p w14:paraId="04C3043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4.3.4 在投标截止时间之后，投标人不得补充、修改和更换投标文件。</w:t>
      </w:r>
    </w:p>
    <w:p w14:paraId="067E0EFE">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4.3.5 投标人撤回投标文件的，招标人自收到投标人书面撤回通知之日起5日内退还已收取的投标保证金。</w:t>
      </w:r>
    </w:p>
    <w:p w14:paraId="1DB5478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5F0FB00">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99" w:name="_Toc3959"/>
      <w:bookmarkStart w:id="100" w:name="_Toc111186754"/>
      <w:bookmarkStart w:id="101" w:name="_Toc193357970"/>
      <w:r>
        <w:rPr>
          <w:rFonts w:hint="eastAsia" w:ascii="宋体" w:hAnsi="宋体" w:eastAsia="宋体" w:cs="宋体"/>
          <w:b/>
          <w:bCs/>
          <w:color w:val="auto"/>
          <w:spacing w:val="1"/>
          <w:kern w:val="0"/>
          <w:sz w:val="30"/>
          <w:szCs w:val="30"/>
          <w:highlight w:val="none"/>
          <w:lang w:val="zh-CN"/>
        </w:rPr>
        <w:t>5</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开标</w:t>
      </w:r>
      <w:bookmarkEnd w:id="99"/>
      <w:bookmarkEnd w:id="100"/>
      <w:bookmarkEnd w:id="101"/>
    </w:p>
    <w:p w14:paraId="2F684DF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2" w:name="_Toc25072089"/>
      <w:bookmarkStart w:id="103" w:name="_Toc111186756"/>
      <w:bookmarkStart w:id="104" w:name="_Toc193357972"/>
      <w:bookmarkStart w:id="105" w:name="_Toc27261"/>
      <w:r>
        <w:rPr>
          <w:rFonts w:hint="eastAsia" w:ascii="宋体" w:hAnsi="宋体" w:eastAsia="宋体" w:cs="宋体"/>
          <w:b/>
          <w:bCs/>
          <w:color w:val="auto"/>
          <w:spacing w:val="1"/>
          <w:sz w:val="28"/>
          <w:szCs w:val="32"/>
          <w:highlight w:val="none"/>
          <w:lang w:val="zh-CN"/>
        </w:rPr>
        <w:t>5.1 开标时间和地点</w:t>
      </w:r>
      <w:bookmarkEnd w:id="102"/>
      <w:bookmarkEnd w:id="103"/>
      <w:bookmarkEnd w:id="104"/>
      <w:bookmarkEnd w:id="105"/>
    </w:p>
    <w:p w14:paraId="3DEA5D6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招标人按投标须知前附表规定的时间和地点公开开标。截标后，开标开始时间因故推迟的，相关评标信息仍以原定的开标开始时间的信息为准。</w:t>
      </w:r>
    </w:p>
    <w:p w14:paraId="2A9745A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06F014D">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E79D12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6" w:name="_Toc193357973"/>
      <w:bookmarkStart w:id="107" w:name="_Toc111186757"/>
      <w:bookmarkStart w:id="108" w:name="_Toc20443"/>
      <w:r>
        <w:rPr>
          <w:rFonts w:hint="eastAsia" w:ascii="宋体" w:hAnsi="宋体" w:eastAsia="宋体" w:cs="宋体"/>
          <w:b/>
          <w:bCs/>
          <w:color w:val="auto"/>
          <w:spacing w:val="1"/>
          <w:sz w:val="28"/>
          <w:szCs w:val="32"/>
          <w:highlight w:val="none"/>
          <w:lang w:val="zh-CN"/>
        </w:rPr>
        <w:t>5.2 开标程序</w:t>
      </w:r>
      <w:bookmarkEnd w:id="106"/>
      <w:bookmarkEnd w:id="107"/>
      <w:bookmarkEnd w:id="108"/>
    </w:p>
    <w:p w14:paraId="1699DB0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在投标截止时间后一小时内，投标人通过递交投标文件的交易平台对已递交的电子投标文件进行解密。投标人完成解密后，再由招标人进行解密。解密完成后，公布招标项目名称、投标人名称、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宋体"/>
          <w:strike/>
          <w:color w:val="auto"/>
          <w:kern w:val="0"/>
          <w:sz w:val="24"/>
          <w:szCs w:val="24"/>
          <w:highlight w:val="none"/>
        </w:rPr>
        <w:t>投标保证金的递交情况、</w:t>
      </w:r>
      <w:r>
        <w:rPr>
          <w:rFonts w:hint="eastAsia" w:ascii="宋体" w:hAnsi="宋体" w:eastAsia="宋体" w:cs="宋体"/>
          <w:color w:val="auto"/>
          <w:kern w:val="0"/>
          <w:sz w:val="24"/>
          <w:szCs w:val="24"/>
          <w:highlight w:val="none"/>
        </w:rPr>
        <w:t>投标报价、项目负责人及其他内容。未在规定时间内解密的投标文件不参与开标、评标。</w:t>
      </w:r>
    </w:p>
    <w:p w14:paraId="46FCF7C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按开标记录表规定的内容进行唱标。</w:t>
      </w:r>
      <w:r>
        <w:rPr>
          <w:rFonts w:hint="eastAsia" w:ascii="宋体" w:hAnsi="宋体" w:eastAsia="宋体" w:cs="宋体"/>
          <w:b/>
          <w:bCs/>
          <w:color w:val="auto"/>
          <w:kern w:val="0"/>
          <w:sz w:val="24"/>
          <w:szCs w:val="24"/>
          <w:highlight w:val="none"/>
          <w:u w:val="single"/>
        </w:rPr>
        <w:t>技术文件（勘察设计方案）开标时不得开启，在评标时由交易平台随机编号后开启，交由评标委员会进行评审。编号所对应的投标人在技术文件评审结束前不得告知评标委员会、交易平台工作人员、招标人或招标代理机构。</w:t>
      </w:r>
    </w:p>
    <w:p w14:paraId="252F01A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投标人代表、招标人代表等有关人员在开标记录上签字确认；若有关人员不签字的，不影响开标程序。</w:t>
      </w:r>
    </w:p>
    <w:p w14:paraId="0C4A2F5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5.2.4 开标结束。</w:t>
      </w:r>
    </w:p>
    <w:p w14:paraId="7D54948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83D67C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5.2.6 开标时，两个（含两个）以上的投标人加密打包投标文件的硬件特征码（含MAC地址、硬盘序列号、CPU名称、主板等）一致的，由评标委员会否决其投标。</w:t>
      </w:r>
    </w:p>
    <w:p w14:paraId="6074898D">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ABC034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9" w:name="_Toc111186758"/>
      <w:bookmarkStart w:id="110" w:name="_Toc193357974"/>
      <w:bookmarkStart w:id="111" w:name="_Toc26094"/>
      <w:r>
        <w:rPr>
          <w:rFonts w:hint="eastAsia" w:ascii="宋体" w:hAnsi="宋体" w:eastAsia="宋体" w:cs="宋体"/>
          <w:b/>
          <w:bCs/>
          <w:color w:val="auto"/>
          <w:spacing w:val="1"/>
          <w:sz w:val="28"/>
          <w:szCs w:val="32"/>
          <w:highlight w:val="none"/>
          <w:lang w:val="zh-CN"/>
        </w:rPr>
        <w:t>5.3 开标异议</w:t>
      </w:r>
      <w:bookmarkEnd w:id="109"/>
      <w:bookmarkEnd w:id="110"/>
      <w:bookmarkEnd w:id="111"/>
    </w:p>
    <w:p w14:paraId="5808C1D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1 参加现场开标的投标人对开标结果有异议的，应当在开标现场提出，该投标人代表须同时出示本人身份证原件，招标人应当当场作出答复，并制作记录。未答复的，开标程序不得结束。</w:t>
      </w:r>
    </w:p>
    <w:p w14:paraId="3607C61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2 参加在线开标的投标人对开标结果有异议的，应当在唱标结束后的规定时间内使用单位数字证书登录</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1EBD2E84">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5.3.3 投标人未参加开标或在规定的时间内未提出异议的，视为对开标无异议。</w:t>
      </w:r>
    </w:p>
    <w:p w14:paraId="205F941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3F3E6A4">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12" w:name="_Toc111186759"/>
      <w:bookmarkStart w:id="113" w:name="_Toc27043"/>
      <w:bookmarkStart w:id="114" w:name="_Toc193357975"/>
      <w:r>
        <w:rPr>
          <w:rFonts w:hint="eastAsia" w:ascii="宋体" w:hAnsi="宋体" w:eastAsia="宋体" w:cs="宋体"/>
          <w:b/>
          <w:bCs/>
          <w:color w:val="auto"/>
          <w:spacing w:val="1"/>
          <w:kern w:val="0"/>
          <w:sz w:val="30"/>
          <w:szCs w:val="30"/>
          <w:highlight w:val="none"/>
          <w:lang w:val="zh-CN"/>
        </w:rPr>
        <w:t>6</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评标</w:t>
      </w:r>
      <w:bookmarkEnd w:id="112"/>
      <w:bookmarkEnd w:id="113"/>
      <w:bookmarkEnd w:id="114"/>
    </w:p>
    <w:p w14:paraId="51404E1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5" w:name="_Toc111186760"/>
      <w:bookmarkStart w:id="116" w:name="_Toc193357976"/>
      <w:bookmarkStart w:id="117" w:name="_Toc874"/>
      <w:r>
        <w:rPr>
          <w:rFonts w:hint="eastAsia" w:ascii="宋体" w:hAnsi="宋体" w:eastAsia="宋体" w:cs="宋体"/>
          <w:b/>
          <w:bCs/>
          <w:color w:val="auto"/>
          <w:spacing w:val="1"/>
          <w:sz w:val="28"/>
          <w:szCs w:val="32"/>
          <w:highlight w:val="none"/>
          <w:lang w:val="zh-CN"/>
        </w:rPr>
        <w:t>6.1 评标委员会</w:t>
      </w:r>
      <w:bookmarkEnd w:id="115"/>
      <w:bookmarkEnd w:id="116"/>
      <w:bookmarkEnd w:id="117"/>
    </w:p>
    <w:p w14:paraId="1A11BF9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6.1.1 评标由招标人依法组建的评标委员会负责。</w:t>
      </w:r>
      <w:r>
        <w:rPr>
          <w:rFonts w:hint="eastAsia" w:ascii="宋体" w:hAnsi="宋体" w:eastAsia="宋体" w:cs="宋体"/>
          <w:color w:val="auto"/>
          <w:kern w:val="0"/>
          <w:sz w:val="24"/>
          <w:szCs w:val="24"/>
          <w:highlight w:val="none"/>
        </w:rPr>
        <w:t>评标委员会由有关技术、经济等方面的专家和招标人代表组成，专家从</w:t>
      </w:r>
      <w:r>
        <w:rPr>
          <w:rFonts w:hint="eastAsia" w:ascii="宋体" w:hAnsi="宋体" w:eastAsia="宋体" w:cs="宋体"/>
          <w:color w:val="auto"/>
          <w:kern w:val="0"/>
          <w:sz w:val="24"/>
          <w:szCs w:val="24"/>
          <w:highlight w:val="none"/>
          <w:u w:val="single"/>
        </w:rPr>
        <w:t>广东省综合评标评审专家库</w:t>
      </w:r>
      <w:r>
        <w:rPr>
          <w:rFonts w:hint="eastAsia" w:ascii="宋体" w:hAnsi="宋体" w:eastAsia="宋体" w:cs="宋体"/>
          <w:color w:val="auto"/>
          <w:kern w:val="0"/>
          <w:sz w:val="24"/>
          <w:szCs w:val="24"/>
          <w:highlight w:val="none"/>
        </w:rPr>
        <w:t>中抽取或按远程异地评标专家抽取相关规定组建</w:t>
      </w:r>
      <w:r>
        <w:rPr>
          <w:rFonts w:ascii="宋体" w:hAnsi="宋体" w:eastAsia="宋体" w:cs="宋体"/>
          <w:color w:val="auto"/>
          <w:kern w:val="0"/>
          <w:sz w:val="24"/>
          <w:szCs w:val="24"/>
          <w:highlight w:val="none"/>
        </w:rPr>
        <w:t>。评标委员会成员人数以及技术、经济等方面专家的确定方式见投标人须知前附表。</w:t>
      </w:r>
    </w:p>
    <w:p w14:paraId="27E8585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6.1.2 评标委员会成员有下列情形之一的，应当回避：</w:t>
      </w:r>
    </w:p>
    <w:p w14:paraId="5606264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(1)投标人或投标人主要负责人的近亲属；</w:t>
      </w:r>
    </w:p>
    <w:p w14:paraId="20B34B7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(2)项目主管部门或者行政监督部门的人员；</w:t>
      </w:r>
    </w:p>
    <w:p w14:paraId="2C70707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招标人或投标人的工作人员、退休或离职未满3年的人员；</w:t>
      </w:r>
    </w:p>
    <w:p w14:paraId="71115B0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)与投标人有经济利益关系，可能影响对投标公正评审的；</w:t>
      </w:r>
    </w:p>
    <w:p w14:paraId="2A6FAC2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)曾因在招标、评标以及其他与招标投标有关活动中从事违法行为而受过行政处罚或刑事处罚的；</w:t>
      </w:r>
    </w:p>
    <w:p w14:paraId="06DD667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6</w:t>
      </w:r>
      <w:r>
        <w:rPr>
          <w:rFonts w:ascii="宋体" w:hAnsi="宋体" w:eastAsia="宋体" w:cs="宋体"/>
          <w:color w:val="auto"/>
          <w:kern w:val="0"/>
          <w:sz w:val="24"/>
          <w:szCs w:val="24"/>
          <w:highlight w:val="none"/>
        </w:rPr>
        <w:t>)与投标人有其他利害关系。</w:t>
      </w:r>
    </w:p>
    <w:p w14:paraId="6978ECA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F5927CC">
      <w:pPr>
        <w:wordWrap w:val="0"/>
        <w:autoSpaceDE w:val="0"/>
        <w:autoSpaceDN w:val="0"/>
        <w:spacing w:line="360" w:lineRule="auto"/>
        <w:ind w:firstLine="482" w:firstLineChars="200"/>
        <w:rPr>
          <w:rFonts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u w:val="single"/>
        </w:rPr>
        <w:t>6.1.4 评标委员会在开始评标前，应了解评标专家的职责及守则，认真阅读附件《评标委员会成员声明》的内容并签名，签名后方可进行评标。</w:t>
      </w:r>
    </w:p>
    <w:p w14:paraId="5F3740F5">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13AEAD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8" w:name="_Toc111186761"/>
      <w:bookmarkStart w:id="119" w:name="_Toc9043"/>
      <w:bookmarkStart w:id="120" w:name="_Toc193357977"/>
      <w:r>
        <w:rPr>
          <w:rFonts w:hint="eastAsia" w:ascii="宋体" w:hAnsi="宋体" w:eastAsia="宋体" w:cs="宋体"/>
          <w:b/>
          <w:bCs/>
          <w:color w:val="auto"/>
          <w:spacing w:val="1"/>
          <w:sz w:val="28"/>
          <w:szCs w:val="32"/>
          <w:highlight w:val="none"/>
          <w:lang w:val="zh-CN"/>
        </w:rPr>
        <w:t>6.2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评标原则</w:t>
      </w:r>
      <w:bookmarkEnd w:id="118"/>
      <w:bookmarkEnd w:id="119"/>
      <w:bookmarkEnd w:id="120"/>
    </w:p>
    <w:p w14:paraId="226D6C6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评标活动遵循公平、公正、科学和择优的原则。</w:t>
      </w:r>
    </w:p>
    <w:p w14:paraId="4509A7F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F6079C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1" w:name="_Toc193357978"/>
      <w:bookmarkStart w:id="122" w:name="_Toc111186762"/>
      <w:bookmarkStart w:id="123" w:name="_Toc10255"/>
      <w:r>
        <w:rPr>
          <w:rFonts w:hint="eastAsia" w:ascii="宋体" w:hAnsi="宋体" w:eastAsia="宋体" w:cs="宋体"/>
          <w:b/>
          <w:bCs/>
          <w:color w:val="auto"/>
          <w:spacing w:val="1"/>
          <w:sz w:val="28"/>
          <w:szCs w:val="32"/>
          <w:highlight w:val="none"/>
          <w:lang w:val="zh-CN"/>
        </w:rPr>
        <w:t>6.3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w:t>
      </w:r>
      <w:bookmarkEnd w:id="121"/>
      <w:bookmarkEnd w:id="122"/>
      <w:bookmarkEnd w:id="123"/>
    </w:p>
    <w:p w14:paraId="0F9286D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6.3.1 评标委员会按照第三章“评标办法”规定的方法、评审因素、标准和程序对投标文件进行评审。第三章“评标办法”没有规定的方法、评审因素和标准，不作为评标依据。</w:t>
      </w:r>
    </w:p>
    <w:p w14:paraId="03D2A2F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6.3.2 评标完成后，评标委员会应当向招标人提交书面评标报告和中标候选人名单。评标委员会推荐中标候选人的人数见投标人须知前附表。</w:t>
      </w:r>
    </w:p>
    <w:p w14:paraId="30B5B9DC">
      <w:pPr>
        <w:wordWrap w:val="0"/>
        <w:spacing w:line="360" w:lineRule="auto"/>
        <w:ind w:firstLine="480" w:firstLineChars="200"/>
        <w:rPr>
          <w:rFonts w:ascii="宋体" w:hAnsi="宋体" w:eastAsia="宋体" w:cs="宋体"/>
          <w:color w:val="auto"/>
          <w:sz w:val="24"/>
          <w:szCs w:val="24"/>
          <w:highlight w:val="none"/>
        </w:rPr>
      </w:pPr>
    </w:p>
    <w:p w14:paraId="0C133C90">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24" w:name="_Toc111186763"/>
      <w:bookmarkStart w:id="125" w:name="_Toc193357979"/>
      <w:bookmarkStart w:id="126" w:name="_Toc10209"/>
      <w:r>
        <w:rPr>
          <w:rFonts w:hint="eastAsia" w:ascii="宋体" w:hAnsi="宋体" w:eastAsia="宋体" w:cs="宋体"/>
          <w:b/>
          <w:bCs/>
          <w:color w:val="auto"/>
          <w:spacing w:val="1"/>
          <w:kern w:val="0"/>
          <w:sz w:val="30"/>
          <w:szCs w:val="30"/>
          <w:highlight w:val="none"/>
          <w:lang w:val="zh-CN"/>
        </w:rPr>
        <w:t>7</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合同授予</w:t>
      </w:r>
      <w:bookmarkEnd w:id="124"/>
      <w:bookmarkEnd w:id="125"/>
      <w:bookmarkEnd w:id="126"/>
    </w:p>
    <w:p w14:paraId="0B4D67E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7" w:name="_Toc111186764"/>
      <w:bookmarkStart w:id="128" w:name="_Toc193357980"/>
      <w:bookmarkStart w:id="129" w:name="_Toc3077"/>
      <w:r>
        <w:rPr>
          <w:rFonts w:hint="eastAsia" w:ascii="宋体" w:hAnsi="宋体" w:eastAsia="宋体" w:cs="宋体"/>
          <w:b/>
          <w:bCs/>
          <w:color w:val="auto"/>
          <w:spacing w:val="1"/>
          <w:sz w:val="28"/>
          <w:szCs w:val="32"/>
          <w:highlight w:val="none"/>
          <w:lang w:val="zh-CN"/>
        </w:rPr>
        <w:t>7.1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公示</w:t>
      </w:r>
      <w:bookmarkEnd w:id="127"/>
      <w:bookmarkEnd w:id="128"/>
      <w:bookmarkEnd w:id="129"/>
    </w:p>
    <w:p w14:paraId="5A1A48C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招标人在收到评标报告之日起3日内，按照投标人须知前附表规定的公示媒介和期限公示中标候选人，公示期不得少于3天，最后一天应为工作日。</w:t>
      </w:r>
    </w:p>
    <w:p w14:paraId="0915E34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 在产生中标候选人后，招标人将中标候选人的投标文件商务部分（包括人员、业绩、奖项等资料</w:t>
      </w:r>
      <w:r>
        <w:rPr>
          <w:rFonts w:hint="eastAsia" w:ascii="宋体" w:hAnsi="宋体" w:eastAsia="宋体" w:cs="宋体"/>
          <w:b/>
          <w:bCs/>
          <w:color w:val="auto"/>
          <w:kern w:val="0"/>
          <w:sz w:val="24"/>
          <w:szCs w:val="24"/>
          <w:highlight w:val="none"/>
          <w:u w:val="single"/>
        </w:rPr>
        <w:t>，但报价清单、方案等涉及商业秘密的内容除外</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网站和广东省招标投标监管网公开。</w:t>
      </w:r>
    </w:p>
    <w:p w14:paraId="5577BAC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14:paraId="1AC3853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E87A300">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0" w:name="_Toc19391"/>
      <w:bookmarkStart w:id="131" w:name="_Toc111186765"/>
      <w:bookmarkStart w:id="132" w:name="_Toc193357981"/>
      <w:r>
        <w:rPr>
          <w:rFonts w:hint="eastAsia" w:ascii="宋体" w:hAnsi="宋体" w:eastAsia="宋体" w:cs="宋体"/>
          <w:b/>
          <w:bCs/>
          <w:color w:val="auto"/>
          <w:spacing w:val="1"/>
          <w:sz w:val="28"/>
          <w:szCs w:val="32"/>
          <w:highlight w:val="none"/>
          <w:lang w:val="zh-CN"/>
        </w:rPr>
        <w:t>7.2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评标结果</w:t>
      </w:r>
      <w:r>
        <w:rPr>
          <w:rFonts w:hint="eastAsia" w:ascii="宋体" w:hAnsi="宋体" w:eastAsia="宋体" w:cs="宋体"/>
          <w:b/>
          <w:bCs/>
          <w:color w:val="auto"/>
          <w:spacing w:val="-3"/>
          <w:sz w:val="28"/>
          <w:szCs w:val="32"/>
          <w:highlight w:val="none"/>
          <w:lang w:val="zh-CN"/>
        </w:rPr>
        <w:t>异</w:t>
      </w:r>
      <w:r>
        <w:rPr>
          <w:rFonts w:hint="eastAsia" w:ascii="宋体" w:hAnsi="宋体" w:eastAsia="宋体" w:cs="宋体"/>
          <w:b/>
          <w:bCs/>
          <w:color w:val="auto"/>
          <w:spacing w:val="1"/>
          <w:sz w:val="28"/>
          <w:szCs w:val="32"/>
          <w:highlight w:val="none"/>
          <w:lang w:val="zh-CN"/>
        </w:rPr>
        <w:t>议</w:t>
      </w:r>
      <w:bookmarkEnd w:id="130"/>
      <w:bookmarkEnd w:id="131"/>
      <w:bookmarkEnd w:id="132"/>
    </w:p>
    <w:p w14:paraId="4A8E2DE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投标人或者其他利害关系人对评标结果有异议的，应当在中标候选人公示期间通过电子交易系统提出。招标人将在收到异议之日起3日内在电子交易系统作出答复；作出答复前，将暂停招标投标活动。</w:t>
      </w:r>
    </w:p>
    <w:p w14:paraId="364B31B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9BEF6D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3" w:name="_Toc193357982"/>
      <w:bookmarkStart w:id="134" w:name="_Toc17235"/>
      <w:bookmarkStart w:id="135" w:name="_Toc111186766"/>
      <w:r>
        <w:rPr>
          <w:rFonts w:hint="eastAsia" w:ascii="宋体" w:hAnsi="宋体" w:eastAsia="宋体" w:cs="宋体"/>
          <w:b/>
          <w:bCs/>
          <w:color w:val="auto"/>
          <w:spacing w:val="1"/>
          <w:sz w:val="28"/>
          <w:szCs w:val="32"/>
          <w:highlight w:val="none"/>
          <w:lang w:val="zh-CN"/>
        </w:rPr>
        <w:t>7.3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履</w:t>
      </w:r>
      <w:r>
        <w:rPr>
          <w:rFonts w:hint="eastAsia" w:ascii="宋体" w:hAnsi="宋体" w:eastAsia="宋体" w:cs="宋体"/>
          <w:b/>
          <w:bCs/>
          <w:color w:val="auto"/>
          <w:spacing w:val="-3"/>
          <w:sz w:val="28"/>
          <w:szCs w:val="32"/>
          <w:highlight w:val="none"/>
          <w:lang w:val="zh-CN"/>
        </w:rPr>
        <w:t>约</w:t>
      </w:r>
      <w:r>
        <w:rPr>
          <w:rFonts w:hint="eastAsia" w:ascii="宋体" w:hAnsi="宋体" w:eastAsia="宋体" w:cs="宋体"/>
          <w:b/>
          <w:bCs/>
          <w:color w:val="auto"/>
          <w:spacing w:val="1"/>
          <w:sz w:val="28"/>
          <w:szCs w:val="32"/>
          <w:highlight w:val="none"/>
          <w:lang w:val="zh-CN"/>
        </w:rPr>
        <w:t>能力审查</w:t>
      </w:r>
      <w:bookmarkEnd w:id="133"/>
      <w:bookmarkEnd w:id="134"/>
      <w:bookmarkEnd w:id="135"/>
    </w:p>
    <w:p w14:paraId="44B676D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9AA561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2A6F43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6" w:name="_Toc193357983"/>
      <w:bookmarkStart w:id="137" w:name="_Toc111186767"/>
      <w:bookmarkStart w:id="138" w:name="_Toc1732"/>
      <w:r>
        <w:rPr>
          <w:rFonts w:hint="eastAsia" w:ascii="宋体" w:hAnsi="宋体" w:eastAsia="宋体" w:cs="宋体"/>
          <w:b/>
          <w:bCs/>
          <w:color w:val="auto"/>
          <w:spacing w:val="1"/>
          <w:sz w:val="28"/>
          <w:szCs w:val="32"/>
          <w:highlight w:val="none"/>
          <w:lang w:val="zh-CN"/>
        </w:rPr>
        <w:t>7.4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定标</w:t>
      </w:r>
      <w:bookmarkEnd w:id="136"/>
      <w:bookmarkEnd w:id="137"/>
      <w:bookmarkEnd w:id="138"/>
    </w:p>
    <w:p w14:paraId="258E943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按照投标人须知前附表的规定，招标人或招标人授权的评标委员会依法确定中标人。</w:t>
      </w:r>
    </w:p>
    <w:p w14:paraId="70FF09C2">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E9412E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9" w:name="_Toc193357984"/>
      <w:bookmarkStart w:id="140" w:name="_Toc4759"/>
      <w:bookmarkStart w:id="141" w:name="_Toc111186768"/>
      <w:r>
        <w:rPr>
          <w:rFonts w:hint="eastAsia" w:ascii="宋体" w:hAnsi="宋体" w:eastAsia="宋体" w:cs="宋体"/>
          <w:b/>
          <w:bCs/>
          <w:color w:val="auto"/>
          <w:spacing w:val="1"/>
          <w:sz w:val="28"/>
          <w:szCs w:val="32"/>
          <w:highlight w:val="none"/>
          <w:lang w:val="zh-CN"/>
        </w:rPr>
        <w:t>7.5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中标通知</w:t>
      </w:r>
      <w:bookmarkEnd w:id="139"/>
      <w:bookmarkEnd w:id="140"/>
      <w:bookmarkEnd w:id="141"/>
    </w:p>
    <w:p w14:paraId="70DFA60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7.5.1 在法规规定的时间内，招标人向中标人发出中标通知书</w:t>
      </w:r>
      <w:r>
        <w:rPr>
          <w:rFonts w:hint="eastAsia" w:ascii="宋体" w:hAnsi="宋体" w:eastAsia="宋体"/>
          <w:b/>
          <w:bCs/>
          <w:color w:val="auto"/>
          <w:sz w:val="24"/>
          <w:szCs w:val="24"/>
          <w:highlight w:val="none"/>
          <w:u w:val="single"/>
          <w:lang w:eastAsia="zh-CN"/>
        </w:rPr>
        <w:t>，中标人自行于广州交易集团有限公司（广州公共资源交易中心）交易平台下载中标通知书</w:t>
      </w:r>
      <w:r>
        <w:rPr>
          <w:rFonts w:hint="eastAsia" w:ascii="宋体" w:hAnsi="宋体" w:eastAsia="宋体" w:cs="宋体"/>
          <w:color w:val="auto"/>
          <w:kern w:val="0"/>
          <w:sz w:val="24"/>
          <w:szCs w:val="24"/>
          <w:highlight w:val="none"/>
        </w:rPr>
        <w:t>。在广东省招标投标监管网和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网站发布中标信息，视同将中标结果通知未中标的投标人。</w:t>
      </w:r>
      <w:r>
        <w:rPr>
          <w:rFonts w:hint="default" w:ascii="宋体" w:hAnsi="宋体" w:eastAsia="宋体"/>
          <w:b/>
          <w:bCs/>
          <w:color w:val="auto"/>
          <w:sz w:val="24"/>
          <w:szCs w:val="24"/>
          <w:highlight w:val="none"/>
          <w:u w:val="single"/>
        </w:rPr>
        <w:t>中标人须对其投标文件真实性负责，并准备投标文件涉及的所有原件待查，如存在弄虚作假情况或原件不齐或与原件不符的，招标人有权取消其中标人资格，并上报建设行政主管部门。</w:t>
      </w:r>
    </w:p>
    <w:p w14:paraId="5FA0B9C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7.5.2 政府投资项目，中标通知书发出前，中标人应未被纳入失信惩戒名单，否则招标人将取消其中标资格。失信联合惩戒名单以“信用广州”网站公布的为准。</w:t>
      </w:r>
    </w:p>
    <w:p w14:paraId="4E67143F">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7DB96E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2" w:name="_Toc193357985"/>
      <w:bookmarkStart w:id="143" w:name="_Toc11927"/>
      <w:bookmarkStart w:id="144" w:name="_Toc111186769"/>
      <w:r>
        <w:rPr>
          <w:rFonts w:hint="eastAsia" w:ascii="宋体" w:hAnsi="宋体" w:eastAsia="宋体" w:cs="宋体"/>
          <w:b/>
          <w:bCs/>
          <w:color w:val="auto"/>
          <w:spacing w:val="1"/>
          <w:sz w:val="28"/>
          <w:szCs w:val="32"/>
          <w:highlight w:val="none"/>
          <w:lang w:val="zh-CN"/>
        </w:rPr>
        <w:t>7.6</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技术成果</w:t>
      </w:r>
      <w:r>
        <w:rPr>
          <w:rFonts w:hint="eastAsia" w:ascii="宋体" w:hAnsi="宋体" w:eastAsia="宋体" w:cs="宋体"/>
          <w:b/>
          <w:bCs/>
          <w:color w:val="auto"/>
          <w:spacing w:val="-3"/>
          <w:sz w:val="28"/>
          <w:szCs w:val="32"/>
          <w:highlight w:val="none"/>
          <w:lang w:val="zh-CN"/>
        </w:rPr>
        <w:t>经</w:t>
      </w:r>
      <w:r>
        <w:rPr>
          <w:rFonts w:hint="eastAsia" w:ascii="宋体" w:hAnsi="宋体" w:eastAsia="宋体" w:cs="宋体"/>
          <w:b/>
          <w:bCs/>
          <w:color w:val="auto"/>
          <w:spacing w:val="1"/>
          <w:sz w:val="28"/>
          <w:szCs w:val="32"/>
          <w:highlight w:val="none"/>
          <w:lang w:val="zh-CN"/>
        </w:rPr>
        <w:t>济</w:t>
      </w:r>
      <w:r>
        <w:rPr>
          <w:rFonts w:hint="eastAsia" w:ascii="宋体" w:hAnsi="宋体" w:eastAsia="宋体" w:cs="宋体"/>
          <w:b/>
          <w:bCs/>
          <w:color w:val="auto"/>
          <w:spacing w:val="-3"/>
          <w:sz w:val="28"/>
          <w:szCs w:val="32"/>
          <w:highlight w:val="none"/>
          <w:lang w:val="zh-CN"/>
        </w:rPr>
        <w:t>补</w:t>
      </w:r>
      <w:r>
        <w:rPr>
          <w:rFonts w:hint="eastAsia" w:ascii="宋体" w:hAnsi="宋体" w:eastAsia="宋体" w:cs="宋体"/>
          <w:b/>
          <w:bCs/>
          <w:color w:val="auto"/>
          <w:spacing w:val="1"/>
          <w:sz w:val="28"/>
          <w:szCs w:val="32"/>
          <w:highlight w:val="none"/>
          <w:lang w:val="zh-CN"/>
        </w:rPr>
        <w:t>偿</w:t>
      </w:r>
      <w:bookmarkEnd w:id="142"/>
      <w:bookmarkEnd w:id="143"/>
      <w:bookmarkEnd w:id="144"/>
    </w:p>
    <w:p w14:paraId="23DBE00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strike/>
          <w:color w:val="auto"/>
          <w:kern w:val="0"/>
          <w:sz w:val="24"/>
          <w:szCs w:val="24"/>
          <w:highlight w:val="none"/>
        </w:rPr>
        <w:t>招标人对符合招标</w:t>
      </w:r>
      <w:r>
        <w:rPr>
          <w:rFonts w:hint="eastAsia" w:ascii="宋体" w:hAnsi="宋体" w:eastAsia="宋体" w:cs="宋体"/>
          <w:strike/>
          <w:color w:val="auto"/>
          <w:spacing w:val="-2"/>
          <w:kern w:val="0"/>
          <w:sz w:val="24"/>
          <w:szCs w:val="24"/>
          <w:highlight w:val="none"/>
        </w:rPr>
        <w:t>文</w:t>
      </w:r>
      <w:r>
        <w:rPr>
          <w:rFonts w:hint="eastAsia" w:ascii="宋体" w:hAnsi="宋体" w:eastAsia="宋体" w:cs="宋体"/>
          <w:strike/>
          <w:color w:val="auto"/>
          <w:kern w:val="0"/>
          <w:sz w:val="24"/>
          <w:szCs w:val="24"/>
          <w:highlight w:val="none"/>
        </w:rPr>
        <w:t>件</w:t>
      </w:r>
      <w:r>
        <w:rPr>
          <w:rFonts w:hint="eastAsia" w:ascii="宋体" w:hAnsi="宋体" w:eastAsia="宋体" w:cs="宋体"/>
          <w:strike/>
          <w:color w:val="auto"/>
          <w:spacing w:val="-2"/>
          <w:kern w:val="0"/>
          <w:sz w:val="24"/>
          <w:szCs w:val="24"/>
          <w:highlight w:val="none"/>
        </w:rPr>
        <w:t>规</w:t>
      </w:r>
      <w:r>
        <w:rPr>
          <w:rFonts w:hint="eastAsia" w:ascii="宋体" w:hAnsi="宋体" w:eastAsia="宋体" w:cs="宋体"/>
          <w:strike/>
          <w:color w:val="auto"/>
          <w:kern w:val="0"/>
          <w:sz w:val="24"/>
          <w:szCs w:val="24"/>
          <w:highlight w:val="none"/>
        </w:rPr>
        <w:t>定的未中标人的技</w:t>
      </w:r>
      <w:r>
        <w:rPr>
          <w:rFonts w:hint="eastAsia" w:ascii="宋体" w:hAnsi="宋体" w:eastAsia="宋体" w:cs="宋体"/>
          <w:strike/>
          <w:color w:val="auto"/>
          <w:spacing w:val="-2"/>
          <w:kern w:val="0"/>
          <w:sz w:val="24"/>
          <w:szCs w:val="24"/>
          <w:highlight w:val="none"/>
        </w:rPr>
        <w:t>术</w:t>
      </w:r>
      <w:r>
        <w:rPr>
          <w:rFonts w:hint="eastAsia" w:ascii="宋体" w:hAnsi="宋体" w:eastAsia="宋体" w:cs="宋体"/>
          <w:strike/>
          <w:color w:val="auto"/>
          <w:kern w:val="0"/>
          <w:sz w:val="24"/>
          <w:szCs w:val="24"/>
          <w:highlight w:val="none"/>
        </w:rPr>
        <w:t>成</w:t>
      </w:r>
      <w:r>
        <w:rPr>
          <w:rFonts w:hint="eastAsia" w:ascii="宋体" w:hAnsi="宋体" w:eastAsia="宋体" w:cs="宋体"/>
          <w:strike/>
          <w:color w:val="auto"/>
          <w:spacing w:val="-2"/>
          <w:kern w:val="0"/>
          <w:sz w:val="24"/>
          <w:szCs w:val="24"/>
          <w:highlight w:val="none"/>
        </w:rPr>
        <w:t>果</w:t>
      </w:r>
      <w:r>
        <w:rPr>
          <w:rFonts w:hint="eastAsia" w:ascii="宋体" w:hAnsi="宋体" w:eastAsia="宋体" w:cs="宋体"/>
          <w:strike/>
          <w:color w:val="auto"/>
          <w:kern w:val="0"/>
          <w:sz w:val="24"/>
          <w:szCs w:val="24"/>
          <w:highlight w:val="none"/>
        </w:rPr>
        <w:t>进行补偿的，招标</w:t>
      </w:r>
      <w:r>
        <w:rPr>
          <w:rFonts w:hint="eastAsia" w:ascii="宋体" w:hAnsi="宋体" w:eastAsia="宋体" w:cs="宋体"/>
          <w:strike/>
          <w:color w:val="auto"/>
          <w:spacing w:val="-2"/>
          <w:kern w:val="0"/>
          <w:sz w:val="24"/>
          <w:szCs w:val="24"/>
          <w:highlight w:val="none"/>
        </w:rPr>
        <w:t>人</w:t>
      </w:r>
      <w:r>
        <w:rPr>
          <w:rFonts w:hint="eastAsia" w:ascii="宋体" w:hAnsi="宋体" w:eastAsia="宋体" w:cs="宋体"/>
          <w:strike/>
          <w:color w:val="auto"/>
          <w:kern w:val="0"/>
          <w:sz w:val="24"/>
          <w:szCs w:val="24"/>
          <w:highlight w:val="none"/>
        </w:rPr>
        <w:t>将</w:t>
      </w:r>
      <w:r>
        <w:rPr>
          <w:rFonts w:hint="eastAsia" w:ascii="宋体" w:hAnsi="宋体" w:eastAsia="宋体" w:cs="宋体"/>
          <w:strike/>
          <w:color w:val="auto"/>
          <w:spacing w:val="-2"/>
          <w:kern w:val="0"/>
          <w:sz w:val="24"/>
          <w:szCs w:val="24"/>
          <w:highlight w:val="none"/>
        </w:rPr>
        <w:t>按</w:t>
      </w:r>
      <w:r>
        <w:rPr>
          <w:rFonts w:hint="eastAsia" w:ascii="宋体" w:hAnsi="宋体" w:eastAsia="宋体" w:cs="宋体"/>
          <w:strike/>
          <w:color w:val="auto"/>
          <w:kern w:val="0"/>
          <w:sz w:val="24"/>
          <w:szCs w:val="24"/>
          <w:highlight w:val="none"/>
        </w:rPr>
        <w:t>投标人须知前附表规定的标准</w:t>
      </w:r>
      <w:r>
        <w:rPr>
          <w:rFonts w:hint="eastAsia" w:ascii="宋体" w:hAnsi="宋体" w:eastAsia="宋体" w:cs="宋体"/>
          <w:strike/>
          <w:color w:val="auto"/>
          <w:spacing w:val="-2"/>
          <w:kern w:val="0"/>
          <w:sz w:val="24"/>
          <w:szCs w:val="24"/>
          <w:highlight w:val="none"/>
        </w:rPr>
        <w:t>给</w:t>
      </w:r>
      <w:r>
        <w:rPr>
          <w:rFonts w:hint="eastAsia" w:ascii="宋体" w:hAnsi="宋体" w:eastAsia="宋体" w:cs="宋体"/>
          <w:strike/>
          <w:color w:val="auto"/>
          <w:kern w:val="0"/>
          <w:sz w:val="24"/>
          <w:szCs w:val="24"/>
          <w:highlight w:val="none"/>
        </w:rPr>
        <w:t>予经</w:t>
      </w:r>
      <w:r>
        <w:rPr>
          <w:rFonts w:hint="eastAsia" w:ascii="宋体" w:hAnsi="宋体" w:eastAsia="宋体" w:cs="宋体"/>
          <w:strike/>
          <w:color w:val="auto"/>
          <w:spacing w:val="-2"/>
          <w:kern w:val="0"/>
          <w:sz w:val="24"/>
          <w:szCs w:val="24"/>
          <w:highlight w:val="none"/>
        </w:rPr>
        <w:t>济</w:t>
      </w:r>
      <w:r>
        <w:rPr>
          <w:rFonts w:hint="eastAsia" w:ascii="宋体" w:hAnsi="宋体" w:eastAsia="宋体" w:cs="宋体"/>
          <w:strike/>
          <w:color w:val="auto"/>
          <w:kern w:val="0"/>
          <w:sz w:val="24"/>
          <w:szCs w:val="24"/>
          <w:highlight w:val="none"/>
        </w:rPr>
        <w:t>补偿，未中标人</w:t>
      </w:r>
      <w:r>
        <w:rPr>
          <w:rFonts w:hint="eastAsia" w:ascii="宋体" w:hAnsi="宋体" w:eastAsia="宋体" w:cs="宋体"/>
          <w:strike/>
          <w:color w:val="auto"/>
          <w:spacing w:val="-2"/>
          <w:kern w:val="0"/>
          <w:sz w:val="24"/>
          <w:szCs w:val="24"/>
          <w:highlight w:val="none"/>
        </w:rPr>
        <w:t>在</w:t>
      </w:r>
      <w:r>
        <w:rPr>
          <w:rFonts w:hint="eastAsia" w:ascii="宋体" w:hAnsi="宋体" w:eastAsia="宋体" w:cs="宋体"/>
          <w:strike/>
          <w:color w:val="auto"/>
          <w:kern w:val="0"/>
          <w:sz w:val="24"/>
          <w:szCs w:val="24"/>
          <w:highlight w:val="none"/>
        </w:rPr>
        <w:t>投标</w:t>
      </w:r>
      <w:r>
        <w:rPr>
          <w:rFonts w:hint="eastAsia" w:ascii="宋体" w:hAnsi="宋体" w:eastAsia="宋体" w:cs="宋体"/>
          <w:strike/>
          <w:color w:val="auto"/>
          <w:spacing w:val="-2"/>
          <w:kern w:val="0"/>
          <w:sz w:val="24"/>
          <w:szCs w:val="24"/>
          <w:highlight w:val="none"/>
        </w:rPr>
        <w:t>文</w:t>
      </w:r>
      <w:r>
        <w:rPr>
          <w:rFonts w:hint="eastAsia" w:ascii="宋体" w:hAnsi="宋体" w:eastAsia="宋体" w:cs="宋体"/>
          <w:strike/>
          <w:color w:val="auto"/>
          <w:kern w:val="0"/>
          <w:sz w:val="24"/>
          <w:szCs w:val="24"/>
          <w:highlight w:val="none"/>
        </w:rPr>
        <w:t>件中声明放弃技</w:t>
      </w:r>
      <w:r>
        <w:rPr>
          <w:rFonts w:hint="eastAsia" w:ascii="宋体" w:hAnsi="宋体" w:eastAsia="宋体" w:cs="宋体"/>
          <w:strike/>
          <w:color w:val="auto"/>
          <w:spacing w:val="-2"/>
          <w:kern w:val="0"/>
          <w:sz w:val="24"/>
          <w:szCs w:val="24"/>
          <w:highlight w:val="none"/>
        </w:rPr>
        <w:t>术</w:t>
      </w:r>
      <w:r>
        <w:rPr>
          <w:rFonts w:hint="eastAsia" w:ascii="宋体" w:hAnsi="宋体" w:eastAsia="宋体" w:cs="宋体"/>
          <w:strike/>
          <w:color w:val="auto"/>
          <w:kern w:val="0"/>
          <w:sz w:val="24"/>
          <w:szCs w:val="24"/>
          <w:highlight w:val="none"/>
        </w:rPr>
        <w:t>成果</w:t>
      </w:r>
      <w:r>
        <w:rPr>
          <w:rFonts w:hint="eastAsia" w:ascii="宋体" w:hAnsi="宋体" w:eastAsia="宋体" w:cs="宋体"/>
          <w:strike/>
          <w:color w:val="auto"/>
          <w:spacing w:val="-2"/>
          <w:kern w:val="0"/>
          <w:sz w:val="24"/>
          <w:szCs w:val="24"/>
          <w:highlight w:val="none"/>
        </w:rPr>
        <w:t>经</w:t>
      </w:r>
      <w:r>
        <w:rPr>
          <w:rFonts w:hint="eastAsia" w:ascii="宋体" w:hAnsi="宋体" w:eastAsia="宋体" w:cs="宋体"/>
          <w:strike/>
          <w:color w:val="auto"/>
          <w:kern w:val="0"/>
          <w:sz w:val="24"/>
          <w:szCs w:val="24"/>
          <w:highlight w:val="none"/>
        </w:rPr>
        <w:t>济补偿费</w:t>
      </w:r>
      <w:r>
        <w:rPr>
          <w:rFonts w:hint="eastAsia" w:ascii="宋体" w:hAnsi="宋体" w:eastAsia="宋体" w:cs="宋体"/>
          <w:strike/>
          <w:color w:val="auto"/>
          <w:spacing w:val="1"/>
          <w:kern w:val="0"/>
          <w:sz w:val="24"/>
          <w:szCs w:val="24"/>
          <w:highlight w:val="none"/>
        </w:rPr>
        <w:t>的</w:t>
      </w:r>
      <w:r>
        <w:rPr>
          <w:rFonts w:hint="eastAsia" w:ascii="宋体" w:hAnsi="宋体" w:eastAsia="宋体" w:cs="宋体"/>
          <w:strike/>
          <w:color w:val="auto"/>
          <w:kern w:val="0"/>
          <w:sz w:val="24"/>
          <w:szCs w:val="24"/>
          <w:highlight w:val="none"/>
        </w:rPr>
        <w:t>除</w:t>
      </w:r>
      <w:r>
        <w:rPr>
          <w:rFonts w:hint="eastAsia" w:ascii="宋体" w:hAnsi="宋体" w:eastAsia="宋体" w:cs="宋体"/>
          <w:strike/>
          <w:color w:val="auto"/>
          <w:spacing w:val="-2"/>
          <w:kern w:val="0"/>
          <w:sz w:val="24"/>
          <w:szCs w:val="24"/>
          <w:highlight w:val="none"/>
        </w:rPr>
        <w:t>外</w:t>
      </w:r>
      <w:r>
        <w:rPr>
          <w:rFonts w:hint="eastAsia" w:ascii="宋体" w:hAnsi="宋体" w:eastAsia="宋体" w:cs="宋体"/>
          <w:strike/>
          <w:color w:val="auto"/>
          <w:kern w:val="0"/>
          <w:sz w:val="24"/>
          <w:szCs w:val="24"/>
          <w:highlight w:val="none"/>
        </w:rPr>
        <w:t>。招标</w:t>
      </w:r>
      <w:r>
        <w:rPr>
          <w:rFonts w:hint="eastAsia" w:ascii="宋体" w:hAnsi="宋体" w:eastAsia="宋体" w:cs="宋体"/>
          <w:strike/>
          <w:color w:val="auto"/>
          <w:spacing w:val="-2"/>
          <w:kern w:val="0"/>
          <w:sz w:val="24"/>
          <w:szCs w:val="24"/>
          <w:highlight w:val="none"/>
        </w:rPr>
        <w:t>人</w:t>
      </w:r>
      <w:r>
        <w:rPr>
          <w:rFonts w:hint="eastAsia" w:ascii="宋体" w:hAnsi="宋体" w:eastAsia="宋体" w:cs="宋体"/>
          <w:strike/>
          <w:color w:val="auto"/>
          <w:kern w:val="0"/>
          <w:sz w:val="24"/>
          <w:szCs w:val="24"/>
          <w:highlight w:val="none"/>
        </w:rPr>
        <w:t>将</w:t>
      </w:r>
      <w:r>
        <w:rPr>
          <w:rFonts w:hint="eastAsia" w:ascii="宋体" w:hAnsi="宋体" w:eastAsia="宋体" w:cs="宋体"/>
          <w:strike/>
          <w:color w:val="auto"/>
          <w:spacing w:val="-2"/>
          <w:kern w:val="0"/>
          <w:sz w:val="24"/>
          <w:szCs w:val="24"/>
          <w:highlight w:val="none"/>
        </w:rPr>
        <w:t>于</w:t>
      </w:r>
      <w:r>
        <w:rPr>
          <w:rFonts w:hint="eastAsia" w:ascii="宋体" w:hAnsi="宋体" w:eastAsia="宋体" w:cs="宋体"/>
          <w:strike/>
          <w:color w:val="auto"/>
          <w:kern w:val="0"/>
          <w:sz w:val="24"/>
          <w:szCs w:val="24"/>
          <w:highlight w:val="none"/>
        </w:rPr>
        <w:t>中</w:t>
      </w:r>
      <w:r>
        <w:rPr>
          <w:rFonts w:hint="eastAsia" w:ascii="宋体" w:hAnsi="宋体" w:eastAsia="宋体" w:cs="宋体"/>
          <w:strike/>
          <w:color w:val="auto"/>
          <w:spacing w:val="-2"/>
          <w:kern w:val="0"/>
          <w:sz w:val="24"/>
          <w:szCs w:val="24"/>
          <w:highlight w:val="none"/>
        </w:rPr>
        <w:t>标</w:t>
      </w:r>
      <w:r>
        <w:rPr>
          <w:rFonts w:hint="eastAsia" w:ascii="宋体" w:hAnsi="宋体" w:eastAsia="宋体" w:cs="宋体"/>
          <w:strike/>
          <w:color w:val="auto"/>
          <w:kern w:val="0"/>
          <w:sz w:val="24"/>
          <w:szCs w:val="24"/>
          <w:highlight w:val="none"/>
        </w:rPr>
        <w:t>通</w:t>
      </w:r>
      <w:r>
        <w:rPr>
          <w:rFonts w:hint="eastAsia" w:ascii="宋体" w:hAnsi="宋体" w:eastAsia="宋体" w:cs="宋体"/>
          <w:strike/>
          <w:color w:val="auto"/>
          <w:spacing w:val="-2"/>
          <w:kern w:val="0"/>
          <w:sz w:val="24"/>
          <w:szCs w:val="24"/>
          <w:highlight w:val="none"/>
        </w:rPr>
        <w:t>知</w:t>
      </w:r>
      <w:r>
        <w:rPr>
          <w:rFonts w:hint="eastAsia" w:ascii="宋体" w:hAnsi="宋体" w:eastAsia="宋体" w:cs="宋体"/>
          <w:strike/>
          <w:color w:val="auto"/>
          <w:kern w:val="0"/>
          <w:sz w:val="24"/>
          <w:szCs w:val="24"/>
          <w:highlight w:val="none"/>
        </w:rPr>
        <w:t>书</w:t>
      </w:r>
      <w:r>
        <w:rPr>
          <w:rFonts w:hint="eastAsia" w:ascii="宋体" w:hAnsi="宋体" w:eastAsia="宋体" w:cs="宋体"/>
          <w:strike/>
          <w:color w:val="auto"/>
          <w:spacing w:val="-2"/>
          <w:kern w:val="0"/>
          <w:sz w:val="24"/>
          <w:szCs w:val="24"/>
          <w:highlight w:val="none"/>
        </w:rPr>
        <w:t>发</w:t>
      </w:r>
      <w:r>
        <w:rPr>
          <w:rFonts w:hint="eastAsia" w:ascii="宋体" w:hAnsi="宋体" w:eastAsia="宋体" w:cs="宋体"/>
          <w:strike/>
          <w:color w:val="auto"/>
          <w:kern w:val="0"/>
          <w:sz w:val="24"/>
          <w:szCs w:val="24"/>
          <w:highlight w:val="none"/>
        </w:rPr>
        <w:t>出后</w:t>
      </w:r>
      <w:r>
        <w:rPr>
          <w:rFonts w:hint="eastAsia" w:ascii="宋体" w:hAnsi="宋体" w:eastAsia="宋体" w:cs="宋体"/>
          <w:strike/>
          <w:color w:val="auto"/>
          <w:spacing w:val="-2"/>
          <w:kern w:val="0"/>
          <w:sz w:val="24"/>
          <w:szCs w:val="24"/>
          <w:highlight w:val="none"/>
        </w:rPr>
        <w:t>3</w:t>
      </w:r>
      <w:r>
        <w:rPr>
          <w:rFonts w:hint="eastAsia" w:ascii="宋体" w:hAnsi="宋体" w:eastAsia="宋体" w:cs="宋体"/>
          <w:strike/>
          <w:color w:val="auto"/>
          <w:kern w:val="0"/>
          <w:sz w:val="24"/>
          <w:szCs w:val="24"/>
          <w:highlight w:val="none"/>
        </w:rPr>
        <w:t>0</w:t>
      </w:r>
      <w:r>
        <w:rPr>
          <w:rFonts w:hint="eastAsia" w:ascii="宋体" w:hAnsi="宋体" w:eastAsia="宋体" w:cs="宋体"/>
          <w:strike/>
          <w:color w:val="auto"/>
          <w:spacing w:val="-2"/>
          <w:kern w:val="0"/>
          <w:sz w:val="24"/>
          <w:szCs w:val="24"/>
          <w:highlight w:val="none"/>
        </w:rPr>
        <w:t>日</w:t>
      </w:r>
      <w:r>
        <w:rPr>
          <w:rFonts w:hint="eastAsia" w:ascii="宋体" w:hAnsi="宋体" w:eastAsia="宋体" w:cs="宋体"/>
          <w:strike/>
          <w:color w:val="auto"/>
          <w:kern w:val="0"/>
          <w:sz w:val="24"/>
          <w:szCs w:val="24"/>
          <w:highlight w:val="none"/>
        </w:rPr>
        <w:t>内</w:t>
      </w:r>
      <w:r>
        <w:rPr>
          <w:rFonts w:hint="eastAsia" w:ascii="宋体" w:hAnsi="宋体" w:eastAsia="宋体" w:cs="宋体"/>
          <w:strike/>
          <w:color w:val="auto"/>
          <w:spacing w:val="-2"/>
          <w:kern w:val="0"/>
          <w:sz w:val="24"/>
          <w:szCs w:val="24"/>
          <w:highlight w:val="none"/>
        </w:rPr>
        <w:t>向</w:t>
      </w:r>
      <w:r>
        <w:rPr>
          <w:rFonts w:hint="eastAsia" w:ascii="宋体" w:hAnsi="宋体" w:eastAsia="宋体" w:cs="宋体"/>
          <w:strike/>
          <w:color w:val="auto"/>
          <w:kern w:val="0"/>
          <w:sz w:val="24"/>
          <w:szCs w:val="24"/>
          <w:highlight w:val="none"/>
        </w:rPr>
        <w:t>未</w:t>
      </w:r>
      <w:r>
        <w:rPr>
          <w:rFonts w:hint="eastAsia" w:ascii="宋体" w:hAnsi="宋体" w:eastAsia="宋体" w:cs="宋体"/>
          <w:strike/>
          <w:color w:val="auto"/>
          <w:spacing w:val="-2"/>
          <w:kern w:val="0"/>
          <w:sz w:val="24"/>
          <w:szCs w:val="24"/>
          <w:highlight w:val="none"/>
        </w:rPr>
        <w:t>中</w:t>
      </w:r>
      <w:r>
        <w:rPr>
          <w:rFonts w:hint="eastAsia" w:ascii="宋体" w:hAnsi="宋体" w:eastAsia="宋体" w:cs="宋体"/>
          <w:strike/>
          <w:color w:val="auto"/>
          <w:kern w:val="0"/>
          <w:sz w:val="24"/>
          <w:szCs w:val="24"/>
          <w:highlight w:val="none"/>
        </w:rPr>
        <w:t>标</w:t>
      </w:r>
      <w:r>
        <w:rPr>
          <w:rFonts w:hint="eastAsia" w:ascii="宋体" w:hAnsi="宋体" w:eastAsia="宋体" w:cs="宋体"/>
          <w:strike/>
          <w:color w:val="auto"/>
          <w:spacing w:val="-2"/>
          <w:kern w:val="0"/>
          <w:sz w:val="24"/>
          <w:szCs w:val="24"/>
          <w:highlight w:val="none"/>
        </w:rPr>
        <w:t>人支</w:t>
      </w:r>
      <w:r>
        <w:rPr>
          <w:rFonts w:hint="eastAsia" w:ascii="宋体" w:hAnsi="宋体" w:eastAsia="宋体" w:cs="宋体"/>
          <w:strike/>
          <w:color w:val="auto"/>
          <w:kern w:val="0"/>
          <w:sz w:val="24"/>
          <w:szCs w:val="24"/>
          <w:highlight w:val="none"/>
        </w:rPr>
        <w:t>付技</w:t>
      </w:r>
      <w:r>
        <w:rPr>
          <w:rFonts w:hint="eastAsia" w:ascii="宋体" w:hAnsi="宋体" w:eastAsia="宋体" w:cs="宋体"/>
          <w:strike/>
          <w:color w:val="auto"/>
          <w:spacing w:val="-2"/>
          <w:kern w:val="0"/>
          <w:sz w:val="24"/>
          <w:szCs w:val="24"/>
          <w:highlight w:val="none"/>
        </w:rPr>
        <w:t>术</w:t>
      </w:r>
      <w:r>
        <w:rPr>
          <w:rFonts w:hint="eastAsia" w:ascii="宋体" w:hAnsi="宋体" w:eastAsia="宋体" w:cs="宋体"/>
          <w:strike/>
          <w:color w:val="auto"/>
          <w:kern w:val="0"/>
          <w:sz w:val="24"/>
          <w:szCs w:val="24"/>
          <w:highlight w:val="none"/>
        </w:rPr>
        <w:t>成</w:t>
      </w:r>
      <w:r>
        <w:rPr>
          <w:rFonts w:hint="eastAsia" w:ascii="宋体" w:hAnsi="宋体" w:eastAsia="宋体" w:cs="宋体"/>
          <w:strike/>
          <w:color w:val="auto"/>
          <w:spacing w:val="-2"/>
          <w:kern w:val="0"/>
          <w:sz w:val="24"/>
          <w:szCs w:val="24"/>
          <w:highlight w:val="none"/>
        </w:rPr>
        <w:t>果</w:t>
      </w:r>
      <w:r>
        <w:rPr>
          <w:rFonts w:hint="eastAsia" w:ascii="宋体" w:hAnsi="宋体" w:eastAsia="宋体" w:cs="宋体"/>
          <w:strike/>
          <w:color w:val="auto"/>
          <w:kern w:val="0"/>
          <w:sz w:val="24"/>
          <w:szCs w:val="24"/>
          <w:highlight w:val="none"/>
        </w:rPr>
        <w:t>经</w:t>
      </w:r>
      <w:r>
        <w:rPr>
          <w:rFonts w:hint="eastAsia" w:ascii="宋体" w:hAnsi="宋体" w:eastAsia="宋体" w:cs="宋体"/>
          <w:strike/>
          <w:color w:val="auto"/>
          <w:spacing w:val="-2"/>
          <w:kern w:val="0"/>
          <w:sz w:val="24"/>
          <w:szCs w:val="24"/>
          <w:highlight w:val="none"/>
        </w:rPr>
        <w:t>济</w:t>
      </w:r>
      <w:r>
        <w:rPr>
          <w:rFonts w:hint="eastAsia" w:ascii="宋体" w:hAnsi="宋体" w:eastAsia="宋体" w:cs="宋体"/>
          <w:strike/>
          <w:color w:val="auto"/>
          <w:kern w:val="0"/>
          <w:sz w:val="24"/>
          <w:szCs w:val="24"/>
          <w:highlight w:val="none"/>
        </w:rPr>
        <w:t>补</w:t>
      </w:r>
      <w:r>
        <w:rPr>
          <w:rFonts w:hint="eastAsia" w:ascii="宋体" w:hAnsi="宋体" w:eastAsia="宋体" w:cs="宋体"/>
          <w:strike/>
          <w:color w:val="auto"/>
          <w:spacing w:val="-2"/>
          <w:kern w:val="0"/>
          <w:sz w:val="24"/>
          <w:szCs w:val="24"/>
          <w:highlight w:val="none"/>
        </w:rPr>
        <w:t>偿</w:t>
      </w:r>
      <w:r>
        <w:rPr>
          <w:rFonts w:hint="eastAsia" w:ascii="宋体" w:hAnsi="宋体" w:eastAsia="宋体" w:cs="宋体"/>
          <w:strike/>
          <w:color w:val="auto"/>
          <w:kern w:val="0"/>
          <w:sz w:val="24"/>
          <w:szCs w:val="24"/>
          <w:highlight w:val="none"/>
        </w:rPr>
        <w:t>费。</w:t>
      </w:r>
      <w:r>
        <w:rPr>
          <w:rFonts w:hint="eastAsia" w:ascii="宋体" w:hAnsi="宋体" w:eastAsia="宋体" w:cs="宋体"/>
          <w:b/>
          <w:bCs/>
          <w:strike w:val="0"/>
          <w:color w:val="auto"/>
          <w:spacing w:val="-2"/>
          <w:kern w:val="0"/>
          <w:sz w:val="24"/>
          <w:szCs w:val="24"/>
          <w:highlight w:val="none"/>
          <w:u w:val="single"/>
        </w:rPr>
        <w:t>本次招标对未中标人投标文件中的技术成果不给予经济补偿。</w:t>
      </w:r>
    </w:p>
    <w:p w14:paraId="79622CE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3C9605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5" w:name="_Toc111186770"/>
      <w:bookmarkStart w:id="146" w:name="_Toc193357986"/>
      <w:bookmarkStart w:id="147" w:name="_Toc5726"/>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履约保证金</w:t>
      </w:r>
      <w:bookmarkEnd w:id="145"/>
      <w:bookmarkEnd w:id="146"/>
      <w:bookmarkEnd w:id="147"/>
      <w:r>
        <w:rPr>
          <w:rFonts w:hint="eastAsia" w:ascii="宋体" w:hAnsi="宋体" w:eastAsia="宋体" w:cs="宋体"/>
          <w:b/>
          <w:bCs/>
          <w:color w:val="auto"/>
          <w:spacing w:val="1"/>
          <w:sz w:val="28"/>
          <w:szCs w:val="32"/>
          <w:highlight w:val="none"/>
          <w:lang w:val="zh-CN"/>
        </w:rPr>
        <w:t>（本项目不适用）</w:t>
      </w:r>
    </w:p>
    <w:p w14:paraId="7A38ACAA">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52653A5">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7.7.2 中标人不能按本章第7.7.1项要求提交履约保证金的，视为放弃中标，其投标保证金不予退还，给招标人造成的损失超过投标保证金数额的，中标人还应当对超过部分予以赔偿。</w:t>
      </w:r>
    </w:p>
    <w:p w14:paraId="2CB1DE38">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694404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8" w:name="_Toc111186771"/>
      <w:bookmarkStart w:id="149" w:name="_Toc193357987"/>
      <w:bookmarkStart w:id="150" w:name="_Toc32040"/>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签订合同</w:t>
      </w:r>
      <w:bookmarkEnd w:id="148"/>
      <w:bookmarkEnd w:id="149"/>
      <w:bookmarkEnd w:id="150"/>
    </w:p>
    <w:p w14:paraId="0F2621F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 招标人和中标人应当在中标通知书发出之日起30日内，根据招标文件和中标人的投标文件订立书面合同，并通过电子交易系统与中标人在线签订合同，并在广东省招标投标监管网和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78BC71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发出中标通知书后，招标人无正当理由拒签合同，或者在签订合同时向中标人提出附加条件的，招标人向中标人退还投标保证金；给中标人造成损失的，还应当赔偿损失。</w:t>
      </w:r>
    </w:p>
    <w:p w14:paraId="41405EB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7.8.3 联合体中标的，联合体各方应当共同与招标人签订合同，就中标项目向招标人承担连带责任。</w:t>
      </w:r>
    </w:p>
    <w:p w14:paraId="2646BAD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91D9EE2">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51" w:name="_Toc111186772"/>
      <w:bookmarkStart w:id="152" w:name="_Toc14874"/>
      <w:bookmarkStart w:id="153" w:name="_Toc193357988"/>
      <w:r>
        <w:rPr>
          <w:rFonts w:hint="eastAsia" w:ascii="宋体" w:hAnsi="宋体" w:eastAsia="宋体" w:cs="宋体"/>
          <w:b/>
          <w:bCs/>
          <w:color w:val="auto"/>
          <w:spacing w:val="1"/>
          <w:kern w:val="0"/>
          <w:sz w:val="30"/>
          <w:szCs w:val="30"/>
          <w:highlight w:val="none"/>
          <w:lang w:val="zh-CN"/>
        </w:rPr>
        <w:t>8</w:t>
      </w:r>
      <w:r>
        <w:rPr>
          <w:rFonts w:hint="eastAsia" w:ascii="宋体" w:hAnsi="宋体" w:eastAsia="宋体" w:cs="宋体"/>
          <w:b/>
          <w:bCs/>
          <w:color w:val="auto"/>
          <w:spacing w:val="-1"/>
          <w:kern w:val="0"/>
          <w:sz w:val="30"/>
          <w:szCs w:val="30"/>
          <w:highlight w:val="none"/>
          <w:lang w:val="zh-CN"/>
        </w:rPr>
        <w:t>.</w:t>
      </w:r>
      <w:r>
        <w:rPr>
          <w:rFonts w:hint="eastAsia" w:ascii="宋体" w:hAnsi="宋体" w:eastAsia="宋体" w:cs="宋体"/>
          <w:b/>
          <w:bCs/>
          <w:color w:val="auto"/>
          <w:kern w:val="0"/>
          <w:sz w:val="30"/>
          <w:szCs w:val="30"/>
          <w:highlight w:val="none"/>
          <w:lang w:val="zh-CN"/>
        </w:rPr>
        <w:t>纪律和监督</w:t>
      </w:r>
      <w:bookmarkEnd w:id="151"/>
      <w:bookmarkEnd w:id="152"/>
      <w:bookmarkEnd w:id="153"/>
    </w:p>
    <w:p w14:paraId="03C8922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4" w:name="_Toc193357989"/>
      <w:bookmarkStart w:id="155" w:name="_Toc3133"/>
      <w:bookmarkStart w:id="156" w:name="_Toc111186773"/>
      <w:r>
        <w:rPr>
          <w:rFonts w:hint="eastAsia" w:ascii="宋体" w:hAnsi="宋体" w:eastAsia="宋体" w:cs="宋体"/>
          <w:b/>
          <w:bCs/>
          <w:color w:val="auto"/>
          <w:spacing w:val="1"/>
          <w:sz w:val="28"/>
          <w:szCs w:val="32"/>
          <w:highlight w:val="none"/>
          <w:lang w:val="zh-CN"/>
        </w:rPr>
        <w:t>8.1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对招标人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4"/>
      <w:bookmarkEnd w:id="155"/>
      <w:bookmarkEnd w:id="156"/>
    </w:p>
    <w:p w14:paraId="513E2DA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招标人不得泄露招标投标活动中应当保密的情况和资料，不得与招标代理、投标人串通损害国家利益、社会公共利益或者他人合法权益。</w:t>
      </w:r>
    </w:p>
    <w:p w14:paraId="429A6FA5">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BC30E0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7" w:name="_Toc9243"/>
      <w:bookmarkStart w:id="158" w:name="_Toc111186774"/>
      <w:bookmarkStart w:id="159" w:name="_Toc193357990"/>
      <w:r>
        <w:rPr>
          <w:rFonts w:hint="eastAsia" w:ascii="宋体" w:hAnsi="宋体" w:eastAsia="宋体" w:cs="宋体"/>
          <w:b/>
          <w:bCs/>
          <w:color w:val="auto"/>
          <w:spacing w:val="1"/>
          <w:sz w:val="28"/>
          <w:szCs w:val="32"/>
          <w:highlight w:val="none"/>
          <w:lang w:val="zh-CN"/>
        </w:rPr>
        <w:t>8.2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对投标人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7"/>
      <w:bookmarkEnd w:id="158"/>
      <w:bookmarkEnd w:id="159"/>
    </w:p>
    <w:p w14:paraId="607704F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不得相互串通投标或者与招标人（招标代理）串通投标，不得向招标人或者评标委员会成员行贿谋取中标，不得以他人名义投标或者以其他方式弄虚作假骗取中标；投标人不得以任何方式干扰、影响评标工作。</w:t>
      </w:r>
    </w:p>
    <w:p w14:paraId="5A6C0227">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DAB573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0" w:name="_Toc111186775"/>
      <w:bookmarkStart w:id="161" w:name="_Toc30238"/>
      <w:bookmarkStart w:id="162" w:name="_Toc193357991"/>
      <w:r>
        <w:rPr>
          <w:rFonts w:hint="eastAsia" w:ascii="宋体" w:hAnsi="宋体" w:eastAsia="宋体" w:cs="宋体"/>
          <w:b/>
          <w:bCs/>
          <w:color w:val="auto"/>
          <w:spacing w:val="1"/>
          <w:sz w:val="28"/>
          <w:szCs w:val="32"/>
          <w:highlight w:val="none"/>
          <w:lang w:val="zh-CN"/>
        </w:rPr>
        <w:t>8.3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对评标委</w:t>
      </w:r>
      <w:r>
        <w:rPr>
          <w:rFonts w:hint="eastAsia" w:ascii="宋体" w:hAnsi="宋体" w:eastAsia="宋体" w:cs="宋体"/>
          <w:b/>
          <w:bCs/>
          <w:color w:val="auto"/>
          <w:spacing w:val="-3"/>
          <w:sz w:val="28"/>
          <w:szCs w:val="32"/>
          <w:highlight w:val="none"/>
          <w:lang w:val="zh-CN"/>
        </w:rPr>
        <w:t>员</w:t>
      </w:r>
      <w:r>
        <w:rPr>
          <w:rFonts w:hint="eastAsia" w:ascii="宋体" w:hAnsi="宋体" w:eastAsia="宋体" w:cs="宋体"/>
          <w:b/>
          <w:bCs/>
          <w:color w:val="auto"/>
          <w:spacing w:val="1"/>
          <w:sz w:val="28"/>
          <w:szCs w:val="32"/>
          <w:highlight w:val="none"/>
          <w:lang w:val="zh-CN"/>
        </w:rPr>
        <w:t>会</w:t>
      </w:r>
      <w:r>
        <w:rPr>
          <w:rFonts w:hint="eastAsia" w:ascii="宋体" w:hAnsi="宋体" w:eastAsia="宋体" w:cs="宋体"/>
          <w:b/>
          <w:bCs/>
          <w:color w:val="auto"/>
          <w:spacing w:val="-3"/>
          <w:sz w:val="28"/>
          <w:szCs w:val="32"/>
          <w:highlight w:val="none"/>
          <w:lang w:val="zh-CN"/>
        </w:rPr>
        <w:t>成</w:t>
      </w:r>
      <w:r>
        <w:rPr>
          <w:rFonts w:hint="eastAsia" w:ascii="宋体" w:hAnsi="宋体" w:eastAsia="宋体" w:cs="宋体"/>
          <w:b/>
          <w:bCs/>
          <w:color w:val="auto"/>
          <w:spacing w:val="1"/>
          <w:sz w:val="28"/>
          <w:szCs w:val="32"/>
          <w:highlight w:val="none"/>
          <w:lang w:val="zh-CN"/>
        </w:rPr>
        <w:t>员的纪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60"/>
      <w:bookmarkEnd w:id="161"/>
      <w:bookmarkEnd w:id="162"/>
    </w:p>
    <w:p w14:paraId="0211E30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723C2CB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3" w:name="_Toc111186776"/>
      <w:bookmarkStart w:id="164" w:name="_Toc9711"/>
      <w:bookmarkStart w:id="165" w:name="_Toc193357992"/>
      <w:r>
        <w:rPr>
          <w:rFonts w:hint="eastAsia" w:ascii="宋体" w:hAnsi="宋体" w:eastAsia="宋体" w:cs="宋体"/>
          <w:b/>
          <w:bCs/>
          <w:color w:val="auto"/>
          <w:spacing w:val="1"/>
          <w:sz w:val="28"/>
          <w:szCs w:val="32"/>
          <w:highlight w:val="none"/>
          <w:lang w:val="zh-CN"/>
        </w:rPr>
        <w:t>8.4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对与评标</w:t>
      </w:r>
      <w:r>
        <w:rPr>
          <w:rFonts w:hint="eastAsia" w:ascii="宋体" w:hAnsi="宋体" w:eastAsia="宋体" w:cs="宋体"/>
          <w:b/>
          <w:bCs/>
          <w:color w:val="auto"/>
          <w:spacing w:val="-3"/>
          <w:sz w:val="28"/>
          <w:szCs w:val="32"/>
          <w:highlight w:val="none"/>
          <w:lang w:val="zh-CN"/>
        </w:rPr>
        <w:t>活</w:t>
      </w:r>
      <w:r>
        <w:rPr>
          <w:rFonts w:hint="eastAsia" w:ascii="宋体" w:hAnsi="宋体" w:eastAsia="宋体" w:cs="宋体"/>
          <w:b/>
          <w:bCs/>
          <w:color w:val="auto"/>
          <w:spacing w:val="1"/>
          <w:sz w:val="28"/>
          <w:szCs w:val="32"/>
          <w:highlight w:val="none"/>
          <w:lang w:val="zh-CN"/>
        </w:rPr>
        <w:t>动</w:t>
      </w:r>
      <w:r>
        <w:rPr>
          <w:rFonts w:hint="eastAsia" w:ascii="宋体" w:hAnsi="宋体" w:eastAsia="宋体" w:cs="宋体"/>
          <w:b/>
          <w:bCs/>
          <w:color w:val="auto"/>
          <w:spacing w:val="-3"/>
          <w:sz w:val="28"/>
          <w:szCs w:val="32"/>
          <w:highlight w:val="none"/>
          <w:lang w:val="zh-CN"/>
        </w:rPr>
        <w:t>有</w:t>
      </w:r>
      <w:r>
        <w:rPr>
          <w:rFonts w:hint="eastAsia" w:ascii="宋体" w:hAnsi="宋体" w:eastAsia="宋体" w:cs="宋体"/>
          <w:b/>
          <w:bCs/>
          <w:color w:val="auto"/>
          <w:spacing w:val="1"/>
          <w:sz w:val="28"/>
          <w:szCs w:val="32"/>
          <w:highlight w:val="none"/>
          <w:lang w:val="zh-CN"/>
        </w:rPr>
        <w:t>关的工</w:t>
      </w:r>
      <w:r>
        <w:rPr>
          <w:rFonts w:hint="eastAsia" w:ascii="宋体" w:hAnsi="宋体" w:eastAsia="宋体" w:cs="宋体"/>
          <w:b/>
          <w:bCs/>
          <w:color w:val="auto"/>
          <w:spacing w:val="-3"/>
          <w:sz w:val="28"/>
          <w:szCs w:val="32"/>
          <w:highlight w:val="none"/>
          <w:lang w:val="zh-CN"/>
        </w:rPr>
        <w:t>作</w:t>
      </w:r>
      <w:r>
        <w:rPr>
          <w:rFonts w:hint="eastAsia" w:ascii="宋体" w:hAnsi="宋体" w:eastAsia="宋体" w:cs="宋体"/>
          <w:b/>
          <w:bCs/>
          <w:color w:val="auto"/>
          <w:spacing w:val="1"/>
          <w:sz w:val="28"/>
          <w:szCs w:val="32"/>
          <w:highlight w:val="none"/>
          <w:lang w:val="zh-CN"/>
        </w:rPr>
        <w:t>人员</w:t>
      </w:r>
      <w:r>
        <w:rPr>
          <w:rFonts w:hint="eastAsia" w:ascii="宋体" w:hAnsi="宋体" w:eastAsia="宋体" w:cs="宋体"/>
          <w:b/>
          <w:bCs/>
          <w:color w:val="auto"/>
          <w:spacing w:val="-3"/>
          <w:sz w:val="28"/>
          <w:szCs w:val="32"/>
          <w:highlight w:val="none"/>
          <w:lang w:val="zh-CN"/>
        </w:rPr>
        <w:t>的纪</w:t>
      </w:r>
      <w:r>
        <w:rPr>
          <w:rFonts w:hint="eastAsia" w:ascii="宋体" w:hAnsi="宋体" w:eastAsia="宋体" w:cs="宋体"/>
          <w:b/>
          <w:bCs/>
          <w:color w:val="auto"/>
          <w:spacing w:val="1"/>
          <w:sz w:val="28"/>
          <w:szCs w:val="32"/>
          <w:highlight w:val="none"/>
          <w:lang w:val="zh-CN"/>
        </w:rPr>
        <w:t>律要求</w:t>
      </w:r>
      <w:bookmarkEnd w:id="163"/>
      <w:bookmarkEnd w:id="164"/>
      <w:bookmarkEnd w:id="165"/>
    </w:p>
    <w:p w14:paraId="6BED1AC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0B0474D">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F6034D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6" w:name="_Toc193357993"/>
      <w:bookmarkStart w:id="167" w:name="_Toc3297"/>
      <w:bookmarkStart w:id="168" w:name="_Toc111186777"/>
      <w:r>
        <w:rPr>
          <w:rFonts w:hint="eastAsia" w:ascii="宋体" w:hAnsi="宋体" w:eastAsia="宋体" w:cs="宋体"/>
          <w:b/>
          <w:bCs/>
          <w:color w:val="auto"/>
          <w:spacing w:val="1"/>
          <w:sz w:val="28"/>
          <w:szCs w:val="32"/>
          <w:highlight w:val="none"/>
          <w:lang w:val="zh-CN"/>
        </w:rPr>
        <w:t>8.5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投诉</w:t>
      </w:r>
      <w:bookmarkEnd w:id="166"/>
      <w:bookmarkEnd w:id="167"/>
      <w:bookmarkEnd w:id="168"/>
    </w:p>
    <w:p w14:paraId="1F9F5F9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288386A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5B9EB3B8">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76B1576">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69" w:name="_Toc193357994"/>
      <w:bookmarkStart w:id="170" w:name="_Toc32014"/>
      <w:bookmarkStart w:id="171" w:name="_Toc111186778"/>
      <w:r>
        <w:rPr>
          <w:rFonts w:hint="eastAsia" w:ascii="宋体" w:hAnsi="宋体" w:eastAsia="宋体" w:cs="宋体"/>
          <w:b/>
          <w:bCs/>
          <w:color w:val="auto"/>
          <w:spacing w:val="1"/>
          <w:kern w:val="0"/>
          <w:sz w:val="30"/>
          <w:szCs w:val="30"/>
          <w:highlight w:val="none"/>
          <w:lang w:val="zh-CN"/>
        </w:rPr>
        <w:t>9</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是否采用电子招标投标</w:t>
      </w:r>
      <w:bookmarkEnd w:id="169"/>
      <w:bookmarkEnd w:id="170"/>
      <w:bookmarkEnd w:id="171"/>
    </w:p>
    <w:p w14:paraId="08B06DE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本招标项目采用电子招标投标方式，按照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6DBAD934">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C1CD058">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2" w:name="_Toc111186779"/>
      <w:bookmarkStart w:id="173" w:name="_Toc25836"/>
      <w:bookmarkStart w:id="174" w:name="_Toc193357995"/>
      <w:r>
        <w:rPr>
          <w:rFonts w:hint="eastAsia" w:ascii="宋体" w:hAnsi="宋体" w:eastAsia="宋体" w:cs="宋体"/>
          <w:b/>
          <w:bCs/>
          <w:color w:val="auto"/>
          <w:spacing w:val="1"/>
          <w:kern w:val="0"/>
          <w:sz w:val="30"/>
          <w:szCs w:val="30"/>
          <w:highlight w:val="none"/>
          <w:lang w:val="zh-CN"/>
        </w:rPr>
        <w:t>10</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bookmarkEnd w:id="172"/>
      <w:bookmarkEnd w:id="173"/>
      <w:bookmarkEnd w:id="174"/>
      <w:r>
        <w:rPr>
          <w:rFonts w:hint="eastAsia" w:ascii="宋体" w:hAnsi="宋体" w:eastAsia="宋体" w:cs="宋体"/>
          <w:b/>
          <w:bCs/>
          <w:color w:val="auto"/>
          <w:kern w:val="0"/>
          <w:sz w:val="30"/>
          <w:szCs w:val="30"/>
          <w:highlight w:val="none"/>
          <w:lang w:val="zh-CN"/>
        </w:rPr>
        <w:t>重新招标情形</w:t>
      </w:r>
    </w:p>
    <w:p w14:paraId="7981348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在下列情况下，依法必须招标项目的招标人在分析招标失败的原因并采取相应措施后，应当依照本办法重新招标：</w:t>
      </w:r>
    </w:p>
    <w:p w14:paraId="38F8BA2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（一）资格审查合格的投标人不足三个的；</w:t>
      </w:r>
    </w:p>
    <w:p w14:paraId="3C28E0F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（二）在投标截止时间前提交投标文件的投标人少于三个的；</w:t>
      </w:r>
    </w:p>
    <w:p w14:paraId="0A871C4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（三）所有投标均被否决的；</w:t>
      </w:r>
    </w:p>
    <w:p w14:paraId="6293F4D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（四）评标委员会否决不合格投标后，因有效投标不足三个使得投标明显缺乏竞争，评标委员会决定否决全部投标的；</w:t>
      </w:r>
    </w:p>
    <w:p w14:paraId="0A46349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（五）根据《工程建设项目勘察设计招标投标办法》第四十六条规定，同意延长投标有效期的投标人少于三个的；</w:t>
      </w:r>
    </w:p>
    <w:p w14:paraId="653C79E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（六）符合法律法规需重新招标的其他情形。</w:t>
      </w:r>
    </w:p>
    <w:p w14:paraId="050CBE2F">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6366BC7">
      <w:pPr>
        <w:keepNext/>
        <w:keepLines/>
        <w:wordWrap w:val="0"/>
        <w:spacing w:line="360" w:lineRule="auto"/>
        <w:outlineLvl w:val="1"/>
        <w:rPr>
          <w:rFonts w:ascii="宋体" w:hAnsi="宋体" w:eastAsia="宋体" w:cs="宋体"/>
          <w:b/>
          <w:bCs/>
          <w:color w:val="auto"/>
          <w:kern w:val="0"/>
          <w:sz w:val="30"/>
          <w:szCs w:val="30"/>
          <w:highlight w:val="none"/>
          <w:lang w:val="zh-CN"/>
        </w:rPr>
      </w:pPr>
      <w:r>
        <w:rPr>
          <w:rFonts w:hint="eastAsia" w:ascii="宋体" w:hAnsi="宋体" w:eastAsia="宋体" w:cs="宋体"/>
          <w:b/>
          <w:bCs/>
          <w:color w:val="auto"/>
          <w:spacing w:val="1"/>
          <w:kern w:val="0"/>
          <w:sz w:val="30"/>
          <w:szCs w:val="30"/>
          <w:highlight w:val="none"/>
          <w:lang w:val="zh-CN"/>
        </w:rPr>
        <w:t>11</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需要补充的其他内容</w:t>
      </w:r>
    </w:p>
    <w:p w14:paraId="3182848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需要补充的其他内容：见投标人须知前附表。</w:t>
      </w:r>
    </w:p>
    <w:p w14:paraId="750FFE75">
      <w:pPr>
        <w:keepNext w:val="0"/>
        <w:keepLines w:val="0"/>
        <w:wordWrap/>
        <w:spacing w:before="0" w:line="240" w:lineRule="auto"/>
        <w:outlineLvl w:val="9"/>
        <w:rPr>
          <w:rFonts w:hint="eastAsia" w:ascii="宋体" w:hAnsi="宋体" w:eastAsia="宋体" w:cs="宋体"/>
          <w:b/>
          <w:bCs/>
          <w:color w:val="auto"/>
          <w:spacing w:val="1"/>
          <w:kern w:val="0"/>
          <w:sz w:val="28"/>
          <w:szCs w:val="32"/>
          <w:highlight w:val="none"/>
          <w:lang w:val="zh-CN"/>
        </w:rPr>
      </w:pPr>
      <w:r>
        <w:rPr>
          <w:rFonts w:hint="eastAsia" w:ascii="宋体" w:hAnsi="宋体" w:eastAsia="宋体" w:cs="宋体"/>
          <w:b/>
          <w:bCs/>
          <w:color w:val="auto"/>
          <w:spacing w:val="1"/>
          <w:kern w:val="0"/>
          <w:sz w:val="28"/>
          <w:szCs w:val="32"/>
          <w:highlight w:val="none"/>
          <w:lang w:val="zh-CN"/>
        </w:rPr>
        <w:br w:type="page"/>
      </w:r>
    </w:p>
    <w:p w14:paraId="396EC179">
      <w:pPr>
        <w:keepNext/>
        <w:keepLines/>
        <w:wordWrap w:val="0"/>
        <w:spacing w:before="260" w:line="416" w:lineRule="auto"/>
        <w:outlineLvl w:val="2"/>
        <w:rPr>
          <w:rFonts w:hint="eastAsia" w:ascii="宋体" w:hAnsi="宋体" w:eastAsia="宋体" w:cs="宋体"/>
          <w:b/>
          <w:bCs/>
          <w:color w:val="auto"/>
          <w:spacing w:val="1"/>
          <w:kern w:val="0"/>
          <w:sz w:val="28"/>
          <w:szCs w:val="32"/>
          <w:highlight w:val="none"/>
          <w:lang w:val="en-US" w:eastAsia="zh-CN"/>
        </w:rPr>
      </w:pPr>
      <w:r>
        <w:rPr>
          <w:rFonts w:hint="eastAsia" w:ascii="宋体" w:hAnsi="宋体" w:eastAsia="宋体" w:cs="宋体"/>
          <w:b/>
          <w:bCs/>
          <w:color w:val="auto"/>
          <w:spacing w:val="1"/>
          <w:kern w:val="0"/>
          <w:sz w:val="28"/>
          <w:szCs w:val="32"/>
          <w:highlight w:val="none"/>
          <w:lang w:val="en-US" w:eastAsia="zh-CN"/>
        </w:rPr>
        <w:t>附件：</w:t>
      </w:r>
    </w:p>
    <w:p w14:paraId="5E7E1D5B">
      <w:pPr>
        <w:keepNext/>
        <w:keepLines/>
        <w:wordWrap w:val="0"/>
        <w:spacing w:before="260" w:line="416" w:lineRule="auto"/>
        <w:jc w:val="center"/>
        <w:outlineLvl w:val="2"/>
        <w:rPr>
          <w:rFonts w:hint="eastAsia" w:ascii="宋体" w:hAnsi="宋体" w:eastAsia="宋体" w:cs="宋体"/>
          <w:b/>
          <w:bCs/>
          <w:color w:val="auto"/>
          <w:spacing w:val="1"/>
          <w:kern w:val="0"/>
          <w:sz w:val="28"/>
          <w:szCs w:val="32"/>
          <w:highlight w:val="none"/>
          <w:lang w:val="zh-CN"/>
        </w:rPr>
      </w:pPr>
      <w:r>
        <w:rPr>
          <w:rFonts w:hint="eastAsia" w:ascii="宋体" w:hAnsi="宋体" w:eastAsia="宋体" w:cs="宋体"/>
          <w:b/>
          <w:bCs/>
          <w:color w:val="auto"/>
          <w:spacing w:val="1"/>
          <w:kern w:val="0"/>
          <w:sz w:val="28"/>
          <w:szCs w:val="32"/>
          <w:highlight w:val="none"/>
          <w:lang w:val="zh-CN"/>
        </w:rPr>
        <w:t>评标委员会成员声明</w:t>
      </w:r>
    </w:p>
    <w:p w14:paraId="22AD2FAB">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u w:val="single"/>
        </w:rPr>
        <w:t xml:space="preserve">   本项目招标人  </w:t>
      </w:r>
      <w:r>
        <w:rPr>
          <w:rFonts w:hint="default" w:ascii="宋体" w:hAnsi="宋体" w:eastAsia="宋体" w:cs="宋体"/>
          <w:color w:val="auto"/>
          <w:sz w:val="24"/>
          <w:szCs w:val="24"/>
          <w:highlight w:val="none"/>
        </w:rPr>
        <w:t>：</w:t>
      </w:r>
    </w:p>
    <w:p w14:paraId="159E58B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本人就参与</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项目的评标工作，作出郑重声明：</w:t>
      </w:r>
    </w:p>
    <w:p w14:paraId="29444DF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FED830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9695C0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17B511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57C277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E6FE18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如果本人违反上述声明内容，造成的后果由本人自行承担。</w:t>
      </w:r>
    </w:p>
    <w:p w14:paraId="5168E4A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rPr>
      </w:pPr>
    </w:p>
    <w:p w14:paraId="19990D8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 xml:space="preserve">                             声明人：</w:t>
      </w:r>
      <w:r>
        <w:rPr>
          <w:rFonts w:hint="default" w:ascii="宋体" w:hAnsi="宋体" w:eastAsia="宋体" w:cs="宋体"/>
          <w:color w:val="auto"/>
          <w:sz w:val="24"/>
          <w:szCs w:val="24"/>
          <w:highlight w:val="none"/>
          <w:u w:val="single"/>
        </w:rPr>
        <w:t xml:space="preserve">（签名）  </w:t>
      </w:r>
    </w:p>
    <w:p w14:paraId="65F42F94">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kern w:val="0"/>
          <w:sz w:val="28"/>
          <w:szCs w:val="32"/>
          <w:highlight w:val="none"/>
          <w:lang w:val="zh-CN"/>
        </w:rPr>
        <w:br w:type="page"/>
      </w:r>
      <w:bookmarkStart w:id="175" w:name="_Toc111186781"/>
      <w:bookmarkStart w:id="176" w:name="_Toc193357997"/>
      <w:bookmarkStart w:id="177" w:name="_Toc5282"/>
    </w:p>
    <w:bookmarkEnd w:id="175"/>
    <w:bookmarkEnd w:id="176"/>
    <w:bookmarkEnd w:id="177"/>
    <w:p w14:paraId="6CFC79B7">
      <w:pPr>
        <w:pStyle w:val="2"/>
        <w:rPr>
          <w:color w:val="auto"/>
          <w:highlight w:val="none"/>
        </w:rPr>
      </w:pPr>
      <w:bookmarkStart w:id="178" w:name="_Toc111186786"/>
      <w:bookmarkStart w:id="179" w:name="_Toc193358002"/>
      <w:r>
        <w:rPr>
          <w:rFonts w:hint="eastAsia"/>
          <w:color w:val="auto"/>
          <w:highlight w:val="none"/>
        </w:rPr>
        <w:t>第三章  评标办法（</w:t>
      </w:r>
      <w:r>
        <w:rPr>
          <w:rFonts w:hint="eastAsia"/>
          <w:color w:val="auto"/>
          <w:highlight w:val="none"/>
          <w:lang w:val="en-US" w:eastAsia="zh-CN"/>
        </w:rPr>
        <w:t>评定分离</w:t>
      </w:r>
      <w:r>
        <w:rPr>
          <w:rFonts w:hint="eastAsia"/>
          <w:color w:val="auto"/>
          <w:highlight w:val="none"/>
        </w:rPr>
        <w:t>）</w:t>
      </w:r>
      <w:bookmarkEnd w:id="178"/>
      <w:bookmarkEnd w:id="179"/>
    </w:p>
    <w:p w14:paraId="481E97A7">
      <w:pPr>
        <w:pStyle w:val="3"/>
        <w:wordWrap w:val="0"/>
        <w:rPr>
          <w:color w:val="auto"/>
          <w:highlight w:val="none"/>
        </w:rPr>
      </w:pPr>
      <w:bookmarkStart w:id="180" w:name="_Toc193358003"/>
      <w:bookmarkStart w:id="181" w:name="_Toc111186787"/>
      <w:bookmarkStart w:id="182" w:name="_Toc32538"/>
      <w:r>
        <w:rPr>
          <w:rFonts w:hint="eastAsia"/>
          <w:color w:val="auto"/>
          <w:highlight w:val="none"/>
        </w:rPr>
        <w:t>评标办法前附表</w:t>
      </w:r>
      <w:bookmarkEnd w:id="180"/>
      <w:bookmarkEnd w:id="181"/>
      <w:bookmarkEnd w:id="182"/>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792"/>
        <w:gridCol w:w="1651"/>
        <w:gridCol w:w="5450"/>
      </w:tblGrid>
      <w:tr w14:paraId="4278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gridSpan w:val="2"/>
            <w:vAlign w:val="center"/>
          </w:tcPr>
          <w:p w14:paraId="2A0ED770">
            <w:pPr>
              <w:wordWrap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47" w:type="pct"/>
            <w:vAlign w:val="center"/>
          </w:tcPr>
          <w:p w14:paraId="20357F43">
            <w:pPr>
              <w:wordWrap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3126" w:type="pct"/>
            <w:vAlign w:val="center"/>
          </w:tcPr>
          <w:p w14:paraId="74FE72CC">
            <w:pPr>
              <w:wordWrap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3B07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Align w:val="center"/>
          </w:tcPr>
          <w:p w14:paraId="4F24749D">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54" w:type="pct"/>
            <w:vAlign w:val="center"/>
          </w:tcPr>
          <w:p w14:paraId="40000D48">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947" w:type="pct"/>
            <w:vAlign w:val="center"/>
          </w:tcPr>
          <w:p w14:paraId="06524DA4">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3126" w:type="pct"/>
            <w:vAlign w:val="center"/>
          </w:tcPr>
          <w:p w14:paraId="24CB9547">
            <w:pPr>
              <w:wordWrap w:val="0"/>
              <w:spacing w:line="360" w:lineRule="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本项目采用“评定分离”，其中评标方法为：</w:t>
            </w:r>
          </w:p>
          <w:p w14:paraId="65650D12">
            <w:pPr>
              <w:wordWrap w:val="0"/>
              <w:spacing w:line="360" w:lineRule="auto"/>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lang w:val="en-US" w:eastAsia="zh-CN"/>
              </w:rPr>
              <w:t>评标阶段采用定量评审法。</w:t>
            </w:r>
            <w:r>
              <w:rPr>
                <w:rFonts w:hint="eastAsia" w:ascii="宋体" w:hAnsi="宋体" w:eastAsia="宋体" w:cs="宋体"/>
                <w:color w:val="auto"/>
                <w:szCs w:val="21"/>
                <w:highlight w:val="none"/>
                <w:u w:val="single"/>
              </w:rPr>
              <w:t>评标委员会按照招标文件规定的评标程序对投标人进行评审。按投标人总得分由高至低推荐排前</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名的合格中标候选人【不排序，按统一社会信用代码后4位（除校验码外）大小排位】进入定标阶段，进入定标阶段不排序。</w:t>
            </w:r>
          </w:p>
          <w:p w14:paraId="03118480">
            <w:pPr>
              <w:wordWrap w:val="0"/>
              <w:topLinePunct/>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总得分相同的投标文件，以技术文件部分得分较高的排前；总得分与技术文件部分得分均相同的投标文件，则按名次并列计算。若名次排列出现并列，则占用下一名次(如：第一名分数均相同的投标人有N个，则该N个投标人并列为第一名，下一名按第N+1名计算，依此类推）。如排名第3名的投标人有N个，则这N个投标人都推荐进入定标阶段。</w:t>
            </w:r>
          </w:p>
        </w:tc>
      </w:tr>
      <w:tr w14:paraId="0587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restart"/>
            <w:vAlign w:val="center"/>
          </w:tcPr>
          <w:p w14:paraId="6BBCDB86">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454" w:type="pct"/>
            <w:vMerge w:val="restart"/>
            <w:vAlign w:val="center"/>
          </w:tcPr>
          <w:p w14:paraId="6904630C">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商务文件形式评审标准</w:t>
            </w:r>
          </w:p>
        </w:tc>
        <w:tc>
          <w:tcPr>
            <w:tcW w:w="947" w:type="pct"/>
            <w:vAlign w:val="center"/>
          </w:tcPr>
          <w:p w14:paraId="0A616789">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3126" w:type="pct"/>
            <w:vAlign w:val="center"/>
          </w:tcPr>
          <w:p w14:paraId="6B0819F5">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与营业执照或事业单位登记机构核发的事业单位法人证书、资质证书一致。</w:t>
            </w:r>
          </w:p>
        </w:tc>
      </w:tr>
      <w:tr w14:paraId="4C27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21579DAE">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56281A20">
            <w:pPr>
              <w:widowControl/>
              <w:wordWrap w:val="0"/>
              <w:spacing w:line="360" w:lineRule="auto"/>
              <w:jc w:val="left"/>
              <w:rPr>
                <w:rFonts w:ascii="宋体" w:hAnsi="宋体" w:eastAsia="宋体" w:cs="宋体"/>
                <w:color w:val="auto"/>
                <w:szCs w:val="21"/>
                <w:highlight w:val="none"/>
              </w:rPr>
            </w:pPr>
          </w:p>
        </w:tc>
        <w:tc>
          <w:tcPr>
            <w:tcW w:w="947" w:type="pct"/>
            <w:vAlign w:val="center"/>
          </w:tcPr>
          <w:p w14:paraId="0641A2F3">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3126" w:type="pct"/>
            <w:vAlign w:val="center"/>
          </w:tcPr>
          <w:p w14:paraId="14D5ED76">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投标人声明、廉洁承诺书、法定代表人身份证明；委托投标的还应提供法人授权委托证明书。</w:t>
            </w:r>
          </w:p>
        </w:tc>
      </w:tr>
      <w:tr w14:paraId="425C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39ED9950">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3BC1AA7B">
            <w:pPr>
              <w:widowControl/>
              <w:wordWrap w:val="0"/>
              <w:spacing w:line="360" w:lineRule="auto"/>
              <w:jc w:val="left"/>
              <w:rPr>
                <w:rFonts w:ascii="宋体" w:hAnsi="宋体" w:eastAsia="宋体" w:cs="宋体"/>
                <w:color w:val="auto"/>
                <w:szCs w:val="21"/>
                <w:highlight w:val="none"/>
              </w:rPr>
            </w:pPr>
          </w:p>
        </w:tc>
        <w:tc>
          <w:tcPr>
            <w:tcW w:w="947" w:type="pct"/>
            <w:vAlign w:val="center"/>
          </w:tcPr>
          <w:p w14:paraId="3EC93DDA">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3126" w:type="pct"/>
            <w:vAlign w:val="center"/>
          </w:tcPr>
          <w:p w14:paraId="6D7EAF88">
            <w:pPr>
              <w:wordWrap w:val="0"/>
              <w:spacing w:line="360"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有法定代表人或其委托代理人签字</w:t>
            </w:r>
            <w:r>
              <w:rPr>
                <w:rFonts w:hint="eastAsia" w:ascii="宋体" w:hAnsi="宋体" w:eastAsia="宋体" w:cs="宋体"/>
                <w:color w:val="auto"/>
                <w:szCs w:val="21"/>
                <w:highlight w:val="none"/>
                <w:lang w:eastAsia="zh-CN" w:bidi="ar"/>
              </w:rPr>
              <w:t>（或盖章）</w:t>
            </w:r>
            <w:r>
              <w:rPr>
                <w:rFonts w:hint="eastAsia" w:ascii="宋体" w:hAnsi="宋体" w:eastAsia="宋体" w:cs="宋体"/>
                <w:color w:val="auto"/>
                <w:szCs w:val="21"/>
                <w:highlight w:val="none"/>
                <w:lang w:bidi="ar"/>
              </w:rPr>
              <w:t>和加盖单位章。由法定代表人签字</w:t>
            </w:r>
            <w:r>
              <w:rPr>
                <w:rFonts w:hint="eastAsia" w:ascii="宋体" w:hAnsi="宋体" w:eastAsia="宋体" w:cs="宋体"/>
                <w:color w:val="auto"/>
                <w:szCs w:val="21"/>
                <w:highlight w:val="none"/>
                <w:lang w:eastAsia="zh-CN" w:bidi="ar"/>
              </w:rPr>
              <w:t>（或盖章）</w:t>
            </w:r>
            <w:r>
              <w:rPr>
                <w:rFonts w:hint="eastAsia" w:ascii="宋体" w:hAnsi="宋体" w:eastAsia="宋体" w:cs="宋体"/>
                <w:color w:val="auto"/>
                <w:szCs w:val="21"/>
                <w:highlight w:val="none"/>
                <w:lang w:bidi="ar"/>
              </w:rPr>
              <w:t>的，应附法定代表人身份证明；由代理人签字</w:t>
            </w:r>
            <w:r>
              <w:rPr>
                <w:rFonts w:hint="eastAsia" w:ascii="宋体" w:hAnsi="宋体" w:eastAsia="宋体" w:cs="宋体"/>
                <w:color w:val="auto"/>
                <w:szCs w:val="21"/>
                <w:highlight w:val="none"/>
                <w:lang w:eastAsia="zh-CN" w:bidi="ar"/>
              </w:rPr>
              <w:t>（或盖章）</w:t>
            </w:r>
            <w:r>
              <w:rPr>
                <w:rFonts w:hint="eastAsia" w:ascii="宋体" w:hAnsi="宋体" w:eastAsia="宋体" w:cs="宋体"/>
                <w:color w:val="auto"/>
                <w:szCs w:val="21"/>
                <w:highlight w:val="none"/>
                <w:lang w:bidi="ar"/>
              </w:rPr>
              <w:t>的，应附法定代表人身份证明及授权委托书，身份证明或授权委托书参考第六章“投标文件格式”的规定。</w:t>
            </w:r>
          </w:p>
        </w:tc>
      </w:tr>
      <w:tr w14:paraId="097A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701C2FF0">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0DE614D8">
            <w:pPr>
              <w:widowControl/>
              <w:wordWrap w:val="0"/>
              <w:spacing w:line="360" w:lineRule="auto"/>
              <w:jc w:val="left"/>
              <w:rPr>
                <w:rFonts w:ascii="宋体" w:hAnsi="宋体" w:eastAsia="宋体" w:cs="宋体"/>
                <w:color w:val="auto"/>
                <w:szCs w:val="21"/>
                <w:highlight w:val="none"/>
              </w:rPr>
            </w:pPr>
          </w:p>
        </w:tc>
        <w:tc>
          <w:tcPr>
            <w:tcW w:w="947" w:type="pct"/>
            <w:vAlign w:val="center"/>
          </w:tcPr>
          <w:p w14:paraId="2796DFF3">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126" w:type="pct"/>
            <w:vAlign w:val="center"/>
          </w:tcPr>
          <w:p w14:paraId="657969DC">
            <w:pPr>
              <w:wordWrap w:val="0"/>
              <w:spacing w:line="360"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符合第六章“投标文件格式”的规定。</w:t>
            </w:r>
          </w:p>
        </w:tc>
      </w:tr>
      <w:tr w14:paraId="3FDE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3EE87596">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7C92DE64">
            <w:pPr>
              <w:widowControl/>
              <w:wordWrap w:val="0"/>
              <w:spacing w:line="360" w:lineRule="auto"/>
              <w:jc w:val="left"/>
              <w:rPr>
                <w:rFonts w:ascii="宋体" w:hAnsi="宋体" w:eastAsia="宋体" w:cs="宋体"/>
                <w:color w:val="auto"/>
                <w:szCs w:val="21"/>
                <w:highlight w:val="none"/>
              </w:rPr>
            </w:pPr>
          </w:p>
        </w:tc>
        <w:tc>
          <w:tcPr>
            <w:tcW w:w="947" w:type="pct"/>
            <w:vAlign w:val="center"/>
          </w:tcPr>
          <w:p w14:paraId="647602AF">
            <w:pPr>
              <w:wordWrap w:val="0"/>
              <w:autoSpaceDE w:val="0"/>
              <w:autoSpaceDN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联合体投标人</w:t>
            </w:r>
          </w:p>
        </w:tc>
        <w:tc>
          <w:tcPr>
            <w:tcW w:w="3126" w:type="pct"/>
            <w:vAlign w:val="center"/>
          </w:tcPr>
          <w:p w14:paraId="619BDDE7">
            <w:pPr>
              <w:wordWrap w:val="0"/>
              <w:autoSpaceDE w:val="0"/>
              <w:autoSpaceDN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提交符合招标文件要求的联合体协议书，明确各方职责分工、权利义务，并承诺就中标项目向招标人承担连带责任。</w:t>
            </w:r>
          </w:p>
        </w:tc>
      </w:tr>
      <w:tr w14:paraId="08FE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45DE80FA">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16B9F6C7">
            <w:pPr>
              <w:widowControl/>
              <w:wordWrap w:val="0"/>
              <w:spacing w:line="360" w:lineRule="auto"/>
              <w:jc w:val="left"/>
              <w:rPr>
                <w:rFonts w:ascii="宋体" w:hAnsi="宋体" w:eastAsia="宋体" w:cs="宋体"/>
                <w:color w:val="auto"/>
                <w:szCs w:val="21"/>
                <w:highlight w:val="none"/>
              </w:rPr>
            </w:pPr>
          </w:p>
        </w:tc>
        <w:tc>
          <w:tcPr>
            <w:tcW w:w="947" w:type="pct"/>
            <w:vAlign w:val="center"/>
          </w:tcPr>
          <w:p w14:paraId="5DEF0556">
            <w:pPr>
              <w:wordWrap w:val="0"/>
              <w:autoSpaceDE w:val="0"/>
              <w:autoSpaceDN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备选投标方案</w:t>
            </w:r>
          </w:p>
        </w:tc>
        <w:tc>
          <w:tcPr>
            <w:tcW w:w="3126" w:type="pct"/>
            <w:vAlign w:val="center"/>
          </w:tcPr>
          <w:p w14:paraId="68077CDF">
            <w:pPr>
              <w:wordWrap w:val="0"/>
              <w:autoSpaceDE w:val="0"/>
              <w:autoSpaceDN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除招标文件明确允许提交备选投标方案外，投标人不得提交备选投标方案。</w:t>
            </w:r>
          </w:p>
        </w:tc>
      </w:tr>
      <w:tr w14:paraId="1A21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11AC9D6E">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1A846507">
            <w:pPr>
              <w:widowControl/>
              <w:wordWrap w:val="0"/>
              <w:spacing w:line="360" w:lineRule="auto"/>
              <w:jc w:val="left"/>
              <w:rPr>
                <w:rFonts w:ascii="宋体" w:hAnsi="宋体" w:eastAsia="宋体" w:cs="宋体"/>
                <w:color w:val="auto"/>
                <w:szCs w:val="21"/>
                <w:highlight w:val="none"/>
              </w:rPr>
            </w:pPr>
          </w:p>
        </w:tc>
        <w:tc>
          <w:tcPr>
            <w:tcW w:w="947" w:type="pct"/>
            <w:vAlign w:val="center"/>
          </w:tcPr>
          <w:p w14:paraId="4E6FC11C">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投标人硬件特征码</w:t>
            </w:r>
          </w:p>
        </w:tc>
        <w:tc>
          <w:tcPr>
            <w:tcW w:w="3126" w:type="pct"/>
            <w:vAlign w:val="center"/>
          </w:tcPr>
          <w:p w14:paraId="68C6F0EB">
            <w:pPr>
              <w:wordWrap w:val="0"/>
              <w:autoSpaceDE w:val="0"/>
              <w:autoSpaceDN w:val="0"/>
              <w:spacing w:line="360"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投标人与其他投标人加密打包投标文件硬件特征码不一致，以</w:t>
            </w:r>
            <w:r>
              <w:rPr>
                <w:rFonts w:hint="eastAsia" w:ascii="宋体" w:hAnsi="宋体" w:eastAsia="宋体" w:cs="宋体"/>
                <w:color w:val="auto"/>
                <w:kern w:val="0"/>
                <w:szCs w:val="21"/>
                <w:highlight w:val="none"/>
                <w:u w:val="single"/>
              </w:rPr>
              <w:t>广州交易集团有限公司（广州公共资源交易中心）</w:t>
            </w:r>
            <w:r>
              <w:rPr>
                <w:rFonts w:hint="eastAsia" w:ascii="宋体" w:hAnsi="宋体" w:eastAsia="宋体" w:cs="宋体"/>
                <w:color w:val="auto"/>
                <w:kern w:val="0"/>
                <w:szCs w:val="21"/>
                <w:highlight w:val="none"/>
              </w:rPr>
              <w:t>交易平台开标系统的检索信息为准。</w:t>
            </w:r>
          </w:p>
        </w:tc>
      </w:tr>
      <w:tr w14:paraId="527A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restart"/>
            <w:vAlign w:val="center"/>
          </w:tcPr>
          <w:p w14:paraId="5B5585D8">
            <w:pPr>
              <w:widowControl/>
              <w:wordWrap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454" w:type="pct"/>
            <w:vMerge w:val="restart"/>
            <w:vAlign w:val="center"/>
          </w:tcPr>
          <w:p w14:paraId="767D2A61">
            <w:pPr>
              <w:widowControl/>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947" w:type="pct"/>
            <w:vAlign w:val="center"/>
          </w:tcPr>
          <w:p w14:paraId="48C4EC6F">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营业执照和组织机构代码证</w:t>
            </w:r>
          </w:p>
        </w:tc>
        <w:tc>
          <w:tcPr>
            <w:tcW w:w="3126" w:type="pct"/>
            <w:vAlign w:val="center"/>
          </w:tcPr>
          <w:p w14:paraId="4D5717D6">
            <w:pPr>
              <w:wordWrap w:val="0"/>
              <w:autoSpaceDE w:val="0"/>
              <w:autoSpaceDN w:val="0"/>
              <w:spacing w:line="360"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符合第二章“投标人须知”第3.5.1项规定，具备有效的营业执照和组织机构代码证。按照“三证合一”或“五证合一”登记制度进行登记的投标人，可仅提供营业执照或事业单位法人证书。</w:t>
            </w:r>
          </w:p>
        </w:tc>
      </w:tr>
      <w:tr w14:paraId="292A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4859C9A5">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61AB4189">
            <w:pPr>
              <w:widowControl/>
              <w:wordWrap w:val="0"/>
              <w:spacing w:line="360" w:lineRule="auto"/>
              <w:jc w:val="left"/>
              <w:rPr>
                <w:rFonts w:ascii="宋体" w:hAnsi="宋体" w:eastAsia="宋体" w:cs="宋体"/>
                <w:color w:val="auto"/>
                <w:szCs w:val="21"/>
                <w:highlight w:val="none"/>
              </w:rPr>
            </w:pPr>
          </w:p>
        </w:tc>
        <w:tc>
          <w:tcPr>
            <w:tcW w:w="947" w:type="pct"/>
            <w:vAlign w:val="center"/>
          </w:tcPr>
          <w:p w14:paraId="09872193">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资质要求</w:t>
            </w:r>
          </w:p>
        </w:tc>
        <w:tc>
          <w:tcPr>
            <w:tcW w:w="3126" w:type="pct"/>
            <w:vAlign w:val="center"/>
          </w:tcPr>
          <w:p w14:paraId="1374FBF1">
            <w:pPr>
              <w:wordWrap w:val="0"/>
              <w:autoSpaceDE w:val="0"/>
              <w:autoSpaceDN w:val="0"/>
              <w:spacing w:line="360"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2769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vMerge w:val="continue"/>
            <w:vAlign w:val="center"/>
          </w:tcPr>
          <w:p w14:paraId="748ED4F7">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0846D219">
            <w:pPr>
              <w:widowControl/>
              <w:wordWrap w:val="0"/>
              <w:spacing w:line="360" w:lineRule="auto"/>
              <w:jc w:val="left"/>
              <w:rPr>
                <w:rFonts w:ascii="宋体" w:hAnsi="宋体" w:eastAsia="宋体" w:cs="宋体"/>
                <w:color w:val="auto"/>
                <w:szCs w:val="21"/>
                <w:highlight w:val="none"/>
              </w:rPr>
            </w:pPr>
          </w:p>
        </w:tc>
        <w:tc>
          <w:tcPr>
            <w:tcW w:w="947" w:type="pct"/>
            <w:vAlign w:val="center"/>
          </w:tcPr>
          <w:p w14:paraId="664F8884">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业绩要求</w:t>
            </w:r>
          </w:p>
        </w:tc>
        <w:tc>
          <w:tcPr>
            <w:tcW w:w="3126" w:type="pct"/>
            <w:vAlign w:val="center"/>
          </w:tcPr>
          <w:p w14:paraId="5777FCE6">
            <w:pPr>
              <w:wordWrap w:val="0"/>
              <w:autoSpaceDE w:val="0"/>
              <w:autoSpaceDN w:val="0"/>
              <w:spacing w:line="360" w:lineRule="auto"/>
              <w:jc w:val="left"/>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u w:val="single"/>
                <w:lang w:bidi="ar"/>
              </w:rPr>
              <w:t>/。</w:t>
            </w:r>
          </w:p>
        </w:tc>
      </w:tr>
      <w:tr w14:paraId="39D4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55A6F50B">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305BADA3">
            <w:pPr>
              <w:widowControl/>
              <w:wordWrap w:val="0"/>
              <w:spacing w:line="360" w:lineRule="auto"/>
              <w:jc w:val="left"/>
              <w:rPr>
                <w:rFonts w:ascii="宋体" w:hAnsi="宋体" w:eastAsia="宋体" w:cs="宋体"/>
                <w:color w:val="auto"/>
                <w:szCs w:val="21"/>
                <w:highlight w:val="none"/>
              </w:rPr>
            </w:pPr>
          </w:p>
        </w:tc>
        <w:tc>
          <w:tcPr>
            <w:tcW w:w="947" w:type="pct"/>
            <w:vAlign w:val="center"/>
          </w:tcPr>
          <w:p w14:paraId="72C309BA">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项目负责人</w:t>
            </w:r>
          </w:p>
        </w:tc>
        <w:tc>
          <w:tcPr>
            <w:tcW w:w="3126" w:type="pct"/>
            <w:vAlign w:val="center"/>
          </w:tcPr>
          <w:p w14:paraId="4F3AE401">
            <w:pPr>
              <w:wordWrap w:val="0"/>
              <w:autoSpaceDE w:val="0"/>
              <w:autoSpaceDN w:val="0"/>
              <w:spacing w:line="360"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2230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311C579D">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32A31244">
            <w:pPr>
              <w:widowControl/>
              <w:wordWrap w:val="0"/>
              <w:spacing w:line="360" w:lineRule="auto"/>
              <w:jc w:val="left"/>
              <w:rPr>
                <w:rFonts w:ascii="宋体" w:hAnsi="宋体" w:eastAsia="宋体" w:cs="宋体"/>
                <w:color w:val="auto"/>
                <w:szCs w:val="21"/>
                <w:highlight w:val="none"/>
              </w:rPr>
            </w:pPr>
          </w:p>
        </w:tc>
        <w:tc>
          <w:tcPr>
            <w:tcW w:w="947" w:type="pct"/>
            <w:vAlign w:val="center"/>
          </w:tcPr>
          <w:p w14:paraId="5119DA9D">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其他要求</w:t>
            </w:r>
          </w:p>
        </w:tc>
        <w:tc>
          <w:tcPr>
            <w:tcW w:w="3126" w:type="pct"/>
            <w:vAlign w:val="center"/>
          </w:tcPr>
          <w:p w14:paraId="731D7764">
            <w:pPr>
              <w:wordWrap w:val="0"/>
              <w:autoSpaceDE w:val="0"/>
              <w:autoSpaceDN w:val="0"/>
              <w:spacing w:line="360"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7353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59F4FE62">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2A4D231B">
            <w:pPr>
              <w:widowControl/>
              <w:wordWrap w:val="0"/>
              <w:spacing w:line="360" w:lineRule="auto"/>
              <w:jc w:val="left"/>
              <w:rPr>
                <w:rFonts w:ascii="宋体" w:hAnsi="宋体" w:eastAsia="宋体" w:cs="宋体"/>
                <w:color w:val="auto"/>
                <w:szCs w:val="21"/>
                <w:highlight w:val="none"/>
              </w:rPr>
            </w:pPr>
          </w:p>
        </w:tc>
        <w:tc>
          <w:tcPr>
            <w:tcW w:w="947" w:type="pct"/>
            <w:vAlign w:val="center"/>
          </w:tcPr>
          <w:p w14:paraId="55B9546D">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联合体投标人</w:t>
            </w:r>
          </w:p>
        </w:tc>
        <w:tc>
          <w:tcPr>
            <w:tcW w:w="3126" w:type="pct"/>
            <w:vAlign w:val="center"/>
          </w:tcPr>
          <w:p w14:paraId="14F35DA4">
            <w:pPr>
              <w:wordWrap w:val="0"/>
              <w:autoSpaceDE w:val="0"/>
              <w:autoSpaceDN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符合第二章“投标人须知”第1.4.2项规定</w:t>
            </w:r>
          </w:p>
        </w:tc>
      </w:tr>
      <w:tr w14:paraId="2E1D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77E43692">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0600B01F">
            <w:pPr>
              <w:widowControl/>
              <w:wordWrap w:val="0"/>
              <w:spacing w:line="360" w:lineRule="auto"/>
              <w:jc w:val="left"/>
              <w:rPr>
                <w:rFonts w:ascii="宋体" w:hAnsi="宋体" w:eastAsia="宋体" w:cs="宋体"/>
                <w:color w:val="auto"/>
                <w:szCs w:val="21"/>
                <w:highlight w:val="none"/>
              </w:rPr>
            </w:pPr>
          </w:p>
        </w:tc>
        <w:tc>
          <w:tcPr>
            <w:tcW w:w="947" w:type="pct"/>
            <w:vAlign w:val="center"/>
          </w:tcPr>
          <w:p w14:paraId="42B0E0ED">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不存在禁止投标的情形</w:t>
            </w:r>
          </w:p>
        </w:tc>
        <w:tc>
          <w:tcPr>
            <w:tcW w:w="3126" w:type="pct"/>
            <w:vAlign w:val="center"/>
          </w:tcPr>
          <w:p w14:paraId="31B5538C">
            <w:pPr>
              <w:wordWrap w:val="0"/>
              <w:autoSpaceDE w:val="0"/>
              <w:autoSpaceDN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不存在第二章“投标人须知”第1.4.3项规定的任何一种情形（按投标人提供的《投标人声明》内容进行评审）</w:t>
            </w:r>
          </w:p>
        </w:tc>
      </w:tr>
      <w:tr w14:paraId="73C6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38EC7F39">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1E138BCA">
            <w:pPr>
              <w:widowControl/>
              <w:wordWrap w:val="0"/>
              <w:spacing w:line="360" w:lineRule="auto"/>
              <w:jc w:val="left"/>
              <w:rPr>
                <w:rFonts w:ascii="宋体" w:hAnsi="宋体" w:eastAsia="宋体" w:cs="宋体"/>
                <w:color w:val="auto"/>
                <w:szCs w:val="21"/>
                <w:highlight w:val="none"/>
              </w:rPr>
            </w:pPr>
          </w:p>
        </w:tc>
        <w:tc>
          <w:tcPr>
            <w:tcW w:w="947" w:type="pct"/>
            <w:vAlign w:val="center"/>
          </w:tcPr>
          <w:p w14:paraId="74CFE42F">
            <w:pPr>
              <w:wordWrap w:val="0"/>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投标人未被列入拖欠农民工工资失信联合惩戒对象名单</w:t>
            </w:r>
          </w:p>
        </w:tc>
        <w:tc>
          <w:tcPr>
            <w:tcW w:w="3126" w:type="pct"/>
            <w:vAlign w:val="center"/>
          </w:tcPr>
          <w:p w14:paraId="33ABC6C6">
            <w:pPr>
              <w:wordWrap w:val="0"/>
              <w:autoSpaceDE w:val="0"/>
              <w:autoSpaceDN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w:t>
            </w:r>
            <w:r>
              <w:rPr>
                <w:rFonts w:hint="eastAsia" w:ascii="宋体" w:hAnsi="宋体" w:eastAsia="宋体" w:cs="宋体"/>
                <w:color w:val="auto"/>
                <w:kern w:val="0"/>
                <w:szCs w:val="21"/>
                <w:highlight w:val="none"/>
                <w:lang w:eastAsia="zh-CN"/>
              </w:rPr>
              <w:t>投标截止时间广州交易集团有限公司（广州公共资源交易中心）</w:t>
            </w:r>
            <w:r>
              <w:rPr>
                <w:rFonts w:hint="eastAsia" w:ascii="宋体" w:hAnsi="宋体" w:eastAsia="宋体" w:cs="宋体"/>
                <w:color w:val="auto"/>
                <w:kern w:val="0"/>
                <w:szCs w:val="21"/>
                <w:highlight w:val="none"/>
              </w:rPr>
              <w:t>交易系统比对的结果进行评审。</w:t>
            </w:r>
          </w:p>
        </w:tc>
      </w:tr>
      <w:tr w14:paraId="033C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78942209">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21640CA1">
            <w:pPr>
              <w:widowControl/>
              <w:wordWrap w:val="0"/>
              <w:spacing w:line="360" w:lineRule="auto"/>
              <w:jc w:val="left"/>
              <w:rPr>
                <w:rFonts w:ascii="宋体" w:hAnsi="宋体" w:eastAsia="宋体" w:cs="宋体"/>
                <w:color w:val="auto"/>
                <w:szCs w:val="21"/>
                <w:highlight w:val="none"/>
              </w:rPr>
            </w:pPr>
          </w:p>
        </w:tc>
        <w:tc>
          <w:tcPr>
            <w:tcW w:w="947" w:type="pct"/>
            <w:vAlign w:val="center"/>
          </w:tcPr>
          <w:p w14:paraId="04E7D41F">
            <w:pPr>
              <w:autoSpaceDE w:val="0"/>
              <w:autoSpaceDN w:val="0"/>
              <w:spacing w:line="360"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政府投资项目，在投标截止时间前，投标人未被列入“失信被执行人”名单</w:t>
            </w:r>
          </w:p>
        </w:tc>
        <w:tc>
          <w:tcPr>
            <w:tcW w:w="3126" w:type="pct"/>
            <w:vAlign w:val="center"/>
          </w:tcPr>
          <w:p w14:paraId="12B1CAC6">
            <w:pPr>
              <w:wordWrap w:val="0"/>
              <w:autoSpaceDE w:val="0"/>
              <w:autoSpaceDN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w:t>
            </w:r>
            <w:r>
              <w:rPr>
                <w:rFonts w:hint="eastAsia" w:ascii="宋体" w:hAnsi="宋体" w:eastAsia="宋体" w:cs="宋体"/>
                <w:color w:val="auto"/>
                <w:kern w:val="0"/>
                <w:szCs w:val="21"/>
                <w:highlight w:val="none"/>
                <w:lang w:eastAsia="zh-CN"/>
              </w:rPr>
              <w:t>投标截止时间广州交易集团有限公司（广州公共资源交易中心）</w:t>
            </w:r>
            <w:r>
              <w:rPr>
                <w:rFonts w:hint="eastAsia" w:ascii="宋体" w:hAnsi="宋体" w:eastAsia="宋体" w:cs="宋体"/>
                <w:color w:val="auto"/>
                <w:kern w:val="0"/>
                <w:szCs w:val="21"/>
                <w:highlight w:val="none"/>
              </w:rPr>
              <w:t>交易系统比对的结果进行评审。</w:t>
            </w:r>
          </w:p>
        </w:tc>
      </w:tr>
      <w:tr w14:paraId="045C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restart"/>
            <w:vAlign w:val="center"/>
          </w:tcPr>
          <w:p w14:paraId="02C98A30">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2.1.3（1）</w:t>
            </w:r>
          </w:p>
        </w:tc>
        <w:tc>
          <w:tcPr>
            <w:tcW w:w="454" w:type="pct"/>
            <w:vMerge w:val="restart"/>
            <w:vAlign w:val="center"/>
          </w:tcPr>
          <w:p w14:paraId="0E4BAD55">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商务文件响应性评审标准</w:t>
            </w:r>
          </w:p>
        </w:tc>
        <w:tc>
          <w:tcPr>
            <w:tcW w:w="947" w:type="pct"/>
            <w:vAlign w:val="center"/>
          </w:tcPr>
          <w:p w14:paraId="4F4EFBAB">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3126" w:type="pct"/>
            <w:vAlign w:val="center"/>
          </w:tcPr>
          <w:p w14:paraId="38080D94">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符合第二章“投标人须知”第3.2款规定</w:t>
            </w:r>
          </w:p>
        </w:tc>
      </w:tr>
      <w:tr w14:paraId="02E1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56A3A112">
            <w:pPr>
              <w:wordWrap w:val="0"/>
              <w:spacing w:line="360" w:lineRule="auto"/>
              <w:jc w:val="center"/>
              <w:rPr>
                <w:rFonts w:ascii="宋体" w:hAnsi="宋体" w:eastAsia="宋体" w:cs="宋体"/>
                <w:color w:val="auto"/>
                <w:szCs w:val="21"/>
                <w:highlight w:val="none"/>
              </w:rPr>
            </w:pPr>
          </w:p>
        </w:tc>
        <w:tc>
          <w:tcPr>
            <w:tcW w:w="454" w:type="pct"/>
            <w:vMerge w:val="continue"/>
            <w:vAlign w:val="center"/>
          </w:tcPr>
          <w:p w14:paraId="6517FB80">
            <w:pPr>
              <w:wordWrap w:val="0"/>
              <w:spacing w:line="360" w:lineRule="auto"/>
              <w:jc w:val="center"/>
              <w:rPr>
                <w:rFonts w:ascii="宋体" w:hAnsi="宋体" w:eastAsia="宋体" w:cs="宋体"/>
                <w:color w:val="auto"/>
                <w:szCs w:val="21"/>
                <w:highlight w:val="none"/>
              </w:rPr>
            </w:pPr>
          </w:p>
        </w:tc>
        <w:tc>
          <w:tcPr>
            <w:tcW w:w="947" w:type="pct"/>
            <w:vAlign w:val="center"/>
          </w:tcPr>
          <w:p w14:paraId="74D7559F">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3126" w:type="pct"/>
            <w:vAlign w:val="center"/>
          </w:tcPr>
          <w:p w14:paraId="60393D5E">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符合第二章“投标人须知”第1.3.1项规定</w:t>
            </w:r>
          </w:p>
        </w:tc>
      </w:tr>
      <w:tr w14:paraId="2394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5C7DED29">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6B7C82D0">
            <w:pPr>
              <w:widowControl/>
              <w:wordWrap w:val="0"/>
              <w:spacing w:line="360" w:lineRule="auto"/>
              <w:jc w:val="left"/>
              <w:rPr>
                <w:rFonts w:ascii="宋体" w:hAnsi="宋体" w:eastAsia="宋体" w:cs="宋体"/>
                <w:color w:val="auto"/>
                <w:szCs w:val="21"/>
                <w:highlight w:val="none"/>
              </w:rPr>
            </w:pPr>
          </w:p>
        </w:tc>
        <w:tc>
          <w:tcPr>
            <w:tcW w:w="947" w:type="pct"/>
            <w:vAlign w:val="center"/>
          </w:tcPr>
          <w:p w14:paraId="20946BA5">
            <w:pPr>
              <w:wordWrap w:val="0"/>
              <w:autoSpaceDE w:val="0"/>
              <w:autoSpaceDN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勘察设计服务期限</w:t>
            </w:r>
          </w:p>
        </w:tc>
        <w:tc>
          <w:tcPr>
            <w:tcW w:w="3126" w:type="pct"/>
            <w:vAlign w:val="center"/>
          </w:tcPr>
          <w:p w14:paraId="252356AC">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14:paraId="3D72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040BA4C9">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262AB9D1">
            <w:pPr>
              <w:widowControl/>
              <w:wordWrap w:val="0"/>
              <w:spacing w:line="360" w:lineRule="auto"/>
              <w:jc w:val="left"/>
              <w:rPr>
                <w:rFonts w:ascii="宋体" w:hAnsi="宋体" w:eastAsia="宋体" w:cs="宋体"/>
                <w:color w:val="auto"/>
                <w:szCs w:val="21"/>
                <w:highlight w:val="none"/>
              </w:rPr>
            </w:pPr>
          </w:p>
        </w:tc>
        <w:tc>
          <w:tcPr>
            <w:tcW w:w="947" w:type="pct"/>
            <w:vAlign w:val="center"/>
          </w:tcPr>
          <w:p w14:paraId="5E3C0E0A">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126" w:type="pct"/>
            <w:vAlign w:val="center"/>
          </w:tcPr>
          <w:p w14:paraId="3F3FC157">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符合第二章“投标人须知”第1.3.3项规定</w:t>
            </w:r>
          </w:p>
        </w:tc>
      </w:tr>
      <w:tr w14:paraId="48A7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1EDC2A06">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3555AB4F">
            <w:pPr>
              <w:widowControl/>
              <w:wordWrap w:val="0"/>
              <w:spacing w:line="360" w:lineRule="auto"/>
              <w:jc w:val="left"/>
              <w:rPr>
                <w:rFonts w:ascii="宋体" w:hAnsi="宋体" w:eastAsia="宋体" w:cs="宋体"/>
                <w:color w:val="auto"/>
                <w:szCs w:val="21"/>
                <w:highlight w:val="none"/>
              </w:rPr>
            </w:pPr>
          </w:p>
        </w:tc>
        <w:tc>
          <w:tcPr>
            <w:tcW w:w="947" w:type="pct"/>
            <w:vAlign w:val="center"/>
          </w:tcPr>
          <w:p w14:paraId="1D552EEC">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126" w:type="pct"/>
            <w:vAlign w:val="center"/>
          </w:tcPr>
          <w:p w14:paraId="4926F6C2">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14:paraId="57C1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2EA91543">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10944757">
            <w:pPr>
              <w:widowControl/>
              <w:wordWrap w:val="0"/>
              <w:spacing w:line="360" w:lineRule="auto"/>
              <w:jc w:val="left"/>
              <w:rPr>
                <w:rFonts w:ascii="宋体" w:hAnsi="宋体" w:eastAsia="宋体" w:cs="宋体"/>
                <w:color w:val="auto"/>
                <w:szCs w:val="21"/>
                <w:highlight w:val="none"/>
              </w:rPr>
            </w:pPr>
          </w:p>
        </w:tc>
        <w:tc>
          <w:tcPr>
            <w:tcW w:w="947" w:type="pct"/>
            <w:vAlign w:val="center"/>
          </w:tcPr>
          <w:p w14:paraId="4254708A">
            <w:pPr>
              <w:wordWrap w:val="0"/>
              <w:spacing w:line="360" w:lineRule="auto"/>
              <w:jc w:val="cente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投标保证金</w:t>
            </w:r>
          </w:p>
        </w:tc>
        <w:tc>
          <w:tcPr>
            <w:tcW w:w="3126" w:type="pct"/>
            <w:vAlign w:val="center"/>
          </w:tcPr>
          <w:p w14:paraId="42BA3B85">
            <w:pPr>
              <w:wordWrap w:val="0"/>
              <w:spacing w:line="360" w:lineRule="auto"/>
              <w:rPr>
                <w:rFonts w:ascii="宋体" w:hAnsi="宋体" w:eastAsia="宋体" w:cs="宋体"/>
                <w:strike/>
                <w:color w:val="auto"/>
                <w:szCs w:val="21"/>
                <w:highlight w:val="none"/>
              </w:rPr>
            </w:pPr>
            <w:r>
              <w:rPr>
                <w:rFonts w:hint="eastAsia" w:ascii="宋体" w:hAnsi="宋体" w:eastAsia="宋体" w:cs="宋体"/>
                <w:strike/>
                <w:color w:val="auto"/>
                <w:szCs w:val="21"/>
                <w:highlight w:val="none"/>
              </w:rPr>
              <w:t>符合第二章“投标人须知”第3.4.1项规定</w:t>
            </w:r>
          </w:p>
        </w:tc>
      </w:tr>
      <w:tr w14:paraId="070E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7CFCF9E9">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29E7B1EC">
            <w:pPr>
              <w:widowControl/>
              <w:wordWrap w:val="0"/>
              <w:spacing w:line="360" w:lineRule="auto"/>
              <w:jc w:val="left"/>
              <w:rPr>
                <w:rFonts w:ascii="宋体" w:hAnsi="宋体" w:eastAsia="宋体" w:cs="宋体"/>
                <w:color w:val="auto"/>
                <w:szCs w:val="21"/>
                <w:highlight w:val="none"/>
              </w:rPr>
            </w:pPr>
          </w:p>
        </w:tc>
        <w:tc>
          <w:tcPr>
            <w:tcW w:w="947" w:type="pct"/>
            <w:vAlign w:val="center"/>
          </w:tcPr>
          <w:p w14:paraId="1C270E29">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3126" w:type="pct"/>
            <w:vAlign w:val="center"/>
          </w:tcPr>
          <w:p w14:paraId="319EBA8B">
            <w:pPr>
              <w:wordWrap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不存在串通投标情形（串通投标情形以《广东省实施〈中华人民共和国招标投标法〉办法》第十六条规定的为准）。</w:t>
            </w:r>
          </w:p>
        </w:tc>
      </w:tr>
      <w:tr w14:paraId="32F9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2" w:type="pct"/>
            <w:vMerge w:val="continue"/>
            <w:vAlign w:val="center"/>
          </w:tcPr>
          <w:p w14:paraId="2D0BE89C">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28CD825A">
            <w:pPr>
              <w:widowControl/>
              <w:wordWrap w:val="0"/>
              <w:spacing w:line="360" w:lineRule="auto"/>
              <w:jc w:val="left"/>
              <w:rPr>
                <w:rFonts w:ascii="宋体" w:hAnsi="宋体" w:eastAsia="宋体" w:cs="宋体"/>
                <w:color w:val="auto"/>
                <w:szCs w:val="21"/>
                <w:highlight w:val="none"/>
              </w:rPr>
            </w:pPr>
          </w:p>
        </w:tc>
        <w:tc>
          <w:tcPr>
            <w:tcW w:w="4073" w:type="pct"/>
            <w:gridSpan w:val="2"/>
            <w:vAlign w:val="center"/>
          </w:tcPr>
          <w:p w14:paraId="749E17C2">
            <w:pPr>
              <w:wordWrap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商务文件响应性评审标准中“投标内容”、“勘察设计服务期限”、“质量标准”、“投标有效期”，以投标人在投标书中的承诺为准。</w:t>
            </w:r>
          </w:p>
        </w:tc>
      </w:tr>
      <w:tr w14:paraId="20D4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72" w:type="pct"/>
            <w:vMerge w:val="restart"/>
            <w:vAlign w:val="center"/>
          </w:tcPr>
          <w:p w14:paraId="3EF3B00F">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2.1.3（2）</w:t>
            </w:r>
          </w:p>
        </w:tc>
        <w:tc>
          <w:tcPr>
            <w:tcW w:w="454" w:type="pct"/>
            <w:vMerge w:val="restart"/>
            <w:vAlign w:val="center"/>
          </w:tcPr>
          <w:p w14:paraId="5B265C39">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技术文件初步评审标准</w:t>
            </w:r>
          </w:p>
        </w:tc>
        <w:tc>
          <w:tcPr>
            <w:tcW w:w="947" w:type="pct"/>
            <w:vAlign w:val="center"/>
          </w:tcPr>
          <w:p w14:paraId="7250DCB2">
            <w:pPr>
              <w:spacing w:line="360" w:lineRule="auto"/>
              <w:jc w:val="center"/>
              <w:rPr>
                <w:rFonts w:ascii="宋体" w:hAnsi="宋体" w:eastAsia="宋体" w:cs="宋体"/>
                <w:color w:val="auto"/>
                <w:szCs w:val="21"/>
                <w:highlight w:val="none"/>
                <w:u w:val="single"/>
              </w:rPr>
            </w:pPr>
            <w:r>
              <w:rPr>
                <w:rFonts w:hint="eastAsia" w:ascii="宋体" w:hAnsi="宋体" w:eastAsia="宋体" w:cs="Times New Roman"/>
                <w:color w:val="auto"/>
                <w:szCs w:val="20"/>
                <w:highlight w:val="none"/>
              </w:rPr>
              <w:t>编制要求</w:t>
            </w:r>
          </w:p>
        </w:tc>
        <w:tc>
          <w:tcPr>
            <w:tcW w:w="3126" w:type="pct"/>
            <w:vAlign w:val="center"/>
          </w:tcPr>
          <w:p w14:paraId="728C7D76">
            <w:pPr>
              <w:wordWrap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未发现投标人在勘察设计方案内标注名称、印章、商标、图形等记认符号，使人辨认出投标人或其专业技术人员的身份。</w:t>
            </w:r>
          </w:p>
        </w:tc>
      </w:tr>
      <w:tr w14:paraId="0E2A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72" w:type="pct"/>
            <w:vMerge w:val="continue"/>
            <w:vAlign w:val="center"/>
          </w:tcPr>
          <w:p w14:paraId="7843A058">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44ADB064">
            <w:pPr>
              <w:widowControl/>
              <w:wordWrap w:val="0"/>
              <w:spacing w:line="360" w:lineRule="auto"/>
              <w:jc w:val="left"/>
              <w:rPr>
                <w:rFonts w:ascii="宋体" w:hAnsi="宋体" w:eastAsia="宋体" w:cs="宋体"/>
                <w:color w:val="auto"/>
                <w:szCs w:val="21"/>
                <w:highlight w:val="none"/>
              </w:rPr>
            </w:pPr>
          </w:p>
        </w:tc>
        <w:tc>
          <w:tcPr>
            <w:tcW w:w="947" w:type="pct"/>
            <w:vAlign w:val="center"/>
          </w:tcPr>
          <w:p w14:paraId="0D03853B">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未发现互相雷同和串通投标</w:t>
            </w:r>
          </w:p>
        </w:tc>
        <w:tc>
          <w:tcPr>
            <w:tcW w:w="3126" w:type="pct"/>
            <w:vAlign w:val="center"/>
          </w:tcPr>
          <w:p w14:paraId="1D19D485">
            <w:pPr>
              <w:wordWrap w:val="0"/>
              <w:spacing w:line="360"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310E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72" w:type="pct"/>
            <w:vMerge w:val="continue"/>
            <w:vAlign w:val="center"/>
          </w:tcPr>
          <w:p w14:paraId="2E86A57E">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660EE076">
            <w:pPr>
              <w:widowControl/>
              <w:wordWrap w:val="0"/>
              <w:spacing w:line="360" w:lineRule="auto"/>
              <w:jc w:val="left"/>
              <w:rPr>
                <w:rFonts w:ascii="宋体" w:hAnsi="宋体" w:eastAsia="宋体" w:cs="宋体"/>
                <w:color w:val="auto"/>
                <w:szCs w:val="21"/>
                <w:highlight w:val="none"/>
              </w:rPr>
            </w:pPr>
          </w:p>
        </w:tc>
        <w:tc>
          <w:tcPr>
            <w:tcW w:w="947" w:type="pct"/>
            <w:vAlign w:val="center"/>
          </w:tcPr>
          <w:p w14:paraId="4F4019EA">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未发现明显抄袭行为</w:t>
            </w:r>
          </w:p>
        </w:tc>
        <w:tc>
          <w:tcPr>
            <w:tcW w:w="3126" w:type="pct"/>
            <w:vAlign w:val="center"/>
          </w:tcPr>
          <w:p w14:paraId="5F881488">
            <w:pPr>
              <w:wordWrap w:val="0"/>
              <w:spacing w:line="360"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4F7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72" w:type="pct"/>
            <w:vMerge w:val="continue"/>
            <w:vAlign w:val="center"/>
          </w:tcPr>
          <w:p w14:paraId="3BB584DF">
            <w:pPr>
              <w:widowControl/>
              <w:wordWrap w:val="0"/>
              <w:spacing w:line="360" w:lineRule="auto"/>
              <w:jc w:val="left"/>
              <w:rPr>
                <w:rFonts w:ascii="宋体" w:hAnsi="宋体" w:eastAsia="宋体" w:cs="宋体"/>
                <w:color w:val="auto"/>
                <w:szCs w:val="21"/>
                <w:highlight w:val="none"/>
              </w:rPr>
            </w:pPr>
          </w:p>
        </w:tc>
        <w:tc>
          <w:tcPr>
            <w:tcW w:w="454" w:type="pct"/>
            <w:vMerge w:val="continue"/>
            <w:vAlign w:val="center"/>
          </w:tcPr>
          <w:p w14:paraId="36A40278">
            <w:pPr>
              <w:widowControl/>
              <w:wordWrap w:val="0"/>
              <w:spacing w:line="360" w:lineRule="auto"/>
              <w:jc w:val="left"/>
              <w:rPr>
                <w:rFonts w:ascii="宋体" w:hAnsi="宋体" w:eastAsia="宋体" w:cs="宋体"/>
                <w:color w:val="auto"/>
                <w:szCs w:val="21"/>
                <w:highlight w:val="none"/>
              </w:rPr>
            </w:pPr>
          </w:p>
        </w:tc>
        <w:tc>
          <w:tcPr>
            <w:tcW w:w="947" w:type="pct"/>
            <w:vAlign w:val="center"/>
          </w:tcPr>
          <w:p w14:paraId="3FB14157">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未发现侵犯他人著作权和特许权</w:t>
            </w:r>
          </w:p>
        </w:tc>
        <w:tc>
          <w:tcPr>
            <w:tcW w:w="3126" w:type="pct"/>
            <w:vAlign w:val="center"/>
          </w:tcPr>
          <w:p w14:paraId="2AB47693">
            <w:pPr>
              <w:wordWrap w:val="0"/>
              <w:spacing w:line="360"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3592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gridSpan w:val="2"/>
            <w:vAlign w:val="center"/>
          </w:tcPr>
          <w:p w14:paraId="3F959E29">
            <w:pPr>
              <w:wordWrap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47" w:type="pct"/>
            <w:vAlign w:val="center"/>
          </w:tcPr>
          <w:p w14:paraId="26D87A0E">
            <w:pPr>
              <w:wordWrap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3126" w:type="pct"/>
            <w:vAlign w:val="center"/>
          </w:tcPr>
          <w:p w14:paraId="74DD9B7E">
            <w:pPr>
              <w:wordWrap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0CD6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gridSpan w:val="2"/>
            <w:vAlign w:val="center"/>
          </w:tcPr>
          <w:p w14:paraId="74BFFD0D">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947" w:type="pct"/>
            <w:vAlign w:val="center"/>
          </w:tcPr>
          <w:p w14:paraId="219D752B">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w:t>
            </w:r>
          </w:p>
        </w:tc>
        <w:tc>
          <w:tcPr>
            <w:tcW w:w="3126" w:type="pct"/>
            <w:vAlign w:val="center"/>
          </w:tcPr>
          <w:p w14:paraId="5FDB24A3">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商务文件部分A：</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w:t>
            </w:r>
          </w:p>
          <w:p w14:paraId="028A3DBB">
            <w:pPr>
              <w:wordWrap w:val="0"/>
              <w:spacing w:line="360" w:lineRule="auto"/>
              <w:rPr>
                <w:rFonts w:ascii="宋体" w:hAnsi="宋体" w:eastAsia="宋体" w:cs="宋体"/>
                <w:color w:val="auto"/>
                <w:szCs w:val="21"/>
                <w:highlight w:val="none"/>
              </w:rPr>
            </w:pPr>
            <w:r>
              <w:rPr>
                <w:rFonts w:hint="eastAsia" w:ascii="宋体" w:hAnsi="宋体" w:eastAsia="宋体" w:cs="宋体"/>
                <w:color w:val="auto"/>
                <w:spacing w:val="-2"/>
                <w:szCs w:val="21"/>
                <w:highlight w:val="none"/>
              </w:rPr>
              <w:t>技术文件</w:t>
            </w:r>
            <w:r>
              <w:rPr>
                <w:rFonts w:hint="eastAsia" w:ascii="宋体" w:hAnsi="宋体" w:eastAsia="宋体" w:cs="宋体"/>
                <w:color w:val="auto"/>
                <w:szCs w:val="21"/>
                <w:highlight w:val="none"/>
              </w:rPr>
              <w:t>部分B：</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w:t>
            </w:r>
            <w:r>
              <w:rPr>
                <w:rFonts w:hint="default"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p>
          <w:p w14:paraId="7884887F">
            <w:pPr>
              <w:wordWrap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投标报价C：</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p>
          <w:p w14:paraId="43A22EA2">
            <w:pPr>
              <w:wordWrap w:val="0"/>
              <w:spacing w:line="360" w:lineRule="auto"/>
              <w:rPr>
                <w:rFonts w:ascii="宋体" w:hAnsi="宋体" w:eastAsia="宋体" w:cs="Times New Roman"/>
                <w:b/>
                <w:color w:val="auto"/>
                <w:szCs w:val="21"/>
                <w:highlight w:val="none"/>
                <w:u w:val="single"/>
              </w:rPr>
            </w:pPr>
            <w:r>
              <w:rPr>
                <w:rFonts w:hint="eastAsia" w:ascii="宋体" w:hAnsi="宋体" w:eastAsia="宋体" w:cs="Times New Roman"/>
                <w:bCs/>
                <w:color w:val="auto"/>
                <w:szCs w:val="21"/>
                <w:highlight w:val="none"/>
              </w:rPr>
              <w:t>其他评分因素（信用评价得分）D：</w:t>
            </w:r>
            <w:r>
              <w:rPr>
                <w:rFonts w:hint="eastAsia" w:ascii="宋体" w:hAnsi="宋体" w:eastAsia="宋体" w:cs="Times New Roman"/>
                <w:bCs/>
                <w:color w:val="auto"/>
                <w:szCs w:val="21"/>
                <w:highlight w:val="none"/>
                <w:u w:val="single"/>
              </w:rPr>
              <w:t>/</w:t>
            </w:r>
          </w:p>
          <w:p w14:paraId="5949368A">
            <w:pPr>
              <w:wordWrap w:val="0"/>
              <w:spacing w:line="360" w:lineRule="auto"/>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投标人总得分</w:t>
            </w:r>
            <w:r>
              <w:rPr>
                <w:rFonts w:ascii="宋体" w:hAnsi="宋体" w:eastAsia="宋体" w:cs="Times New Roman"/>
                <w:b/>
                <w:color w:val="auto"/>
                <w:szCs w:val="21"/>
                <w:highlight w:val="none"/>
                <w:u w:val="single"/>
              </w:rPr>
              <w:t>=A×</w:t>
            </w:r>
            <w:r>
              <w:rPr>
                <w:rFonts w:hint="eastAsia" w:ascii="宋体" w:hAnsi="宋体" w:eastAsia="宋体" w:cs="Times New Roman"/>
                <w:b/>
                <w:color w:val="auto"/>
                <w:szCs w:val="21"/>
                <w:highlight w:val="none"/>
                <w:u w:val="single"/>
                <w:lang w:val="en-US" w:eastAsia="zh-CN"/>
              </w:rPr>
              <w:t>20</w:t>
            </w:r>
            <w:r>
              <w:rPr>
                <w:rFonts w:ascii="宋体" w:hAnsi="宋体" w:eastAsia="宋体" w:cs="Times New Roman"/>
                <w:b/>
                <w:color w:val="auto"/>
                <w:szCs w:val="21"/>
                <w:highlight w:val="none"/>
                <w:u w:val="single"/>
              </w:rPr>
              <w:t>%+B×</w:t>
            </w:r>
            <w:r>
              <w:rPr>
                <w:rFonts w:hint="default" w:ascii="宋体" w:hAnsi="宋体" w:eastAsia="宋体" w:cs="Times New Roman"/>
                <w:b/>
                <w:color w:val="auto"/>
                <w:szCs w:val="21"/>
                <w:highlight w:val="none"/>
                <w:u w:val="single"/>
                <w:lang w:val="en-US" w:eastAsia="zh-CN"/>
              </w:rPr>
              <w:t>7</w:t>
            </w:r>
            <w:r>
              <w:rPr>
                <w:rFonts w:hint="eastAsia" w:ascii="宋体" w:hAnsi="宋体" w:eastAsia="宋体" w:cs="Times New Roman"/>
                <w:b/>
                <w:color w:val="auto"/>
                <w:szCs w:val="21"/>
                <w:highlight w:val="none"/>
                <w:u w:val="single"/>
                <w:lang w:val="en-US" w:eastAsia="zh-CN"/>
              </w:rPr>
              <w:t>0</w:t>
            </w:r>
            <w:r>
              <w:rPr>
                <w:rFonts w:ascii="宋体" w:hAnsi="宋体" w:eastAsia="宋体" w:cs="Times New Roman"/>
                <w:b/>
                <w:color w:val="auto"/>
                <w:szCs w:val="21"/>
                <w:highlight w:val="none"/>
                <w:u w:val="single"/>
              </w:rPr>
              <w:t>%</w:t>
            </w:r>
            <w:r>
              <w:rPr>
                <w:rFonts w:hint="eastAsia" w:ascii="宋体" w:hAnsi="宋体" w:eastAsia="宋体" w:cs="Times New Roman"/>
                <w:b/>
                <w:color w:val="auto"/>
                <w:szCs w:val="21"/>
                <w:highlight w:val="none"/>
                <w:u w:val="single"/>
                <w:lang w:val="en-US" w:eastAsia="zh-CN"/>
              </w:rPr>
              <w:t>+C</w:t>
            </w:r>
            <w:r>
              <w:rPr>
                <w:rFonts w:ascii="宋体" w:hAnsi="宋体" w:eastAsia="宋体" w:cs="Times New Roman"/>
                <w:b/>
                <w:color w:val="auto"/>
                <w:szCs w:val="21"/>
                <w:highlight w:val="none"/>
                <w:u w:val="single"/>
              </w:rPr>
              <w:t>×</w:t>
            </w:r>
            <w:r>
              <w:rPr>
                <w:rFonts w:hint="eastAsia" w:ascii="宋体" w:hAnsi="宋体" w:eastAsia="宋体" w:cs="Times New Roman"/>
                <w:b/>
                <w:color w:val="auto"/>
                <w:szCs w:val="21"/>
                <w:highlight w:val="none"/>
                <w:u w:val="single"/>
                <w:lang w:val="en-US" w:eastAsia="zh-CN"/>
              </w:rPr>
              <w:t>10</w:t>
            </w:r>
            <w:r>
              <w:rPr>
                <w:rFonts w:ascii="宋体" w:hAnsi="宋体" w:eastAsia="宋体" w:cs="Times New Roman"/>
                <w:b/>
                <w:color w:val="auto"/>
                <w:szCs w:val="21"/>
                <w:highlight w:val="none"/>
                <w:u w:val="single"/>
              </w:rPr>
              <w:t>%。</w:t>
            </w:r>
          </w:p>
        </w:tc>
      </w:tr>
      <w:tr w14:paraId="6F02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gridSpan w:val="2"/>
            <w:vAlign w:val="center"/>
          </w:tcPr>
          <w:p w14:paraId="5F34673E">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947" w:type="pct"/>
            <w:vAlign w:val="center"/>
          </w:tcPr>
          <w:p w14:paraId="3F30F373">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3126" w:type="pct"/>
            <w:vAlign w:val="center"/>
          </w:tcPr>
          <w:p w14:paraId="1AAA02E6">
            <w:pPr>
              <w:wordWrap w:val="0"/>
              <w:spacing w:line="360"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通过形式评审、资格评审、响应性评审的有效投标人且经算术校核的投标人有效报价：</w:t>
            </w:r>
          </w:p>
          <w:p w14:paraId="0068D154">
            <w:pPr>
              <w:wordWrap w:val="0"/>
              <w:spacing w:line="360"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（1）若位于[最高投标限价×80%，最高投标限价]区间的投标人有效报价大于或等于5个时，去掉一个最高价和一个最低价后，剩余报价的算术平均值为评标基准价；</w:t>
            </w:r>
          </w:p>
          <w:p w14:paraId="0284D47E">
            <w:pPr>
              <w:wordWrap w:val="0"/>
              <w:spacing w:line="360"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（2）若位于[最高投标限价×80%，最高投标限价]区间的投标人的有效报价少于5个，直接取区间中的投标价的算术平均值为评标基准价。</w:t>
            </w:r>
          </w:p>
          <w:p w14:paraId="0F02A5A2">
            <w:pPr>
              <w:wordWrap w:val="0"/>
              <w:spacing w:line="360"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（3）若没有有效的投标人报价位于[最高投标总限价×80%，最高投标总限价]区间，直接取最高投标总限价×80%作为评价基准价</w:t>
            </w:r>
          </w:p>
        </w:tc>
      </w:tr>
      <w:tr w14:paraId="1576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gridSpan w:val="2"/>
            <w:vAlign w:val="center"/>
          </w:tcPr>
          <w:p w14:paraId="293278DE">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947" w:type="pct"/>
            <w:vAlign w:val="center"/>
          </w:tcPr>
          <w:p w14:paraId="0C68732D">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5445B618">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3126" w:type="pct"/>
            <w:vAlign w:val="center"/>
          </w:tcPr>
          <w:p w14:paraId="64BCA103">
            <w:pPr>
              <w:wordWrap w:val="0"/>
              <w:spacing w:line="360" w:lineRule="auto"/>
              <w:rPr>
                <w:rFonts w:hint="eastAsia" w:ascii="宋体" w:hAnsi="宋体" w:eastAsia="宋体" w:cs="宋体"/>
                <w:b w:val="0"/>
                <w:bCs w:val="0"/>
                <w:color w:val="auto"/>
                <w:szCs w:val="21"/>
                <w:highlight w:val="none"/>
                <w:u w:val="single"/>
                <w:lang w:eastAsia="zh-CN"/>
              </w:rPr>
            </w:pPr>
            <w:r>
              <w:rPr>
                <w:rFonts w:hint="eastAsia" w:ascii="宋体" w:hAnsi="宋体" w:eastAsia="宋体" w:cs="宋体"/>
                <w:b w:val="0"/>
                <w:bCs w:val="0"/>
                <w:color w:val="auto"/>
                <w:szCs w:val="21"/>
                <w:highlight w:val="none"/>
                <w:u w:val="single"/>
                <w:lang w:eastAsia="zh-CN"/>
              </w:rPr>
              <w:t>投标报价的偏差率=（有效投标报价-评标基准价）/评标基准价×100%</w:t>
            </w:r>
          </w:p>
          <w:p w14:paraId="2F544806">
            <w:pPr>
              <w:wordWrap w:val="0"/>
              <w:spacing w:line="360" w:lineRule="auto"/>
              <w:rPr>
                <w:rFonts w:hint="eastAsia" w:ascii="宋体" w:hAnsi="宋体" w:eastAsia="宋体" w:cs="宋体"/>
                <w:b w:val="0"/>
                <w:bCs w:val="0"/>
                <w:color w:val="auto"/>
                <w:szCs w:val="21"/>
                <w:highlight w:val="none"/>
                <w:u w:val="single"/>
                <w:lang w:eastAsia="zh-CN"/>
              </w:rPr>
            </w:pPr>
            <w:r>
              <w:rPr>
                <w:rFonts w:hint="eastAsia" w:ascii="宋体" w:hAnsi="宋体" w:eastAsia="宋体" w:cs="宋体"/>
                <w:b w:val="0"/>
                <w:bCs w:val="0"/>
                <w:color w:val="auto"/>
                <w:szCs w:val="21"/>
                <w:highlight w:val="none"/>
                <w:u w:val="single"/>
                <w:lang w:eastAsia="zh-CN"/>
              </w:rPr>
              <w:t>（偏差率出现小数点时，保留小数点后2位，第三位小数四舍五入。报价偏差率不足1%的，按直线内插法计算投标报价得分。）</w:t>
            </w:r>
          </w:p>
        </w:tc>
      </w:tr>
      <w:tr w14:paraId="0816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gridSpan w:val="2"/>
            <w:vAlign w:val="center"/>
          </w:tcPr>
          <w:p w14:paraId="1BB1DFC3">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947" w:type="pct"/>
            <w:vAlign w:val="center"/>
          </w:tcPr>
          <w:p w14:paraId="34B85E9B">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商务文件评分标准</w:t>
            </w:r>
          </w:p>
        </w:tc>
        <w:tc>
          <w:tcPr>
            <w:tcW w:w="3126" w:type="pct"/>
            <w:vAlign w:val="center"/>
          </w:tcPr>
          <w:p w14:paraId="0E002245">
            <w:pPr>
              <w:wordWrap w:val="0"/>
              <w:spacing w:line="360"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详见附件一</w:t>
            </w:r>
          </w:p>
        </w:tc>
      </w:tr>
      <w:tr w14:paraId="2BD4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gridSpan w:val="2"/>
            <w:vAlign w:val="center"/>
          </w:tcPr>
          <w:p w14:paraId="5034A2A5">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947" w:type="pct"/>
            <w:vAlign w:val="center"/>
          </w:tcPr>
          <w:p w14:paraId="5365A74F">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技术文件评分标准</w:t>
            </w:r>
          </w:p>
        </w:tc>
        <w:tc>
          <w:tcPr>
            <w:tcW w:w="3126" w:type="pct"/>
            <w:vAlign w:val="center"/>
          </w:tcPr>
          <w:p w14:paraId="1761896B">
            <w:pPr>
              <w:wordWrap w:val="0"/>
              <w:spacing w:line="360"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详见附件二</w:t>
            </w:r>
          </w:p>
        </w:tc>
      </w:tr>
      <w:tr w14:paraId="03F2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pct"/>
            <w:gridSpan w:val="2"/>
            <w:vAlign w:val="center"/>
          </w:tcPr>
          <w:p w14:paraId="43DA16A4">
            <w:pPr>
              <w:wordWrap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947" w:type="pct"/>
            <w:vAlign w:val="center"/>
          </w:tcPr>
          <w:p w14:paraId="65F817B7">
            <w:pPr>
              <w:wordWrap w:val="0"/>
              <w:spacing w:line="360"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投标报价评分标准</w:t>
            </w:r>
          </w:p>
        </w:tc>
        <w:tc>
          <w:tcPr>
            <w:tcW w:w="3126" w:type="pct"/>
            <w:vAlign w:val="center"/>
          </w:tcPr>
          <w:p w14:paraId="76ED8BF2">
            <w:pPr>
              <w:wordWrap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以评标基准价作为计算各有效投标价得分的基础，当有效投标报价等于评标参考价时得</w:t>
            </w:r>
            <w:r>
              <w:rPr>
                <w:rFonts w:hint="eastAsia" w:ascii="宋体" w:hAnsi="宋体" w:eastAsia="宋体" w:cs="宋体"/>
                <w:color w:val="auto"/>
                <w:szCs w:val="21"/>
                <w:highlight w:val="none"/>
                <w:u w:val="single"/>
                <w:lang w:val="en-US" w:eastAsia="zh-CN"/>
              </w:rPr>
              <w:t>100</w:t>
            </w:r>
            <w:r>
              <w:rPr>
                <w:rFonts w:hint="eastAsia" w:ascii="宋体" w:hAnsi="宋体" w:eastAsia="宋体" w:cs="宋体"/>
                <w:color w:val="auto"/>
                <w:szCs w:val="21"/>
                <w:highlight w:val="none"/>
                <w:u w:val="single"/>
              </w:rPr>
              <w:t>分，投标报价每高于评标参考价1%，扣1.5分，每低于评标参考价1%，扣1分，最多扣</w:t>
            </w:r>
            <w:r>
              <w:rPr>
                <w:rFonts w:hint="eastAsia" w:ascii="宋体" w:hAnsi="宋体" w:eastAsia="宋体" w:cs="宋体"/>
                <w:color w:val="auto"/>
                <w:szCs w:val="21"/>
                <w:highlight w:val="none"/>
                <w:u w:val="single"/>
                <w:lang w:val="en-US" w:eastAsia="zh-CN"/>
              </w:rPr>
              <w:t>100</w:t>
            </w:r>
            <w:r>
              <w:rPr>
                <w:rFonts w:hint="eastAsia" w:ascii="宋体" w:hAnsi="宋体" w:eastAsia="宋体" w:cs="宋体"/>
                <w:color w:val="auto"/>
                <w:szCs w:val="21"/>
                <w:highlight w:val="none"/>
                <w:u w:val="single"/>
              </w:rPr>
              <w:t>分。</w:t>
            </w:r>
          </w:p>
        </w:tc>
      </w:tr>
    </w:tbl>
    <w:p w14:paraId="751C25ED">
      <w:pPr>
        <w:wordWrap w:val="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7AA5D096">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sectPr>
      </w:pPr>
    </w:p>
    <w:p w14:paraId="7D37696C">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附件一：</w:t>
      </w:r>
    </w:p>
    <w:p w14:paraId="2DE9F59D">
      <w:pPr>
        <w:wordWrap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商务文件评分表</w:t>
      </w:r>
    </w:p>
    <w:tbl>
      <w:tblPr>
        <w:tblStyle w:val="45"/>
        <w:tblW w:w="4997" w:type="pct"/>
        <w:tblInd w:w="0" w:type="dxa"/>
        <w:tblLayout w:type="autofit"/>
        <w:tblCellMar>
          <w:top w:w="0" w:type="dxa"/>
          <w:left w:w="108" w:type="dxa"/>
          <w:bottom w:w="0" w:type="dxa"/>
          <w:right w:w="108" w:type="dxa"/>
        </w:tblCellMar>
      </w:tblPr>
      <w:tblGrid>
        <w:gridCol w:w="801"/>
        <w:gridCol w:w="536"/>
        <w:gridCol w:w="541"/>
        <w:gridCol w:w="807"/>
        <w:gridCol w:w="11413"/>
      </w:tblGrid>
      <w:tr w14:paraId="38CAAE3E">
        <w:tblPrEx>
          <w:tblCellMar>
            <w:top w:w="0" w:type="dxa"/>
            <w:left w:w="108" w:type="dxa"/>
            <w:bottom w:w="0" w:type="dxa"/>
            <w:right w:w="108" w:type="dxa"/>
          </w:tblCellMar>
        </w:tblPrEx>
        <w:trPr>
          <w:trHeight w:val="442" w:hRule="atLeast"/>
          <w:tblHeader/>
        </w:trPr>
        <w:tc>
          <w:tcPr>
            <w:tcW w:w="284" w:type="pct"/>
            <w:tcBorders>
              <w:top w:val="single" w:color="auto" w:sz="6" w:space="0"/>
              <w:left w:val="single" w:color="auto" w:sz="6" w:space="0"/>
              <w:bottom w:val="single" w:color="auto" w:sz="6" w:space="0"/>
              <w:right w:val="single" w:color="auto" w:sz="6" w:space="0"/>
            </w:tcBorders>
            <w:noWrap w:val="0"/>
            <w:vAlign w:val="center"/>
          </w:tcPr>
          <w:p w14:paraId="3012A0AF">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b/>
                <w:bCs/>
                <w:color w:val="auto"/>
                <w:kern w:val="0"/>
                <w:sz w:val="21"/>
                <w:szCs w:val="21"/>
                <w:highlight w:val="none"/>
                <w:lang w:eastAsia="en-US"/>
              </w:rPr>
            </w:pPr>
            <w:r>
              <w:rPr>
                <w:rFonts w:hint="eastAsia" w:ascii="宋体" w:hAnsi="宋体" w:eastAsia="宋体" w:cs="宋体"/>
                <w:b/>
                <w:bCs/>
                <w:color w:val="auto"/>
                <w:kern w:val="0"/>
                <w:sz w:val="21"/>
                <w:szCs w:val="21"/>
                <w:highlight w:val="none"/>
                <w:lang w:val="zh-CN" w:eastAsia="en-US"/>
              </w:rPr>
              <w:t>序号</w:t>
            </w:r>
          </w:p>
        </w:tc>
        <w:tc>
          <w:tcPr>
            <w:tcW w:w="381" w:type="pct"/>
            <w:gridSpan w:val="2"/>
            <w:tcBorders>
              <w:top w:val="single" w:color="auto" w:sz="6" w:space="0"/>
              <w:left w:val="single" w:color="auto" w:sz="6" w:space="0"/>
              <w:bottom w:val="single" w:color="auto" w:sz="6" w:space="0"/>
              <w:right w:val="single" w:color="auto" w:sz="6" w:space="0"/>
            </w:tcBorders>
            <w:noWrap w:val="0"/>
            <w:vAlign w:val="center"/>
          </w:tcPr>
          <w:p w14:paraId="665B9B00">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b/>
                <w:bCs/>
                <w:color w:val="auto"/>
                <w:kern w:val="0"/>
                <w:sz w:val="21"/>
                <w:szCs w:val="21"/>
                <w:highlight w:val="none"/>
                <w:lang w:eastAsia="en-US"/>
              </w:rPr>
            </w:pPr>
            <w:r>
              <w:rPr>
                <w:rFonts w:hint="eastAsia" w:ascii="宋体" w:hAnsi="宋体" w:eastAsia="宋体" w:cs="宋体"/>
                <w:b/>
                <w:bCs/>
                <w:color w:val="auto"/>
                <w:kern w:val="0"/>
                <w:sz w:val="21"/>
                <w:szCs w:val="21"/>
                <w:highlight w:val="none"/>
                <w:lang w:val="zh-CN" w:eastAsia="en-US"/>
              </w:rPr>
              <w:t>项目</w:t>
            </w:r>
          </w:p>
        </w:tc>
        <w:tc>
          <w:tcPr>
            <w:tcW w:w="286" w:type="pct"/>
            <w:tcBorders>
              <w:top w:val="single" w:color="auto" w:sz="6" w:space="0"/>
              <w:left w:val="single" w:color="auto" w:sz="6" w:space="0"/>
              <w:bottom w:val="single" w:color="auto" w:sz="6" w:space="0"/>
              <w:right w:val="single" w:color="auto" w:sz="6" w:space="0"/>
            </w:tcBorders>
            <w:noWrap w:val="0"/>
            <w:vAlign w:val="center"/>
          </w:tcPr>
          <w:p w14:paraId="3A601D9D">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b/>
                <w:bCs/>
                <w:color w:val="auto"/>
                <w:kern w:val="0"/>
                <w:sz w:val="21"/>
                <w:szCs w:val="21"/>
                <w:highlight w:val="none"/>
                <w:lang w:eastAsia="en-US"/>
              </w:rPr>
            </w:pPr>
            <w:r>
              <w:rPr>
                <w:rFonts w:hint="eastAsia" w:ascii="宋体" w:hAnsi="宋体" w:eastAsia="宋体" w:cs="宋体"/>
                <w:b/>
                <w:bCs/>
                <w:color w:val="auto"/>
                <w:kern w:val="0"/>
                <w:sz w:val="21"/>
                <w:szCs w:val="21"/>
                <w:highlight w:val="none"/>
                <w:lang w:val="zh-CN" w:eastAsia="en-US"/>
              </w:rPr>
              <w:t>分值分配</w:t>
            </w:r>
          </w:p>
        </w:tc>
        <w:tc>
          <w:tcPr>
            <w:tcW w:w="4047" w:type="pct"/>
            <w:tcBorders>
              <w:top w:val="single" w:color="auto" w:sz="6" w:space="0"/>
              <w:left w:val="single" w:color="auto" w:sz="6" w:space="0"/>
              <w:bottom w:val="single" w:color="auto" w:sz="6" w:space="0"/>
              <w:right w:val="single" w:color="auto" w:sz="6" w:space="0"/>
            </w:tcBorders>
            <w:noWrap w:val="0"/>
            <w:vAlign w:val="center"/>
          </w:tcPr>
          <w:p w14:paraId="761E36BF">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b/>
                <w:bCs/>
                <w:color w:val="auto"/>
                <w:kern w:val="0"/>
                <w:sz w:val="21"/>
                <w:szCs w:val="21"/>
                <w:highlight w:val="none"/>
                <w:lang w:eastAsia="en-US"/>
              </w:rPr>
            </w:pPr>
            <w:r>
              <w:rPr>
                <w:rFonts w:hint="eastAsia" w:ascii="宋体" w:hAnsi="宋体" w:eastAsia="宋体" w:cs="宋体"/>
                <w:b/>
                <w:bCs/>
                <w:color w:val="auto"/>
                <w:kern w:val="0"/>
                <w:sz w:val="21"/>
                <w:szCs w:val="21"/>
                <w:highlight w:val="none"/>
                <w:lang w:val="zh-CN" w:eastAsia="en-US"/>
              </w:rPr>
              <w:t>内</w:t>
            </w:r>
            <w:r>
              <w:rPr>
                <w:rFonts w:hint="eastAsia" w:ascii="宋体" w:hAnsi="宋体" w:eastAsia="宋体" w:cs="宋体"/>
                <w:b/>
                <w:bCs/>
                <w:color w:val="auto"/>
                <w:kern w:val="0"/>
                <w:sz w:val="21"/>
                <w:szCs w:val="21"/>
                <w:highlight w:val="none"/>
                <w:lang w:eastAsia="en-US"/>
              </w:rPr>
              <w:t xml:space="preserve">     </w:t>
            </w:r>
            <w:r>
              <w:rPr>
                <w:rFonts w:hint="eastAsia" w:ascii="宋体" w:hAnsi="宋体" w:eastAsia="宋体" w:cs="宋体"/>
                <w:b/>
                <w:bCs/>
                <w:color w:val="auto"/>
                <w:kern w:val="0"/>
                <w:sz w:val="21"/>
                <w:szCs w:val="21"/>
                <w:highlight w:val="none"/>
                <w:lang w:val="zh-CN" w:eastAsia="en-US"/>
              </w:rPr>
              <w:t>容</w:t>
            </w:r>
          </w:p>
        </w:tc>
      </w:tr>
      <w:tr w14:paraId="1F521477">
        <w:tblPrEx>
          <w:tblCellMar>
            <w:top w:w="0" w:type="dxa"/>
            <w:left w:w="108" w:type="dxa"/>
            <w:bottom w:w="0" w:type="dxa"/>
            <w:right w:w="108" w:type="dxa"/>
          </w:tblCellMar>
        </w:tblPrEx>
        <w:trPr>
          <w:trHeight w:val="1176" w:hRule="atLeast"/>
        </w:trPr>
        <w:tc>
          <w:tcPr>
            <w:tcW w:w="284" w:type="pct"/>
            <w:tcBorders>
              <w:top w:val="single" w:color="auto" w:sz="6" w:space="0"/>
              <w:left w:val="single" w:color="auto" w:sz="6" w:space="0"/>
              <w:bottom w:val="single" w:color="auto" w:sz="6" w:space="0"/>
              <w:right w:val="single" w:color="auto" w:sz="6" w:space="0"/>
            </w:tcBorders>
            <w:noWrap w:val="0"/>
            <w:vAlign w:val="center"/>
          </w:tcPr>
          <w:p w14:paraId="3F0A6743">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一</w:t>
            </w:r>
          </w:p>
        </w:tc>
        <w:tc>
          <w:tcPr>
            <w:tcW w:w="190" w:type="pct"/>
            <w:vMerge w:val="restart"/>
            <w:tcBorders>
              <w:top w:val="single" w:color="auto" w:sz="6" w:space="0"/>
              <w:left w:val="single" w:color="auto" w:sz="6" w:space="0"/>
              <w:right w:val="single" w:color="auto" w:sz="6" w:space="0"/>
            </w:tcBorders>
            <w:noWrap w:val="0"/>
            <w:vAlign w:val="center"/>
          </w:tcPr>
          <w:p w14:paraId="1096EE98">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val="zh-CN" w:eastAsia="en-US"/>
              </w:rPr>
              <w:t>类似</w:t>
            </w:r>
            <w:r>
              <w:rPr>
                <w:rFonts w:hint="eastAsia" w:ascii="宋体" w:hAnsi="宋体" w:eastAsia="宋体" w:cs="宋体"/>
                <w:color w:val="auto"/>
                <w:kern w:val="0"/>
                <w:sz w:val="21"/>
                <w:szCs w:val="21"/>
                <w:highlight w:val="none"/>
                <w:lang w:val="zh-CN" w:eastAsia="zh-CN"/>
              </w:rPr>
              <w:t>项目</w:t>
            </w:r>
            <w:r>
              <w:rPr>
                <w:rFonts w:hint="eastAsia" w:ascii="宋体" w:hAnsi="宋体" w:eastAsia="宋体" w:cs="宋体"/>
                <w:color w:val="auto"/>
                <w:kern w:val="0"/>
                <w:sz w:val="21"/>
                <w:szCs w:val="21"/>
                <w:highlight w:val="none"/>
                <w:lang w:val="zh-CN" w:eastAsia="en-US"/>
              </w:rPr>
              <w:t>业绩</w:t>
            </w:r>
          </w:p>
        </w:tc>
        <w:tc>
          <w:tcPr>
            <w:tcW w:w="191" w:type="pct"/>
            <w:tcBorders>
              <w:top w:val="single" w:color="auto" w:sz="6" w:space="0"/>
              <w:left w:val="single" w:color="auto" w:sz="6" w:space="0"/>
              <w:bottom w:val="single" w:color="auto" w:sz="6" w:space="0"/>
              <w:right w:val="single" w:color="auto" w:sz="6" w:space="0"/>
            </w:tcBorders>
            <w:noWrap w:val="0"/>
            <w:vAlign w:val="center"/>
          </w:tcPr>
          <w:p w14:paraId="627C574A">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en-US"/>
              </w:rPr>
            </w:pPr>
            <w:r>
              <w:rPr>
                <w:rFonts w:hint="eastAsia" w:ascii="宋体" w:hAnsi="宋体" w:eastAsia="宋体" w:cs="宋体"/>
                <w:color w:val="auto"/>
                <w:kern w:val="0"/>
                <w:sz w:val="21"/>
                <w:szCs w:val="21"/>
                <w:highlight w:val="none"/>
                <w:lang w:val="zh-CN" w:eastAsia="en-US"/>
              </w:rPr>
              <w:t>业绩</w:t>
            </w:r>
          </w:p>
        </w:tc>
        <w:tc>
          <w:tcPr>
            <w:tcW w:w="286" w:type="pct"/>
            <w:tcBorders>
              <w:top w:val="single" w:color="auto" w:sz="6" w:space="0"/>
              <w:left w:val="single" w:color="auto" w:sz="6" w:space="0"/>
              <w:bottom w:val="single" w:color="auto" w:sz="6" w:space="0"/>
              <w:right w:val="single" w:color="auto" w:sz="6" w:space="0"/>
            </w:tcBorders>
            <w:noWrap w:val="0"/>
            <w:vAlign w:val="center"/>
          </w:tcPr>
          <w:p w14:paraId="78342A6D">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en-US"/>
              </w:rPr>
            </w:pPr>
            <w:r>
              <w:rPr>
                <w:rFonts w:hint="eastAsia" w:ascii="宋体" w:hAnsi="宋体" w:eastAsia="宋体" w:cs="宋体"/>
                <w:b/>
                <w:bCs/>
                <w:color w:val="auto"/>
                <w:kern w:val="0"/>
                <w:sz w:val="21"/>
                <w:szCs w:val="21"/>
                <w:highlight w:val="none"/>
                <w:u w:val="single"/>
                <w:lang w:val="zh-CN" w:eastAsia="en-US"/>
              </w:rPr>
              <w:t>[</w:t>
            </w:r>
            <w:r>
              <w:rPr>
                <w:rFonts w:hint="eastAsia" w:ascii="宋体" w:hAnsi="宋体" w:eastAsia="宋体" w:cs="宋体"/>
                <w:b/>
                <w:bCs/>
                <w:color w:val="auto"/>
                <w:kern w:val="0"/>
                <w:sz w:val="21"/>
                <w:szCs w:val="21"/>
                <w:highlight w:val="none"/>
                <w:u w:val="single"/>
                <w:lang w:val="en-US" w:eastAsia="zh-CN"/>
              </w:rPr>
              <w:t>24</w:t>
            </w:r>
            <w:r>
              <w:rPr>
                <w:rFonts w:hint="eastAsia" w:ascii="宋体" w:hAnsi="宋体" w:eastAsia="宋体" w:cs="宋体"/>
                <w:b/>
                <w:bCs/>
                <w:color w:val="auto"/>
                <w:kern w:val="0"/>
                <w:sz w:val="21"/>
                <w:szCs w:val="21"/>
                <w:highlight w:val="none"/>
                <w:u w:val="single"/>
                <w:lang w:val="zh-CN" w:eastAsia="en-US"/>
              </w:rPr>
              <w:t>]</w:t>
            </w:r>
          </w:p>
        </w:tc>
        <w:tc>
          <w:tcPr>
            <w:tcW w:w="4047" w:type="pct"/>
            <w:tcBorders>
              <w:top w:val="single" w:color="auto" w:sz="6" w:space="0"/>
              <w:left w:val="single" w:color="auto" w:sz="6" w:space="0"/>
              <w:right w:val="single" w:color="auto" w:sz="6" w:space="0"/>
            </w:tcBorders>
            <w:noWrap w:val="0"/>
            <w:vAlign w:val="center"/>
          </w:tcPr>
          <w:p w14:paraId="4A818957">
            <w:pPr>
              <w:keepNext w:val="0"/>
              <w:keepLines w:val="0"/>
              <w:pageBreakBefore w:val="0"/>
              <w:widowControl w:val="0"/>
              <w:kinsoku/>
              <w:overflowPunct/>
              <w:autoSpaceDE/>
              <w:autoSpaceDN/>
              <w:bidi w:val="0"/>
              <w:adjustRightInd/>
              <w:snapToGrid/>
              <w:spacing w:after="0" w:line="240" w:lineRule="auto"/>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（1）投标人（若为联合体，指承担建筑工程设计方）自202</w:t>
            </w:r>
            <w:r>
              <w:rPr>
                <w:rFonts w:hint="default"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年1月1日至今，承接过建安费≥6500万元的建筑工程设计业绩的，每项业绩得4分，最高得12分。</w:t>
            </w:r>
          </w:p>
          <w:p w14:paraId="2D4F8DC7">
            <w:pPr>
              <w:keepNext w:val="0"/>
              <w:keepLines w:val="0"/>
              <w:pageBreakBefore w:val="0"/>
              <w:widowControl w:val="0"/>
              <w:kinsoku/>
              <w:overflowPunct/>
              <w:autoSpaceDE/>
              <w:autoSpaceDN/>
              <w:bidi w:val="0"/>
              <w:adjustRightInd/>
              <w:snapToGrid/>
              <w:spacing w:after="0" w:line="240" w:lineRule="auto"/>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（2）投标人（若为联合体，指承担市政公用工程设计方）自202</w:t>
            </w:r>
            <w:r>
              <w:rPr>
                <w:rFonts w:hint="default"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年1月1日至今，承接过建安费≥10000万元的市政公用工程（须含隧道工程）设计业绩的，每项业绩得4分，最高得12分。</w:t>
            </w:r>
          </w:p>
          <w:p w14:paraId="4B00A216">
            <w:pPr>
              <w:keepNext w:val="0"/>
              <w:keepLines w:val="0"/>
              <w:pageBreakBefore w:val="0"/>
              <w:widowControl w:val="0"/>
              <w:kinsoku/>
              <w:overflowPunct/>
              <w:autoSpaceDE/>
              <w:autoSpaceDN/>
              <w:bidi w:val="0"/>
              <w:adjustRightInd/>
              <w:snapToGrid/>
              <w:spacing w:after="0" w:line="240" w:lineRule="auto"/>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以上2项合计最高得24分。</w:t>
            </w:r>
          </w:p>
        </w:tc>
      </w:tr>
      <w:tr w14:paraId="0DCAD628">
        <w:tblPrEx>
          <w:tblCellMar>
            <w:top w:w="0" w:type="dxa"/>
            <w:left w:w="108" w:type="dxa"/>
            <w:bottom w:w="0" w:type="dxa"/>
            <w:right w:w="108" w:type="dxa"/>
          </w:tblCellMar>
        </w:tblPrEx>
        <w:trPr>
          <w:trHeight w:val="642" w:hRule="atLeast"/>
        </w:trPr>
        <w:tc>
          <w:tcPr>
            <w:tcW w:w="284" w:type="pct"/>
            <w:tcBorders>
              <w:top w:val="single" w:color="auto" w:sz="6" w:space="0"/>
              <w:left w:val="single" w:color="auto" w:sz="6" w:space="0"/>
              <w:bottom w:val="single" w:color="auto" w:sz="4" w:space="0"/>
              <w:right w:val="single" w:color="auto" w:sz="6" w:space="0"/>
            </w:tcBorders>
            <w:noWrap w:val="0"/>
            <w:vAlign w:val="center"/>
          </w:tcPr>
          <w:p w14:paraId="7677F7DC">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eastAsia="zh-CN"/>
              </w:rPr>
              <w:t>二</w:t>
            </w:r>
          </w:p>
        </w:tc>
        <w:tc>
          <w:tcPr>
            <w:tcW w:w="190" w:type="pct"/>
            <w:vMerge w:val="continue"/>
            <w:tcBorders>
              <w:left w:val="single" w:color="auto" w:sz="6" w:space="0"/>
              <w:bottom w:val="single" w:color="auto" w:sz="4" w:space="0"/>
              <w:right w:val="single" w:color="auto" w:sz="6" w:space="0"/>
            </w:tcBorders>
            <w:noWrap w:val="0"/>
            <w:vAlign w:val="center"/>
          </w:tcPr>
          <w:p w14:paraId="3FF0EA5A">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en-US"/>
              </w:rPr>
            </w:pPr>
          </w:p>
        </w:tc>
        <w:tc>
          <w:tcPr>
            <w:tcW w:w="191" w:type="pct"/>
            <w:tcBorders>
              <w:top w:val="single" w:color="auto" w:sz="6" w:space="0"/>
              <w:left w:val="single" w:color="auto" w:sz="6" w:space="0"/>
              <w:bottom w:val="single" w:color="auto" w:sz="4" w:space="0"/>
              <w:right w:val="single" w:color="auto" w:sz="6" w:space="0"/>
            </w:tcBorders>
            <w:noWrap w:val="0"/>
            <w:vAlign w:val="center"/>
          </w:tcPr>
          <w:p w14:paraId="58EB4C1C">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en-US"/>
              </w:rPr>
            </w:pPr>
            <w:r>
              <w:rPr>
                <w:rFonts w:hint="eastAsia" w:ascii="宋体" w:hAnsi="宋体" w:eastAsia="宋体" w:cs="宋体"/>
                <w:color w:val="auto"/>
                <w:kern w:val="0"/>
                <w:sz w:val="21"/>
                <w:szCs w:val="21"/>
                <w:highlight w:val="none"/>
                <w:lang w:val="zh-CN" w:eastAsia="en-US"/>
              </w:rPr>
              <w:t>获奖</w:t>
            </w:r>
          </w:p>
        </w:tc>
        <w:tc>
          <w:tcPr>
            <w:tcW w:w="286" w:type="pct"/>
            <w:tcBorders>
              <w:top w:val="single" w:color="auto" w:sz="6" w:space="0"/>
              <w:left w:val="single" w:color="auto" w:sz="6" w:space="0"/>
              <w:bottom w:val="single" w:color="auto" w:sz="4" w:space="0"/>
              <w:right w:val="single" w:color="auto" w:sz="6" w:space="0"/>
            </w:tcBorders>
            <w:noWrap w:val="0"/>
            <w:vAlign w:val="center"/>
          </w:tcPr>
          <w:p w14:paraId="0868A6EC">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0"/>
                <w:sz w:val="21"/>
                <w:szCs w:val="21"/>
                <w:highlight w:val="none"/>
                <w:u w:val="single"/>
                <w:lang w:val="zh-CN" w:eastAsia="en-US"/>
              </w:rPr>
              <w:t>[</w:t>
            </w:r>
            <w:r>
              <w:rPr>
                <w:rFonts w:hint="eastAsia" w:ascii="宋体" w:hAnsi="宋体" w:eastAsia="宋体" w:cs="宋体"/>
                <w:b/>
                <w:bCs/>
                <w:color w:val="auto"/>
                <w:kern w:val="0"/>
                <w:sz w:val="21"/>
                <w:szCs w:val="21"/>
                <w:highlight w:val="none"/>
                <w:u w:val="single"/>
                <w:lang w:val="en-US" w:eastAsia="zh-CN"/>
              </w:rPr>
              <w:t>15</w:t>
            </w:r>
            <w:r>
              <w:rPr>
                <w:rFonts w:hint="eastAsia" w:ascii="宋体" w:hAnsi="宋体" w:eastAsia="宋体" w:cs="宋体"/>
                <w:b/>
                <w:bCs/>
                <w:color w:val="auto"/>
                <w:kern w:val="0"/>
                <w:sz w:val="21"/>
                <w:szCs w:val="21"/>
                <w:highlight w:val="none"/>
                <w:u w:val="single"/>
                <w:lang w:val="zh-CN" w:eastAsia="en-US"/>
              </w:rPr>
              <w:t>]</w:t>
            </w:r>
          </w:p>
        </w:tc>
        <w:tc>
          <w:tcPr>
            <w:tcW w:w="4047" w:type="pct"/>
            <w:tcBorders>
              <w:top w:val="single" w:color="auto" w:sz="6" w:space="0"/>
              <w:left w:val="single" w:color="auto" w:sz="6" w:space="0"/>
              <w:right w:val="single" w:color="auto" w:sz="6" w:space="0"/>
            </w:tcBorders>
            <w:noWrap w:val="0"/>
            <w:vAlign w:val="center"/>
          </w:tcPr>
          <w:p w14:paraId="49797028">
            <w:pPr>
              <w:keepNext w:val="0"/>
              <w:keepLines w:val="0"/>
              <w:pageBreakBefore w:val="0"/>
              <w:widowControl w:val="0"/>
              <w:kinsoku/>
              <w:overflowPunct/>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zh-CN" w:eastAsia="zh-CN"/>
              </w:rPr>
              <w:t>投标人（若为联合体，指联合体主办方）自202</w:t>
            </w:r>
            <w:r>
              <w:rPr>
                <w:rFonts w:hint="default"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年1月1日至今，完成过的设计类似业绩获国家级设计奖项，每项得15分；获省级设计奖项，每项得10分；获市级（含副省级）设计奖项，每项得5分。本小项最高得15分。</w:t>
            </w:r>
          </w:p>
        </w:tc>
      </w:tr>
      <w:tr w14:paraId="2018125C">
        <w:tblPrEx>
          <w:tblCellMar>
            <w:top w:w="0" w:type="dxa"/>
            <w:left w:w="108" w:type="dxa"/>
            <w:bottom w:w="0" w:type="dxa"/>
            <w:right w:w="108" w:type="dxa"/>
          </w:tblCellMar>
        </w:tblPrEx>
        <w:trPr>
          <w:trHeight w:val="707" w:hRule="atLeast"/>
        </w:trPr>
        <w:tc>
          <w:tcPr>
            <w:tcW w:w="284" w:type="pct"/>
            <w:tcBorders>
              <w:top w:val="single" w:color="auto" w:sz="4" w:space="0"/>
              <w:left w:val="single" w:color="auto" w:sz="4" w:space="0"/>
              <w:bottom w:val="single" w:color="auto" w:sz="4" w:space="0"/>
              <w:right w:val="single" w:color="auto" w:sz="4" w:space="0"/>
            </w:tcBorders>
            <w:noWrap w:val="0"/>
            <w:vAlign w:val="center"/>
          </w:tcPr>
          <w:p w14:paraId="58F90A44">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eastAsia="zh-CN"/>
              </w:rPr>
              <w:t>三</w:t>
            </w:r>
          </w:p>
        </w:tc>
        <w:tc>
          <w:tcPr>
            <w:tcW w:w="381" w:type="pct"/>
            <w:gridSpan w:val="2"/>
            <w:tcBorders>
              <w:top w:val="single" w:color="auto" w:sz="4" w:space="0"/>
              <w:left w:val="single" w:color="auto" w:sz="4" w:space="0"/>
              <w:bottom w:val="single" w:color="auto" w:sz="4" w:space="0"/>
              <w:right w:val="single" w:color="auto" w:sz="4" w:space="0"/>
            </w:tcBorders>
            <w:noWrap w:val="0"/>
            <w:vAlign w:val="center"/>
          </w:tcPr>
          <w:p w14:paraId="2A9E234B">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en-US"/>
              </w:rPr>
            </w:pPr>
            <w:r>
              <w:rPr>
                <w:rFonts w:hint="eastAsia" w:ascii="宋体" w:hAnsi="宋体" w:eastAsia="宋体" w:cs="宋体"/>
                <w:color w:val="auto"/>
                <w:kern w:val="0"/>
                <w:sz w:val="21"/>
                <w:szCs w:val="21"/>
                <w:highlight w:val="none"/>
                <w:lang w:val="zh-CN" w:eastAsia="zh-CN"/>
              </w:rPr>
              <w:t>项目负责人资历和业绩</w:t>
            </w:r>
          </w:p>
        </w:tc>
        <w:tc>
          <w:tcPr>
            <w:tcW w:w="286" w:type="pct"/>
            <w:tcBorders>
              <w:top w:val="single" w:color="auto" w:sz="4" w:space="0"/>
              <w:left w:val="single" w:color="auto" w:sz="4" w:space="0"/>
              <w:bottom w:val="single" w:color="auto" w:sz="4" w:space="0"/>
              <w:right w:val="single" w:color="auto" w:sz="4" w:space="0"/>
            </w:tcBorders>
            <w:noWrap w:val="0"/>
            <w:vAlign w:val="center"/>
          </w:tcPr>
          <w:p w14:paraId="49AB046A">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0"/>
                <w:sz w:val="21"/>
                <w:szCs w:val="21"/>
                <w:highlight w:val="none"/>
                <w:lang w:val="zh-CN" w:eastAsia="en-US"/>
              </w:rPr>
              <w:t>[</w:t>
            </w:r>
            <w:r>
              <w:rPr>
                <w:rFonts w:hint="eastAsia" w:ascii="宋体" w:hAnsi="宋体" w:eastAsia="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lang w:val="zh-CN" w:eastAsia="en-US"/>
              </w:rPr>
              <w:t>]</w:t>
            </w:r>
          </w:p>
        </w:tc>
        <w:tc>
          <w:tcPr>
            <w:tcW w:w="4047" w:type="pct"/>
            <w:tcBorders>
              <w:top w:val="single" w:color="auto" w:sz="6" w:space="0"/>
              <w:left w:val="single" w:color="auto" w:sz="4" w:space="0"/>
              <w:bottom w:val="single" w:color="auto" w:sz="6" w:space="0"/>
              <w:right w:val="single" w:color="auto" w:sz="6" w:space="0"/>
            </w:tcBorders>
            <w:noWrap w:val="0"/>
            <w:vAlign w:val="center"/>
          </w:tcPr>
          <w:p w14:paraId="0645422D">
            <w:pPr>
              <w:keepNext w:val="0"/>
              <w:keepLines w:val="0"/>
              <w:pageBreakBefore w:val="0"/>
              <w:widowControl w:val="0"/>
              <w:kinsoku/>
              <w:overflowPunct/>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（1）设计经历在20年及以上，得5分；设计经历在10年（含）至</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zh-CN" w:eastAsia="zh-CN"/>
              </w:rPr>
              <w:t>年（不含）的，得3分；设计经历在10年（不含）以下，得1分；本项最高得5分。</w:t>
            </w:r>
          </w:p>
          <w:p w14:paraId="1EFAFDED">
            <w:pPr>
              <w:keepNext w:val="0"/>
              <w:keepLines w:val="0"/>
              <w:pageBreakBefore w:val="0"/>
              <w:widowControl w:val="0"/>
              <w:kinsoku/>
              <w:overflowPunct/>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2）具有建筑工程相关专业或市政公用工程相关专业正高级（含教授级）高级工程师职称得5分；具有建筑工程相关专业或市政公用工程相关专业高级工程师职称得3分；具有建筑工程相关专业或市政公用工程相关专业中级工程师职称得1分；本项最高得5分。</w:t>
            </w:r>
          </w:p>
          <w:p w14:paraId="7F94148F">
            <w:pPr>
              <w:keepNext w:val="0"/>
              <w:keepLines w:val="0"/>
              <w:pageBreakBefore w:val="0"/>
              <w:widowControl w:val="0"/>
              <w:kinsoku/>
              <w:overflowPunct/>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（3）自202</w:t>
            </w:r>
            <w:r>
              <w:rPr>
                <w:rFonts w:hint="default"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年1月1日至今，参与过建安费≥6500万元的建筑工程或建安费≥10000万元的市政公用工程（须含隧道工程）设计业绩的，每项业绩得5分；本项最高得5分。</w:t>
            </w:r>
          </w:p>
          <w:p w14:paraId="6D53769F">
            <w:pPr>
              <w:keepNext w:val="0"/>
              <w:keepLines w:val="0"/>
              <w:pageBreakBefore w:val="0"/>
              <w:widowControl w:val="0"/>
              <w:kinsoku/>
              <w:overflowPunct/>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以上3项合计最高得15分。</w:t>
            </w:r>
          </w:p>
        </w:tc>
      </w:tr>
      <w:tr w14:paraId="7D63F20A">
        <w:tblPrEx>
          <w:tblCellMar>
            <w:top w:w="0" w:type="dxa"/>
            <w:left w:w="108" w:type="dxa"/>
            <w:bottom w:w="0" w:type="dxa"/>
            <w:right w:w="108" w:type="dxa"/>
          </w:tblCellMar>
        </w:tblPrEx>
        <w:trPr>
          <w:trHeight w:val="90" w:hRule="atLeast"/>
        </w:trPr>
        <w:tc>
          <w:tcPr>
            <w:tcW w:w="284" w:type="pct"/>
            <w:tcBorders>
              <w:top w:val="single" w:color="auto" w:sz="4" w:space="0"/>
              <w:left w:val="single" w:color="auto" w:sz="6" w:space="0"/>
              <w:bottom w:val="single" w:color="auto" w:sz="6" w:space="0"/>
              <w:right w:val="single" w:color="auto" w:sz="6" w:space="0"/>
            </w:tcBorders>
            <w:noWrap w:val="0"/>
            <w:vAlign w:val="center"/>
          </w:tcPr>
          <w:p w14:paraId="4F116A64">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四</w:t>
            </w:r>
          </w:p>
        </w:tc>
        <w:tc>
          <w:tcPr>
            <w:tcW w:w="381" w:type="pct"/>
            <w:gridSpan w:val="2"/>
            <w:tcBorders>
              <w:top w:val="single" w:color="auto" w:sz="4" w:space="0"/>
              <w:left w:val="single" w:color="auto" w:sz="6" w:space="0"/>
              <w:bottom w:val="single" w:color="auto" w:sz="6" w:space="0"/>
              <w:right w:val="single" w:color="auto" w:sz="6" w:space="0"/>
            </w:tcBorders>
            <w:noWrap w:val="0"/>
            <w:vAlign w:val="center"/>
          </w:tcPr>
          <w:p w14:paraId="56F9CB71">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其他主要人员资历</w:t>
            </w:r>
          </w:p>
        </w:tc>
        <w:tc>
          <w:tcPr>
            <w:tcW w:w="286" w:type="pct"/>
            <w:tcBorders>
              <w:top w:val="single" w:color="auto" w:sz="4" w:space="0"/>
              <w:left w:val="single" w:color="auto" w:sz="6" w:space="0"/>
              <w:bottom w:val="single" w:color="auto" w:sz="6" w:space="0"/>
              <w:right w:val="single" w:color="auto" w:sz="6" w:space="0"/>
            </w:tcBorders>
            <w:noWrap w:val="0"/>
            <w:vAlign w:val="center"/>
          </w:tcPr>
          <w:p w14:paraId="330DB9D9">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b/>
                <w:bCs/>
                <w:color w:val="auto"/>
                <w:kern w:val="0"/>
                <w:sz w:val="21"/>
                <w:szCs w:val="21"/>
                <w:highlight w:val="none"/>
                <w:u w:val="single"/>
                <w:lang w:val="zh-CN" w:eastAsia="en-US"/>
              </w:rPr>
            </w:pPr>
            <w:r>
              <w:rPr>
                <w:rFonts w:hint="eastAsia" w:ascii="宋体" w:hAnsi="宋体" w:eastAsia="宋体" w:cs="宋体"/>
                <w:b/>
                <w:bCs/>
                <w:color w:val="auto"/>
                <w:kern w:val="0"/>
                <w:sz w:val="21"/>
                <w:szCs w:val="21"/>
                <w:highlight w:val="none"/>
                <w:u w:val="single"/>
                <w:lang w:val="zh-CN" w:eastAsia="en-US"/>
              </w:rPr>
              <w:t>[40]</w:t>
            </w:r>
          </w:p>
        </w:tc>
        <w:tc>
          <w:tcPr>
            <w:tcW w:w="404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8937207">
            <w:pPr>
              <w:keepNext w:val="0"/>
              <w:keepLines w:val="0"/>
              <w:pageBreakBefore w:val="0"/>
              <w:widowControl w:val="0"/>
              <w:numPr>
                <w:ilvl w:val="-1"/>
                <w:numId w:val="0"/>
              </w:numPr>
              <w:kinsoku/>
              <w:wordWrap w:val="0"/>
              <w:overflowPunct/>
              <w:topLinePunct/>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以下专业负责人</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建筑、结构、给排水、暖通空调、电气、道路、造价、勘察</w:t>
            </w:r>
            <w:r>
              <w:rPr>
                <w:rFonts w:hint="eastAsia" w:ascii="宋体" w:hAnsi="宋体" w:eastAsia="宋体" w:cs="宋体"/>
                <w:color w:val="auto"/>
                <w:kern w:val="0"/>
                <w:sz w:val="21"/>
                <w:szCs w:val="21"/>
                <w:highlight w:val="none"/>
                <w:lang w:val="zh-CN" w:eastAsia="zh-CN" w:bidi="ar-SA"/>
              </w:rPr>
              <w:t>，具备</w:t>
            </w:r>
            <w:r>
              <w:rPr>
                <w:rFonts w:hint="eastAsia" w:ascii="宋体" w:hAnsi="宋体" w:eastAsia="宋体" w:cs="宋体"/>
                <w:color w:val="auto"/>
                <w:kern w:val="0"/>
                <w:sz w:val="21"/>
                <w:szCs w:val="21"/>
                <w:highlight w:val="none"/>
                <w:lang w:val="en-US" w:eastAsia="zh-CN" w:bidi="ar-SA"/>
              </w:rPr>
              <w:t>相应专业一级</w:t>
            </w:r>
            <w:r>
              <w:rPr>
                <w:rFonts w:hint="eastAsia" w:ascii="宋体" w:hAnsi="宋体" w:eastAsia="宋体" w:cs="宋体"/>
                <w:color w:val="auto"/>
                <w:kern w:val="0"/>
                <w:sz w:val="21"/>
                <w:szCs w:val="21"/>
                <w:highlight w:val="none"/>
                <w:lang w:val="zh-CN" w:eastAsia="zh-CN" w:bidi="ar-SA"/>
              </w:rPr>
              <w:t>注册执业资格（如未划分等级的则具备相应专业注册执业资格）的每</w:t>
            </w:r>
            <w:r>
              <w:rPr>
                <w:rFonts w:hint="eastAsia" w:ascii="宋体" w:hAnsi="宋体" w:eastAsia="宋体" w:cs="宋体"/>
                <w:color w:val="auto"/>
                <w:kern w:val="0"/>
                <w:sz w:val="21"/>
                <w:szCs w:val="21"/>
                <w:highlight w:val="none"/>
                <w:lang w:val="en-US" w:eastAsia="zh-CN" w:bidi="ar-SA"/>
              </w:rPr>
              <w:t>人</w:t>
            </w:r>
            <w:r>
              <w:rPr>
                <w:rFonts w:hint="eastAsia" w:ascii="宋体" w:hAnsi="宋体" w:eastAsia="宋体" w:cs="宋体"/>
                <w:color w:val="auto"/>
                <w:kern w:val="0"/>
                <w:sz w:val="21"/>
                <w:szCs w:val="21"/>
                <w:highlight w:val="none"/>
                <w:lang w:val="zh-CN" w:eastAsia="zh-CN" w:bidi="ar-SA"/>
              </w:rPr>
              <w:t>得</w:t>
            </w:r>
            <w:r>
              <w:rPr>
                <w:rFonts w:hint="eastAsia" w:ascii="宋体" w:hAnsi="宋体" w:eastAsia="宋体" w:cs="宋体"/>
                <w:color w:val="auto"/>
                <w:kern w:val="0"/>
                <w:sz w:val="21"/>
                <w:szCs w:val="21"/>
                <w:highlight w:val="none"/>
                <w:lang w:val="en-US" w:eastAsia="zh-CN" w:bidi="ar-SA"/>
              </w:rPr>
              <w:t>2.5</w:t>
            </w:r>
            <w:r>
              <w:rPr>
                <w:rFonts w:hint="eastAsia" w:ascii="宋体" w:hAnsi="宋体" w:eastAsia="宋体" w:cs="宋体"/>
                <w:color w:val="auto"/>
                <w:kern w:val="0"/>
                <w:sz w:val="21"/>
                <w:szCs w:val="21"/>
                <w:highlight w:val="none"/>
                <w:lang w:val="zh-CN" w:eastAsia="zh-CN" w:bidi="ar-SA"/>
              </w:rPr>
              <w:t>分，具备相应专业二级注册执业资格的每人得1.5分；本小项最高得</w:t>
            </w:r>
            <w:r>
              <w:rPr>
                <w:rFonts w:hint="eastAsia" w:ascii="宋体" w:hAnsi="宋体" w:eastAsia="宋体" w:cs="宋体"/>
                <w:color w:val="auto"/>
                <w:kern w:val="0"/>
                <w:sz w:val="21"/>
                <w:szCs w:val="21"/>
                <w:highlight w:val="none"/>
                <w:lang w:val="en-US" w:eastAsia="zh-CN" w:bidi="ar-SA"/>
              </w:rPr>
              <w:t>20</w:t>
            </w:r>
            <w:r>
              <w:rPr>
                <w:rFonts w:hint="eastAsia" w:ascii="宋体" w:hAnsi="宋体" w:eastAsia="宋体" w:cs="宋体"/>
                <w:color w:val="auto"/>
                <w:kern w:val="0"/>
                <w:sz w:val="21"/>
                <w:szCs w:val="21"/>
                <w:highlight w:val="none"/>
                <w:lang w:val="zh-CN" w:eastAsia="zh-CN" w:bidi="ar-SA"/>
              </w:rPr>
              <w:t>分。</w:t>
            </w:r>
          </w:p>
          <w:p w14:paraId="6D893EE6">
            <w:pPr>
              <w:keepNext w:val="0"/>
              <w:keepLines w:val="0"/>
              <w:pageBreakBefore w:val="0"/>
              <w:widowControl w:val="0"/>
              <w:numPr>
                <w:ilvl w:val="-1"/>
                <w:numId w:val="0"/>
              </w:numPr>
              <w:kinsoku/>
              <w:wordWrap/>
              <w:overflowPunct/>
              <w:topLinePunct/>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以下专业负责人</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建筑、结构、给排水、暖通空调、电气、道路、造价、勘察</w:t>
            </w:r>
            <w:r>
              <w:rPr>
                <w:rFonts w:hint="eastAsia" w:ascii="宋体" w:hAnsi="宋体" w:eastAsia="宋体" w:cs="宋体"/>
                <w:color w:val="auto"/>
                <w:kern w:val="0"/>
                <w:sz w:val="21"/>
                <w:szCs w:val="21"/>
                <w:highlight w:val="none"/>
                <w:lang w:val="zh-CN" w:eastAsia="zh-CN" w:bidi="ar-SA"/>
              </w:rPr>
              <w:t>，具备高级（</w:t>
            </w:r>
            <w:r>
              <w:rPr>
                <w:rFonts w:hint="eastAsia" w:ascii="宋体" w:hAnsi="宋体" w:eastAsia="宋体" w:cs="宋体"/>
                <w:color w:val="auto"/>
                <w:kern w:val="0"/>
                <w:sz w:val="21"/>
                <w:szCs w:val="21"/>
                <w:highlight w:val="none"/>
                <w:lang w:val="en-US" w:eastAsia="zh-CN" w:bidi="ar-SA"/>
              </w:rPr>
              <w:t>或以上</w:t>
            </w:r>
            <w:r>
              <w:rPr>
                <w:rFonts w:hint="eastAsia" w:ascii="宋体" w:hAnsi="宋体" w:eastAsia="宋体" w:cs="宋体"/>
                <w:color w:val="auto"/>
                <w:kern w:val="0"/>
                <w:sz w:val="21"/>
                <w:szCs w:val="21"/>
                <w:highlight w:val="none"/>
                <w:lang w:val="zh-CN" w:eastAsia="zh-CN" w:bidi="ar-SA"/>
              </w:rPr>
              <w:t>）职称的</w:t>
            </w:r>
            <w:r>
              <w:rPr>
                <w:rFonts w:hint="eastAsia" w:ascii="宋体" w:hAnsi="宋体" w:eastAsia="宋体" w:cs="宋体"/>
                <w:color w:val="auto"/>
                <w:kern w:val="0"/>
                <w:sz w:val="21"/>
                <w:szCs w:val="21"/>
                <w:highlight w:val="none"/>
                <w:lang w:val="en-US" w:eastAsia="zh-CN" w:bidi="ar-SA"/>
              </w:rPr>
              <w:t>每人</w:t>
            </w:r>
            <w:r>
              <w:rPr>
                <w:rFonts w:hint="eastAsia" w:ascii="宋体" w:hAnsi="宋体" w:eastAsia="宋体" w:cs="宋体"/>
                <w:color w:val="auto"/>
                <w:kern w:val="0"/>
                <w:sz w:val="21"/>
                <w:szCs w:val="21"/>
                <w:highlight w:val="none"/>
                <w:lang w:val="zh-CN" w:eastAsia="zh-CN" w:bidi="ar-SA"/>
              </w:rPr>
              <w:t>得</w:t>
            </w:r>
            <w:r>
              <w:rPr>
                <w:rFonts w:hint="eastAsia" w:ascii="宋体" w:hAnsi="宋体" w:eastAsia="宋体" w:cs="宋体"/>
                <w:color w:val="auto"/>
                <w:kern w:val="0"/>
                <w:sz w:val="21"/>
                <w:szCs w:val="21"/>
                <w:highlight w:val="none"/>
                <w:lang w:val="en-US" w:eastAsia="zh-CN" w:bidi="ar-SA"/>
              </w:rPr>
              <w:t>2.5</w:t>
            </w:r>
            <w:r>
              <w:rPr>
                <w:rFonts w:hint="eastAsia" w:ascii="宋体" w:hAnsi="宋体" w:eastAsia="宋体" w:cs="宋体"/>
                <w:color w:val="auto"/>
                <w:kern w:val="0"/>
                <w:sz w:val="21"/>
                <w:szCs w:val="21"/>
                <w:highlight w:val="none"/>
                <w:lang w:val="zh-CN" w:eastAsia="zh-CN" w:bidi="ar-SA"/>
              </w:rPr>
              <w:t>分，具备</w:t>
            </w:r>
            <w:r>
              <w:rPr>
                <w:rFonts w:hint="eastAsia" w:ascii="宋体" w:hAnsi="宋体" w:eastAsia="宋体" w:cs="宋体"/>
                <w:color w:val="auto"/>
                <w:kern w:val="0"/>
                <w:sz w:val="21"/>
                <w:szCs w:val="21"/>
                <w:highlight w:val="none"/>
                <w:lang w:val="en-US" w:eastAsia="zh-CN" w:bidi="ar-SA"/>
              </w:rPr>
              <w:t>有中级</w:t>
            </w:r>
            <w:r>
              <w:rPr>
                <w:rFonts w:hint="eastAsia" w:ascii="宋体" w:hAnsi="宋体" w:eastAsia="宋体" w:cs="宋体"/>
                <w:color w:val="auto"/>
                <w:kern w:val="0"/>
                <w:sz w:val="21"/>
                <w:szCs w:val="21"/>
                <w:highlight w:val="none"/>
                <w:lang w:val="zh-CN" w:eastAsia="zh-CN" w:bidi="ar-SA"/>
              </w:rPr>
              <w:t>职称的</w:t>
            </w:r>
            <w:r>
              <w:rPr>
                <w:rFonts w:hint="eastAsia" w:ascii="宋体" w:hAnsi="宋体" w:eastAsia="宋体" w:cs="宋体"/>
                <w:color w:val="auto"/>
                <w:kern w:val="0"/>
                <w:sz w:val="21"/>
                <w:szCs w:val="21"/>
                <w:highlight w:val="none"/>
                <w:lang w:val="en-US" w:eastAsia="zh-CN" w:bidi="ar-SA"/>
              </w:rPr>
              <w:t>每人</w:t>
            </w:r>
            <w:r>
              <w:rPr>
                <w:rFonts w:hint="eastAsia" w:ascii="宋体" w:hAnsi="宋体" w:eastAsia="宋体" w:cs="宋体"/>
                <w:color w:val="auto"/>
                <w:kern w:val="0"/>
                <w:sz w:val="21"/>
                <w:szCs w:val="21"/>
                <w:highlight w:val="none"/>
                <w:lang w:val="zh-CN" w:eastAsia="zh-CN" w:bidi="ar-SA"/>
              </w:rPr>
              <w:t>得</w:t>
            </w:r>
            <w:r>
              <w:rPr>
                <w:rFonts w:hint="eastAsia" w:ascii="宋体" w:hAnsi="宋体" w:eastAsia="宋体" w:cs="宋体"/>
                <w:color w:val="auto"/>
                <w:kern w:val="0"/>
                <w:sz w:val="21"/>
                <w:szCs w:val="21"/>
                <w:highlight w:val="none"/>
                <w:lang w:val="en-US" w:eastAsia="zh-CN" w:bidi="ar-SA"/>
              </w:rPr>
              <w:t>1.5</w:t>
            </w:r>
            <w:r>
              <w:rPr>
                <w:rFonts w:hint="eastAsia" w:ascii="宋体" w:hAnsi="宋体" w:eastAsia="宋体" w:cs="宋体"/>
                <w:color w:val="auto"/>
                <w:kern w:val="0"/>
                <w:sz w:val="21"/>
                <w:szCs w:val="21"/>
                <w:highlight w:val="none"/>
                <w:lang w:val="zh-CN" w:eastAsia="zh-CN" w:bidi="ar-SA"/>
              </w:rPr>
              <w:t>分；本小项最高得</w:t>
            </w:r>
            <w:r>
              <w:rPr>
                <w:rFonts w:hint="eastAsia" w:ascii="宋体" w:hAnsi="宋体" w:eastAsia="宋体" w:cs="宋体"/>
                <w:color w:val="auto"/>
                <w:kern w:val="0"/>
                <w:sz w:val="21"/>
                <w:szCs w:val="21"/>
                <w:highlight w:val="none"/>
                <w:lang w:val="en-US" w:eastAsia="zh-CN" w:bidi="ar-SA"/>
              </w:rPr>
              <w:t>20</w:t>
            </w:r>
            <w:r>
              <w:rPr>
                <w:rFonts w:hint="eastAsia" w:ascii="宋体" w:hAnsi="宋体" w:eastAsia="宋体" w:cs="宋体"/>
                <w:color w:val="auto"/>
                <w:kern w:val="0"/>
                <w:sz w:val="21"/>
                <w:szCs w:val="21"/>
                <w:highlight w:val="none"/>
                <w:lang w:val="zh-CN" w:eastAsia="zh-CN" w:bidi="ar-SA"/>
              </w:rPr>
              <w:t>分。</w:t>
            </w:r>
          </w:p>
          <w:p w14:paraId="41623C19">
            <w:pPr>
              <w:keepNext w:val="0"/>
              <w:keepLines w:val="0"/>
              <w:pageBreakBefore w:val="0"/>
              <w:widowControl w:val="0"/>
              <w:kinsoku/>
              <w:wordWrap w:val="0"/>
              <w:overflowPunct/>
              <w:topLinePunct/>
              <w:autoSpaceDE/>
              <w:autoSpaceDN/>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rPr>
              <w:t>以上</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项合计最高得</w:t>
            </w:r>
            <w:r>
              <w:rPr>
                <w:rFonts w:hint="eastAsia" w:ascii="宋体" w:hAnsi="宋体" w:eastAsia="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lang w:val="zh-CN" w:eastAsia="zh-CN"/>
              </w:rPr>
              <w:t>分。</w:t>
            </w:r>
          </w:p>
        </w:tc>
      </w:tr>
      <w:tr w14:paraId="04974334">
        <w:tblPrEx>
          <w:tblCellMar>
            <w:top w:w="0" w:type="dxa"/>
            <w:left w:w="108" w:type="dxa"/>
            <w:bottom w:w="0" w:type="dxa"/>
            <w:right w:w="108" w:type="dxa"/>
          </w:tblCellMar>
        </w:tblPrEx>
        <w:trPr>
          <w:trHeight w:val="575" w:hRule="atLeast"/>
        </w:trPr>
        <w:tc>
          <w:tcPr>
            <w:tcW w:w="284" w:type="pct"/>
            <w:tcBorders>
              <w:top w:val="single" w:color="auto" w:sz="6" w:space="0"/>
              <w:left w:val="single" w:color="auto" w:sz="6" w:space="0"/>
              <w:right w:val="single" w:color="auto" w:sz="6" w:space="0"/>
            </w:tcBorders>
            <w:noWrap w:val="0"/>
            <w:vAlign w:val="center"/>
          </w:tcPr>
          <w:p w14:paraId="533E8B08">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eastAsia="zh-CN"/>
              </w:rPr>
              <w:t>五</w:t>
            </w:r>
          </w:p>
        </w:tc>
        <w:tc>
          <w:tcPr>
            <w:tcW w:w="381" w:type="pct"/>
            <w:gridSpan w:val="2"/>
            <w:tcBorders>
              <w:top w:val="single" w:color="auto" w:sz="6" w:space="0"/>
              <w:left w:val="single" w:color="auto" w:sz="6" w:space="0"/>
              <w:right w:val="single" w:color="auto" w:sz="6" w:space="0"/>
            </w:tcBorders>
            <w:noWrap w:val="0"/>
            <w:vAlign w:val="center"/>
          </w:tcPr>
          <w:p w14:paraId="41735683">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val="zh-CN" w:eastAsia="en-US"/>
              </w:rPr>
            </w:pPr>
            <w:r>
              <w:rPr>
                <w:rFonts w:hint="eastAsia" w:ascii="宋体" w:hAnsi="宋体" w:eastAsia="宋体" w:cs="宋体"/>
                <w:color w:val="auto"/>
                <w:kern w:val="0"/>
                <w:sz w:val="21"/>
                <w:szCs w:val="21"/>
                <w:highlight w:val="none"/>
                <w:lang w:val="zh-CN" w:eastAsia="en-US"/>
              </w:rPr>
              <w:t>第三方评价</w:t>
            </w:r>
          </w:p>
        </w:tc>
        <w:tc>
          <w:tcPr>
            <w:tcW w:w="286" w:type="pct"/>
            <w:tcBorders>
              <w:top w:val="single" w:color="auto" w:sz="6" w:space="0"/>
              <w:left w:val="single" w:color="auto" w:sz="6" w:space="0"/>
              <w:right w:val="single" w:color="auto" w:sz="6" w:space="0"/>
            </w:tcBorders>
            <w:noWrap w:val="0"/>
            <w:vAlign w:val="center"/>
          </w:tcPr>
          <w:p w14:paraId="402FFD0E">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b/>
                <w:bCs/>
                <w:color w:val="auto"/>
                <w:kern w:val="0"/>
                <w:sz w:val="21"/>
                <w:szCs w:val="21"/>
                <w:highlight w:val="none"/>
                <w:u w:val="single"/>
                <w:lang w:val="zh-CN" w:eastAsia="en-US"/>
              </w:rPr>
            </w:pPr>
            <w:r>
              <w:rPr>
                <w:rFonts w:hint="eastAsia" w:ascii="宋体" w:hAnsi="宋体" w:eastAsia="宋体" w:cs="宋体"/>
                <w:b/>
                <w:bCs/>
                <w:color w:val="auto"/>
                <w:kern w:val="0"/>
                <w:sz w:val="21"/>
                <w:szCs w:val="21"/>
                <w:highlight w:val="none"/>
                <w:u w:val="single"/>
                <w:lang w:val="zh-CN" w:eastAsia="en-US"/>
              </w:rPr>
              <w:t>[6]</w:t>
            </w:r>
          </w:p>
        </w:tc>
        <w:tc>
          <w:tcPr>
            <w:tcW w:w="4047" w:type="pct"/>
            <w:tcBorders>
              <w:top w:val="single" w:color="auto" w:sz="6" w:space="0"/>
              <w:left w:val="single" w:color="auto" w:sz="6" w:space="0"/>
              <w:right w:val="single" w:color="auto" w:sz="6" w:space="0"/>
            </w:tcBorders>
            <w:noWrap w:val="0"/>
            <w:vAlign w:val="center"/>
          </w:tcPr>
          <w:p w14:paraId="68AECDE0">
            <w:pPr>
              <w:keepNext w:val="0"/>
              <w:keepLines w:val="0"/>
              <w:pageBreakBefore w:val="0"/>
              <w:widowControl w:val="0"/>
              <w:kinsoku/>
              <w:overflowPunct/>
              <w:autoSpaceDE/>
              <w:autoSpaceDN/>
              <w:bidi w:val="0"/>
              <w:adjustRightInd/>
              <w:snapToGrid/>
              <w:spacing w:after="0" w:line="24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2"/>
                <w:sz w:val="21"/>
                <w:szCs w:val="21"/>
                <w:highlight w:val="none"/>
                <w:lang w:val="zh-CN" w:eastAsia="zh-CN"/>
              </w:rPr>
              <w:t>投标人（若为联合体投标，指联合体主办方）具有质量管理体系认证、职业健康安全管理体系认证、环境管理体系认证且在有效期内的，每具有1项认证证书得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eastAsia="zh-CN"/>
              </w:rPr>
              <w:t>分。</w:t>
            </w:r>
            <w:r>
              <w:rPr>
                <w:rFonts w:hint="eastAsia" w:ascii="宋体" w:hAnsi="宋体" w:eastAsia="宋体" w:cs="宋体"/>
                <w:color w:val="auto"/>
                <w:kern w:val="0"/>
                <w:sz w:val="21"/>
                <w:szCs w:val="21"/>
                <w:highlight w:val="none"/>
                <w:lang w:val="zh-CN" w:eastAsia="zh-CN"/>
              </w:rPr>
              <w:t>本小项最高得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eastAsia="zh-CN"/>
              </w:rPr>
              <w:t>分</w:t>
            </w:r>
            <w:r>
              <w:rPr>
                <w:rFonts w:hint="eastAsia" w:ascii="宋体" w:hAnsi="宋体" w:eastAsia="宋体" w:cs="宋体"/>
                <w:color w:val="auto"/>
                <w:kern w:val="2"/>
                <w:sz w:val="21"/>
                <w:szCs w:val="21"/>
                <w:highlight w:val="none"/>
                <w:lang w:val="zh-CN" w:eastAsia="zh-CN"/>
              </w:rPr>
              <w:t>。（认证证书应在有效期内，否则不计分）</w:t>
            </w:r>
          </w:p>
        </w:tc>
      </w:tr>
      <w:tr w14:paraId="5DC95D50">
        <w:tblPrEx>
          <w:tblCellMar>
            <w:top w:w="0" w:type="dxa"/>
            <w:left w:w="108" w:type="dxa"/>
            <w:bottom w:w="0" w:type="dxa"/>
            <w:right w:w="108" w:type="dxa"/>
          </w:tblCellMar>
        </w:tblPrEx>
        <w:trPr>
          <w:trHeight w:val="350" w:hRule="atLeast"/>
        </w:trPr>
        <w:tc>
          <w:tcPr>
            <w:tcW w:w="666" w:type="pct"/>
            <w:gridSpan w:val="3"/>
            <w:tcBorders>
              <w:top w:val="single" w:color="auto" w:sz="6" w:space="0"/>
              <w:left w:val="single" w:color="auto" w:sz="6" w:space="0"/>
              <w:bottom w:val="single" w:color="auto" w:sz="6" w:space="0"/>
              <w:right w:val="single" w:color="auto" w:sz="6" w:space="0"/>
            </w:tcBorders>
            <w:noWrap w:val="0"/>
            <w:vAlign w:val="center"/>
          </w:tcPr>
          <w:p w14:paraId="4203B14F">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val="zh-CN" w:eastAsia="en-US"/>
              </w:rPr>
              <w:t>总计</w:t>
            </w:r>
          </w:p>
        </w:tc>
        <w:tc>
          <w:tcPr>
            <w:tcW w:w="286" w:type="pct"/>
            <w:tcBorders>
              <w:top w:val="single" w:color="auto" w:sz="6" w:space="0"/>
              <w:left w:val="single" w:color="auto" w:sz="6" w:space="0"/>
              <w:bottom w:val="single" w:color="auto" w:sz="6" w:space="0"/>
              <w:right w:val="single" w:color="auto" w:sz="6" w:space="0"/>
            </w:tcBorders>
            <w:noWrap w:val="0"/>
            <w:vAlign w:val="center"/>
          </w:tcPr>
          <w:p w14:paraId="24789F23">
            <w:pPr>
              <w:keepNext w:val="0"/>
              <w:keepLines w:val="0"/>
              <w:pageBreakBefore w:val="0"/>
              <w:widowControl w:val="0"/>
              <w:kinsoku/>
              <w:overflowPunct/>
              <w:autoSpaceDE w:val="0"/>
              <w:autoSpaceDN w:val="0"/>
              <w:bidi w:val="0"/>
              <w:adjustRightInd w:val="0"/>
              <w:snapToGrid/>
              <w:spacing w:after="0" w:line="240" w:lineRule="auto"/>
              <w:jc w:val="center"/>
              <w:textAlignment w:val="auto"/>
              <w:rPr>
                <w:rFonts w:hint="eastAsia" w:ascii="宋体" w:hAnsi="宋体" w:eastAsia="宋体" w:cs="宋体"/>
                <w:b/>
                <w:bCs/>
                <w:color w:val="auto"/>
                <w:kern w:val="0"/>
                <w:sz w:val="21"/>
                <w:szCs w:val="21"/>
                <w:highlight w:val="none"/>
                <w:u w:val="single"/>
                <w:lang w:val="zh-CN" w:eastAsia="en-US"/>
              </w:rPr>
            </w:pPr>
            <w:r>
              <w:rPr>
                <w:rFonts w:hint="eastAsia" w:ascii="宋体" w:hAnsi="宋体" w:eastAsia="宋体" w:cs="宋体"/>
                <w:b/>
                <w:bCs/>
                <w:color w:val="auto"/>
                <w:kern w:val="0"/>
                <w:sz w:val="21"/>
                <w:szCs w:val="21"/>
                <w:highlight w:val="none"/>
                <w:u w:val="single"/>
                <w:lang w:val="zh-CN" w:eastAsia="en-US"/>
              </w:rPr>
              <w:t>100</w:t>
            </w:r>
          </w:p>
        </w:tc>
        <w:tc>
          <w:tcPr>
            <w:tcW w:w="4047" w:type="pct"/>
            <w:tcBorders>
              <w:top w:val="single" w:color="auto" w:sz="6" w:space="0"/>
              <w:left w:val="single" w:color="auto" w:sz="6" w:space="0"/>
              <w:bottom w:val="single" w:color="auto" w:sz="6" w:space="0"/>
              <w:right w:val="single" w:color="auto" w:sz="6" w:space="0"/>
            </w:tcBorders>
            <w:noWrap w:val="0"/>
            <w:vAlign w:val="center"/>
          </w:tcPr>
          <w:p w14:paraId="426E2EA9">
            <w:pPr>
              <w:keepNext w:val="0"/>
              <w:keepLines w:val="0"/>
              <w:pageBreakBefore w:val="0"/>
              <w:widowControl w:val="0"/>
              <w:kinsoku/>
              <w:overflowPunct/>
              <w:autoSpaceDE w:val="0"/>
              <w:autoSpaceDN w:val="0"/>
              <w:bidi w:val="0"/>
              <w:adjustRightInd w:val="0"/>
              <w:snapToGrid/>
              <w:spacing w:after="0" w:line="240" w:lineRule="auto"/>
              <w:jc w:val="left"/>
              <w:textAlignment w:val="auto"/>
              <w:rPr>
                <w:rFonts w:hint="eastAsia" w:ascii="宋体" w:hAnsi="宋体" w:eastAsia="宋体" w:cs="宋体"/>
                <w:color w:val="auto"/>
                <w:kern w:val="0"/>
                <w:sz w:val="21"/>
                <w:szCs w:val="21"/>
                <w:highlight w:val="none"/>
                <w:lang w:eastAsia="en-US"/>
              </w:rPr>
            </w:pPr>
          </w:p>
        </w:tc>
      </w:tr>
    </w:tbl>
    <w:p w14:paraId="26756339">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DAD5A68">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、业绩：</w:t>
      </w:r>
    </w:p>
    <w:p w14:paraId="046D8F32">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需提供中标通知书（或免招标证明）、设计合同文本关键页（不含补充合同）、初步设计审查证明材料或初步设计会议评审纪要（或批复）或施工图审查证明材料扫描件；不符合上述条件或提供的资料不齐全的业绩不得分。如投标人</w:t>
      </w:r>
      <w:r>
        <w:rPr>
          <w:rFonts w:hint="eastAsia" w:ascii="宋体" w:hAnsi="宋体" w:eastAsia="宋体" w:cs="宋体"/>
          <w:color w:val="auto"/>
          <w:szCs w:val="21"/>
          <w:highlight w:val="none"/>
          <w:lang w:eastAsia="zh-CN"/>
        </w:rPr>
        <w:t>提供的业绩</w:t>
      </w:r>
      <w:r>
        <w:rPr>
          <w:rFonts w:hint="eastAsia" w:ascii="宋体" w:hAnsi="宋体" w:eastAsia="宋体" w:cs="宋体"/>
          <w:color w:val="auto"/>
          <w:szCs w:val="21"/>
          <w:highlight w:val="none"/>
        </w:rPr>
        <w:t>为联合体形式完成的，投标人必须为承担设计工作的一方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须提供合同或联合体协议书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5BA44C24">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业绩时间以初步设计审查证明材料或初步设计会议评审纪要（或批复）或施工图审查证明材料时间为准，业绩规模以合同（不含补充合同）或初步设计审查证明材料或初步设计会议评审纪要（或批复）或施工图审查证明材料或者业主出具的证明材料为准。</w:t>
      </w:r>
    </w:p>
    <w:p w14:paraId="0FD018E8">
      <w:pPr>
        <w:wordWrap w:val="0"/>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）联合体投标的，若本项目建筑工程由多个单位承担设计的，则分别计算</w:t>
      </w:r>
      <w:r>
        <w:rPr>
          <w:rFonts w:hint="eastAsia" w:ascii="宋体" w:hAnsi="宋体" w:eastAsia="宋体" w:cs="宋体"/>
          <w:b/>
          <w:bCs/>
          <w:color w:val="auto"/>
          <w:szCs w:val="21"/>
          <w:highlight w:val="none"/>
          <w:lang w:val="en-US" w:eastAsia="zh-CN"/>
        </w:rPr>
        <w:t>各单位业绩得分</w:t>
      </w:r>
      <w:r>
        <w:rPr>
          <w:rFonts w:hint="eastAsia" w:ascii="宋体" w:hAnsi="宋体" w:eastAsia="宋体" w:cs="宋体"/>
          <w:b/>
          <w:bCs/>
          <w:color w:val="auto"/>
          <w:szCs w:val="21"/>
          <w:highlight w:val="none"/>
          <w:lang w:eastAsia="zh-CN"/>
        </w:rPr>
        <w:t>后、取其得分</w:t>
      </w:r>
      <w:r>
        <w:rPr>
          <w:rFonts w:hint="eastAsia" w:ascii="宋体" w:hAnsi="宋体" w:eastAsia="宋体" w:cs="宋体"/>
          <w:b/>
          <w:bCs/>
          <w:color w:val="auto"/>
          <w:szCs w:val="21"/>
          <w:highlight w:val="none"/>
          <w:lang w:val="en-US" w:eastAsia="zh-CN"/>
        </w:rPr>
        <w:t>最</w:t>
      </w:r>
      <w:r>
        <w:rPr>
          <w:rFonts w:hint="eastAsia" w:ascii="宋体" w:hAnsi="宋体" w:eastAsia="宋体" w:cs="宋体"/>
          <w:b/>
          <w:bCs/>
          <w:color w:val="auto"/>
          <w:szCs w:val="21"/>
          <w:highlight w:val="none"/>
          <w:lang w:eastAsia="zh-CN"/>
        </w:rPr>
        <w:t>高的</w:t>
      </w:r>
      <w:r>
        <w:rPr>
          <w:rFonts w:hint="eastAsia" w:ascii="宋体" w:hAnsi="宋体" w:eastAsia="宋体" w:cs="宋体"/>
          <w:b/>
          <w:bCs/>
          <w:color w:val="auto"/>
          <w:szCs w:val="21"/>
          <w:highlight w:val="none"/>
          <w:lang w:val="en-US" w:eastAsia="zh-CN"/>
        </w:rPr>
        <w:t>一家</w:t>
      </w:r>
      <w:r>
        <w:rPr>
          <w:rFonts w:hint="eastAsia" w:ascii="宋体" w:hAnsi="宋体" w:eastAsia="宋体" w:cs="宋体"/>
          <w:b/>
          <w:bCs/>
          <w:color w:val="auto"/>
          <w:szCs w:val="21"/>
          <w:highlight w:val="none"/>
          <w:lang w:eastAsia="zh-CN"/>
        </w:rPr>
        <w:t>单位得分作为</w:t>
      </w:r>
      <w:r>
        <w:rPr>
          <w:rFonts w:hint="eastAsia" w:ascii="宋体" w:hAnsi="宋体" w:eastAsia="宋体" w:cs="宋体"/>
          <w:b/>
          <w:bCs/>
          <w:color w:val="auto"/>
          <w:szCs w:val="21"/>
          <w:highlight w:val="none"/>
          <w:lang w:val="en-US" w:eastAsia="zh-CN"/>
        </w:rPr>
        <w:t>投标人</w:t>
      </w:r>
      <w:r>
        <w:rPr>
          <w:rFonts w:hint="eastAsia" w:ascii="宋体" w:hAnsi="宋体" w:eastAsia="宋体" w:cs="宋体"/>
          <w:b/>
          <w:bCs/>
          <w:color w:val="auto"/>
          <w:szCs w:val="21"/>
          <w:highlight w:val="none"/>
          <w:lang w:eastAsia="zh-CN"/>
        </w:rPr>
        <w:t>相应业绩得分。本项目市政公用工程（须含隧道工程）设计业绩认定同理。</w:t>
      </w:r>
    </w:p>
    <w:p w14:paraId="5F4A708B">
      <w:pPr>
        <w:wordWrap w:val="0"/>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、获奖</w:t>
      </w:r>
      <w:r>
        <w:rPr>
          <w:rFonts w:hint="eastAsia" w:ascii="宋体" w:hAnsi="宋体" w:eastAsia="宋体" w:cs="宋体"/>
          <w:color w:val="auto"/>
          <w:szCs w:val="21"/>
          <w:highlight w:val="none"/>
          <w:lang w:eastAsia="zh-CN"/>
        </w:rPr>
        <w:t>：</w:t>
      </w:r>
    </w:p>
    <w:p w14:paraId="69D56217">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设计类似业绩获奖指建筑工程或市政公用工程（须含隧道工程）设计业绩获奖。</w:t>
      </w:r>
    </w:p>
    <w:p w14:paraId="4CF8D507">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获奖是指由住建部颁发的全国优秀工程勘察设计奖、中国勘察设计协会颁发的全国优秀工程勘察设计行业奖、省级工程勘察设计行业协会颁发的省级优秀勘察设计奖、</w:t>
      </w:r>
      <w:r>
        <w:rPr>
          <w:rFonts w:hint="eastAsia" w:ascii="宋体" w:hAnsi="宋体" w:eastAsia="宋体" w:cs="宋体"/>
          <w:color w:val="auto"/>
          <w:szCs w:val="21"/>
          <w:highlight w:val="none"/>
          <w:lang w:eastAsia="zh-CN"/>
        </w:rPr>
        <w:t>市</w:t>
      </w:r>
      <w:r>
        <w:rPr>
          <w:rFonts w:hint="eastAsia" w:ascii="宋体" w:hAnsi="宋体" w:eastAsia="宋体" w:cs="宋体"/>
          <w:color w:val="auto"/>
          <w:szCs w:val="21"/>
          <w:highlight w:val="none"/>
        </w:rPr>
        <w:t>级（含副省级）工程勘察设计行业协会颁发的</w:t>
      </w:r>
      <w:r>
        <w:rPr>
          <w:rFonts w:hint="eastAsia" w:ascii="宋体" w:hAnsi="宋体" w:eastAsia="宋体" w:cs="宋体"/>
          <w:color w:val="auto"/>
          <w:szCs w:val="21"/>
          <w:highlight w:val="none"/>
          <w:lang w:eastAsia="zh-CN"/>
        </w:rPr>
        <w:t>市</w:t>
      </w:r>
      <w:r>
        <w:rPr>
          <w:rFonts w:hint="eastAsia" w:ascii="宋体" w:hAnsi="宋体" w:eastAsia="宋体" w:cs="宋体"/>
          <w:color w:val="auto"/>
          <w:szCs w:val="21"/>
          <w:highlight w:val="none"/>
        </w:rPr>
        <w:t>级（含副省级）优秀勘察设计奖；由国务院颁发的国家科学技术奖、住建部的华夏建设科学技术奖励委员会颁发的华夏建设科学技术奖、省级人民政府颁发的省科学技术奖、</w:t>
      </w:r>
      <w:r>
        <w:rPr>
          <w:rFonts w:hint="eastAsia" w:ascii="宋体" w:hAnsi="宋体" w:eastAsia="宋体" w:cs="宋体"/>
          <w:color w:val="auto"/>
          <w:szCs w:val="21"/>
          <w:highlight w:val="none"/>
          <w:lang w:eastAsia="zh-CN"/>
        </w:rPr>
        <w:t>市</w:t>
      </w:r>
      <w:r>
        <w:rPr>
          <w:rFonts w:hint="eastAsia" w:ascii="宋体" w:hAnsi="宋体" w:eastAsia="宋体" w:cs="宋体"/>
          <w:color w:val="auto"/>
          <w:szCs w:val="21"/>
          <w:highlight w:val="none"/>
        </w:rPr>
        <w:t>级（含副省级）人民政府颁发的</w:t>
      </w:r>
      <w:r>
        <w:rPr>
          <w:rFonts w:hint="eastAsia" w:ascii="宋体" w:hAnsi="宋体" w:eastAsia="宋体" w:cs="宋体"/>
          <w:color w:val="auto"/>
          <w:szCs w:val="21"/>
          <w:highlight w:val="none"/>
          <w:lang w:eastAsia="zh-CN"/>
        </w:rPr>
        <w:t>市</w:t>
      </w:r>
      <w:r>
        <w:rPr>
          <w:rFonts w:hint="eastAsia" w:ascii="宋体" w:hAnsi="宋体" w:eastAsia="宋体" w:cs="宋体"/>
          <w:color w:val="auto"/>
          <w:szCs w:val="21"/>
          <w:highlight w:val="none"/>
        </w:rPr>
        <w:t>（含副省级）科学技术奖。</w:t>
      </w:r>
      <w:r>
        <w:rPr>
          <w:rFonts w:hint="eastAsia" w:ascii="宋体" w:hAnsi="宋体" w:eastAsia="宋体" w:cs="宋体"/>
          <w:color w:val="auto"/>
          <w:sz w:val="21"/>
          <w:szCs w:val="21"/>
          <w:highlight w:val="none"/>
          <w:lang w:val="en-US" w:eastAsia="zh-CN"/>
        </w:rPr>
        <w:t>国家级（国家科学技术奖、全国优秀工程勘察设计奖、华夏建设科学技术奖、全国优秀工程勘察设计行业奖）分值＞省级（省科学技术奖、省优秀工程勘察设计奖）分值&gt;市级（含副省级）（市科学技术奖、市工程勘察设计奖）分值。</w:t>
      </w:r>
      <w:r>
        <w:rPr>
          <w:rFonts w:hint="eastAsia" w:ascii="宋体" w:hAnsi="宋体" w:eastAsia="宋体" w:cs="宋体"/>
          <w:color w:val="auto"/>
          <w:szCs w:val="21"/>
          <w:highlight w:val="none"/>
        </w:rPr>
        <w:t>获奖时间以证书颁发的时间为准。</w:t>
      </w:r>
      <w:r>
        <w:rPr>
          <w:rFonts w:hint="eastAsia" w:ascii="宋体" w:hAnsi="宋体" w:eastAsia="宋体" w:cs="宋体"/>
          <w:color w:val="auto"/>
          <w:szCs w:val="21"/>
          <w:highlight w:val="none"/>
          <w:lang w:eastAsia="zh-CN"/>
        </w:rPr>
        <w:t>同一项目获得多个奖项的，</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最高奖项只计算一次</w:t>
      </w:r>
      <w:r>
        <w:rPr>
          <w:rFonts w:hint="eastAsia" w:ascii="宋体" w:hAnsi="宋体" w:eastAsia="宋体" w:cs="宋体"/>
          <w:color w:val="auto"/>
          <w:szCs w:val="21"/>
          <w:highlight w:val="none"/>
          <w:lang w:eastAsia="zh-CN"/>
        </w:rPr>
        <w:t>得分</w:t>
      </w:r>
      <w:r>
        <w:rPr>
          <w:rFonts w:hint="eastAsia" w:ascii="宋体" w:hAnsi="宋体" w:eastAsia="宋体" w:cs="宋体"/>
          <w:color w:val="auto"/>
          <w:szCs w:val="21"/>
          <w:highlight w:val="none"/>
        </w:rPr>
        <w:t>，不重复计算。需提供获奖证明扫描件，若颁发机构非政府相关部门，还需提供该组织在中国社会组织政务服务平台（网址：https://chinanpo.mca.gov.cn/）“全国社会组织信用信息公示平台”栏查询结果截图，查询结果“状态”栏必须为“正常”。上述证明材料不提供或不齐全均不得分。</w:t>
      </w:r>
    </w:p>
    <w:p w14:paraId="5D7B9A79">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如前述文件不能体现建筑工程或市政公用工程（须含隧道工程）的，需提供图纸或相关证明材料，否则不得分。</w:t>
      </w:r>
    </w:p>
    <w:p w14:paraId="3A6F267E">
      <w:pPr>
        <w:wordWrap w:val="0"/>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 w:val="21"/>
          <w:szCs w:val="21"/>
          <w:highlight w:val="none"/>
          <w:lang w:val="zh-CN" w:eastAsia="zh-CN"/>
        </w:rPr>
        <w:t>项目负责人资历和业绩：</w:t>
      </w:r>
    </w:p>
    <w:p w14:paraId="08852A89">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szCs w:val="21"/>
          <w:highlight w:val="none"/>
        </w:rPr>
        <w:t>项目负责人设计经历按毕业时间起算，需提供身份证、毕业证、职称证、离投标截止时间最近的至少1个月（即2025年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月）在本单位缴纳的社保证明文件（如部分地区社保证明显示隔月缴费状态，则提供2025年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月的社保证明）扫描件。</w:t>
      </w:r>
    </w:p>
    <w:p w14:paraId="2633DE7E">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项目负责人设计业绩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需中标通知书（或免招标证明）、设计合同文本关键页（不含补充合同）扫描件。</w:t>
      </w: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业绩时间以合同签订日期为准。业绩规模以合同（不含补充合同）</w:t>
      </w:r>
      <w:r>
        <w:rPr>
          <w:rFonts w:hint="eastAsia" w:ascii="宋体" w:hAnsi="宋体" w:eastAsia="宋体" w:cs="宋体"/>
          <w:color w:val="auto"/>
          <w:szCs w:val="21"/>
          <w:highlight w:val="none"/>
          <w:lang w:eastAsia="zh-CN"/>
        </w:rPr>
        <w:t>为准，如合同未体现业绩规模的，可以提供</w:t>
      </w:r>
      <w:r>
        <w:rPr>
          <w:rFonts w:hint="eastAsia" w:ascii="宋体" w:hAnsi="宋体" w:eastAsia="宋体" w:cs="宋体"/>
          <w:color w:val="auto"/>
          <w:szCs w:val="21"/>
          <w:highlight w:val="none"/>
        </w:rPr>
        <w:t>初步设计审查证明材料或初步设计会议评审纪要（或批复）或施工图审查证明材料或者业主出具的证明材料</w:t>
      </w:r>
      <w:r>
        <w:rPr>
          <w:rFonts w:hint="eastAsia" w:ascii="宋体" w:hAnsi="宋体" w:eastAsia="宋体" w:cs="宋体"/>
          <w:color w:val="auto"/>
          <w:szCs w:val="21"/>
          <w:highlight w:val="none"/>
          <w:lang w:eastAsia="zh-CN"/>
        </w:rPr>
        <w:t>证明业绩规模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③</w:t>
      </w:r>
      <w:r>
        <w:rPr>
          <w:rFonts w:hint="eastAsia" w:ascii="宋体" w:hAnsi="宋体" w:eastAsia="宋体" w:cs="宋体"/>
          <w:color w:val="auto"/>
          <w:szCs w:val="21"/>
          <w:highlight w:val="none"/>
        </w:rPr>
        <w:t>如相关证明资料未能体现项目负责人姓名，须提供业主证明文件</w:t>
      </w:r>
      <w:r>
        <w:rPr>
          <w:rFonts w:hint="eastAsia" w:ascii="宋体" w:hAnsi="宋体" w:eastAsia="宋体" w:cs="宋体"/>
          <w:color w:val="auto"/>
          <w:szCs w:val="21"/>
          <w:highlight w:val="none"/>
          <w:lang w:eastAsia="zh-CN"/>
        </w:rPr>
        <w:t>。④</w:t>
      </w:r>
      <w:r>
        <w:rPr>
          <w:rFonts w:hint="eastAsia" w:ascii="宋体" w:hAnsi="宋体" w:eastAsia="宋体" w:cs="宋体"/>
          <w:color w:val="auto"/>
          <w:szCs w:val="21"/>
          <w:highlight w:val="none"/>
        </w:rPr>
        <w:t>如前述文件不能体现建筑工程或市政公用工程（须含隧道工程）的，需提供图纸或相关证明材料。</w:t>
      </w:r>
      <w:r>
        <w:rPr>
          <w:rFonts w:hint="eastAsia" w:ascii="宋体" w:hAnsi="宋体" w:eastAsia="宋体" w:cs="宋体"/>
          <w:color w:val="auto"/>
          <w:szCs w:val="21"/>
          <w:highlight w:val="none"/>
          <w:lang w:eastAsia="zh-CN"/>
        </w:rPr>
        <w:t>⑤</w:t>
      </w:r>
      <w:r>
        <w:rPr>
          <w:rFonts w:hint="eastAsia" w:ascii="宋体" w:hAnsi="宋体" w:eastAsia="宋体" w:cs="宋体"/>
          <w:color w:val="auto"/>
          <w:szCs w:val="21"/>
          <w:highlight w:val="none"/>
        </w:rPr>
        <w:t>未提供上述资料或不符合要求的不得分。</w:t>
      </w:r>
    </w:p>
    <w:p w14:paraId="76E95749">
      <w:pPr>
        <w:wordWrap w:val="0"/>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 w:val="21"/>
          <w:szCs w:val="21"/>
          <w:highlight w:val="none"/>
          <w:lang w:val="zh-CN" w:eastAsia="zh-CN"/>
        </w:rPr>
        <w:t>其他主要人员资历：</w:t>
      </w:r>
    </w:p>
    <w:p w14:paraId="1EC7CCE9">
      <w:pPr>
        <w:wordWrap w:val="0"/>
        <w:ind w:firstLine="420"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Cs w:val="21"/>
          <w:highlight w:val="none"/>
        </w:rPr>
        <w:t>各专业负责人（不含项目负责人）需提供身份证、职称证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注册证、离投标截止时间最近的至少1个月（即2025年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月）在本单位缴纳的社保证明文件（如部分地区社保证明显示隔月缴费状态，则提供2025年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月的社保证明）证明材料扫描件。</w:t>
      </w:r>
      <w:r>
        <w:rPr>
          <w:rFonts w:hint="eastAsia" w:ascii="宋体" w:hAnsi="宋体" w:eastAsia="宋体" w:cs="宋体"/>
          <w:b/>
          <w:bCs/>
          <w:color w:val="auto"/>
          <w:kern w:val="0"/>
          <w:sz w:val="21"/>
          <w:szCs w:val="21"/>
          <w:highlight w:val="none"/>
          <w:lang w:val="en-US" w:eastAsia="zh-CN"/>
        </w:rPr>
        <w:t>各专业负责人不得兼任；同一专业负责人同时具有注册执业资格和职称的应分别计算得分。</w:t>
      </w:r>
    </w:p>
    <w:p w14:paraId="4942648D">
      <w:pPr>
        <w:wordWrap w:val="0"/>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Cs w:val="21"/>
          <w:highlight w:val="none"/>
        </w:rPr>
        <w:t>投标人拟投入的人员应为本单位人员[若为联合体，除勘察专业负责人由联合体协议</w:t>
      </w:r>
      <w:r>
        <w:rPr>
          <w:rFonts w:hint="eastAsia" w:ascii="宋体" w:hAnsi="宋体" w:eastAsia="宋体" w:cs="宋体"/>
          <w:color w:val="auto"/>
          <w:szCs w:val="21"/>
          <w:highlight w:val="none"/>
          <w:lang w:eastAsia="zh-CN"/>
        </w:rPr>
        <w:t>书</w:t>
      </w:r>
      <w:r>
        <w:rPr>
          <w:rFonts w:hint="eastAsia" w:ascii="宋体" w:hAnsi="宋体" w:eastAsia="宋体" w:cs="宋体"/>
          <w:color w:val="auto"/>
          <w:szCs w:val="21"/>
          <w:highlight w:val="none"/>
        </w:rPr>
        <w:t>中承担勘察工作的成员方提供，其余人员由承担设计工作的设计方提供]</w:t>
      </w:r>
      <w:r>
        <w:rPr>
          <w:rFonts w:hint="eastAsia" w:ascii="宋体" w:hAnsi="宋体" w:eastAsia="宋体" w:cs="宋体"/>
          <w:color w:val="auto"/>
          <w:szCs w:val="21"/>
          <w:highlight w:val="none"/>
          <w:lang w:eastAsia="zh-CN"/>
        </w:rPr>
        <w:t>。</w:t>
      </w:r>
    </w:p>
    <w:p w14:paraId="004B4676">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华人民共和国注册建筑师条例》规定注册建筑师分为一级注册建筑师和二级注册建筑师、《勘察设计注册工程师管理规定》规定注册结构工程师分为一级注册结构工程师和二级注册结构工程师、《注册造价工程师管理办法》规定注册造价工程师分为一级注册造价工程师和二级注册造价工程师。各专业负责人相应专业注册执业资格评审中，除上述专业注册执业资格按一级和二级进行评审外，其他相应专业注册执业资格均按一级注册执业资格计算分值。</w:t>
      </w:r>
    </w:p>
    <w:p w14:paraId="6F70909F">
      <w:pPr>
        <w:wordWrap w:val="0"/>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p>
    <w:p w14:paraId="2638944E">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、认证证书需提供证书扫描件。</w:t>
      </w:r>
    </w:p>
    <w:p w14:paraId="66201488">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、投标人提供的网页信息截图或证明材料扫描件内容必须清晰可辨，如因网页信息截图或证明材料扫描件内容模糊导致评标时无法判断的，均不得分。</w:t>
      </w:r>
    </w:p>
    <w:p w14:paraId="0C372C9A">
      <w:pPr>
        <w:wordWrap w:val="0"/>
        <w:ind w:firstLine="420" w:firstLineChars="200"/>
        <w:rPr>
          <w:rFonts w:ascii="宋体" w:hAnsi="宋体" w:eastAsia="宋体" w:cs="宋体"/>
          <w:color w:val="auto"/>
          <w:szCs w:val="21"/>
          <w:highlight w:val="none"/>
        </w:rPr>
      </w:pPr>
    </w:p>
    <w:p w14:paraId="4ED585C9">
      <w:pPr>
        <w:wordWrap w:val="0"/>
        <w:ind w:firstLine="420" w:firstLineChars="200"/>
        <w:rPr>
          <w:rFonts w:ascii="宋体" w:hAnsi="宋体" w:eastAsia="宋体" w:cs="宋体"/>
          <w:color w:val="auto"/>
          <w:szCs w:val="21"/>
          <w:highlight w:val="none"/>
        </w:rPr>
        <w:sectPr>
          <w:pgSz w:w="16838" w:h="11905" w:orient="landscape"/>
          <w:pgMar w:top="1701" w:right="1474" w:bottom="1701" w:left="1474" w:header="720" w:footer="720" w:gutter="0"/>
          <w:pgBorders>
            <w:top w:val="none" w:sz="0" w:space="0"/>
            <w:left w:val="none" w:sz="0" w:space="0"/>
            <w:bottom w:val="none" w:sz="0" w:space="0"/>
            <w:right w:val="none" w:sz="0" w:space="0"/>
          </w:pgBorders>
          <w:cols w:space="720" w:num="1"/>
        </w:sectPr>
      </w:pPr>
    </w:p>
    <w:p w14:paraId="22E086B1">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附件二：</w:t>
      </w:r>
    </w:p>
    <w:p w14:paraId="3C085E27">
      <w:pPr>
        <w:wordWrap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技术文件评分表</w:t>
      </w:r>
    </w:p>
    <w:tbl>
      <w:tblPr>
        <w:tblStyle w:val="4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576"/>
        <w:gridCol w:w="967"/>
        <w:gridCol w:w="10568"/>
      </w:tblGrid>
      <w:tr w14:paraId="1180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9" w:type="pct"/>
            <w:noWrap w:val="0"/>
            <w:vAlign w:val="center"/>
          </w:tcPr>
          <w:p w14:paraId="289E76D6">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序号</w:t>
            </w:r>
          </w:p>
        </w:tc>
        <w:tc>
          <w:tcPr>
            <w:tcW w:w="559" w:type="pct"/>
            <w:noWrap w:val="0"/>
            <w:vAlign w:val="center"/>
          </w:tcPr>
          <w:p w14:paraId="772EAD19">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评分项目</w:t>
            </w:r>
          </w:p>
        </w:tc>
        <w:tc>
          <w:tcPr>
            <w:tcW w:w="343" w:type="pct"/>
            <w:noWrap w:val="0"/>
            <w:vAlign w:val="center"/>
          </w:tcPr>
          <w:p w14:paraId="7A682BB4">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分值分配</w:t>
            </w:r>
          </w:p>
        </w:tc>
        <w:tc>
          <w:tcPr>
            <w:tcW w:w="3748" w:type="pct"/>
            <w:noWrap w:val="0"/>
            <w:vAlign w:val="center"/>
          </w:tcPr>
          <w:p w14:paraId="2D67E349">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评审标准</w:t>
            </w:r>
          </w:p>
        </w:tc>
      </w:tr>
      <w:tr w14:paraId="0BA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349" w:type="pct"/>
            <w:noWrap w:val="0"/>
            <w:vAlign w:val="center"/>
          </w:tcPr>
          <w:p w14:paraId="6831F80A">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w:t>
            </w:r>
          </w:p>
        </w:tc>
        <w:tc>
          <w:tcPr>
            <w:tcW w:w="559" w:type="pct"/>
            <w:noWrap w:val="0"/>
            <w:vAlign w:val="center"/>
          </w:tcPr>
          <w:p w14:paraId="59487464">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设计范围、设计内容</w:t>
            </w:r>
          </w:p>
        </w:tc>
        <w:tc>
          <w:tcPr>
            <w:tcW w:w="343" w:type="pct"/>
            <w:noWrap w:val="0"/>
            <w:vAlign w:val="center"/>
          </w:tcPr>
          <w:p w14:paraId="744595B5">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p>
        </w:tc>
        <w:tc>
          <w:tcPr>
            <w:tcW w:w="3748" w:type="pct"/>
            <w:noWrap w:val="0"/>
            <w:vAlign w:val="center"/>
          </w:tcPr>
          <w:p w14:paraId="4A368526">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eastAsia="zh-CN"/>
              </w:rPr>
              <w:t>对本项目设计范围、设计内容理解全面、</w:t>
            </w:r>
            <w:r>
              <w:rPr>
                <w:rFonts w:hint="eastAsia" w:hAnsi="宋体" w:cs="宋体"/>
                <w:color w:val="auto"/>
                <w:sz w:val="21"/>
                <w:szCs w:val="21"/>
                <w:highlight w:val="none"/>
                <w:lang w:val="en-US" w:eastAsia="zh-CN"/>
              </w:rPr>
              <w:t>准确</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5</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77FC272D">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eastAsia="zh-CN"/>
              </w:rPr>
              <w:t>对本项目设计范围、设计内容理解较全面，得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4</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242F3B11">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eastAsia="zh-CN"/>
              </w:rPr>
              <w:t>对本项目设计范围、设计内容理解</w:t>
            </w:r>
            <w:r>
              <w:rPr>
                <w:rFonts w:hint="eastAsia" w:hAnsi="宋体" w:cs="宋体"/>
                <w:color w:val="auto"/>
                <w:sz w:val="21"/>
                <w:szCs w:val="21"/>
                <w:highlight w:val="none"/>
                <w:lang w:val="en-US" w:eastAsia="zh-CN"/>
              </w:rPr>
              <w:t>欠完整</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p>
          <w:p w14:paraId="65086163">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Cs w:val="21"/>
                <w:highlight w:val="none"/>
                <w:lang w:eastAsia="zh-CN"/>
              </w:rPr>
              <w:t>无此部分内容得0分。</w:t>
            </w:r>
          </w:p>
        </w:tc>
      </w:tr>
      <w:tr w14:paraId="4798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49" w:type="pct"/>
            <w:noWrap w:val="0"/>
            <w:vAlign w:val="center"/>
          </w:tcPr>
          <w:p w14:paraId="487D21DD">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w:t>
            </w:r>
          </w:p>
        </w:tc>
        <w:tc>
          <w:tcPr>
            <w:tcW w:w="559" w:type="pct"/>
            <w:noWrap w:val="0"/>
            <w:vAlign w:val="center"/>
          </w:tcPr>
          <w:p w14:paraId="788377F9">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规划设计</w:t>
            </w:r>
          </w:p>
        </w:tc>
        <w:tc>
          <w:tcPr>
            <w:tcW w:w="343" w:type="pct"/>
            <w:noWrap w:val="0"/>
            <w:vAlign w:val="center"/>
          </w:tcPr>
          <w:p w14:paraId="648D8AFE">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15</w:t>
            </w:r>
          </w:p>
        </w:tc>
        <w:tc>
          <w:tcPr>
            <w:tcW w:w="3748" w:type="pct"/>
            <w:noWrap w:val="0"/>
            <w:vAlign w:val="center"/>
          </w:tcPr>
          <w:p w14:paraId="58848675">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优：</w:t>
            </w:r>
            <w:r>
              <w:rPr>
                <w:rFonts w:hint="eastAsia" w:ascii="宋体" w:hAnsi="宋体" w:eastAsia="宋体" w:cs="宋体"/>
                <w:color w:val="auto"/>
                <w:sz w:val="21"/>
                <w:szCs w:val="21"/>
                <w:highlight w:val="none"/>
              </w:rPr>
              <w:t>整体</w:t>
            </w:r>
            <w:r>
              <w:rPr>
                <w:rFonts w:hint="eastAsia" w:ascii="宋体" w:hAnsi="宋体" w:eastAsia="宋体" w:cs="宋体"/>
                <w:color w:val="auto"/>
                <w:sz w:val="21"/>
                <w:szCs w:val="21"/>
                <w:highlight w:val="none"/>
                <w:lang w:val="en-US" w:eastAsia="zh-CN"/>
              </w:rPr>
              <w:t>布局</w:t>
            </w:r>
            <w:r>
              <w:rPr>
                <w:rFonts w:hint="eastAsia" w:ascii="宋体" w:hAnsi="宋体" w:eastAsia="宋体" w:cs="宋体"/>
                <w:color w:val="auto"/>
                <w:sz w:val="21"/>
                <w:szCs w:val="21"/>
                <w:highlight w:val="none"/>
              </w:rPr>
              <w:t>合理，对项目理解准确深刻</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空间结构清晰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功能分区明确、交通组织合理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15</w:t>
            </w:r>
            <w:r>
              <w:rPr>
                <w:rFonts w:hint="eastAsia" w:hAnsi="宋体" w:cs="宋体"/>
                <w:color w:val="auto"/>
                <w:sz w:val="21"/>
                <w:szCs w:val="21"/>
                <w:highlight w:val="none"/>
                <w:lang w:val="en-US" w:eastAsia="zh-CN"/>
              </w:rPr>
              <w:t>]。</w:t>
            </w:r>
          </w:p>
          <w:p w14:paraId="09159A69">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sz w:val="21"/>
                <w:szCs w:val="21"/>
                <w:highlight w:val="none"/>
                <w:lang w:val="en-US" w:eastAsia="zh-CN"/>
              </w:rPr>
            </w:pPr>
            <w:r>
              <w:rPr>
                <w:rFonts w:hint="eastAsia" w:hAnsi="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整体</w:t>
            </w:r>
            <w:r>
              <w:rPr>
                <w:rFonts w:hint="eastAsia" w:ascii="宋体" w:hAnsi="宋体" w:eastAsia="宋体" w:cs="宋体"/>
                <w:color w:val="auto"/>
                <w:sz w:val="21"/>
                <w:szCs w:val="21"/>
                <w:highlight w:val="none"/>
                <w:lang w:val="en-US" w:eastAsia="zh-CN"/>
              </w:rPr>
              <w:t>布局</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rPr>
              <w:t>合理，对项目理解</w:t>
            </w:r>
            <w:r>
              <w:rPr>
                <w:rFonts w:hint="eastAsia" w:hAnsi="宋体" w:cs="宋体"/>
                <w:color w:val="auto"/>
                <w:sz w:val="21"/>
                <w:szCs w:val="21"/>
                <w:highlight w:val="none"/>
                <w:lang w:eastAsia="zh-CN"/>
              </w:rPr>
              <w:t>较</w:t>
            </w:r>
            <w:r>
              <w:rPr>
                <w:rFonts w:hint="eastAsia" w:ascii="宋体" w:hAnsi="宋体" w:eastAsia="宋体" w:cs="宋体"/>
                <w:color w:val="auto"/>
                <w:sz w:val="21"/>
                <w:szCs w:val="21"/>
                <w:highlight w:val="none"/>
              </w:rPr>
              <w:t>准确</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空间结构</w:t>
            </w:r>
            <w:r>
              <w:rPr>
                <w:rFonts w:hint="eastAsia" w:hAnsi="宋体" w:cs="宋体"/>
                <w:color w:val="auto"/>
                <w:sz w:val="21"/>
                <w:szCs w:val="21"/>
                <w:highlight w:val="none"/>
                <w:lang w:eastAsia="zh-CN"/>
              </w:rPr>
              <w:t>较</w:t>
            </w:r>
            <w:r>
              <w:rPr>
                <w:rFonts w:hint="eastAsia" w:ascii="宋体" w:hAnsi="宋体" w:eastAsia="宋体" w:cs="宋体"/>
                <w:color w:val="auto"/>
                <w:sz w:val="21"/>
                <w:szCs w:val="21"/>
                <w:highlight w:val="none"/>
              </w:rPr>
              <w:t>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功能分区</w:t>
            </w:r>
            <w:r>
              <w:rPr>
                <w:rFonts w:hint="eastAsia" w:hAnsi="宋体" w:cs="宋体"/>
                <w:color w:val="auto"/>
                <w:sz w:val="21"/>
                <w:szCs w:val="21"/>
                <w:highlight w:val="none"/>
                <w:lang w:eastAsia="zh-CN"/>
              </w:rPr>
              <w:t>较</w:t>
            </w:r>
            <w:r>
              <w:rPr>
                <w:rFonts w:hint="eastAsia" w:ascii="宋体" w:hAnsi="宋体" w:eastAsia="宋体" w:cs="宋体"/>
                <w:color w:val="auto"/>
                <w:sz w:val="21"/>
                <w:szCs w:val="21"/>
                <w:highlight w:val="none"/>
              </w:rPr>
              <w:t>明确、交通组织</w:t>
            </w:r>
            <w:r>
              <w:rPr>
                <w:rFonts w:hint="eastAsia" w:hAnsi="宋体" w:cs="宋体"/>
                <w:color w:val="auto"/>
                <w:sz w:val="21"/>
                <w:szCs w:val="21"/>
                <w:highlight w:val="none"/>
                <w:lang w:eastAsia="zh-CN"/>
              </w:rPr>
              <w:t>较</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12</w:t>
            </w:r>
            <w:r>
              <w:rPr>
                <w:rFonts w:hint="eastAsia" w:hAnsi="宋体" w:cs="宋体"/>
                <w:color w:val="auto"/>
                <w:sz w:val="21"/>
                <w:szCs w:val="21"/>
                <w:highlight w:val="none"/>
                <w:lang w:val="en-US" w:eastAsia="zh-CN"/>
              </w:rPr>
              <w:t>]。</w:t>
            </w:r>
          </w:p>
          <w:p w14:paraId="1BEDA8DC">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val="0"/>
                <w:bCs w:val="0"/>
                <w:color w:val="auto"/>
                <w:sz w:val="21"/>
                <w:szCs w:val="21"/>
                <w:highlight w:val="none"/>
                <w:lang w:val="en-US" w:eastAsia="zh-CN"/>
              </w:rPr>
            </w:pPr>
            <w:r>
              <w:rPr>
                <w:rFonts w:hint="eastAsia" w:hAnsi="宋体" w:cs="宋体"/>
                <w:b/>
                <w:bCs/>
                <w:color w:val="auto"/>
                <w:sz w:val="21"/>
                <w:szCs w:val="21"/>
                <w:highlight w:val="none"/>
                <w:lang w:val="en-US" w:eastAsia="zh-CN"/>
              </w:rPr>
              <w:t>一般</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整体</w:t>
            </w:r>
            <w:r>
              <w:rPr>
                <w:rFonts w:hint="eastAsia" w:ascii="宋体" w:hAnsi="宋体" w:eastAsia="宋体" w:cs="宋体"/>
                <w:color w:val="auto"/>
                <w:sz w:val="21"/>
                <w:szCs w:val="21"/>
                <w:highlight w:val="none"/>
                <w:lang w:val="en-US" w:eastAsia="zh-CN"/>
              </w:rPr>
              <w:t>布局</w:t>
            </w:r>
            <w:r>
              <w:rPr>
                <w:rFonts w:hint="eastAsia" w:hAnsi="宋体" w:cs="宋体"/>
                <w:b w:val="0"/>
                <w:bCs w:val="0"/>
                <w:color w:val="auto"/>
                <w:sz w:val="21"/>
                <w:szCs w:val="21"/>
                <w:highlight w:val="none"/>
                <w:lang w:val="en-US" w:eastAsia="zh-CN"/>
              </w:rPr>
              <w:t>欠</w:t>
            </w:r>
            <w:r>
              <w:rPr>
                <w:rFonts w:hint="eastAsia" w:ascii="宋体" w:hAnsi="宋体" w:cs="宋体"/>
                <w:b w:val="0"/>
                <w:bCs w:val="0"/>
                <w:color w:val="auto"/>
                <w:sz w:val="21"/>
                <w:szCs w:val="21"/>
                <w:highlight w:val="none"/>
                <w:lang w:val="en-US"/>
              </w:rPr>
              <w:t>合理</w:t>
            </w:r>
            <w:r>
              <w:rPr>
                <w:rFonts w:hint="eastAsia" w:ascii="宋体" w:hAnsi="宋体" w:eastAsia="宋体" w:cs="宋体"/>
                <w:color w:val="auto"/>
                <w:sz w:val="21"/>
                <w:szCs w:val="21"/>
                <w:highlight w:val="none"/>
              </w:rPr>
              <w:t>，对项目理解</w:t>
            </w:r>
            <w:r>
              <w:rPr>
                <w:rFonts w:hint="eastAsia" w:hAnsi="宋体" w:cs="宋体"/>
                <w:color w:val="auto"/>
                <w:sz w:val="21"/>
                <w:szCs w:val="21"/>
                <w:highlight w:val="none"/>
                <w:lang w:eastAsia="zh-CN"/>
              </w:rPr>
              <w:t>一般；</w:t>
            </w:r>
            <w:r>
              <w:rPr>
                <w:rFonts w:hint="eastAsia" w:ascii="宋体" w:hAnsi="宋体" w:eastAsia="宋体" w:cs="宋体"/>
                <w:color w:val="auto"/>
                <w:sz w:val="21"/>
                <w:szCs w:val="21"/>
                <w:highlight w:val="none"/>
              </w:rPr>
              <w:t>空间结构</w:t>
            </w:r>
            <w:r>
              <w:rPr>
                <w:rFonts w:hint="eastAsia" w:hAnsi="宋体" w:cs="宋体"/>
                <w:color w:val="auto"/>
                <w:sz w:val="21"/>
                <w:szCs w:val="21"/>
                <w:highlight w:val="none"/>
                <w:lang w:eastAsia="zh-CN"/>
              </w:rPr>
              <w:t>不</w:t>
            </w:r>
            <w:r>
              <w:rPr>
                <w:rFonts w:hint="eastAsia" w:ascii="宋体" w:hAnsi="宋体" w:eastAsia="宋体" w:cs="宋体"/>
                <w:color w:val="auto"/>
                <w:sz w:val="21"/>
                <w:szCs w:val="21"/>
                <w:highlight w:val="none"/>
              </w:rPr>
              <w:t>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功能分区</w:t>
            </w:r>
            <w:r>
              <w:rPr>
                <w:rFonts w:hint="eastAsia" w:hAnsi="宋体" w:cs="宋体"/>
                <w:color w:val="auto"/>
                <w:sz w:val="21"/>
                <w:szCs w:val="21"/>
                <w:highlight w:val="none"/>
                <w:lang w:eastAsia="zh-CN"/>
              </w:rPr>
              <w:t>不够</w:t>
            </w:r>
            <w:r>
              <w:rPr>
                <w:rFonts w:hint="eastAsia" w:ascii="宋体" w:hAnsi="宋体" w:eastAsia="宋体" w:cs="宋体"/>
                <w:color w:val="auto"/>
                <w:sz w:val="21"/>
                <w:szCs w:val="21"/>
                <w:highlight w:val="none"/>
              </w:rPr>
              <w:t>明确、交通组织</w:t>
            </w:r>
            <w:r>
              <w:rPr>
                <w:rFonts w:hint="eastAsia" w:hAnsi="宋体" w:cs="宋体"/>
                <w:b w:val="0"/>
                <w:bCs w:val="0"/>
                <w:color w:val="auto"/>
                <w:sz w:val="21"/>
                <w:szCs w:val="21"/>
                <w:highlight w:val="none"/>
                <w:lang w:val="en-US" w:eastAsia="zh-CN"/>
              </w:rPr>
              <w:t>欠</w:t>
            </w:r>
            <w:r>
              <w:rPr>
                <w:rFonts w:hint="eastAsia" w:ascii="宋体" w:hAnsi="宋体" w:cs="宋体"/>
                <w:b w:val="0"/>
                <w:bCs w:val="0"/>
                <w:color w:val="auto"/>
                <w:sz w:val="21"/>
                <w:szCs w:val="21"/>
                <w:highlight w:val="none"/>
                <w:lang w:val="en-US"/>
              </w:rPr>
              <w:t>合理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9</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p>
          <w:p w14:paraId="41DFC703">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Cs w:val="21"/>
                <w:highlight w:val="none"/>
                <w:lang w:eastAsia="zh-CN"/>
              </w:rPr>
              <w:t>无此部分内容得0分。</w:t>
            </w:r>
          </w:p>
        </w:tc>
      </w:tr>
      <w:tr w14:paraId="4BEF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49" w:type="pct"/>
            <w:noWrap w:val="0"/>
            <w:vAlign w:val="center"/>
          </w:tcPr>
          <w:p w14:paraId="768C97A0">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w:t>
            </w:r>
          </w:p>
        </w:tc>
        <w:tc>
          <w:tcPr>
            <w:tcW w:w="559" w:type="pct"/>
            <w:noWrap w:val="0"/>
            <w:vAlign w:val="center"/>
          </w:tcPr>
          <w:p w14:paraId="4342A60B">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交通组织</w:t>
            </w:r>
          </w:p>
        </w:tc>
        <w:tc>
          <w:tcPr>
            <w:tcW w:w="343" w:type="pct"/>
            <w:noWrap w:val="0"/>
            <w:vAlign w:val="center"/>
          </w:tcPr>
          <w:p w14:paraId="157D3C4C">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15</w:t>
            </w:r>
          </w:p>
        </w:tc>
        <w:tc>
          <w:tcPr>
            <w:tcW w:w="3748" w:type="pct"/>
            <w:noWrap w:val="0"/>
            <w:vAlign w:val="center"/>
          </w:tcPr>
          <w:p w14:paraId="1A325E65">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
              </w:rPr>
              <w:t>优：</w:t>
            </w:r>
            <w:r>
              <w:rPr>
                <w:rFonts w:hint="eastAsia" w:ascii="宋体" w:hAnsi="宋体" w:eastAsia="宋体" w:cs="宋体"/>
                <w:color w:val="auto"/>
                <w:sz w:val="21"/>
                <w:szCs w:val="21"/>
                <w:highlight w:val="none"/>
                <w:lang w:val="en-US" w:eastAsia="zh-CN"/>
              </w:rPr>
              <w:t>与外部交通系统的衔接方面：合理规划与设计人流和车流，充分考虑与周边道路、地块及公共交通系统的衔接，并分析停车场启用后对道路交通流量的影响，提出合理解决措施，提高通行效率；内部的交通流线方面：合理规划停车场的规模、布局及出入口，</w:t>
            </w:r>
            <w:r>
              <w:rPr>
                <w:rFonts w:hint="eastAsia" w:ascii="宋体" w:hAnsi="宋体" w:eastAsia="宋体" w:cs="宋体"/>
                <w:bCs/>
                <w:color w:val="auto"/>
                <w:sz w:val="21"/>
                <w:szCs w:val="21"/>
                <w:highlight w:val="none"/>
                <w:lang w:eastAsia="zh-CN"/>
              </w:rPr>
              <w:t>空间布局合理，功能分区有序，</w:t>
            </w:r>
            <w:r>
              <w:rPr>
                <w:rFonts w:hint="eastAsia" w:ascii="宋体" w:hAnsi="宋体" w:eastAsia="宋体" w:cs="宋体"/>
                <w:color w:val="auto"/>
                <w:sz w:val="21"/>
                <w:szCs w:val="21"/>
                <w:highlight w:val="none"/>
                <w:lang w:val="en-US" w:eastAsia="zh-CN"/>
              </w:rPr>
              <w:t>符合安全性原则；消防应急疏散方案合理可行。</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15</w:t>
            </w:r>
            <w:r>
              <w:rPr>
                <w:rFonts w:hint="eastAsia" w:hAnsi="宋体" w:cs="宋体"/>
                <w:color w:val="auto"/>
                <w:sz w:val="21"/>
                <w:szCs w:val="21"/>
                <w:highlight w:val="none"/>
                <w:lang w:val="en-US" w:eastAsia="zh-CN"/>
              </w:rPr>
              <w:t>]。</w:t>
            </w:r>
          </w:p>
          <w:p w14:paraId="60C06CD7">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：与外部交通系统的衔接方面：</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合理规划与设计人流和车流，</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充分考虑与周边道路、地块及公共交通系统的衔接，并分析停车场启用后对道路交通流量的影响，提出解决措施</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w:t>
            </w:r>
            <w:r>
              <w:rPr>
                <w:rFonts w:hint="eastAsia" w:hAnsi="宋体" w:cs="宋体"/>
                <w:color w:val="auto"/>
                <w:sz w:val="21"/>
                <w:szCs w:val="21"/>
                <w:highlight w:val="none"/>
                <w:lang w:val="en-US" w:eastAsia="zh-CN"/>
              </w:rPr>
              <w:t>一定程度</w:t>
            </w:r>
            <w:r>
              <w:rPr>
                <w:rFonts w:hint="eastAsia" w:ascii="宋体" w:hAnsi="宋体" w:eastAsia="宋体" w:cs="宋体"/>
                <w:color w:val="auto"/>
                <w:sz w:val="21"/>
                <w:szCs w:val="21"/>
                <w:highlight w:val="none"/>
                <w:lang w:val="en-US" w:eastAsia="zh-CN"/>
              </w:rPr>
              <w:t>提高通行效率；内部的交通流线方面：</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合理规划停车场的规模、布局及出入口，</w:t>
            </w:r>
            <w:r>
              <w:rPr>
                <w:rFonts w:hint="eastAsia" w:ascii="宋体" w:hAnsi="宋体" w:eastAsia="宋体" w:cs="宋体"/>
                <w:bCs/>
                <w:color w:val="auto"/>
                <w:sz w:val="21"/>
                <w:szCs w:val="21"/>
                <w:highlight w:val="none"/>
                <w:lang w:eastAsia="zh-CN"/>
              </w:rPr>
              <w:t>空间布局</w:t>
            </w:r>
            <w:r>
              <w:rPr>
                <w:rFonts w:hint="eastAsia" w:hAnsi="宋体" w:cs="宋体"/>
                <w:bCs/>
                <w:color w:val="auto"/>
                <w:sz w:val="21"/>
                <w:szCs w:val="21"/>
                <w:highlight w:val="none"/>
                <w:lang w:val="en-US" w:eastAsia="zh-CN"/>
              </w:rPr>
              <w:t>较</w:t>
            </w:r>
            <w:r>
              <w:rPr>
                <w:rFonts w:hint="eastAsia" w:ascii="宋体" w:hAnsi="宋体" w:eastAsia="宋体" w:cs="宋体"/>
                <w:bCs/>
                <w:color w:val="auto"/>
                <w:sz w:val="21"/>
                <w:szCs w:val="21"/>
                <w:highlight w:val="none"/>
                <w:lang w:eastAsia="zh-CN"/>
              </w:rPr>
              <w:t>合理，功能分区</w:t>
            </w:r>
            <w:r>
              <w:rPr>
                <w:rFonts w:hint="eastAsia" w:hAnsi="宋体" w:cs="宋体"/>
                <w:bCs/>
                <w:color w:val="auto"/>
                <w:sz w:val="21"/>
                <w:szCs w:val="21"/>
                <w:highlight w:val="none"/>
                <w:lang w:val="en-US" w:eastAsia="zh-CN"/>
              </w:rPr>
              <w:t>较</w:t>
            </w:r>
            <w:r>
              <w:rPr>
                <w:rFonts w:hint="eastAsia" w:ascii="宋体" w:hAnsi="宋体" w:eastAsia="宋体" w:cs="宋体"/>
                <w:bCs/>
                <w:color w:val="auto"/>
                <w:sz w:val="21"/>
                <w:szCs w:val="21"/>
                <w:highlight w:val="none"/>
                <w:lang w:eastAsia="zh-CN"/>
              </w:rPr>
              <w:t>有序，</w:t>
            </w:r>
            <w:r>
              <w:rPr>
                <w:rFonts w:hint="eastAsia" w:ascii="宋体" w:hAnsi="宋体" w:eastAsia="宋体" w:cs="宋体"/>
                <w:color w:val="auto"/>
                <w:sz w:val="21"/>
                <w:szCs w:val="21"/>
                <w:highlight w:val="none"/>
                <w:lang w:val="en-US" w:eastAsia="zh-CN"/>
              </w:rPr>
              <w:t>符合安全性原则；消防应急疏散方案</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合理可行。</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12</w:t>
            </w:r>
            <w:r>
              <w:rPr>
                <w:rFonts w:hint="eastAsia" w:hAnsi="宋体" w:cs="宋体"/>
                <w:color w:val="auto"/>
                <w:sz w:val="21"/>
                <w:szCs w:val="21"/>
                <w:highlight w:val="none"/>
                <w:lang w:val="en-US" w:eastAsia="zh-CN"/>
              </w:rPr>
              <w:t>]。</w:t>
            </w:r>
          </w:p>
          <w:p w14:paraId="0E6FB26E">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hAnsi="宋体" w:cs="宋体"/>
                <w:b/>
                <w:bCs/>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：与外部交通系统的衔接方面：</w:t>
            </w:r>
            <w:r>
              <w:rPr>
                <w:rFonts w:hint="eastAsia" w:hAnsi="宋体" w:cs="宋体"/>
                <w:color w:val="auto"/>
                <w:sz w:val="21"/>
                <w:szCs w:val="21"/>
                <w:highlight w:val="none"/>
                <w:lang w:val="en-US" w:eastAsia="zh-CN"/>
              </w:rPr>
              <w:t>未</w:t>
            </w:r>
            <w:r>
              <w:rPr>
                <w:rFonts w:hint="eastAsia" w:ascii="宋体" w:hAnsi="宋体" w:eastAsia="宋体" w:cs="宋体"/>
                <w:color w:val="auto"/>
                <w:sz w:val="21"/>
                <w:szCs w:val="21"/>
                <w:highlight w:val="none"/>
                <w:lang w:val="en-US" w:eastAsia="zh-CN"/>
              </w:rPr>
              <w:t>合理规划与设计人流和车流，</w:t>
            </w:r>
            <w:r>
              <w:rPr>
                <w:rFonts w:hint="eastAsia" w:hAnsi="宋体" w:cs="宋体"/>
                <w:color w:val="auto"/>
                <w:sz w:val="21"/>
                <w:szCs w:val="21"/>
                <w:highlight w:val="none"/>
                <w:lang w:val="en-US" w:eastAsia="zh-CN"/>
              </w:rPr>
              <w:t>未</w:t>
            </w:r>
            <w:r>
              <w:rPr>
                <w:rFonts w:hint="eastAsia" w:ascii="宋体" w:hAnsi="宋体" w:eastAsia="宋体" w:cs="宋体"/>
                <w:color w:val="auto"/>
                <w:sz w:val="21"/>
                <w:szCs w:val="21"/>
                <w:highlight w:val="none"/>
                <w:lang w:val="en-US" w:eastAsia="zh-CN"/>
              </w:rPr>
              <w:t>充分考虑与周边道路、地块及公共交通系统的衔接，</w:t>
            </w:r>
            <w:r>
              <w:rPr>
                <w:rFonts w:hint="eastAsia" w:hAnsi="宋体" w:cs="宋体"/>
                <w:color w:val="auto"/>
                <w:sz w:val="21"/>
                <w:szCs w:val="21"/>
                <w:highlight w:val="none"/>
                <w:lang w:val="en-US" w:eastAsia="zh-CN"/>
              </w:rPr>
              <w:t>未能</w:t>
            </w:r>
            <w:r>
              <w:rPr>
                <w:rFonts w:hint="eastAsia" w:ascii="宋体" w:hAnsi="宋体" w:eastAsia="宋体" w:cs="宋体"/>
                <w:color w:val="auto"/>
                <w:sz w:val="21"/>
                <w:szCs w:val="21"/>
                <w:highlight w:val="none"/>
                <w:lang w:val="en-US" w:eastAsia="zh-CN"/>
              </w:rPr>
              <w:t>提高通行效率；内部的交通流线方面：</w:t>
            </w:r>
            <w:r>
              <w:rPr>
                <w:rFonts w:hint="eastAsia" w:hAnsi="宋体" w:cs="宋体"/>
                <w:color w:val="auto"/>
                <w:sz w:val="21"/>
                <w:szCs w:val="21"/>
                <w:highlight w:val="none"/>
                <w:lang w:val="en-US" w:eastAsia="zh-CN"/>
              </w:rPr>
              <w:t>未</w:t>
            </w:r>
            <w:r>
              <w:rPr>
                <w:rFonts w:hint="eastAsia" w:ascii="宋体" w:hAnsi="宋体" w:eastAsia="宋体" w:cs="宋体"/>
                <w:color w:val="auto"/>
                <w:sz w:val="21"/>
                <w:szCs w:val="21"/>
                <w:highlight w:val="none"/>
                <w:lang w:val="en-US" w:eastAsia="zh-CN"/>
              </w:rPr>
              <w:t>合理规划停车场的规模、布局及出入口，</w:t>
            </w:r>
            <w:r>
              <w:rPr>
                <w:rFonts w:hint="eastAsia" w:ascii="宋体" w:hAnsi="宋体" w:eastAsia="宋体" w:cs="宋体"/>
                <w:bCs/>
                <w:color w:val="auto"/>
                <w:sz w:val="21"/>
                <w:szCs w:val="21"/>
                <w:highlight w:val="none"/>
                <w:lang w:eastAsia="zh-CN"/>
              </w:rPr>
              <w:t>空间布局</w:t>
            </w:r>
            <w:r>
              <w:rPr>
                <w:rFonts w:hint="eastAsia" w:hAnsi="宋体" w:cs="宋体"/>
                <w:bCs/>
                <w:color w:val="auto"/>
                <w:sz w:val="21"/>
                <w:szCs w:val="21"/>
                <w:highlight w:val="none"/>
                <w:lang w:val="en-US" w:eastAsia="zh-CN"/>
              </w:rPr>
              <w:t>欠</w:t>
            </w:r>
            <w:r>
              <w:rPr>
                <w:rFonts w:hint="eastAsia" w:ascii="宋体" w:hAnsi="宋体" w:eastAsia="宋体" w:cs="宋体"/>
                <w:bCs/>
                <w:color w:val="auto"/>
                <w:sz w:val="21"/>
                <w:szCs w:val="21"/>
                <w:highlight w:val="none"/>
                <w:lang w:eastAsia="zh-CN"/>
              </w:rPr>
              <w:t>合理，</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符合安全性原则；消防应急疏散方案</w:t>
            </w:r>
            <w:r>
              <w:rPr>
                <w:rFonts w:hint="eastAsia" w:hAnsi="宋体" w:cs="宋体"/>
                <w:color w:val="auto"/>
                <w:sz w:val="21"/>
                <w:szCs w:val="21"/>
                <w:highlight w:val="none"/>
                <w:lang w:val="en-US" w:eastAsia="zh-CN"/>
              </w:rPr>
              <w:t>欠</w:t>
            </w:r>
            <w:r>
              <w:rPr>
                <w:rFonts w:hint="eastAsia" w:ascii="宋体" w:hAnsi="宋体" w:eastAsia="宋体" w:cs="宋体"/>
                <w:color w:val="auto"/>
                <w:sz w:val="21"/>
                <w:szCs w:val="21"/>
                <w:highlight w:val="none"/>
                <w:lang w:val="en-US" w:eastAsia="zh-CN"/>
              </w:rPr>
              <w:t>合理可行。</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9</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w:t>
            </w:r>
          </w:p>
          <w:p w14:paraId="3A9E0DBD">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tc>
      </w:tr>
      <w:tr w14:paraId="481E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49" w:type="pct"/>
            <w:noWrap w:val="0"/>
            <w:vAlign w:val="center"/>
          </w:tcPr>
          <w:p w14:paraId="2773E1BB">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四</w:t>
            </w:r>
          </w:p>
        </w:tc>
        <w:tc>
          <w:tcPr>
            <w:tcW w:w="559" w:type="pct"/>
            <w:noWrap w:val="0"/>
            <w:vAlign w:val="center"/>
          </w:tcPr>
          <w:p w14:paraId="5677BBAA">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使用功能</w:t>
            </w:r>
          </w:p>
        </w:tc>
        <w:tc>
          <w:tcPr>
            <w:tcW w:w="343" w:type="pct"/>
            <w:noWrap w:val="0"/>
            <w:vAlign w:val="center"/>
          </w:tcPr>
          <w:p w14:paraId="7790034F">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3748" w:type="pct"/>
            <w:noWrap w:val="0"/>
            <w:vAlign w:val="center"/>
          </w:tcPr>
          <w:p w14:paraId="3A651541">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针对本项目的使用功能进行合理布局，建筑整体协调、舒适，包括空间布局设计、设施配置等。地下停车场智能停车方案合理可行，隧道配套上盖工程降噪设计优秀，</w:t>
            </w:r>
            <w:r>
              <w:rPr>
                <w:rFonts w:hint="eastAsia" w:ascii="宋体" w:hAnsi="宋体" w:cs="宋体"/>
                <w:color w:val="auto"/>
                <w:sz w:val="21"/>
                <w:szCs w:val="21"/>
                <w:highlight w:val="none"/>
                <w:lang w:val="en-US" w:eastAsia="zh-CN"/>
              </w:rPr>
              <w:t>并合理预留</w:t>
            </w:r>
            <w:r>
              <w:rPr>
                <w:rFonts w:hint="eastAsia" w:ascii="宋体" w:hAnsi="宋体" w:eastAsia="宋体" w:cs="宋体"/>
                <w:color w:val="auto"/>
                <w:sz w:val="21"/>
                <w:szCs w:val="21"/>
                <w:highlight w:val="none"/>
                <w:lang w:val="en-US" w:eastAsia="zh-CN"/>
              </w:rPr>
              <w:t>滨江公园建设</w:t>
            </w:r>
            <w:r>
              <w:rPr>
                <w:rFonts w:hint="eastAsia" w:ascii="宋体" w:hAnsi="宋体" w:cs="宋体"/>
                <w:color w:val="auto"/>
                <w:sz w:val="21"/>
                <w:szCs w:val="21"/>
                <w:highlight w:val="none"/>
                <w:lang w:val="en-US" w:eastAsia="zh-CN"/>
              </w:rPr>
              <w:t>条件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30</w:t>
            </w:r>
            <w:r>
              <w:rPr>
                <w:rFonts w:hint="eastAsia" w:hAnsi="宋体" w:cs="宋体"/>
                <w:color w:val="auto"/>
                <w:sz w:val="21"/>
                <w:szCs w:val="21"/>
                <w:highlight w:val="none"/>
                <w:lang w:val="en-US" w:eastAsia="zh-CN"/>
              </w:rPr>
              <w:t>]。</w:t>
            </w:r>
          </w:p>
          <w:p w14:paraId="582B7F3B">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对本项目的使用功能进行</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合理布局，建筑整体</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协调、</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舒适。地下停车场智能停车方案</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合理可行，隧道配套上盖工程降噪设计</w:t>
            </w:r>
            <w:r>
              <w:rPr>
                <w:rFonts w:hint="eastAsia" w:hAnsi="宋体" w:cs="宋体"/>
                <w:color w:val="auto"/>
                <w:sz w:val="21"/>
                <w:szCs w:val="21"/>
                <w:highlight w:val="none"/>
                <w:lang w:val="en-US" w:eastAsia="zh-CN"/>
              </w:rPr>
              <w:t>良好</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并</w:t>
            </w:r>
            <w:r>
              <w:rPr>
                <w:rFonts w:hint="eastAsia" w:hAnsi="宋体" w:cs="宋体"/>
                <w:color w:val="auto"/>
                <w:sz w:val="21"/>
                <w:szCs w:val="21"/>
                <w:highlight w:val="none"/>
                <w:lang w:val="en-US" w:eastAsia="zh-CN"/>
              </w:rPr>
              <w:t>较</w:t>
            </w:r>
            <w:r>
              <w:rPr>
                <w:rFonts w:hint="eastAsia" w:ascii="宋体" w:hAnsi="宋体" w:cs="宋体"/>
                <w:color w:val="auto"/>
                <w:sz w:val="21"/>
                <w:szCs w:val="21"/>
                <w:highlight w:val="none"/>
                <w:lang w:val="en-US" w:eastAsia="zh-CN"/>
              </w:rPr>
              <w:t>合理预留</w:t>
            </w:r>
            <w:r>
              <w:rPr>
                <w:rFonts w:hint="eastAsia" w:ascii="宋体" w:hAnsi="宋体" w:eastAsia="宋体" w:cs="宋体"/>
                <w:color w:val="auto"/>
                <w:sz w:val="21"/>
                <w:szCs w:val="21"/>
                <w:highlight w:val="none"/>
                <w:lang w:val="en-US" w:eastAsia="zh-CN"/>
              </w:rPr>
              <w:t>滨江公园建设</w:t>
            </w:r>
            <w:r>
              <w:rPr>
                <w:rFonts w:hint="eastAsia" w:ascii="宋体" w:hAnsi="宋体" w:cs="宋体"/>
                <w:color w:val="auto"/>
                <w:sz w:val="21"/>
                <w:szCs w:val="21"/>
                <w:highlight w:val="none"/>
                <w:lang w:val="en-US" w:eastAsia="zh-CN"/>
              </w:rPr>
              <w:t>条件</w:t>
            </w:r>
            <w:r>
              <w:rPr>
                <w:rFonts w:hint="eastAsia" w:hAnsi="宋体" w:cs="宋体"/>
                <w:color w:val="auto"/>
                <w:sz w:val="21"/>
                <w:szCs w:val="21"/>
                <w:highlight w:val="none"/>
                <w:lang w:val="en-US" w:eastAsia="zh-CN"/>
              </w:rPr>
              <w:t>。</w:t>
            </w:r>
          </w:p>
          <w:p w14:paraId="126F0831">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对本项目的使用功能</w:t>
            </w:r>
            <w:r>
              <w:rPr>
                <w:rFonts w:hint="eastAsia" w:hAnsi="宋体" w:cs="宋体"/>
                <w:color w:val="auto"/>
                <w:sz w:val="21"/>
                <w:szCs w:val="21"/>
                <w:highlight w:val="none"/>
                <w:lang w:val="en-US" w:eastAsia="zh-CN"/>
              </w:rPr>
              <w:t>欠缺</w:t>
            </w:r>
            <w:r>
              <w:rPr>
                <w:rFonts w:hint="eastAsia" w:ascii="宋体" w:hAnsi="宋体" w:eastAsia="宋体" w:cs="宋体"/>
                <w:color w:val="auto"/>
                <w:sz w:val="21"/>
                <w:szCs w:val="21"/>
                <w:highlight w:val="none"/>
                <w:lang w:val="en-US" w:eastAsia="zh-CN"/>
              </w:rPr>
              <w:t>合理布局，建筑整体协调性及舒适</w:t>
            </w:r>
            <w:r>
              <w:rPr>
                <w:rFonts w:hint="eastAsia" w:hAnsi="宋体" w:cs="宋体"/>
                <w:color w:val="auto"/>
                <w:sz w:val="21"/>
                <w:szCs w:val="21"/>
                <w:highlight w:val="none"/>
                <w:lang w:val="en-US" w:eastAsia="zh-CN"/>
              </w:rPr>
              <w:t>性一般</w:t>
            </w:r>
            <w:r>
              <w:rPr>
                <w:rFonts w:hint="eastAsia" w:ascii="宋体" w:hAnsi="宋体" w:eastAsia="宋体" w:cs="宋体"/>
                <w:color w:val="auto"/>
                <w:sz w:val="21"/>
                <w:szCs w:val="21"/>
                <w:highlight w:val="none"/>
                <w:lang w:val="en-US" w:eastAsia="zh-CN"/>
              </w:rPr>
              <w:t>。地下停车场智能停车方案</w:t>
            </w:r>
            <w:r>
              <w:rPr>
                <w:rFonts w:hint="eastAsia" w:hAnsi="宋体" w:cs="宋体"/>
                <w:color w:val="auto"/>
                <w:sz w:val="21"/>
                <w:szCs w:val="21"/>
                <w:highlight w:val="none"/>
                <w:lang w:val="en-US" w:eastAsia="zh-CN"/>
              </w:rPr>
              <w:t>欠</w:t>
            </w:r>
            <w:r>
              <w:rPr>
                <w:rFonts w:hint="eastAsia" w:ascii="宋体" w:hAnsi="宋体" w:eastAsia="宋体" w:cs="宋体"/>
                <w:color w:val="auto"/>
                <w:sz w:val="21"/>
                <w:szCs w:val="21"/>
                <w:highlight w:val="none"/>
                <w:lang w:val="en-US" w:eastAsia="zh-CN"/>
              </w:rPr>
              <w:t>合理，隧道配套上盖工程降噪设计</w:t>
            </w:r>
            <w:r>
              <w:rPr>
                <w:rFonts w:hint="eastAsia"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预留</w:t>
            </w:r>
            <w:r>
              <w:rPr>
                <w:rFonts w:hint="eastAsia" w:ascii="宋体" w:hAnsi="宋体" w:eastAsia="宋体" w:cs="宋体"/>
                <w:color w:val="auto"/>
                <w:sz w:val="21"/>
                <w:szCs w:val="21"/>
                <w:highlight w:val="none"/>
                <w:lang w:val="en-US" w:eastAsia="zh-CN"/>
              </w:rPr>
              <w:t>滨江公园建设</w:t>
            </w:r>
            <w:r>
              <w:rPr>
                <w:rFonts w:hint="eastAsia" w:ascii="宋体" w:hAnsi="宋体" w:cs="宋体"/>
                <w:color w:val="auto"/>
                <w:sz w:val="21"/>
                <w:szCs w:val="21"/>
                <w:highlight w:val="none"/>
                <w:lang w:val="en-US" w:eastAsia="zh-CN"/>
              </w:rPr>
              <w:t>条件</w:t>
            </w:r>
            <w:r>
              <w:rPr>
                <w:rFonts w:hint="eastAsia" w:hAnsi="宋体" w:cs="宋体"/>
                <w:color w:val="auto"/>
                <w:sz w:val="21"/>
                <w:szCs w:val="21"/>
                <w:highlight w:val="none"/>
                <w:lang w:val="en-US" w:eastAsia="zh-CN"/>
              </w:rPr>
              <w:t>欠</w:t>
            </w:r>
            <w:r>
              <w:rPr>
                <w:rFonts w:hint="eastAsia" w:ascii="宋体" w:hAnsi="宋体" w:cs="宋体"/>
                <w:color w:val="auto"/>
                <w:sz w:val="21"/>
                <w:szCs w:val="21"/>
                <w:highlight w:val="none"/>
                <w:lang w:val="en-US" w:eastAsia="zh-CN"/>
              </w:rPr>
              <w:t>合理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18</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w:t>
            </w:r>
          </w:p>
          <w:p w14:paraId="03297580">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tc>
      </w:tr>
      <w:tr w14:paraId="59B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49" w:type="pct"/>
            <w:noWrap w:val="0"/>
            <w:vAlign w:val="center"/>
          </w:tcPr>
          <w:p w14:paraId="37440F57">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五</w:t>
            </w:r>
          </w:p>
        </w:tc>
        <w:tc>
          <w:tcPr>
            <w:tcW w:w="559" w:type="pct"/>
            <w:noWrap w:val="0"/>
            <w:vAlign w:val="center"/>
          </w:tcPr>
          <w:p w14:paraId="09F0F129">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绿色节能</w:t>
            </w:r>
          </w:p>
        </w:tc>
        <w:tc>
          <w:tcPr>
            <w:tcW w:w="343" w:type="pct"/>
            <w:noWrap w:val="0"/>
            <w:vAlign w:val="center"/>
          </w:tcPr>
          <w:p w14:paraId="25BAE055">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p>
        </w:tc>
        <w:tc>
          <w:tcPr>
            <w:tcW w:w="3748" w:type="pct"/>
            <w:noWrap w:val="0"/>
            <w:vAlign w:val="center"/>
          </w:tcPr>
          <w:p w14:paraId="2950FDE1">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落实海绵城市、绿色节能及数字设计等的各项措施科学合理</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5</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3106B351">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落实海绵城市、绿色节能及数字设计等的各项措施基本合理</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4</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1DDE5264">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落实海绵城市、绿色节能、数字设计等的各项措施欠合理</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p>
          <w:p w14:paraId="717BC092">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tc>
      </w:tr>
      <w:tr w14:paraId="7CD5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49" w:type="pct"/>
            <w:noWrap w:val="0"/>
            <w:vAlign w:val="center"/>
          </w:tcPr>
          <w:p w14:paraId="7F96C065">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六</w:t>
            </w:r>
          </w:p>
        </w:tc>
        <w:tc>
          <w:tcPr>
            <w:tcW w:w="559" w:type="pct"/>
            <w:noWrap w:val="0"/>
            <w:vAlign w:val="center"/>
          </w:tcPr>
          <w:p w14:paraId="0CADE65A">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rPr>
              <w:t>配套设施</w:t>
            </w:r>
          </w:p>
        </w:tc>
        <w:tc>
          <w:tcPr>
            <w:tcW w:w="343" w:type="pct"/>
            <w:noWrap w:val="0"/>
            <w:vAlign w:val="center"/>
          </w:tcPr>
          <w:p w14:paraId="53864DF4">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p>
        </w:tc>
        <w:tc>
          <w:tcPr>
            <w:tcW w:w="3748" w:type="pct"/>
            <w:noWrap w:val="0"/>
            <w:vAlign w:val="top"/>
          </w:tcPr>
          <w:p w14:paraId="0D067E16">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：结合建设条件、建筑特点及使用功能需求，提出合理的停车场和</w:t>
            </w:r>
            <w:r>
              <w:rPr>
                <w:rFonts w:hint="eastAsia" w:hAnsi="宋体" w:cs="宋体"/>
                <w:color w:val="auto"/>
                <w:sz w:val="21"/>
                <w:szCs w:val="21"/>
                <w:highlight w:val="none"/>
                <w:lang w:val="en-US" w:eastAsia="zh-CN"/>
              </w:rPr>
              <w:t>隧道</w:t>
            </w:r>
            <w:r>
              <w:rPr>
                <w:rFonts w:hint="eastAsia" w:ascii="宋体" w:hAnsi="宋体" w:eastAsia="宋体" w:cs="宋体"/>
                <w:color w:val="auto"/>
                <w:sz w:val="21"/>
                <w:szCs w:val="21"/>
                <w:highlight w:val="none"/>
                <w:lang w:val="en-US" w:eastAsia="zh-CN"/>
              </w:rPr>
              <w:t>配套上盖的附属设施方案，其中，隧道配套上盖的附属设施与如意坊隧道相应设施系统的衔接得当，满足运营管理需求。</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10</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5F3C96C4">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：结合建设条件、建筑特点及使用功能需求，提出</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合理的停车场和</w:t>
            </w:r>
            <w:r>
              <w:rPr>
                <w:rFonts w:hint="eastAsia" w:hAnsi="宋体" w:cs="宋体"/>
                <w:color w:val="auto"/>
                <w:sz w:val="21"/>
                <w:szCs w:val="21"/>
                <w:highlight w:val="none"/>
                <w:lang w:val="en-US" w:eastAsia="zh-CN"/>
              </w:rPr>
              <w:t>隧道</w:t>
            </w:r>
            <w:r>
              <w:rPr>
                <w:rFonts w:hint="eastAsia" w:ascii="宋体" w:hAnsi="宋体" w:eastAsia="宋体" w:cs="宋体"/>
                <w:color w:val="auto"/>
                <w:sz w:val="21"/>
                <w:szCs w:val="21"/>
                <w:highlight w:val="none"/>
                <w:lang w:val="en-US" w:eastAsia="zh-CN"/>
              </w:rPr>
              <w:t>配套上盖的附属设施方案，其中，隧道配套上盖的附属设施与如意坊隧道相应设施系统的衔接</w:t>
            </w:r>
            <w:r>
              <w:rPr>
                <w:rFonts w:hint="eastAsia" w:hAnsi="宋体" w:cs="宋体"/>
                <w:color w:val="auto"/>
                <w:sz w:val="21"/>
                <w:szCs w:val="21"/>
                <w:highlight w:val="none"/>
                <w:lang w:val="en-US" w:eastAsia="zh-CN"/>
              </w:rPr>
              <w:t>良好</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满足运营管理需求。</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8</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3BA1837A">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highlight w:val="none"/>
                <w:lang w:val="en-US" w:eastAsia="zh-CN"/>
              </w:rPr>
            </w:pPr>
            <w:r>
              <w:rPr>
                <w:rFonts w:hint="eastAsia" w:hAnsi="宋体" w:cs="宋体"/>
                <w:b/>
                <w:bCs/>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：结合建设条件、建筑特点及使用功能需求，提出的停车场和</w:t>
            </w:r>
            <w:r>
              <w:rPr>
                <w:rFonts w:hint="eastAsia" w:hAnsi="宋体" w:cs="宋体"/>
                <w:color w:val="auto"/>
                <w:sz w:val="21"/>
                <w:szCs w:val="21"/>
                <w:highlight w:val="none"/>
                <w:lang w:val="en-US" w:eastAsia="zh-CN"/>
              </w:rPr>
              <w:t>隧道</w:t>
            </w:r>
            <w:r>
              <w:rPr>
                <w:rFonts w:hint="eastAsia" w:ascii="宋体" w:hAnsi="宋体" w:eastAsia="宋体" w:cs="宋体"/>
                <w:color w:val="auto"/>
                <w:sz w:val="21"/>
                <w:szCs w:val="21"/>
                <w:highlight w:val="none"/>
                <w:lang w:val="en-US" w:eastAsia="zh-CN"/>
              </w:rPr>
              <w:t>配套上盖的附属设施方案</w:t>
            </w:r>
            <w:r>
              <w:rPr>
                <w:rFonts w:hint="eastAsia"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，其中，隧道配套上盖的附属设施与如意坊隧道相应设施系统的衔接</w:t>
            </w:r>
            <w:r>
              <w:rPr>
                <w:rFonts w:hint="eastAsia" w:hAnsi="宋体" w:cs="宋体"/>
                <w:color w:val="auto"/>
                <w:sz w:val="21"/>
                <w:szCs w:val="21"/>
                <w:highlight w:val="none"/>
                <w:lang w:val="en-US" w:eastAsia="zh-CN"/>
              </w:rPr>
              <w:t>欠合理</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未能</w:t>
            </w:r>
            <w:r>
              <w:rPr>
                <w:rFonts w:hint="eastAsia" w:ascii="宋体" w:hAnsi="宋体" w:eastAsia="宋体" w:cs="宋体"/>
                <w:color w:val="auto"/>
                <w:sz w:val="21"/>
                <w:szCs w:val="21"/>
                <w:highlight w:val="none"/>
                <w:lang w:val="en-US" w:eastAsia="zh-CN"/>
              </w:rPr>
              <w:t>满足运营管理需求。</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6</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p>
          <w:p w14:paraId="250CF27E">
            <w:pPr>
              <w:pStyle w:val="25"/>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tc>
      </w:tr>
      <w:tr w14:paraId="41F2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49" w:type="pct"/>
            <w:noWrap w:val="0"/>
            <w:vAlign w:val="center"/>
          </w:tcPr>
          <w:p w14:paraId="040D6AB5">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w:t>
            </w:r>
          </w:p>
        </w:tc>
        <w:tc>
          <w:tcPr>
            <w:tcW w:w="559" w:type="pct"/>
            <w:noWrap w:val="0"/>
            <w:vAlign w:val="center"/>
          </w:tcPr>
          <w:p w14:paraId="59C3BF22">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勘察方案</w:t>
            </w:r>
          </w:p>
        </w:tc>
        <w:tc>
          <w:tcPr>
            <w:tcW w:w="343" w:type="pct"/>
            <w:noWrap w:val="0"/>
            <w:vAlign w:val="center"/>
          </w:tcPr>
          <w:p w14:paraId="37E527CD">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p>
        </w:tc>
        <w:tc>
          <w:tcPr>
            <w:tcW w:w="3748" w:type="pct"/>
            <w:noWrap w:val="0"/>
            <w:vAlign w:val="center"/>
          </w:tcPr>
          <w:p w14:paraId="7997685D">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b w:val="0"/>
                <w:bCs w:val="0"/>
                <w:color w:val="auto"/>
                <w:sz w:val="21"/>
                <w:szCs w:val="21"/>
                <w:highlight w:val="none"/>
                <w:lang w:val="en-US" w:eastAsia="zh-CN"/>
              </w:rPr>
              <w:t>勘察方案合理可行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勘察的重点、难点理解准确，建议合理可行；勘察工作流程规范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现场安全文明作业措施合理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5</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6AAD55C7">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勘察方案</w:t>
            </w:r>
            <w:r>
              <w:rPr>
                <w:rFonts w:hint="eastAsia" w:hAnsi="宋体" w:cs="宋体"/>
                <w:b w:val="0"/>
                <w:bCs w:val="0"/>
                <w:color w:val="auto"/>
                <w:sz w:val="21"/>
                <w:szCs w:val="21"/>
                <w:highlight w:val="none"/>
                <w:lang w:val="en-US" w:eastAsia="zh-CN"/>
              </w:rPr>
              <w:t>较</w:t>
            </w:r>
            <w:r>
              <w:rPr>
                <w:rFonts w:hint="eastAsia" w:ascii="宋体" w:hAnsi="宋体" w:eastAsia="宋体" w:cs="宋体"/>
                <w:b w:val="0"/>
                <w:bCs w:val="0"/>
                <w:color w:val="auto"/>
                <w:sz w:val="21"/>
                <w:szCs w:val="21"/>
                <w:highlight w:val="none"/>
                <w:lang w:val="en-US" w:eastAsia="zh-CN"/>
              </w:rPr>
              <w:t>合理可行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勘察的重点、难点理解</w:t>
            </w:r>
            <w:r>
              <w:rPr>
                <w:rFonts w:hint="eastAsia" w:hAnsi="宋体" w:cs="宋体"/>
                <w:color w:val="auto"/>
                <w:sz w:val="21"/>
                <w:szCs w:val="21"/>
                <w:highlight w:val="none"/>
                <w:lang w:eastAsia="zh-CN"/>
              </w:rPr>
              <w:t>较</w:t>
            </w:r>
            <w:r>
              <w:rPr>
                <w:rFonts w:hint="eastAsia" w:ascii="宋体" w:hAnsi="宋体" w:eastAsia="宋体" w:cs="宋体"/>
                <w:color w:val="auto"/>
                <w:sz w:val="21"/>
                <w:szCs w:val="21"/>
                <w:highlight w:val="none"/>
              </w:rPr>
              <w:t>准确，建议</w:t>
            </w:r>
            <w:r>
              <w:rPr>
                <w:rFonts w:hint="eastAsia" w:hAnsi="宋体" w:cs="宋体"/>
                <w:color w:val="auto"/>
                <w:sz w:val="21"/>
                <w:szCs w:val="21"/>
                <w:highlight w:val="none"/>
                <w:lang w:eastAsia="zh-CN"/>
              </w:rPr>
              <w:t>较</w:t>
            </w:r>
            <w:r>
              <w:rPr>
                <w:rFonts w:hint="eastAsia" w:ascii="宋体" w:hAnsi="宋体" w:eastAsia="宋体" w:cs="宋体"/>
                <w:color w:val="auto"/>
                <w:sz w:val="21"/>
                <w:szCs w:val="21"/>
                <w:highlight w:val="none"/>
              </w:rPr>
              <w:t>合理可行；勘察工作流程</w:t>
            </w:r>
            <w:r>
              <w:rPr>
                <w:rFonts w:hint="eastAsia" w:hAnsi="宋体" w:cs="宋体"/>
                <w:color w:val="auto"/>
                <w:sz w:val="21"/>
                <w:szCs w:val="21"/>
                <w:highlight w:val="none"/>
                <w:lang w:eastAsia="zh-CN"/>
              </w:rPr>
              <w:t>较</w:t>
            </w:r>
            <w:r>
              <w:rPr>
                <w:rFonts w:hint="eastAsia" w:ascii="宋体" w:hAnsi="宋体" w:eastAsia="宋体" w:cs="宋体"/>
                <w:color w:val="auto"/>
                <w:sz w:val="21"/>
                <w:szCs w:val="21"/>
                <w:highlight w:val="none"/>
              </w:rPr>
              <w:t>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现场安全文明作业措施</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4</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1998C5E0">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勘察方案</w:t>
            </w:r>
            <w:r>
              <w:rPr>
                <w:rFonts w:hint="eastAsia" w:hAnsi="宋体" w:cs="宋体"/>
                <w:b w:val="0"/>
                <w:bCs w:val="0"/>
                <w:color w:val="auto"/>
                <w:sz w:val="21"/>
                <w:szCs w:val="21"/>
                <w:highlight w:val="none"/>
                <w:lang w:val="en-US" w:eastAsia="zh-CN"/>
              </w:rPr>
              <w:t>欠</w:t>
            </w:r>
            <w:r>
              <w:rPr>
                <w:rFonts w:hint="eastAsia" w:ascii="宋体" w:hAnsi="宋体" w:eastAsia="宋体" w:cs="宋体"/>
                <w:b w:val="0"/>
                <w:bCs w:val="0"/>
                <w:color w:val="auto"/>
                <w:sz w:val="21"/>
                <w:szCs w:val="21"/>
                <w:highlight w:val="none"/>
                <w:lang w:val="en-US" w:eastAsia="zh-CN"/>
              </w:rPr>
              <w:t>合理</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未准确</w:t>
            </w:r>
            <w:r>
              <w:rPr>
                <w:rFonts w:hint="eastAsia" w:ascii="宋体" w:hAnsi="宋体" w:eastAsia="宋体" w:cs="宋体"/>
                <w:color w:val="auto"/>
                <w:sz w:val="21"/>
                <w:szCs w:val="21"/>
                <w:highlight w:val="none"/>
              </w:rPr>
              <w:t>理解勘察的重点、难点，建议</w:t>
            </w:r>
            <w:r>
              <w:rPr>
                <w:rFonts w:hint="eastAsia" w:hAnsi="宋体" w:cs="宋体"/>
                <w:color w:val="auto"/>
                <w:sz w:val="21"/>
                <w:szCs w:val="21"/>
                <w:highlight w:val="none"/>
                <w:lang w:eastAsia="zh-CN"/>
              </w:rPr>
              <w:t>欠</w:t>
            </w:r>
            <w:r>
              <w:rPr>
                <w:rFonts w:hint="eastAsia" w:ascii="宋体" w:hAnsi="宋体" w:eastAsia="宋体" w:cs="宋体"/>
                <w:color w:val="auto"/>
                <w:sz w:val="21"/>
                <w:szCs w:val="21"/>
                <w:highlight w:val="none"/>
              </w:rPr>
              <w:t>合理；勘察工作流程</w:t>
            </w:r>
            <w:r>
              <w:rPr>
                <w:rFonts w:hint="eastAsia" w:hAnsi="宋体" w:cs="宋体"/>
                <w:color w:val="auto"/>
                <w:sz w:val="21"/>
                <w:szCs w:val="21"/>
                <w:highlight w:val="none"/>
                <w:lang w:eastAsia="zh-CN"/>
              </w:rPr>
              <w:t>不</w:t>
            </w:r>
            <w:r>
              <w:rPr>
                <w:rFonts w:hint="eastAsia" w:ascii="宋体" w:hAnsi="宋体" w:eastAsia="宋体" w:cs="宋体"/>
                <w:color w:val="auto"/>
                <w:sz w:val="21"/>
                <w:szCs w:val="21"/>
                <w:highlight w:val="none"/>
              </w:rPr>
              <w:t>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现场安全文明作业措施</w:t>
            </w:r>
            <w:r>
              <w:rPr>
                <w:rFonts w:hint="eastAsia" w:hAnsi="宋体" w:cs="宋体"/>
                <w:color w:val="auto"/>
                <w:sz w:val="21"/>
                <w:szCs w:val="21"/>
                <w:highlight w:val="none"/>
                <w:lang w:val="en-US" w:eastAsia="zh-CN"/>
              </w:rPr>
              <w:t>欠</w:t>
            </w:r>
            <w:r>
              <w:rPr>
                <w:rFonts w:hint="eastAsia" w:ascii="宋体" w:hAnsi="宋体" w:eastAsia="宋体" w:cs="宋体"/>
                <w:color w:val="auto"/>
                <w:sz w:val="21"/>
                <w:szCs w:val="21"/>
                <w:highlight w:val="none"/>
                <w:lang w:val="en-US" w:eastAsia="zh-CN"/>
              </w:rPr>
              <w:t>合理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p>
          <w:p w14:paraId="68AC7D51">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tc>
      </w:tr>
      <w:tr w14:paraId="71F6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49" w:type="pct"/>
            <w:noWrap w:val="0"/>
            <w:vAlign w:val="center"/>
          </w:tcPr>
          <w:p w14:paraId="546522CA">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八</w:t>
            </w:r>
          </w:p>
        </w:tc>
        <w:tc>
          <w:tcPr>
            <w:tcW w:w="559" w:type="pct"/>
            <w:noWrap w:val="0"/>
            <w:vAlign w:val="center"/>
          </w:tcPr>
          <w:p w14:paraId="4C08A2C0">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合理化建议</w:t>
            </w:r>
          </w:p>
        </w:tc>
        <w:tc>
          <w:tcPr>
            <w:tcW w:w="343" w:type="pct"/>
            <w:noWrap w:val="0"/>
            <w:vAlign w:val="center"/>
          </w:tcPr>
          <w:p w14:paraId="13312200">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p>
        </w:tc>
        <w:tc>
          <w:tcPr>
            <w:tcW w:w="3748" w:type="pct"/>
            <w:noWrap w:val="0"/>
            <w:vAlign w:val="center"/>
          </w:tcPr>
          <w:p w14:paraId="43B5DD74">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合理化建议合理可行，切合项目实际</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5</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09334EA6">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合理化建议较合理可行，较切合项目实际</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4</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39CFECA6">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合理化建议</w:t>
            </w:r>
            <w:r>
              <w:rPr>
                <w:rFonts w:hint="eastAsia" w:hAnsi="宋体" w:cs="宋体"/>
                <w:color w:val="auto"/>
                <w:sz w:val="21"/>
                <w:szCs w:val="21"/>
                <w:highlight w:val="none"/>
                <w:lang w:val="en-US" w:eastAsia="zh-CN"/>
              </w:rPr>
              <w:t>欠</w:t>
            </w:r>
            <w:r>
              <w:rPr>
                <w:rFonts w:hint="eastAsia" w:ascii="宋体" w:hAnsi="宋体" w:eastAsia="宋体" w:cs="宋体"/>
                <w:color w:val="auto"/>
                <w:sz w:val="21"/>
                <w:szCs w:val="21"/>
                <w:highlight w:val="none"/>
                <w:lang w:val="en-US" w:eastAsia="zh-CN"/>
              </w:rPr>
              <w:t>合理</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p>
          <w:p w14:paraId="5F7B73D8">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tc>
      </w:tr>
      <w:tr w14:paraId="523F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noWrap w:val="0"/>
            <w:vAlign w:val="center"/>
          </w:tcPr>
          <w:p w14:paraId="1F7A96D7">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九</w:t>
            </w:r>
          </w:p>
        </w:tc>
        <w:tc>
          <w:tcPr>
            <w:tcW w:w="559" w:type="pct"/>
            <w:noWrap w:val="0"/>
            <w:vAlign w:val="center"/>
          </w:tcPr>
          <w:p w14:paraId="7E53A3E5">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投资控制</w:t>
            </w:r>
            <w:r>
              <w:rPr>
                <w:rFonts w:hint="eastAsia" w:ascii="宋体" w:hAnsi="宋体" w:eastAsia="宋体" w:cs="宋体"/>
                <w:color w:val="auto"/>
                <w:sz w:val="21"/>
                <w:szCs w:val="21"/>
                <w:highlight w:val="none"/>
                <w:lang w:val="en-US" w:eastAsia="zh-CN"/>
              </w:rPr>
              <w:t>措施</w:t>
            </w:r>
          </w:p>
        </w:tc>
        <w:tc>
          <w:tcPr>
            <w:tcW w:w="343" w:type="pct"/>
            <w:noWrap w:val="0"/>
            <w:vAlign w:val="center"/>
          </w:tcPr>
          <w:p w14:paraId="56CA83FC">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p>
        </w:tc>
        <w:tc>
          <w:tcPr>
            <w:tcW w:w="3748" w:type="pct"/>
            <w:noWrap w:val="0"/>
            <w:vAlign w:val="center"/>
          </w:tcPr>
          <w:p w14:paraId="73954F3A">
            <w:pPr>
              <w:autoSpaceDE/>
              <w:autoSpaceDN/>
              <w:adjustRightInd/>
              <w:jc w:val="left"/>
              <w:rPr>
                <w:rFonts w:hint="eastAsia" w:hAnsi="宋体" w:cs="宋体"/>
                <w:color w:val="auto"/>
                <w:sz w:val="21"/>
                <w:szCs w:val="21"/>
                <w:highlight w:val="none"/>
                <w:lang w:eastAsia="zh-CN"/>
              </w:rPr>
            </w:pPr>
            <w:r>
              <w:rPr>
                <w:rFonts w:hint="eastAsia" w:ascii="宋体" w:hAnsi="宋体" w:eastAsia="宋体" w:cs="宋体"/>
                <w:b/>
                <w:bCs/>
                <w:color w:val="auto"/>
                <w:szCs w:val="21"/>
                <w:highlight w:val="none"/>
                <w:lang w:val="en-US" w:eastAsia="zh-CN"/>
              </w:rPr>
              <w:t>优：</w:t>
            </w:r>
            <w:r>
              <w:rPr>
                <w:rFonts w:hint="eastAsia" w:ascii="宋体" w:hAnsi="宋体" w:eastAsia="宋体" w:cs="宋体"/>
                <w:color w:val="auto"/>
                <w:szCs w:val="21"/>
                <w:highlight w:val="none"/>
                <w:lang w:val="en-US"/>
              </w:rPr>
              <w:t>工程总投资合理，降低实施与管理维护成本，节约工程总投资的措施及理由合理、可行</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投资估算编制依据正确，编制质量高</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10</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13D53C0F">
            <w:pPr>
              <w:autoSpaceDE/>
              <w:autoSpaceDN/>
              <w:adjustRightInd/>
              <w:jc w:val="left"/>
              <w:rPr>
                <w:rFonts w:hint="eastAsia" w:hAnsi="宋体" w:cs="宋体"/>
                <w:color w:val="auto"/>
                <w:sz w:val="21"/>
                <w:szCs w:val="21"/>
                <w:highlight w:val="none"/>
                <w:lang w:eastAsia="zh-CN"/>
              </w:rPr>
            </w:pPr>
            <w:r>
              <w:rPr>
                <w:rFonts w:hint="eastAsia" w:ascii="宋体" w:hAnsi="宋体" w:eastAsia="宋体" w:cs="宋体"/>
                <w:b/>
                <w:bCs/>
                <w:color w:val="auto"/>
                <w:szCs w:val="21"/>
                <w:highlight w:val="none"/>
                <w:lang w:val="en-US" w:eastAsia="zh-CN"/>
              </w:rPr>
              <w:t>良</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工程总投资</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en-US"/>
              </w:rPr>
              <w:t>合理，投资估算编制依据</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en-US"/>
              </w:rPr>
              <w:t>正确</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rPr>
              <w:t>编制质量</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lang w:val="en-US"/>
              </w:rPr>
              <w:t>高</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8</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1A81C90C">
            <w:pPr>
              <w:autoSpaceDE/>
              <w:autoSpaceDN/>
              <w:adjustRightInd/>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一般：</w:t>
            </w:r>
            <w:r>
              <w:rPr>
                <w:rFonts w:hint="eastAsia" w:ascii="宋体" w:hAnsi="宋体" w:eastAsia="宋体" w:cs="宋体"/>
                <w:color w:val="auto"/>
                <w:szCs w:val="21"/>
                <w:highlight w:val="none"/>
                <w:lang w:val="en-US"/>
              </w:rPr>
              <w:t>工程总投资</w:t>
            </w:r>
            <w:r>
              <w:rPr>
                <w:rFonts w:hint="eastAsia" w:ascii="宋体" w:hAnsi="宋体" w:eastAsia="宋体" w:cs="宋体"/>
                <w:color w:val="auto"/>
                <w:szCs w:val="21"/>
                <w:highlight w:val="none"/>
                <w:lang w:val="en-US" w:eastAsia="zh-CN"/>
              </w:rPr>
              <w:t>欠</w:t>
            </w:r>
            <w:r>
              <w:rPr>
                <w:rFonts w:hint="eastAsia" w:ascii="宋体" w:hAnsi="宋体" w:eastAsia="宋体" w:cs="宋体"/>
                <w:color w:val="auto"/>
                <w:szCs w:val="21"/>
                <w:highlight w:val="none"/>
                <w:lang w:val="en-US"/>
              </w:rPr>
              <w:t>合理，投资估算编制质量</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en-US"/>
              </w:rPr>
              <w:t>高</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6</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p>
          <w:p w14:paraId="0DC1D8BD">
            <w:pPr>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eastAsia="zh-CN"/>
              </w:rPr>
              <w:t>无此部分内容得0分。</w:t>
            </w:r>
          </w:p>
        </w:tc>
      </w:tr>
      <w:tr w14:paraId="0D7C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49" w:type="pct"/>
            <w:noWrap w:val="0"/>
            <w:vAlign w:val="center"/>
          </w:tcPr>
          <w:p w14:paraId="79CACC50">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p>
        </w:tc>
        <w:tc>
          <w:tcPr>
            <w:tcW w:w="559" w:type="pct"/>
            <w:noWrap w:val="0"/>
            <w:vAlign w:val="center"/>
          </w:tcPr>
          <w:p w14:paraId="526A8BA0">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合计</w:t>
            </w:r>
          </w:p>
        </w:tc>
        <w:tc>
          <w:tcPr>
            <w:tcW w:w="343" w:type="pct"/>
            <w:noWrap w:val="0"/>
            <w:vAlign w:val="center"/>
          </w:tcPr>
          <w:p w14:paraId="767B8AC8">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100</w:t>
            </w:r>
          </w:p>
        </w:tc>
        <w:tc>
          <w:tcPr>
            <w:tcW w:w="3748" w:type="pct"/>
            <w:noWrap w:val="0"/>
            <w:vAlign w:val="center"/>
          </w:tcPr>
          <w:p w14:paraId="30B319FF">
            <w:pPr>
              <w:pStyle w:val="2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p>
        </w:tc>
      </w:tr>
    </w:tbl>
    <w:p w14:paraId="2D53AFA7">
      <w:pPr>
        <w:widowControl/>
        <w:wordWrap w:val="0"/>
        <w:jc w:val="left"/>
        <w:rPr>
          <w:rFonts w:ascii="宋体" w:hAnsi="宋体" w:eastAsia="宋体" w:cs="宋体"/>
          <w:color w:val="auto"/>
          <w:szCs w:val="24"/>
          <w:highlight w:val="none"/>
        </w:rPr>
      </w:pPr>
    </w:p>
    <w:p w14:paraId="10140E00">
      <w:pPr>
        <w:widowControl/>
        <w:jc w:val="left"/>
        <w:rPr>
          <w:rFonts w:hint="eastAsia" w:ascii="宋体" w:hAnsi="宋体" w:eastAsia="宋体" w:cs="宋体"/>
          <w:color w:val="auto"/>
          <w:szCs w:val="24"/>
          <w:highlight w:val="none"/>
        </w:rPr>
        <w:sectPr>
          <w:pgSz w:w="16838" w:h="11905" w:orient="landscape"/>
          <w:pgMar w:top="1701" w:right="1474" w:bottom="1701" w:left="1474" w:header="720" w:footer="720" w:gutter="0"/>
          <w:pgBorders>
            <w:top w:val="none" w:sz="0" w:space="0"/>
            <w:left w:val="none" w:sz="0" w:space="0"/>
            <w:bottom w:val="none" w:sz="0" w:space="0"/>
            <w:right w:val="none" w:sz="0" w:space="0"/>
          </w:pgBorders>
          <w:cols w:space="0" w:num="1"/>
          <w:rtlGutter w:val="0"/>
          <w:docGrid w:linePitch="0" w:charSpace="0"/>
        </w:sectPr>
      </w:pPr>
    </w:p>
    <w:p w14:paraId="7658B002">
      <w:pPr>
        <w:widowControl/>
        <w:jc w:val="left"/>
        <w:rPr>
          <w:rFonts w:ascii="宋体" w:hAnsi="宋体" w:eastAsia="宋体" w:cs="宋体"/>
          <w:color w:val="auto"/>
          <w:szCs w:val="24"/>
          <w:highlight w:val="none"/>
        </w:rPr>
      </w:pPr>
    </w:p>
    <w:p w14:paraId="30647F61">
      <w:pPr>
        <w:pStyle w:val="3"/>
        <w:rPr>
          <w:color w:val="auto"/>
          <w:sz w:val="32"/>
          <w:szCs w:val="24"/>
          <w:highlight w:val="none"/>
        </w:rPr>
      </w:pPr>
      <w:bookmarkStart w:id="183" w:name="_Toc26447"/>
      <w:r>
        <w:rPr>
          <w:rFonts w:hint="eastAsia"/>
          <w:color w:val="auto"/>
          <w:highlight w:val="none"/>
        </w:rPr>
        <w:t>评标办法</w:t>
      </w:r>
      <w:r>
        <w:rPr>
          <w:color w:val="auto"/>
          <w:highlight w:val="none"/>
        </w:rPr>
        <w:t>修改表</w:t>
      </w:r>
      <w:bookmarkEnd w:id="183"/>
    </w:p>
    <w:p w14:paraId="659E66A2">
      <w:pPr>
        <w:pStyle w:val="43"/>
        <w:pBdr>
          <w:bottom w:val="single" w:color="auto" w:sz="6" w:space="1"/>
        </w:pBdr>
        <w:wordWrap w:val="0"/>
        <w:spacing w:after="0" w:line="360" w:lineRule="auto"/>
        <w:ind w:firstLine="0" w:firstLineChars="0"/>
        <w:rPr>
          <w:rFonts w:ascii="宋体" w:hAnsi="宋体"/>
          <w:b/>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w:t>
      </w:r>
      <w:r>
        <w:rPr>
          <w:rFonts w:hint="eastAsia" w:ascii="宋体" w:hAnsi="宋体"/>
          <w:b/>
          <w:color w:val="auto"/>
          <w:sz w:val="24"/>
          <w:szCs w:val="24"/>
          <w:highlight w:val="none"/>
        </w:rPr>
        <w:t>评标办法</w:t>
      </w:r>
      <w:r>
        <w:rPr>
          <w:rFonts w:ascii="宋体" w:hAnsi="宋体"/>
          <w:b/>
          <w:color w:val="auto"/>
          <w:sz w:val="24"/>
          <w:szCs w:val="24"/>
          <w:highlight w:val="none"/>
        </w:rPr>
        <w:t>条款，与该条款不同之处，均在本表中列明，并以现文为准，原文不再有效。</w:t>
      </w:r>
      <w:r>
        <w:rPr>
          <w:rFonts w:hint="eastAsia" w:ascii="宋体" w:hAnsi="宋体"/>
          <w:bCs/>
          <w:color w:val="auto"/>
          <w:sz w:val="24"/>
          <w:szCs w:val="24"/>
          <w:highlight w:val="none"/>
        </w:rPr>
        <w:t>（注：招标人按《评标办法修改表》修改的内容对应修改通用条款，属于删除的采用“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”；属于新增、修改的内容，用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432399B7">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1</w:t>
      </w:r>
      <w:r>
        <w:rPr>
          <w:rFonts w:hint="eastAsia" w:ascii="宋体" w:hAnsi="宋体" w:eastAsia="宋体"/>
          <w:b/>
          <w:bCs/>
          <w:color w:val="auto"/>
          <w:sz w:val="24"/>
          <w:szCs w:val="24"/>
          <w:highlight w:val="none"/>
        </w:rPr>
        <w:t>.</w:t>
      </w:r>
      <w:r>
        <w:rPr>
          <w:rFonts w:ascii="宋体" w:hAnsi="宋体" w:eastAsia="宋体"/>
          <w:b/>
          <w:bCs/>
          <w:color w:val="auto"/>
          <w:sz w:val="24"/>
          <w:szCs w:val="24"/>
          <w:highlight w:val="none"/>
        </w:rPr>
        <w:t xml:space="preserve">           修改类型：修改</w:t>
      </w:r>
    </w:p>
    <w:p w14:paraId="53EBB44B">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1. 评标方法</w:t>
      </w:r>
    </w:p>
    <w:p w14:paraId="5D17282F">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按照评标办法前附表的规定确定中标候选人顺序。</w:t>
      </w:r>
    </w:p>
    <w:p w14:paraId="72194C1D">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1. 评标方法</w:t>
      </w:r>
    </w:p>
    <w:p w14:paraId="5F9A33AE">
      <w:pPr>
        <w:pBdr>
          <w:bottom w:val="single" w:color="auto" w:sz="6" w:space="1"/>
        </w:pBd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本次评标采用</w:t>
      </w:r>
      <w:r>
        <w:rPr>
          <w:rFonts w:hint="eastAsia" w:ascii="宋体" w:hAnsi="宋体" w:eastAsia="宋体"/>
          <w:b/>
          <w:bCs/>
          <w:color w:val="auto"/>
          <w:sz w:val="24"/>
          <w:szCs w:val="24"/>
          <w:highlight w:val="none"/>
          <w:u w:val="single"/>
          <w:lang w:val="en-US" w:eastAsia="zh-CN"/>
        </w:rPr>
        <w:t>定量评审</w:t>
      </w:r>
      <w:r>
        <w:rPr>
          <w:rFonts w:hint="eastAsia" w:ascii="宋体" w:hAnsi="宋体" w:eastAsia="宋体"/>
          <w:color w:val="auto"/>
          <w:sz w:val="24"/>
          <w:szCs w:val="24"/>
          <w:highlight w:val="none"/>
        </w:rPr>
        <w:t>。评标委员会对满足招标文件实质性要求的投标文件，按照本章第2.2款规定的评分标准进行打分，并按得分由高到低顺序推荐</w:t>
      </w:r>
      <w:r>
        <w:rPr>
          <w:rFonts w:hint="eastAsia" w:ascii="宋体" w:hAnsi="宋体" w:eastAsia="宋体"/>
          <w:color w:val="auto"/>
          <w:sz w:val="24"/>
          <w:szCs w:val="24"/>
          <w:highlight w:val="none"/>
          <w:u w:val="single"/>
          <w:lang w:val="en-US" w:eastAsia="zh-CN"/>
        </w:rPr>
        <w:t>合格的</w:t>
      </w:r>
      <w:r>
        <w:rPr>
          <w:rFonts w:hint="eastAsia" w:ascii="宋体" w:hAnsi="宋体" w:eastAsia="宋体"/>
          <w:color w:val="auto"/>
          <w:sz w:val="24"/>
          <w:szCs w:val="24"/>
          <w:highlight w:val="none"/>
        </w:rPr>
        <w:t>中标候选人</w:t>
      </w:r>
      <w:r>
        <w:rPr>
          <w:rFonts w:hint="eastAsia" w:ascii="宋体" w:hAnsi="宋体" w:eastAsia="宋体"/>
          <w:strike/>
          <w:dstrike w:val="0"/>
          <w:color w:val="auto"/>
          <w:sz w:val="24"/>
          <w:szCs w:val="24"/>
          <w:highlight w:val="none"/>
        </w:rPr>
        <w:t>，或根据招标人授权直接确定中标人，但投标报价低于其成本的除外</w:t>
      </w:r>
      <w:r>
        <w:rPr>
          <w:rFonts w:hint="eastAsia" w:ascii="宋体" w:hAnsi="宋体" w:eastAsia="宋体"/>
          <w:color w:val="auto"/>
          <w:sz w:val="24"/>
          <w:szCs w:val="24"/>
          <w:highlight w:val="none"/>
        </w:rPr>
        <w:t>。综合评分相等时，按照评标办法前附表的规定确定中标候选人顺序。</w:t>
      </w:r>
    </w:p>
    <w:p w14:paraId="66041E90">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2.2.1</w:t>
      </w:r>
      <w:r>
        <w:rPr>
          <w:rFonts w:ascii="宋体" w:hAnsi="宋体" w:eastAsia="宋体"/>
          <w:b/>
          <w:bCs/>
          <w:color w:val="auto"/>
          <w:sz w:val="24"/>
          <w:szCs w:val="24"/>
          <w:highlight w:val="none"/>
        </w:rPr>
        <w:t xml:space="preserve">           修改类型：修改</w:t>
      </w:r>
    </w:p>
    <w:p w14:paraId="2E12ADE2">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2.2.1 分值构成</w:t>
      </w:r>
    </w:p>
    <w:p w14:paraId="508A5C5B">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（1）商务文件部分：见评标办法前附表；</w:t>
      </w:r>
    </w:p>
    <w:p w14:paraId="3AEB7277">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（2）技术文件部分：见评标办法前附表；</w:t>
      </w:r>
    </w:p>
    <w:p w14:paraId="7F14A7E2">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（3）投标报价：见评标办法前附表；</w:t>
      </w:r>
    </w:p>
    <w:p w14:paraId="725B5D2A">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（4）其他评分因素：见评标办法前附表。</w:t>
      </w:r>
    </w:p>
    <w:p w14:paraId="5F93A975">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2.2.1 分值构成</w:t>
      </w:r>
    </w:p>
    <w:p w14:paraId="487F3F12">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（1）商务文件部分：见评标办法前附表；</w:t>
      </w:r>
    </w:p>
    <w:p w14:paraId="43FD3D72">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（2）技术文件部分：见评标办法前附表；</w:t>
      </w:r>
    </w:p>
    <w:p w14:paraId="548D9B5B">
      <w:pPr>
        <w:wordWrap w:val="0"/>
        <w:spacing w:line="360" w:lineRule="auto"/>
        <w:ind w:firstLine="424" w:firstLineChars="177"/>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（3）投标报价：见评标办法前附表；</w:t>
      </w:r>
    </w:p>
    <w:p w14:paraId="7C12E62B">
      <w:pPr>
        <w:pBdr>
          <w:bottom w:val="single" w:color="auto" w:sz="6" w:space="1"/>
        </w:pBd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（4）其他评分因素：见评标办法前附表。</w:t>
      </w:r>
    </w:p>
    <w:p w14:paraId="1C029715">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2.2.</w:t>
      </w:r>
      <w:r>
        <w:rPr>
          <w:rFonts w:hint="eastAsia" w:ascii="宋体" w:hAnsi="宋体" w:eastAsia="宋体"/>
          <w:b/>
          <w:bCs/>
          <w:color w:val="auto"/>
          <w:sz w:val="24"/>
          <w:szCs w:val="24"/>
          <w:highlight w:val="none"/>
          <w:lang w:val="en-US" w:eastAsia="zh-CN"/>
        </w:rPr>
        <w:t>4</w:t>
      </w:r>
      <w:r>
        <w:rPr>
          <w:rFonts w:ascii="宋体" w:hAnsi="宋体" w:eastAsia="宋体"/>
          <w:b/>
          <w:bCs/>
          <w:color w:val="auto"/>
          <w:sz w:val="24"/>
          <w:szCs w:val="24"/>
          <w:highlight w:val="none"/>
        </w:rPr>
        <w:t xml:space="preserve">           修改类型：修改</w:t>
      </w:r>
    </w:p>
    <w:p w14:paraId="2C64ACE7">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2.2.</w:t>
      </w:r>
      <w:r>
        <w:rPr>
          <w:rFonts w:hint="eastAsia" w:ascii="宋体" w:hAnsi="宋体" w:eastAsia="宋体"/>
          <w:b/>
          <w:bCs/>
          <w:color w:val="auto"/>
          <w:sz w:val="24"/>
          <w:szCs w:val="24"/>
          <w:highlight w:val="none"/>
          <w:lang w:val="en-US" w:eastAsia="zh-CN"/>
        </w:rPr>
        <w:t>4</w:t>
      </w:r>
      <w:r>
        <w:rPr>
          <w:rFonts w:hint="eastAsia" w:ascii="宋体" w:hAnsi="宋体" w:eastAsia="宋体"/>
          <w:b/>
          <w:bCs/>
          <w:color w:val="auto"/>
          <w:sz w:val="24"/>
          <w:szCs w:val="24"/>
          <w:highlight w:val="none"/>
        </w:rPr>
        <w:t xml:space="preserve"> 评分标准</w:t>
      </w:r>
    </w:p>
    <w:p w14:paraId="28FC151F">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（1）商务文件评分标准：见评标办法前附表；</w:t>
      </w:r>
    </w:p>
    <w:p w14:paraId="3B2CC92E">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（2）技术文件评分标准：见评标办法前附表；</w:t>
      </w:r>
    </w:p>
    <w:p w14:paraId="5AD1A399">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（3）投标报价评分标准：见评标办法前附表；</w:t>
      </w:r>
    </w:p>
    <w:p w14:paraId="1D8E619A">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（4）其他因素评分标准：见评标办法前附表。</w:t>
      </w:r>
    </w:p>
    <w:p w14:paraId="6AF4FDFA">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2.2.</w:t>
      </w:r>
      <w:r>
        <w:rPr>
          <w:rFonts w:hint="eastAsia" w:ascii="宋体" w:hAnsi="宋体" w:eastAsia="宋体"/>
          <w:b/>
          <w:bCs/>
          <w:color w:val="auto"/>
          <w:sz w:val="24"/>
          <w:szCs w:val="24"/>
          <w:highlight w:val="none"/>
          <w:lang w:val="en-US" w:eastAsia="zh-CN"/>
        </w:rPr>
        <w:t>4</w:t>
      </w:r>
      <w:r>
        <w:rPr>
          <w:rFonts w:hint="eastAsia" w:ascii="宋体" w:hAnsi="宋体" w:eastAsia="宋体"/>
          <w:b/>
          <w:bCs/>
          <w:color w:val="auto"/>
          <w:sz w:val="24"/>
          <w:szCs w:val="24"/>
          <w:highlight w:val="none"/>
        </w:rPr>
        <w:t xml:space="preserve"> 评分标准</w:t>
      </w:r>
    </w:p>
    <w:p w14:paraId="5AB9910F">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（1）商务文件评分标准：见评标办法前附表；</w:t>
      </w:r>
    </w:p>
    <w:p w14:paraId="3C95098C">
      <w:pP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（2）技术文件评分标准：见评标办法前附表；</w:t>
      </w:r>
    </w:p>
    <w:p w14:paraId="42E2918E">
      <w:pPr>
        <w:wordWrap w:val="0"/>
        <w:spacing w:line="360" w:lineRule="auto"/>
        <w:ind w:firstLine="424" w:firstLineChars="177"/>
        <w:rPr>
          <w:rFonts w:hint="eastAsia"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（3）投标报价评分标准：见评标办法前附表；</w:t>
      </w:r>
    </w:p>
    <w:p w14:paraId="2937848F">
      <w:pPr>
        <w:pBdr>
          <w:bottom w:val="single" w:color="auto" w:sz="6" w:space="1"/>
        </w:pBd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（4）其他因素评分标准：见评标办法前附表。</w:t>
      </w:r>
    </w:p>
    <w:p w14:paraId="6999BD6C">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w:t>
      </w:r>
      <w:r>
        <w:rPr>
          <w:rFonts w:ascii="宋体" w:hAnsi="宋体" w:eastAsia="宋体"/>
          <w:b/>
          <w:bCs/>
          <w:color w:val="auto"/>
          <w:sz w:val="24"/>
          <w:szCs w:val="24"/>
          <w:highlight w:val="none"/>
        </w:rPr>
        <w:t xml:space="preserve">           修改类型：修改</w:t>
      </w:r>
    </w:p>
    <w:p w14:paraId="3063B631">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 评标程序</w:t>
      </w:r>
    </w:p>
    <w:p w14:paraId="3559F07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评标活动按以下六个步骤进行：</w:t>
      </w:r>
    </w:p>
    <w:p w14:paraId="2C59906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（1）商务文件初步评审（含商务文件形式评审、商务文件响应性评审）及资格评审；</w:t>
      </w:r>
    </w:p>
    <w:p w14:paraId="09D33DFC">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14:paraId="3D19344E">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14:paraId="1FD22D81">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14:paraId="6FDD357A">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14:paraId="4631D77F">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（6）汇总投标人总得分；</w:t>
      </w:r>
    </w:p>
    <w:p w14:paraId="66B3666F">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（7）推荐中标候选人，提交评标报告。</w:t>
      </w:r>
    </w:p>
    <w:p w14:paraId="5D5AF6B3">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3. 评标程序</w:t>
      </w:r>
    </w:p>
    <w:p w14:paraId="4D28CD69">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w:t>
      </w:r>
      <w:r>
        <w:rPr>
          <w:rFonts w:hint="eastAsia" w:ascii="宋体" w:hAnsi="宋体" w:eastAsia="宋体"/>
          <w:strike/>
          <w:color w:val="auto"/>
          <w:sz w:val="24"/>
          <w:szCs w:val="24"/>
          <w:highlight w:val="none"/>
        </w:rPr>
        <w:t>六个</w:t>
      </w:r>
      <w:r>
        <w:rPr>
          <w:rFonts w:hint="eastAsia" w:ascii="宋体" w:hAnsi="宋体" w:eastAsia="宋体"/>
          <w:color w:val="auto"/>
          <w:sz w:val="24"/>
          <w:szCs w:val="24"/>
          <w:highlight w:val="none"/>
        </w:rPr>
        <w:t>步骤进行：</w:t>
      </w:r>
    </w:p>
    <w:p w14:paraId="1D206405">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s="宋体"/>
          <w:strike/>
          <w:dstrike w:val="0"/>
          <w:color w:val="auto"/>
          <w:sz w:val="24"/>
          <w:szCs w:val="24"/>
          <w:highlight w:val="none"/>
        </w:rPr>
        <w:t>商务文件初步评审（含商务文件形式评审、商务文件响应性评审）及资格评审；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14:paraId="21BED85A">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14:paraId="19FA9BD4">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14:paraId="1977AF6A">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14:paraId="398EDC0F">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14:paraId="3193F6AD">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b w:val="0"/>
          <w:bCs w:val="0"/>
          <w:color w:val="auto"/>
          <w:sz w:val="24"/>
          <w:szCs w:val="24"/>
          <w:highlight w:val="none"/>
          <w:u w:val="none"/>
        </w:rPr>
        <w:t>（</w:t>
      </w:r>
      <w:r>
        <w:rPr>
          <w:rFonts w:hint="eastAsia" w:ascii="宋体" w:hAnsi="宋体" w:eastAsia="宋体"/>
          <w:b w:val="0"/>
          <w:bCs w:val="0"/>
          <w:color w:val="auto"/>
          <w:sz w:val="24"/>
          <w:szCs w:val="24"/>
          <w:highlight w:val="none"/>
          <w:u w:val="none"/>
          <w:lang w:val="en-US" w:eastAsia="zh-CN"/>
        </w:rPr>
        <w:t>6</w:t>
      </w:r>
      <w:r>
        <w:rPr>
          <w:rFonts w:hint="eastAsia" w:ascii="宋体" w:hAnsi="宋体" w:eastAsia="宋体"/>
          <w:b w:val="0"/>
          <w:bCs w:val="0"/>
          <w:color w:val="auto"/>
          <w:sz w:val="24"/>
          <w:szCs w:val="24"/>
          <w:highlight w:val="none"/>
          <w:u w:val="none"/>
        </w:rPr>
        <w:t>）</w:t>
      </w:r>
      <w:r>
        <w:rPr>
          <w:rFonts w:hint="eastAsia" w:ascii="宋体" w:hAnsi="宋体" w:eastAsia="宋体"/>
          <w:color w:val="auto"/>
          <w:sz w:val="24"/>
          <w:szCs w:val="24"/>
          <w:highlight w:val="none"/>
        </w:rPr>
        <w:t>汇总投标人总得分；</w:t>
      </w:r>
    </w:p>
    <w:p w14:paraId="07D190A9">
      <w:pPr>
        <w:pBdr>
          <w:bottom w:val="single" w:color="auto" w:sz="6" w:space="1"/>
        </w:pBd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b w:val="0"/>
          <w:bCs w:val="0"/>
          <w:color w:val="auto"/>
          <w:sz w:val="24"/>
          <w:szCs w:val="24"/>
          <w:highlight w:val="none"/>
          <w:u w:val="none"/>
        </w:rPr>
        <w:t>（</w:t>
      </w:r>
      <w:r>
        <w:rPr>
          <w:rFonts w:hint="eastAsia" w:ascii="宋体" w:hAnsi="宋体" w:eastAsia="宋体"/>
          <w:b w:val="0"/>
          <w:bCs w:val="0"/>
          <w:color w:val="auto"/>
          <w:sz w:val="24"/>
          <w:szCs w:val="24"/>
          <w:highlight w:val="none"/>
          <w:u w:val="none"/>
          <w:lang w:val="en-US" w:eastAsia="zh-CN"/>
        </w:rPr>
        <w:t>7</w:t>
      </w:r>
      <w:r>
        <w:rPr>
          <w:rFonts w:hint="eastAsia" w:ascii="宋体" w:hAnsi="宋体" w:eastAsia="宋体"/>
          <w:b w:val="0"/>
          <w:bCs w:val="0"/>
          <w:color w:val="auto"/>
          <w:sz w:val="24"/>
          <w:szCs w:val="24"/>
          <w:highlight w:val="none"/>
          <w:u w:val="none"/>
        </w:rPr>
        <w:t>）</w:t>
      </w:r>
      <w:r>
        <w:rPr>
          <w:rFonts w:hint="eastAsia" w:ascii="宋体" w:hAnsi="宋体" w:eastAsia="宋体"/>
          <w:color w:val="auto"/>
          <w:sz w:val="24"/>
          <w:szCs w:val="24"/>
          <w:highlight w:val="none"/>
        </w:rPr>
        <w:t>推荐</w:t>
      </w:r>
      <w:r>
        <w:rPr>
          <w:rFonts w:hint="eastAsia" w:ascii="宋体" w:hAnsi="宋体" w:eastAsia="宋体" w:cs="宋体"/>
          <w:strike/>
          <w:dstrike w:val="0"/>
          <w:color w:val="auto"/>
          <w:sz w:val="24"/>
          <w:szCs w:val="24"/>
          <w:highlight w:val="none"/>
        </w:rPr>
        <w:t>中标候选人</w:t>
      </w:r>
      <w:r>
        <w:rPr>
          <w:rFonts w:hint="eastAsia" w:ascii="宋体" w:hAnsi="宋体" w:eastAsia="宋体"/>
          <w:b/>
          <w:bCs/>
          <w:color w:val="auto"/>
          <w:sz w:val="24"/>
          <w:szCs w:val="24"/>
          <w:highlight w:val="none"/>
          <w:u w:val="single"/>
        </w:rPr>
        <w:t>合格的中标候选人进入定标阶段</w:t>
      </w:r>
      <w:r>
        <w:rPr>
          <w:rFonts w:hint="eastAsia" w:ascii="宋体" w:hAnsi="宋体" w:eastAsia="宋体"/>
          <w:color w:val="auto"/>
          <w:sz w:val="24"/>
          <w:szCs w:val="24"/>
          <w:highlight w:val="none"/>
        </w:rPr>
        <w:t>，提交评标报告。</w:t>
      </w:r>
    </w:p>
    <w:p w14:paraId="21FF971C">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ascii="宋体" w:hAnsi="宋体" w:eastAsia="宋体"/>
          <w:b/>
          <w:bCs/>
          <w:color w:val="auto"/>
          <w:sz w:val="24"/>
          <w:szCs w:val="24"/>
          <w:highlight w:val="none"/>
        </w:rPr>
        <w:t xml:space="preserve">          修改类型：修改</w:t>
      </w:r>
    </w:p>
    <w:p w14:paraId="4377F27C">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3.1 商务文件初步评审及资格评审</w:t>
      </w:r>
    </w:p>
    <w:p w14:paraId="6FFA510C">
      <w:pPr>
        <w:pBdr>
          <w:bottom w:val="single" w:color="auto" w:sz="6" w:space="1"/>
        </w:pBd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3.1 </w:t>
      </w:r>
      <w:r>
        <w:rPr>
          <w:rFonts w:hint="eastAsia" w:ascii="宋体" w:hAnsi="宋体" w:eastAsia="宋体"/>
          <w:b/>
          <w:bCs/>
          <w:strike/>
          <w:color w:val="auto"/>
          <w:sz w:val="24"/>
          <w:szCs w:val="24"/>
          <w:highlight w:val="none"/>
        </w:rPr>
        <w:t>商务文件初步评审及资格评审</w:t>
      </w:r>
      <w:r>
        <w:rPr>
          <w:rFonts w:hint="eastAsia" w:ascii="宋体" w:hAnsi="宋体" w:eastAsia="宋体"/>
          <w:b/>
          <w:bCs/>
          <w:color w:val="auto"/>
          <w:sz w:val="24"/>
          <w:szCs w:val="24"/>
          <w:highlight w:val="none"/>
          <w:u w:val="single"/>
        </w:rPr>
        <w:t>商务文件形式评审、资格评审、商务文件响应性评审</w:t>
      </w:r>
    </w:p>
    <w:p w14:paraId="4B83B4EA">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3.1.1</w:t>
      </w:r>
      <w:r>
        <w:rPr>
          <w:rFonts w:ascii="宋体" w:hAnsi="宋体" w:eastAsia="宋体"/>
          <w:b/>
          <w:bCs/>
          <w:color w:val="auto"/>
          <w:sz w:val="24"/>
          <w:szCs w:val="24"/>
          <w:highlight w:val="none"/>
        </w:rPr>
        <w:t xml:space="preserve">        修改类型：修改</w:t>
      </w:r>
    </w:p>
    <w:p w14:paraId="61F1E1AF">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391D48BD">
      <w:pPr>
        <w:pBdr>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dstrike w:val="0"/>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dstrike w:val="0"/>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21CBB68F">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3.2.2</w:t>
      </w:r>
      <w:r>
        <w:rPr>
          <w:rFonts w:ascii="宋体" w:hAnsi="宋体" w:eastAsia="宋体"/>
          <w:b/>
          <w:bCs/>
          <w:color w:val="auto"/>
          <w:sz w:val="24"/>
          <w:szCs w:val="24"/>
          <w:highlight w:val="none"/>
        </w:rPr>
        <w:t xml:space="preserve">        修改类型：修改</w:t>
      </w:r>
    </w:p>
    <w:p w14:paraId="714B5B3D">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算术平均值（由招标人自行设置），分数出现小数点，保留小数点后二位，第三位小数四舍五入。</w:t>
      </w:r>
    </w:p>
    <w:p w14:paraId="449BF6CB">
      <w:pP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w:t>
      </w:r>
      <w:r>
        <w:rPr>
          <w:rFonts w:hint="eastAsia" w:ascii="宋体" w:hAnsi="宋体" w:eastAsia="宋体" w:cs="宋体"/>
          <w:b/>
          <w:bCs/>
          <w:color w:val="auto"/>
          <w:sz w:val="24"/>
          <w:szCs w:val="24"/>
          <w:highlight w:val="none"/>
          <w:u w:val="single"/>
        </w:rPr>
        <w:t>算术平均值</w:t>
      </w:r>
      <w:r>
        <w:rPr>
          <w:rFonts w:hint="eastAsia" w:ascii="宋体" w:hAnsi="宋体" w:eastAsia="宋体" w:cs="宋体"/>
          <w:strike/>
          <w:dstrike w:val="0"/>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27AB8112">
      <w:pPr>
        <w:pBdr>
          <w:top w:val="single" w:color="auto" w:sz="6" w:space="1"/>
          <w:bottom w:val="single" w:color="auto" w:sz="6" w:space="1"/>
        </w:pBdr>
        <w:wordWrap w:val="0"/>
        <w:spacing w:line="360" w:lineRule="auto"/>
        <w:ind w:firstLine="426" w:firstLineChars="177"/>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条款号：3.4.2        修改类型：修改</w:t>
      </w:r>
    </w:p>
    <w:p w14:paraId="510EA9C8">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3.4.2 评标委员会按本章第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14:paraId="59567E7D">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14:paraId="29C1BDF8">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3.6</w:t>
      </w:r>
      <w:r>
        <w:rPr>
          <w:rFonts w:ascii="宋体" w:hAnsi="宋体" w:eastAsia="宋体"/>
          <w:b/>
          <w:bCs/>
          <w:color w:val="auto"/>
          <w:sz w:val="24"/>
          <w:szCs w:val="24"/>
          <w:highlight w:val="none"/>
        </w:rPr>
        <w:t xml:space="preserve">        修改类型：修改</w:t>
      </w:r>
    </w:p>
    <w:p w14:paraId="52D000D1">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3.6 汇总投标人总得分</w:t>
      </w:r>
    </w:p>
    <w:p w14:paraId="30FF469C">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3.6.1 评标委员会按本章第2.2款规定的量化因素和分值进行打分，并计算出综合得分。</w:t>
      </w:r>
    </w:p>
    <w:p w14:paraId="5C79DD31">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（1）按本章第2.2.4（1）目规定的评审因素和分值对商务文件部分计算出得分A；</w:t>
      </w:r>
    </w:p>
    <w:p w14:paraId="7BB8B11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（2）按本章第2.2.4（2）目规定的评审因素和分值对技术文件部分计算出得分B；</w:t>
      </w:r>
    </w:p>
    <w:p w14:paraId="6C91F432">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（3）按本章第2.2.4（3）目规定的评审因素和分值对投标报价计算出得分C；</w:t>
      </w:r>
    </w:p>
    <w:p w14:paraId="4C7C0744">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（4）按本章第2.2.4（4）目规定的评审因素和分值对其他部分计算出得分D。</w:t>
      </w:r>
    </w:p>
    <w:p w14:paraId="127DADA2">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3.6.2 评分分值计算保留小数点后两位，小数点后第三位“四舍五入”。</w:t>
      </w:r>
    </w:p>
    <w:p w14:paraId="6E655825">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3.6.3 投标人得分=A+B+C+D。</w:t>
      </w:r>
    </w:p>
    <w:p w14:paraId="68444CB5">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3.6 汇总投标人总得分</w:t>
      </w:r>
    </w:p>
    <w:p w14:paraId="1A25B868">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3.6.1 评标委员会按本章第2.2款规定的量化因素和分值进行打分，并计算出综合得分。</w:t>
      </w:r>
    </w:p>
    <w:p w14:paraId="72720391">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（1）按本章第2.2.4（1）目规定的评审因素和分值对商务文件部分计算出得分A；</w:t>
      </w:r>
    </w:p>
    <w:p w14:paraId="150385A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（2）按本章第2.2.4（2）目规定的评审因素和分值对技术文件部分计算出得分B；</w:t>
      </w:r>
    </w:p>
    <w:p w14:paraId="61ECDA09">
      <w:pPr>
        <w:wordWrap w:val="0"/>
        <w:spacing w:line="360" w:lineRule="auto"/>
        <w:ind w:firstLine="424" w:firstLineChars="177"/>
        <w:rPr>
          <w:rFonts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rPr>
        <w:t>（3）按本章第2.2.4（3）目规定的评审因素和分值对投标报价计算出得分C；</w:t>
      </w:r>
    </w:p>
    <w:p w14:paraId="71A09805">
      <w:pPr>
        <w:wordWrap w:val="0"/>
        <w:spacing w:line="360" w:lineRule="auto"/>
        <w:ind w:firstLine="424" w:firstLineChars="177"/>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（4）按本章第2.2.4（4）目规定的评审因素和分值对其他部分计算出得分D。</w:t>
      </w:r>
    </w:p>
    <w:p w14:paraId="5C627184">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3.6.2 评分分值计算保留小数点后两位，小数点后第三位“四舍五入”。</w:t>
      </w:r>
    </w:p>
    <w:p w14:paraId="6B9B2EEA">
      <w:pPr>
        <w:pBdr>
          <w:bottom w:val="single" w:color="auto" w:sz="6" w:space="1"/>
        </w:pBd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3.6.3 投标人得分=A</w:t>
      </w:r>
      <w:r>
        <w:rPr>
          <w:rFonts w:hint="default" w:ascii="Arial" w:hAnsi="Arial" w:eastAsia="宋体" w:cs="Arial"/>
          <w:b/>
          <w:bCs/>
          <w:color w:val="auto"/>
          <w:sz w:val="24"/>
          <w:szCs w:val="24"/>
          <w:highlight w:val="none"/>
          <w:u w:val="single"/>
        </w:rPr>
        <w:t>×</w:t>
      </w:r>
      <w:r>
        <w:rPr>
          <w:rFonts w:hint="eastAsia" w:ascii="宋体" w:hAnsi="宋体" w:eastAsia="宋体"/>
          <w:b/>
          <w:bCs/>
          <w:color w:val="auto"/>
          <w:sz w:val="24"/>
          <w:szCs w:val="24"/>
          <w:highlight w:val="none"/>
          <w:u w:val="single"/>
          <w:lang w:val="en-US" w:eastAsia="zh-CN"/>
        </w:rPr>
        <w:t>20%</w:t>
      </w:r>
      <w:r>
        <w:rPr>
          <w:rFonts w:hint="eastAsia" w:ascii="宋体" w:hAnsi="宋体" w:eastAsia="宋体"/>
          <w:color w:val="auto"/>
          <w:sz w:val="24"/>
          <w:szCs w:val="24"/>
          <w:highlight w:val="none"/>
        </w:rPr>
        <w:t>+B</w:t>
      </w:r>
      <w:r>
        <w:rPr>
          <w:rFonts w:hint="default" w:ascii="Arial" w:hAnsi="Arial" w:eastAsia="宋体" w:cs="Arial"/>
          <w:b/>
          <w:bCs/>
          <w:color w:val="auto"/>
          <w:sz w:val="24"/>
          <w:szCs w:val="24"/>
          <w:highlight w:val="none"/>
          <w:u w:val="single"/>
        </w:rPr>
        <w:t>×</w:t>
      </w:r>
      <w:r>
        <w:rPr>
          <w:rFonts w:hint="eastAsia" w:ascii="宋体" w:hAnsi="宋体" w:eastAsia="宋体"/>
          <w:b/>
          <w:bCs/>
          <w:color w:val="auto"/>
          <w:sz w:val="24"/>
          <w:szCs w:val="24"/>
          <w:highlight w:val="none"/>
          <w:u w:val="single"/>
          <w:lang w:val="en-US" w:eastAsia="zh-CN"/>
        </w:rPr>
        <w:t>70%</w:t>
      </w:r>
      <w:r>
        <w:rPr>
          <w:rFonts w:hint="eastAsia" w:ascii="宋体" w:hAnsi="宋体" w:eastAsia="宋体"/>
          <w:strike w:val="0"/>
          <w:dstrike w:val="0"/>
          <w:color w:val="auto"/>
          <w:sz w:val="24"/>
          <w:szCs w:val="24"/>
          <w:highlight w:val="none"/>
        </w:rPr>
        <w:t>+C</w:t>
      </w:r>
      <w:r>
        <w:rPr>
          <w:rFonts w:hint="default" w:ascii="Arial" w:hAnsi="Arial" w:eastAsia="宋体" w:cs="Arial"/>
          <w:b/>
          <w:bCs/>
          <w:color w:val="auto"/>
          <w:sz w:val="24"/>
          <w:szCs w:val="24"/>
          <w:highlight w:val="none"/>
          <w:u w:val="single"/>
        </w:rPr>
        <w:t>×</w:t>
      </w:r>
      <w:r>
        <w:rPr>
          <w:rFonts w:hint="eastAsia" w:ascii="宋体" w:hAnsi="宋体" w:eastAsia="宋体"/>
          <w:b/>
          <w:bCs/>
          <w:color w:val="auto"/>
          <w:sz w:val="24"/>
          <w:szCs w:val="24"/>
          <w:highlight w:val="none"/>
          <w:u w:val="single"/>
          <w:lang w:val="en-US" w:eastAsia="zh-CN"/>
        </w:rPr>
        <w:t>10%</w:t>
      </w:r>
      <w:r>
        <w:rPr>
          <w:rFonts w:hint="eastAsia" w:ascii="宋体" w:hAnsi="宋体" w:eastAsia="宋体"/>
          <w:strike/>
          <w:dstrike w:val="0"/>
          <w:color w:val="auto"/>
          <w:sz w:val="24"/>
          <w:szCs w:val="24"/>
          <w:highlight w:val="none"/>
        </w:rPr>
        <w:t>+D</w:t>
      </w:r>
      <w:r>
        <w:rPr>
          <w:rFonts w:hint="eastAsia" w:ascii="宋体" w:hAnsi="宋体" w:eastAsia="宋体"/>
          <w:color w:val="auto"/>
          <w:sz w:val="24"/>
          <w:szCs w:val="24"/>
          <w:highlight w:val="none"/>
        </w:rPr>
        <w:t>。</w:t>
      </w:r>
    </w:p>
    <w:p w14:paraId="79765F0C">
      <w:pPr>
        <w:pBdr>
          <w:top w:val="single" w:color="auto" w:sz="6" w:space="1"/>
          <w:bottom w:val="single" w:color="auto" w:sz="6" w:space="1"/>
        </w:pBdr>
        <w:wordWrap w:val="0"/>
        <w:spacing w:line="360" w:lineRule="auto"/>
        <w:ind w:firstLine="426" w:firstLineChars="177"/>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修改类型：修改</w:t>
      </w:r>
    </w:p>
    <w:p w14:paraId="3A12471B">
      <w:pPr>
        <w:pBdr>
          <w:top w:val="single" w:color="auto" w:sz="6" w:space="1"/>
          <w:bottom w:val="single" w:color="auto" w:sz="6" w:space="1"/>
        </w:pBdr>
        <w:wordWrap w:val="0"/>
        <w:spacing w:line="360" w:lineRule="auto"/>
        <w:ind w:firstLine="426" w:firstLineChars="1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b/>
          <w:bCs/>
          <w:color w:val="auto"/>
          <w:sz w:val="24"/>
          <w:szCs w:val="24"/>
          <w:highlight w:val="none"/>
        </w:rPr>
        <w:t>3.</w:t>
      </w:r>
      <w:r>
        <w:rPr>
          <w:rFonts w:hint="eastAsia" w:ascii="宋体" w:hAnsi="宋体" w:eastAsia="宋体"/>
          <w:b/>
          <w:bCs/>
          <w:color w:val="auto"/>
          <w:sz w:val="24"/>
          <w:szCs w:val="24"/>
          <w:highlight w:val="none"/>
          <w:lang w:val="en-US" w:eastAsia="zh-CN"/>
        </w:rPr>
        <w:t>8</w:t>
      </w:r>
      <w:r>
        <w:rPr>
          <w:rFonts w:hint="eastAsia" w:ascii="宋体" w:hAnsi="宋体" w:eastAsia="宋体"/>
          <w:b/>
          <w:bCs/>
          <w:color w:val="auto"/>
          <w:sz w:val="24"/>
          <w:szCs w:val="24"/>
          <w:highlight w:val="none"/>
        </w:rPr>
        <w:t xml:space="preserve"> 评标结果</w:t>
      </w:r>
    </w:p>
    <w:p w14:paraId="7C7CD01B">
      <w:pPr>
        <w:pBdr>
          <w:top w:val="single" w:color="auto" w:sz="6" w:space="1"/>
          <w:bottom w:val="single" w:color="auto" w:sz="6" w:space="1"/>
        </w:pBdr>
        <w:wordWrap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 除第二章“投标人须知”前附表授权直接确定中标人外，评标委员会按照得分由高到低的顺序推荐中标候选人，并标明排序。</w:t>
      </w:r>
    </w:p>
    <w:p w14:paraId="1F09CEE9">
      <w:pPr>
        <w:pBdr>
          <w:top w:val="single" w:color="auto" w:sz="6" w:space="1"/>
          <w:bottom w:val="single" w:color="auto" w:sz="6" w:space="1"/>
        </w:pBdr>
        <w:wordWrap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评标委员会完成评标后，应当向招标人提交书面评标报告和中标候选人名单。</w:t>
      </w:r>
    </w:p>
    <w:p w14:paraId="6124EE3A">
      <w:pPr>
        <w:pBdr>
          <w:top w:val="single" w:color="auto" w:sz="6" w:space="1"/>
          <w:bottom w:val="single" w:color="auto" w:sz="6" w:space="1"/>
        </w:pBdr>
        <w:wordWrap w:val="0"/>
        <w:spacing w:line="360" w:lineRule="auto"/>
        <w:ind w:firstLine="424" w:firstLineChars="1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3.8.3 如采用评标定标分离方法的，按相关规定执行。</w:t>
      </w:r>
    </w:p>
    <w:p w14:paraId="12837E0F">
      <w:pPr>
        <w:pBdr>
          <w:top w:val="single" w:color="auto" w:sz="6" w:space="1"/>
          <w:bottom w:val="single" w:color="auto" w:sz="6" w:space="1"/>
        </w:pBdr>
        <w:wordWrap w:val="0"/>
        <w:spacing w:line="360" w:lineRule="auto"/>
        <w:ind w:firstLine="426" w:firstLineChars="1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b/>
          <w:bCs/>
          <w:color w:val="auto"/>
          <w:sz w:val="24"/>
          <w:szCs w:val="24"/>
          <w:highlight w:val="none"/>
        </w:rPr>
        <w:t>3.</w:t>
      </w:r>
      <w:r>
        <w:rPr>
          <w:rFonts w:hint="eastAsia" w:ascii="宋体" w:hAnsi="宋体" w:eastAsia="宋体"/>
          <w:b/>
          <w:bCs/>
          <w:color w:val="auto"/>
          <w:sz w:val="24"/>
          <w:szCs w:val="24"/>
          <w:highlight w:val="none"/>
          <w:lang w:val="en-US" w:eastAsia="zh-CN"/>
        </w:rPr>
        <w:t>8</w:t>
      </w:r>
      <w:r>
        <w:rPr>
          <w:rFonts w:hint="eastAsia" w:ascii="宋体" w:hAnsi="宋体" w:eastAsia="宋体"/>
          <w:b/>
          <w:bCs/>
          <w:color w:val="auto"/>
          <w:sz w:val="24"/>
          <w:szCs w:val="24"/>
          <w:highlight w:val="none"/>
        </w:rPr>
        <w:t xml:space="preserve"> 评标结果</w:t>
      </w:r>
    </w:p>
    <w:p w14:paraId="4D8B3414">
      <w:pPr>
        <w:pBdr>
          <w:top w:val="single" w:color="auto" w:sz="6" w:space="1"/>
          <w:bottom w:val="single" w:color="auto" w:sz="6" w:space="1"/>
        </w:pBdr>
        <w:wordWrap w:val="0"/>
        <w:spacing w:line="360" w:lineRule="auto"/>
        <w:ind w:firstLine="424" w:firstLineChars="177"/>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3.8.1 </w:t>
      </w:r>
      <w:r>
        <w:rPr>
          <w:rFonts w:hint="eastAsia" w:ascii="宋体" w:hAnsi="宋体" w:eastAsia="宋体" w:cs="宋体"/>
          <w:strike/>
          <w:dstrike w:val="0"/>
          <w:color w:val="auto"/>
          <w:sz w:val="24"/>
          <w:szCs w:val="24"/>
          <w:highlight w:val="none"/>
        </w:rPr>
        <w:t>除第二章“投标人须知”前附表授权直接确定中标人外，评标委员会按照得分由高到低的顺序推荐中标候选人，并标明排序。</w:t>
      </w:r>
      <w:r>
        <w:rPr>
          <w:rFonts w:hint="eastAsia" w:ascii="宋体" w:hAnsi="宋体" w:eastAsia="宋体" w:cs="宋体"/>
          <w:b/>
          <w:bCs/>
          <w:color w:val="auto"/>
          <w:sz w:val="24"/>
          <w:szCs w:val="24"/>
          <w:highlight w:val="none"/>
          <w:u w:val="single"/>
        </w:rPr>
        <w:t>评标委员会按本章第2.2.1款规定的标准汇总各有效投标文件的综合得分，并按照本章前附表第1条的要求推荐合格的中标候选人进入定标阶段。</w:t>
      </w:r>
    </w:p>
    <w:p w14:paraId="6068E426">
      <w:pPr>
        <w:pBdr>
          <w:top w:val="single" w:color="auto" w:sz="6" w:space="1"/>
          <w:bottom w:val="single" w:color="auto" w:sz="6" w:space="1"/>
        </w:pBdr>
        <w:wordWrap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评标委员会完成评标后，应当向招标人提交书面评标报告和</w:t>
      </w:r>
      <w:r>
        <w:rPr>
          <w:rFonts w:hint="eastAsia" w:ascii="宋体" w:hAnsi="宋体" w:eastAsia="宋体" w:cs="宋体"/>
          <w:b/>
          <w:bCs/>
          <w:color w:val="auto"/>
          <w:sz w:val="24"/>
          <w:szCs w:val="24"/>
          <w:highlight w:val="none"/>
          <w:u w:val="single"/>
          <w:lang w:val="en-US" w:eastAsia="zh-CN"/>
        </w:rPr>
        <w:t>合格的</w:t>
      </w:r>
      <w:r>
        <w:rPr>
          <w:rFonts w:hint="eastAsia" w:ascii="宋体" w:hAnsi="宋体" w:eastAsia="宋体" w:cs="宋体"/>
          <w:color w:val="auto"/>
          <w:sz w:val="24"/>
          <w:szCs w:val="24"/>
          <w:highlight w:val="none"/>
        </w:rPr>
        <w:t>中标候选人名单。</w:t>
      </w:r>
    </w:p>
    <w:p w14:paraId="17209DB4">
      <w:pPr>
        <w:pBdr>
          <w:top w:val="single" w:color="auto" w:sz="6" w:space="1"/>
          <w:bottom w:val="single" w:color="auto" w:sz="6" w:space="1"/>
        </w:pBdr>
        <w:wordWrap w:val="0"/>
        <w:spacing w:line="360" w:lineRule="auto"/>
        <w:ind w:firstLine="424" w:firstLineChars="177"/>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3.8.3 如采用评标定标分离方法的，按相关规定执行。</w:t>
      </w:r>
    </w:p>
    <w:p w14:paraId="686CED02">
      <w:pPr>
        <w:pBdr>
          <w:top w:val="single" w:color="auto" w:sz="6" w:space="1"/>
          <w:bottom w:val="single" w:color="auto" w:sz="6" w:space="1"/>
        </w:pBdr>
        <w:wordWrap w:val="0"/>
        <w:spacing w:line="360" w:lineRule="auto"/>
        <w:ind w:firstLine="426" w:firstLineChars="177"/>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修改类型：修改</w:t>
      </w:r>
    </w:p>
    <w:p w14:paraId="18CBFF21">
      <w:pPr>
        <w:pBdr>
          <w:top w:val="single" w:color="auto" w:sz="6" w:space="1"/>
          <w:bottom w:val="single" w:color="auto" w:sz="6" w:space="1"/>
        </w:pBdr>
        <w:wordWrap w:val="0"/>
        <w:spacing w:line="360" w:lineRule="auto"/>
        <w:ind w:firstLine="426" w:firstLineChars="177"/>
        <w:rPr>
          <w:rFonts w:hint="default"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现</w:t>
      </w:r>
      <w:r>
        <w:rPr>
          <w:rFonts w:hint="eastAsia" w:ascii="宋体" w:hAnsi="宋体" w:eastAsia="宋体" w:cs="宋体"/>
          <w:b/>
          <w:bCs/>
          <w:color w:val="auto"/>
          <w:sz w:val="24"/>
          <w:szCs w:val="24"/>
          <w:highlight w:val="none"/>
        </w:rPr>
        <w:t>文：</w:t>
      </w:r>
      <w:r>
        <w:rPr>
          <w:rFonts w:hint="eastAsia" w:ascii="宋体" w:hAnsi="宋体" w:eastAsia="宋体"/>
          <w:b/>
          <w:bCs/>
          <w:color w:val="auto"/>
          <w:sz w:val="24"/>
          <w:szCs w:val="24"/>
          <w:highlight w:val="none"/>
          <w:u w:val="single"/>
          <w:lang w:val="en-US" w:eastAsia="zh-CN"/>
        </w:rPr>
        <w:t>4</w:t>
      </w:r>
      <w:r>
        <w:rPr>
          <w:rFonts w:hint="eastAsia"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u w:val="single"/>
          <w:lang w:val="en-US" w:eastAsia="zh-CN"/>
        </w:rPr>
        <w:t>定标办法</w:t>
      </w:r>
    </w:p>
    <w:p w14:paraId="0E16E8EC">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.1评标结果公示结束后，招标人一般在5个工作日内召开定标会议确定中标人。招标人在广州交易集团有限公司（广州公共资源交易中心）组织定标工作，选定中标人，并标明排序。</w:t>
      </w:r>
    </w:p>
    <w:p w14:paraId="5129DE46">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.2监督小组：招标人依据《广州市交通运输局关于印发广州市交通工程建设项目评标定标分离操作指引（试行）的通知》（穗交运函〔2025〕17号文）组建监督小组。</w:t>
      </w:r>
    </w:p>
    <w:p w14:paraId="6AAAB238">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.3定标规则及程序</w:t>
      </w:r>
    </w:p>
    <w:p w14:paraId="44BCB659">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.3.1本项目采用评分法（</w:t>
      </w:r>
      <w:r>
        <w:rPr>
          <w:rFonts w:hint="eastAsia" w:ascii="宋体" w:hAnsi="宋体" w:eastAsia="宋体" w:cs="宋体"/>
          <w:b/>
          <w:bCs/>
          <w:color w:val="auto"/>
          <w:sz w:val="24"/>
          <w:szCs w:val="24"/>
          <w:highlight w:val="none"/>
          <w:u w:val="single"/>
          <w:lang w:val="en-US" w:eastAsia="zh-CN"/>
        </w:rPr>
        <w:t>方案</w:t>
      </w:r>
      <w:r>
        <w:rPr>
          <w:rFonts w:hint="eastAsia" w:ascii="宋体" w:hAnsi="宋体" w:eastAsia="宋体" w:cs="宋体"/>
          <w:b/>
          <w:bCs/>
          <w:color w:val="auto"/>
          <w:sz w:val="24"/>
          <w:szCs w:val="24"/>
          <w:highlight w:val="none"/>
          <w:u w:val="single"/>
        </w:rPr>
        <w:t>因素+</w:t>
      </w:r>
      <w:r>
        <w:rPr>
          <w:rFonts w:hint="eastAsia" w:ascii="宋体" w:hAnsi="宋体" w:eastAsia="宋体" w:cs="宋体"/>
          <w:b/>
          <w:bCs/>
          <w:color w:val="auto"/>
          <w:sz w:val="24"/>
          <w:szCs w:val="24"/>
          <w:highlight w:val="none"/>
          <w:u w:val="single"/>
          <w:lang w:val="en-US" w:eastAsia="zh-CN"/>
        </w:rPr>
        <w:t>答辩</w:t>
      </w:r>
      <w:r>
        <w:rPr>
          <w:rFonts w:hint="eastAsia" w:ascii="宋体" w:hAnsi="宋体" w:eastAsia="宋体" w:cs="宋体"/>
          <w:b/>
          <w:bCs/>
          <w:color w:val="auto"/>
          <w:sz w:val="24"/>
          <w:szCs w:val="24"/>
          <w:highlight w:val="none"/>
          <w:u w:val="single"/>
        </w:rPr>
        <w:t>因素）。</w:t>
      </w:r>
    </w:p>
    <w:p w14:paraId="05102591">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.3.2招标人（招标代理）应当在定标会上向定标委员会介绍项目基本情况、合格中标候选人情况、评标委员会的评审意见及定标规则等内容。定标委员会成员有疑问的，可以向招标人提问。</w:t>
      </w:r>
    </w:p>
    <w:p w14:paraId="374D7965">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.3.3定标委员会在评标委员会评审的基础上，根据《定标因素表》及定标辅助资料，对进入定标阶段的全部合格中标候选人的</w:t>
      </w:r>
      <w:r>
        <w:rPr>
          <w:rFonts w:hint="eastAsia" w:ascii="宋体" w:hAnsi="宋体" w:eastAsia="宋体" w:cs="宋体"/>
          <w:b/>
          <w:bCs/>
          <w:color w:val="auto"/>
          <w:sz w:val="24"/>
          <w:szCs w:val="24"/>
          <w:highlight w:val="none"/>
          <w:u w:val="single"/>
          <w:lang w:eastAsia="zh-CN"/>
        </w:rPr>
        <w:t>方案</w:t>
      </w:r>
      <w:r>
        <w:rPr>
          <w:rFonts w:hint="eastAsia" w:ascii="宋体" w:hAnsi="宋体" w:eastAsia="宋体" w:cs="宋体"/>
          <w:b/>
          <w:bCs/>
          <w:color w:val="auto"/>
          <w:sz w:val="24"/>
          <w:szCs w:val="24"/>
          <w:highlight w:val="none"/>
          <w:u w:val="single"/>
        </w:rPr>
        <w:t>因素和</w:t>
      </w:r>
      <w:r>
        <w:rPr>
          <w:rFonts w:hint="eastAsia" w:ascii="宋体" w:hAnsi="宋体" w:eastAsia="宋体" w:cs="宋体"/>
          <w:b/>
          <w:bCs/>
          <w:color w:val="auto"/>
          <w:sz w:val="24"/>
          <w:szCs w:val="24"/>
          <w:highlight w:val="none"/>
          <w:u w:val="single"/>
          <w:lang w:eastAsia="zh-CN"/>
        </w:rPr>
        <w:t>答辩</w:t>
      </w:r>
      <w:r>
        <w:rPr>
          <w:rFonts w:hint="eastAsia" w:ascii="宋体" w:hAnsi="宋体" w:eastAsia="宋体" w:cs="宋体"/>
          <w:b/>
          <w:bCs/>
          <w:color w:val="auto"/>
          <w:sz w:val="24"/>
          <w:szCs w:val="24"/>
          <w:highlight w:val="none"/>
          <w:u w:val="single"/>
        </w:rPr>
        <w:t>因素进行评分</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zh-CN" w:eastAsia="zh-CN"/>
        </w:rPr>
        <w:t>各合格中标候选人总得分为各</w:t>
      </w:r>
      <w:r>
        <w:rPr>
          <w:rFonts w:hint="eastAsia" w:ascii="宋体" w:hAnsi="宋体" w:eastAsia="宋体" w:cs="宋体"/>
          <w:b/>
          <w:bCs/>
          <w:color w:val="auto"/>
          <w:sz w:val="24"/>
          <w:szCs w:val="24"/>
          <w:highlight w:val="none"/>
          <w:u w:val="single"/>
          <w:lang w:val="en-US" w:eastAsia="zh-CN"/>
        </w:rPr>
        <w:t>定标委员</w:t>
      </w:r>
      <w:r>
        <w:rPr>
          <w:rFonts w:hint="eastAsia" w:ascii="宋体" w:hAnsi="宋体" w:eastAsia="宋体" w:cs="宋体"/>
          <w:b/>
          <w:bCs/>
          <w:color w:val="auto"/>
          <w:sz w:val="24"/>
          <w:szCs w:val="24"/>
          <w:highlight w:val="none"/>
          <w:u w:val="single"/>
          <w:lang w:val="zh-CN" w:eastAsia="zh-CN"/>
        </w:rPr>
        <w:t>评分的算术平均值，得分四舍五入保留两位小数</w:t>
      </w:r>
      <w:r>
        <w:rPr>
          <w:rFonts w:hint="eastAsia" w:ascii="宋体" w:hAnsi="宋体" w:eastAsia="宋体" w:cs="宋体"/>
          <w:b/>
          <w:bCs/>
          <w:color w:val="auto"/>
          <w:sz w:val="24"/>
          <w:szCs w:val="24"/>
          <w:highlight w:val="none"/>
          <w:u w:val="single"/>
        </w:rPr>
        <w:t>。定标辅助资料为评标报告、投标人提交的投标文件。</w:t>
      </w:r>
    </w:p>
    <w:p w14:paraId="6C9CE2BE">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.3.4定标委员会根据合格中标候选人总得分由高至低进行排序。合格中标候选人总得分=</w:t>
      </w:r>
      <w:r>
        <w:rPr>
          <w:rFonts w:hint="eastAsia" w:ascii="宋体" w:hAnsi="宋体" w:eastAsia="宋体" w:cs="宋体"/>
          <w:b/>
          <w:bCs/>
          <w:color w:val="auto"/>
          <w:sz w:val="24"/>
          <w:szCs w:val="24"/>
          <w:highlight w:val="none"/>
          <w:u w:val="single"/>
          <w:lang w:val="en-US" w:eastAsia="zh-CN"/>
        </w:rPr>
        <w:t>方案</w:t>
      </w:r>
      <w:r>
        <w:rPr>
          <w:rFonts w:hint="eastAsia" w:ascii="宋体" w:hAnsi="宋体" w:eastAsia="宋体" w:cs="宋体"/>
          <w:b/>
          <w:bCs/>
          <w:color w:val="auto"/>
          <w:sz w:val="24"/>
          <w:szCs w:val="24"/>
          <w:highlight w:val="none"/>
          <w:u w:val="single"/>
        </w:rPr>
        <w:t>因素（</w:t>
      </w:r>
      <w:r>
        <w:rPr>
          <w:rFonts w:hint="eastAsia" w:ascii="宋体" w:hAnsi="宋体" w:eastAsia="宋体" w:cs="宋体"/>
          <w:b/>
          <w:bCs/>
          <w:color w:val="auto"/>
          <w:sz w:val="24"/>
          <w:szCs w:val="24"/>
          <w:highlight w:val="none"/>
          <w:u w:val="single"/>
          <w:lang w:val="en-US" w:eastAsia="zh-CN"/>
        </w:rPr>
        <w:t>60</w:t>
      </w:r>
      <w:r>
        <w:rPr>
          <w:rFonts w:hint="eastAsia" w:ascii="宋体" w:hAnsi="宋体" w:eastAsia="宋体" w:cs="宋体"/>
          <w:b/>
          <w:bCs/>
          <w:color w:val="auto"/>
          <w:sz w:val="24"/>
          <w:szCs w:val="24"/>
          <w:highlight w:val="none"/>
          <w:u w:val="single"/>
        </w:rPr>
        <w:t>分）+</w:t>
      </w:r>
      <w:r>
        <w:rPr>
          <w:rFonts w:hint="eastAsia" w:ascii="宋体" w:hAnsi="宋体" w:eastAsia="宋体" w:cs="宋体"/>
          <w:b/>
          <w:bCs/>
          <w:color w:val="auto"/>
          <w:sz w:val="24"/>
          <w:szCs w:val="24"/>
          <w:highlight w:val="none"/>
          <w:u w:val="single"/>
          <w:lang w:val="en-US" w:eastAsia="zh-CN"/>
        </w:rPr>
        <w:t>答辩</w:t>
      </w:r>
      <w:r>
        <w:rPr>
          <w:rFonts w:hint="eastAsia" w:ascii="宋体" w:hAnsi="宋体" w:eastAsia="宋体" w:cs="宋体"/>
          <w:b/>
          <w:bCs/>
          <w:color w:val="auto"/>
          <w:sz w:val="24"/>
          <w:szCs w:val="24"/>
          <w:highlight w:val="none"/>
          <w:u w:val="single"/>
        </w:rPr>
        <w:t>因素（</w:t>
      </w:r>
      <w:r>
        <w:rPr>
          <w:rFonts w:hint="eastAsia" w:ascii="宋体" w:hAnsi="宋体" w:eastAsia="宋体" w:cs="宋体"/>
          <w:b/>
          <w:bCs/>
          <w:color w:val="auto"/>
          <w:sz w:val="24"/>
          <w:szCs w:val="24"/>
          <w:highlight w:val="none"/>
          <w:u w:val="single"/>
          <w:lang w:val="en-US" w:eastAsia="zh-CN"/>
        </w:rPr>
        <w:t>40</w:t>
      </w:r>
      <w:r>
        <w:rPr>
          <w:rFonts w:hint="eastAsia" w:ascii="宋体" w:hAnsi="宋体" w:eastAsia="宋体" w:cs="宋体"/>
          <w:b/>
          <w:bCs/>
          <w:color w:val="auto"/>
          <w:sz w:val="24"/>
          <w:szCs w:val="24"/>
          <w:highlight w:val="none"/>
          <w:u w:val="single"/>
        </w:rPr>
        <w:t>分）。总得分四舍五入保留两位小数。</w:t>
      </w:r>
    </w:p>
    <w:p w14:paraId="1B8CAAD5">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总得分相同的合格中标候选人，以</w:t>
      </w:r>
      <w:r>
        <w:rPr>
          <w:rFonts w:hint="eastAsia" w:ascii="宋体" w:hAnsi="宋体" w:eastAsia="宋体" w:cs="宋体"/>
          <w:b/>
          <w:bCs/>
          <w:color w:val="auto"/>
          <w:sz w:val="24"/>
          <w:szCs w:val="24"/>
          <w:highlight w:val="none"/>
          <w:u w:val="single"/>
          <w:lang w:val="en-US" w:eastAsia="zh-CN"/>
        </w:rPr>
        <w:t>方案</w:t>
      </w:r>
      <w:r>
        <w:rPr>
          <w:rFonts w:hint="eastAsia" w:ascii="宋体" w:hAnsi="宋体" w:eastAsia="宋体" w:cs="宋体"/>
          <w:b/>
          <w:bCs/>
          <w:color w:val="auto"/>
          <w:sz w:val="24"/>
          <w:szCs w:val="24"/>
          <w:highlight w:val="none"/>
          <w:u w:val="single"/>
        </w:rPr>
        <w:t>因素得分较高的排前；</w:t>
      </w:r>
      <w:r>
        <w:rPr>
          <w:rFonts w:hint="eastAsia" w:ascii="宋体" w:hAnsi="宋体" w:eastAsia="宋体" w:cs="宋体"/>
          <w:b/>
          <w:bCs/>
          <w:strike/>
          <w:color w:val="auto"/>
          <w:sz w:val="24"/>
          <w:szCs w:val="24"/>
          <w:highlight w:val="none"/>
          <w:u w:val="single"/>
        </w:rPr>
        <w:t>总得分与</w:t>
      </w:r>
      <w:r>
        <w:rPr>
          <w:rFonts w:hint="eastAsia" w:ascii="宋体" w:hAnsi="宋体" w:eastAsia="宋体" w:cs="宋体"/>
          <w:b/>
          <w:bCs/>
          <w:strike/>
          <w:color w:val="auto"/>
          <w:sz w:val="24"/>
          <w:szCs w:val="24"/>
          <w:highlight w:val="none"/>
          <w:u w:val="single"/>
          <w:lang w:val="en-US" w:eastAsia="zh-CN"/>
        </w:rPr>
        <w:t>方案</w:t>
      </w:r>
      <w:r>
        <w:rPr>
          <w:rFonts w:hint="eastAsia" w:ascii="宋体" w:hAnsi="宋体" w:eastAsia="宋体" w:cs="宋体"/>
          <w:b/>
          <w:bCs/>
          <w:strike/>
          <w:color w:val="auto"/>
          <w:sz w:val="24"/>
          <w:szCs w:val="24"/>
          <w:highlight w:val="none"/>
          <w:u w:val="single"/>
        </w:rPr>
        <w:t>因素得分均相同的，以</w:t>
      </w:r>
      <w:r>
        <w:rPr>
          <w:rFonts w:hint="eastAsia" w:ascii="宋体" w:hAnsi="宋体" w:eastAsia="宋体" w:cs="宋体"/>
          <w:b/>
          <w:bCs/>
          <w:strike/>
          <w:color w:val="auto"/>
          <w:sz w:val="24"/>
          <w:szCs w:val="24"/>
          <w:highlight w:val="none"/>
          <w:u w:val="single"/>
          <w:lang w:eastAsia="zh-CN"/>
        </w:rPr>
        <w:t>答辩因素得分较高</w:t>
      </w:r>
      <w:r>
        <w:rPr>
          <w:rFonts w:hint="eastAsia" w:ascii="宋体" w:hAnsi="宋体" w:eastAsia="宋体" w:cs="宋体"/>
          <w:b/>
          <w:bCs/>
          <w:strike/>
          <w:color w:val="auto"/>
          <w:sz w:val="24"/>
          <w:szCs w:val="24"/>
          <w:highlight w:val="none"/>
          <w:u w:val="single"/>
        </w:rPr>
        <w:t>的排前；</w:t>
      </w:r>
      <w:r>
        <w:rPr>
          <w:rFonts w:hint="eastAsia" w:ascii="宋体" w:hAnsi="宋体" w:eastAsia="宋体" w:cs="宋体"/>
          <w:b/>
          <w:bCs/>
          <w:color w:val="auto"/>
          <w:sz w:val="24"/>
          <w:szCs w:val="24"/>
          <w:highlight w:val="none"/>
          <w:u w:val="single"/>
        </w:rPr>
        <w:t>总得分、</w:t>
      </w:r>
      <w:r>
        <w:rPr>
          <w:rFonts w:hint="eastAsia" w:ascii="宋体" w:hAnsi="宋体" w:eastAsia="宋体" w:cs="宋体"/>
          <w:b/>
          <w:bCs/>
          <w:color w:val="auto"/>
          <w:sz w:val="24"/>
          <w:szCs w:val="24"/>
          <w:highlight w:val="none"/>
          <w:u w:val="single"/>
          <w:lang w:val="en-US" w:eastAsia="zh-CN"/>
        </w:rPr>
        <w:t>方案</w:t>
      </w:r>
      <w:r>
        <w:rPr>
          <w:rFonts w:hint="eastAsia" w:ascii="宋体" w:hAnsi="宋体" w:eastAsia="宋体" w:cs="宋体"/>
          <w:b/>
          <w:bCs/>
          <w:color w:val="auto"/>
          <w:sz w:val="24"/>
          <w:szCs w:val="24"/>
          <w:highlight w:val="none"/>
          <w:u w:val="single"/>
        </w:rPr>
        <w:t>因素得分</w:t>
      </w:r>
      <w:r>
        <w:rPr>
          <w:rFonts w:hint="eastAsia" w:ascii="宋体" w:hAnsi="宋体" w:eastAsia="宋体" w:cs="宋体"/>
          <w:b/>
          <w:bCs/>
          <w:strike/>
          <w:color w:val="auto"/>
          <w:sz w:val="24"/>
          <w:szCs w:val="24"/>
          <w:highlight w:val="none"/>
          <w:u w:val="single"/>
        </w:rPr>
        <w:t>与</w:t>
      </w:r>
      <w:r>
        <w:rPr>
          <w:rFonts w:hint="eastAsia" w:ascii="宋体" w:hAnsi="宋体" w:eastAsia="宋体" w:cs="宋体"/>
          <w:b/>
          <w:bCs/>
          <w:strike/>
          <w:color w:val="auto"/>
          <w:sz w:val="24"/>
          <w:szCs w:val="24"/>
          <w:highlight w:val="none"/>
          <w:u w:val="single"/>
          <w:lang w:eastAsia="zh-CN"/>
        </w:rPr>
        <w:t>答辩因素得分</w:t>
      </w:r>
      <w:r>
        <w:rPr>
          <w:rFonts w:hint="eastAsia" w:ascii="宋体" w:hAnsi="宋体" w:eastAsia="宋体" w:cs="宋体"/>
          <w:b/>
          <w:bCs/>
          <w:color w:val="auto"/>
          <w:sz w:val="24"/>
          <w:szCs w:val="24"/>
          <w:highlight w:val="none"/>
          <w:u w:val="single"/>
        </w:rPr>
        <w:t>均相同的，则由定标委员会采用投票方式，确定合格中标候选人的排序。</w:t>
      </w:r>
    </w:p>
    <w:p w14:paraId="170B009C">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注：记名投票方式确定排序的具体操作步骤为：由定标委员会对出现该情况的合格中标候选人进行编号，然后通过记名投票方式依次确定投标人的排序。</w:t>
      </w:r>
    </w:p>
    <w:p w14:paraId="4C0BE0B7">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.3.5定标委员会确定总得分最高的合格中标候选人为中标人。</w:t>
      </w:r>
    </w:p>
    <w:p w14:paraId="7676BD15">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3.6编写定标报告，定标委员会全体确认后签署定标报告：定标报告应记录定标委员会成员名单、监督小组名单、定标办法、定标过程、定标工作情况、定标结果，并由定标委员会成员、监督小组成员代表签字。监督小组应对定标全过程进行监督，在定标报告上签名。招标人应对定标全过程做好录音、录像工作，并存档备查。</w:t>
      </w:r>
    </w:p>
    <w:p w14:paraId="454687B1">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4招标人应当在定标工作完成后3日内在广东省招投标监管网、广州交易集团有限公司（广州公共资源交易中心）网站公示中标结果，公示内容包括：定标时间、所有合格中标候选人的评分结果、中标人名称、投标价格、项目负责人等信息、定标报告等（但应隐去或遮蔽个人隐私内容、信息字段），同时提出投诉的渠道方式，以及法律法规和招标文件规定应当公示的其他内容。</w:t>
      </w:r>
    </w:p>
    <w:p w14:paraId="7C497677">
      <w:pPr>
        <w:pBdr>
          <w:top w:val="single" w:color="auto" w:sz="6" w:space="1"/>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.5因发生异议或投诉需要重新评标或定标的，评标、定标信息仍以投标截止时投标人的信息为准。因特殊原因需要延长投标有效期，投标人拒绝延长投标有效期的，仍参与评标，但不被推荐为合格中标候选人。</w:t>
      </w:r>
    </w:p>
    <w:p w14:paraId="15ADB954">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6在定标后，中标人放弃中标、无故不签订合同或因不可抗力不能履行合同、不按照招标文件要求提交履约保证金，或者被查实存在影响中标结果的违法行为等情形，不符合中标条件的，招标人可以重新招标或由原定标委员会按原定标规则在合格中标候选人名单中重新确定中标人并公示。</w:t>
      </w:r>
    </w:p>
    <w:p w14:paraId="18A5EA85">
      <w:pPr>
        <w:wordWrap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3B515E64">
      <w:pPr>
        <w:widowControl/>
        <w:wordWrap w:val="0"/>
        <w:spacing w:line="360" w:lineRule="auto"/>
        <w:jc w:val="left"/>
        <w:rPr>
          <w:rFonts w:ascii="宋体" w:hAnsi="宋体" w:eastAsia="宋体" w:cs="宋体"/>
          <w:color w:val="auto"/>
          <w:szCs w:val="24"/>
          <w:highlight w:val="none"/>
        </w:rPr>
      </w:pPr>
      <w:r>
        <w:rPr>
          <w:rFonts w:ascii="宋体" w:hAnsi="宋体" w:eastAsia="宋体"/>
          <w:color w:val="auto"/>
          <w:sz w:val="24"/>
          <w:szCs w:val="24"/>
          <w:highlight w:val="none"/>
        </w:rPr>
        <w:t>（以下无正文）</w:t>
      </w:r>
      <w:r>
        <w:rPr>
          <w:rFonts w:ascii="宋体" w:hAnsi="宋体" w:eastAsia="宋体" w:cs="宋体"/>
          <w:color w:val="auto"/>
          <w:szCs w:val="24"/>
          <w:highlight w:val="none"/>
        </w:rPr>
        <w:br w:type="page"/>
      </w:r>
    </w:p>
    <w:p w14:paraId="6D479EAB">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pgSz w:w="11905" w:h="16838"/>
          <w:pgMar w:top="1474" w:right="1701" w:bottom="1474" w:left="1701" w:header="720" w:footer="720" w:gutter="0"/>
          <w:pgBorders>
            <w:top w:val="none" w:sz="0" w:space="0"/>
            <w:left w:val="none" w:sz="0" w:space="0"/>
            <w:bottom w:val="none" w:sz="0" w:space="0"/>
            <w:right w:val="none" w:sz="0" w:space="0"/>
          </w:pgBorders>
          <w:cols w:space="720" w:num="1"/>
        </w:sectPr>
      </w:pPr>
    </w:p>
    <w:p w14:paraId="3567E8DB">
      <w:pPr>
        <w:keepNext/>
        <w:keepLines/>
        <w:wordWrap w:val="0"/>
        <w:spacing w:line="360" w:lineRule="auto"/>
        <w:jc w:val="left"/>
        <w:outlineLvl w:val="1"/>
        <w:rPr>
          <w:rFonts w:ascii="宋体" w:hAnsi="宋体" w:eastAsia="宋体" w:cs="宋体"/>
          <w:b/>
          <w:bCs/>
          <w:color w:val="auto"/>
          <w:kern w:val="0"/>
          <w:sz w:val="30"/>
          <w:szCs w:val="30"/>
          <w:highlight w:val="none"/>
          <w:lang w:val="zh-CN"/>
        </w:rPr>
      </w:pPr>
      <w:bookmarkStart w:id="184" w:name="_Toc111186788"/>
      <w:bookmarkStart w:id="185" w:name="_Toc193358004"/>
      <w:bookmarkStart w:id="186" w:name="_Toc2009"/>
      <w:r>
        <w:rPr>
          <w:rFonts w:hint="eastAsia" w:ascii="宋体" w:hAnsi="宋体" w:eastAsia="宋体" w:cs="宋体"/>
          <w:b/>
          <w:bCs/>
          <w:color w:val="auto"/>
          <w:kern w:val="0"/>
          <w:sz w:val="30"/>
          <w:szCs w:val="30"/>
          <w:highlight w:val="none"/>
          <w:lang w:val="zh-CN"/>
        </w:rPr>
        <w:t>1. 评标方法</w:t>
      </w:r>
      <w:bookmarkEnd w:id="184"/>
      <w:bookmarkEnd w:id="185"/>
      <w:bookmarkEnd w:id="186"/>
    </w:p>
    <w:p w14:paraId="2D1932C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olor w:val="auto"/>
          <w:sz w:val="24"/>
          <w:szCs w:val="24"/>
          <w:highlight w:val="none"/>
        </w:rPr>
        <w:t>本次评标采用</w:t>
      </w:r>
      <w:r>
        <w:rPr>
          <w:rFonts w:hint="eastAsia" w:ascii="宋体" w:hAnsi="宋体" w:eastAsia="宋体"/>
          <w:b/>
          <w:bCs/>
          <w:color w:val="auto"/>
          <w:sz w:val="24"/>
          <w:szCs w:val="24"/>
          <w:highlight w:val="none"/>
          <w:u w:val="single"/>
          <w:lang w:val="en-US" w:eastAsia="zh-CN"/>
        </w:rPr>
        <w:t>定量评审</w:t>
      </w:r>
      <w:r>
        <w:rPr>
          <w:rFonts w:hint="eastAsia" w:ascii="宋体" w:hAnsi="宋体" w:eastAsia="宋体"/>
          <w:color w:val="auto"/>
          <w:sz w:val="24"/>
          <w:szCs w:val="24"/>
          <w:highlight w:val="none"/>
        </w:rPr>
        <w:t>。评标委员会对满足招标文件实质性要求的投标文件，按照本章第2.2款规定的评分标准进行打分，并按得分由高到低顺序推荐</w:t>
      </w:r>
      <w:r>
        <w:rPr>
          <w:rFonts w:hint="eastAsia" w:ascii="宋体" w:hAnsi="宋体" w:eastAsia="宋体"/>
          <w:color w:val="auto"/>
          <w:sz w:val="24"/>
          <w:szCs w:val="24"/>
          <w:highlight w:val="none"/>
          <w:u w:val="single"/>
          <w:lang w:val="en-US" w:eastAsia="zh-CN"/>
        </w:rPr>
        <w:t>合格的</w:t>
      </w:r>
      <w:r>
        <w:rPr>
          <w:rFonts w:hint="eastAsia" w:ascii="宋体" w:hAnsi="宋体" w:eastAsia="宋体"/>
          <w:color w:val="auto"/>
          <w:sz w:val="24"/>
          <w:szCs w:val="24"/>
          <w:highlight w:val="none"/>
        </w:rPr>
        <w:t>中标候选人</w:t>
      </w:r>
      <w:r>
        <w:rPr>
          <w:rFonts w:hint="eastAsia" w:ascii="宋体" w:hAnsi="宋体" w:eastAsia="宋体"/>
          <w:strike/>
          <w:dstrike w:val="0"/>
          <w:color w:val="auto"/>
          <w:sz w:val="24"/>
          <w:szCs w:val="24"/>
          <w:highlight w:val="none"/>
        </w:rPr>
        <w:t>，或根据招标人授权直接确定中标人，但投标报价低于其成本的除外</w:t>
      </w:r>
      <w:r>
        <w:rPr>
          <w:rFonts w:hint="eastAsia" w:ascii="宋体" w:hAnsi="宋体" w:eastAsia="宋体"/>
          <w:color w:val="auto"/>
          <w:sz w:val="24"/>
          <w:szCs w:val="24"/>
          <w:highlight w:val="none"/>
        </w:rPr>
        <w:t>。综合评分相等时，按照评标办法前附表的规定确定中标候选人顺序。</w:t>
      </w:r>
    </w:p>
    <w:p w14:paraId="2609BAB4">
      <w:pPr>
        <w:wordWrap w:val="0"/>
        <w:spacing w:line="360" w:lineRule="auto"/>
        <w:ind w:firstLine="480" w:firstLineChars="200"/>
        <w:rPr>
          <w:rFonts w:ascii="宋体" w:hAnsi="宋体" w:eastAsia="宋体" w:cs="宋体"/>
          <w:color w:val="auto"/>
          <w:sz w:val="24"/>
          <w:szCs w:val="24"/>
          <w:highlight w:val="none"/>
        </w:rPr>
      </w:pPr>
    </w:p>
    <w:p w14:paraId="314E0186">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187" w:name="_Toc111186789"/>
      <w:bookmarkStart w:id="188" w:name="_Toc16715"/>
      <w:bookmarkStart w:id="189" w:name="_Toc193358005"/>
      <w:r>
        <w:rPr>
          <w:rFonts w:hint="eastAsia" w:ascii="宋体" w:hAnsi="宋体" w:eastAsia="宋体" w:cs="宋体"/>
          <w:b/>
          <w:bCs/>
          <w:color w:val="auto"/>
          <w:spacing w:val="1"/>
          <w:kern w:val="0"/>
          <w:sz w:val="30"/>
          <w:szCs w:val="30"/>
          <w:highlight w:val="none"/>
          <w:lang w:val="zh-CN"/>
        </w:rPr>
        <w:t>2. 评审标准</w:t>
      </w:r>
      <w:bookmarkEnd w:id="187"/>
      <w:bookmarkEnd w:id="188"/>
      <w:bookmarkEnd w:id="189"/>
    </w:p>
    <w:p w14:paraId="4353715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0" w:name="_Toc193358006"/>
      <w:r>
        <w:rPr>
          <w:rFonts w:hint="eastAsia" w:ascii="宋体" w:hAnsi="宋体" w:eastAsia="宋体" w:cs="宋体"/>
          <w:b/>
          <w:bCs/>
          <w:color w:val="auto"/>
          <w:spacing w:val="1"/>
          <w:sz w:val="28"/>
          <w:szCs w:val="32"/>
          <w:highlight w:val="none"/>
          <w:lang w:val="zh-CN"/>
        </w:rPr>
        <w:t>2.1 初步评审标准</w:t>
      </w:r>
      <w:bookmarkEnd w:id="190"/>
    </w:p>
    <w:p w14:paraId="2E7F2A9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商务文件形式评审标准：见评标办法前附表。</w:t>
      </w:r>
    </w:p>
    <w:p w14:paraId="477BDA1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1D2DEA1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2.1.3（1）商务文件响应性评审标准：见评标办法前附表。</w:t>
      </w:r>
    </w:p>
    <w:p w14:paraId="441CCD4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2.1.3（2）技术文件初步评审标准：见评标办法前附表。</w:t>
      </w:r>
    </w:p>
    <w:p w14:paraId="5CB110C1">
      <w:pPr>
        <w:wordWrap w:val="0"/>
        <w:spacing w:line="360" w:lineRule="auto"/>
        <w:ind w:firstLine="480" w:firstLineChars="200"/>
        <w:rPr>
          <w:rFonts w:ascii="宋体" w:hAnsi="宋体" w:eastAsia="宋体" w:cs="宋体"/>
          <w:color w:val="auto"/>
          <w:sz w:val="24"/>
          <w:szCs w:val="24"/>
          <w:highlight w:val="none"/>
        </w:rPr>
      </w:pPr>
    </w:p>
    <w:p w14:paraId="1A630F09">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1" w:name="_Toc193358007"/>
      <w:r>
        <w:rPr>
          <w:rFonts w:hint="eastAsia" w:ascii="宋体" w:hAnsi="宋体" w:eastAsia="宋体" w:cs="宋体"/>
          <w:b/>
          <w:bCs/>
          <w:color w:val="auto"/>
          <w:spacing w:val="1"/>
          <w:sz w:val="28"/>
          <w:szCs w:val="32"/>
          <w:highlight w:val="none"/>
          <w:lang w:val="zh-CN"/>
        </w:rPr>
        <w:t>2.2 分值构成与评分标准</w:t>
      </w:r>
      <w:bookmarkEnd w:id="191"/>
    </w:p>
    <w:p w14:paraId="2D69787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6FC289E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（1）商务文件部分：见评标办法前附表；</w:t>
      </w:r>
    </w:p>
    <w:p w14:paraId="48B3BEF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（2）技术文件部分：见评标办法前附表；</w:t>
      </w:r>
    </w:p>
    <w:p w14:paraId="3F8A32E4">
      <w:pPr>
        <w:wordWrap w:val="0"/>
        <w:spacing w:line="360" w:lineRule="auto"/>
        <w:ind w:firstLine="480" w:firstLineChars="200"/>
        <w:rPr>
          <w:rFonts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（3）投标报价：见评标办法前附表；</w:t>
      </w:r>
    </w:p>
    <w:p w14:paraId="76B863BD">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（4）其他评分因素：见评标办法前附表。</w:t>
      </w:r>
    </w:p>
    <w:p w14:paraId="2C08BBC2">
      <w:pPr>
        <w:wordWrap w:val="0"/>
        <w:spacing w:line="360" w:lineRule="auto"/>
        <w:ind w:firstLine="480" w:firstLineChars="200"/>
        <w:rPr>
          <w:rFonts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2.2.2 评标基准价计算</w:t>
      </w:r>
    </w:p>
    <w:p w14:paraId="7F2F8BCA">
      <w:pPr>
        <w:wordWrap w:val="0"/>
        <w:spacing w:line="360" w:lineRule="auto"/>
        <w:ind w:firstLine="480" w:firstLineChars="200"/>
        <w:rPr>
          <w:rFonts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评标基准价计算方法：见评标办法前附表。</w:t>
      </w:r>
    </w:p>
    <w:p w14:paraId="3CE5BC8B">
      <w:pPr>
        <w:wordWrap w:val="0"/>
        <w:spacing w:line="360" w:lineRule="auto"/>
        <w:ind w:firstLine="480" w:firstLineChars="200"/>
        <w:rPr>
          <w:rFonts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2.2.3 投标报价的偏差率计算</w:t>
      </w:r>
    </w:p>
    <w:p w14:paraId="13505A8A">
      <w:pPr>
        <w:wordWrap w:val="0"/>
        <w:spacing w:line="360" w:lineRule="auto"/>
        <w:ind w:firstLine="480" w:firstLineChars="200"/>
        <w:rPr>
          <w:rFonts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投标报价的偏差率计算公式：见评标办法前附表。</w:t>
      </w:r>
    </w:p>
    <w:p w14:paraId="0CD1EDC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6F7B284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（1）商务文件评分标准：见评标办法前附表；</w:t>
      </w:r>
    </w:p>
    <w:p w14:paraId="77EDFDE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（2）技术文件评分标准：见评标办法前附表；</w:t>
      </w:r>
    </w:p>
    <w:p w14:paraId="73CFDD33">
      <w:pPr>
        <w:wordWrap w:val="0"/>
        <w:spacing w:line="360" w:lineRule="auto"/>
        <w:ind w:firstLine="480" w:firstLineChars="200"/>
        <w:rPr>
          <w:rFonts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（3）投标报价评分标准：见评标办法前附表；</w:t>
      </w:r>
    </w:p>
    <w:p w14:paraId="7AD88146">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（4）其他因素评分标准：见评标办法前附表。</w:t>
      </w:r>
    </w:p>
    <w:p w14:paraId="324CEE8C">
      <w:pPr>
        <w:wordWrap w:val="0"/>
        <w:spacing w:line="360" w:lineRule="auto"/>
        <w:ind w:firstLine="480" w:firstLineChars="200"/>
        <w:rPr>
          <w:rFonts w:ascii="宋体" w:hAnsi="宋体" w:eastAsia="宋体" w:cs="宋体"/>
          <w:strike/>
          <w:color w:val="auto"/>
          <w:sz w:val="24"/>
          <w:szCs w:val="24"/>
          <w:highlight w:val="none"/>
        </w:rPr>
      </w:pPr>
    </w:p>
    <w:p w14:paraId="79707E7D">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bookmarkStart w:id="192" w:name="_Toc193358008"/>
      <w:bookmarkStart w:id="193" w:name="_Toc111186790"/>
      <w:bookmarkStart w:id="194" w:name="_Toc24342"/>
      <w:r>
        <w:rPr>
          <w:rFonts w:hint="eastAsia" w:ascii="宋体" w:hAnsi="宋体" w:eastAsia="宋体" w:cs="宋体"/>
          <w:b/>
          <w:bCs/>
          <w:color w:val="auto"/>
          <w:spacing w:val="1"/>
          <w:kern w:val="0"/>
          <w:sz w:val="30"/>
          <w:szCs w:val="30"/>
          <w:highlight w:val="none"/>
          <w:lang w:val="zh-CN"/>
        </w:rPr>
        <w:t>3. 评标程序</w:t>
      </w:r>
      <w:bookmarkEnd w:id="192"/>
      <w:bookmarkEnd w:id="193"/>
      <w:bookmarkEnd w:id="194"/>
    </w:p>
    <w:p w14:paraId="014DD2E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评标活动按以下</w:t>
      </w:r>
      <w:r>
        <w:rPr>
          <w:rFonts w:hint="eastAsia" w:ascii="宋体" w:hAnsi="宋体" w:eastAsia="宋体" w:cs="宋体"/>
          <w:strike/>
          <w:dstrike w:val="0"/>
          <w:color w:val="auto"/>
          <w:sz w:val="24"/>
          <w:szCs w:val="24"/>
          <w:highlight w:val="none"/>
        </w:rPr>
        <w:t>六个</w:t>
      </w:r>
      <w:r>
        <w:rPr>
          <w:rFonts w:hint="eastAsia" w:ascii="宋体" w:hAnsi="宋体" w:eastAsia="宋体" w:cs="宋体"/>
          <w:color w:val="auto"/>
          <w:sz w:val="24"/>
          <w:szCs w:val="24"/>
          <w:highlight w:val="none"/>
        </w:rPr>
        <w:t>步骤进行：</w:t>
      </w:r>
    </w:p>
    <w:p w14:paraId="22FA644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trike/>
          <w:dstrike w:val="0"/>
          <w:color w:val="auto"/>
          <w:sz w:val="24"/>
          <w:szCs w:val="24"/>
          <w:highlight w:val="none"/>
        </w:rPr>
        <w:t>商务文件初步评审（含商务文件形式评审、商务文件响应性评审）及资格评审；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14:paraId="067F80B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（2）商务文件详细评审；</w:t>
      </w:r>
    </w:p>
    <w:p w14:paraId="1470CC9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（3）技术文件初步评审；</w:t>
      </w:r>
    </w:p>
    <w:p w14:paraId="30416F6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（4）技术文件详细评审；</w:t>
      </w:r>
    </w:p>
    <w:p w14:paraId="2D3A719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（5）揭晓技术文件评审结果；</w:t>
      </w:r>
    </w:p>
    <w:p w14:paraId="13ADDEF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（6）汇总投标人总得分；</w:t>
      </w:r>
    </w:p>
    <w:p w14:paraId="06E2844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（7）推荐</w:t>
      </w:r>
      <w:r>
        <w:rPr>
          <w:rFonts w:hint="eastAsia" w:ascii="宋体" w:hAnsi="宋体" w:eastAsia="宋体" w:cs="宋体"/>
          <w:strike/>
          <w:dstrike w:val="0"/>
          <w:color w:val="auto"/>
          <w:sz w:val="24"/>
          <w:szCs w:val="24"/>
          <w:highlight w:val="none"/>
        </w:rPr>
        <w:t>中标候选人</w:t>
      </w:r>
      <w:r>
        <w:rPr>
          <w:rFonts w:hint="eastAsia" w:ascii="宋体" w:hAnsi="宋体" w:eastAsia="宋体"/>
          <w:b/>
          <w:bCs/>
          <w:color w:val="auto"/>
          <w:sz w:val="24"/>
          <w:szCs w:val="24"/>
          <w:highlight w:val="none"/>
          <w:u w:val="single"/>
        </w:rPr>
        <w:t>合格的中标候选人进入定标阶段</w:t>
      </w:r>
      <w:r>
        <w:rPr>
          <w:rFonts w:hint="eastAsia" w:ascii="宋体" w:hAnsi="宋体" w:eastAsia="宋体" w:cs="宋体"/>
          <w:color w:val="auto"/>
          <w:sz w:val="24"/>
          <w:szCs w:val="24"/>
          <w:highlight w:val="none"/>
        </w:rPr>
        <w:t>，提交评标报告。</w:t>
      </w:r>
    </w:p>
    <w:p w14:paraId="458F9583">
      <w:pPr>
        <w:wordWrap w:val="0"/>
        <w:spacing w:line="360" w:lineRule="auto"/>
        <w:ind w:firstLine="480" w:firstLineChars="200"/>
        <w:rPr>
          <w:rFonts w:ascii="宋体" w:hAnsi="宋体" w:eastAsia="宋体" w:cs="宋体"/>
          <w:color w:val="auto"/>
          <w:sz w:val="24"/>
          <w:szCs w:val="24"/>
          <w:highlight w:val="none"/>
        </w:rPr>
      </w:pPr>
      <w:bookmarkStart w:id="195" w:name="_Toc6080"/>
      <w:bookmarkStart w:id="196" w:name="_Toc111186791"/>
    </w:p>
    <w:p w14:paraId="2A747CD8">
      <w:pPr>
        <w:keepNext/>
        <w:keepLines/>
        <w:wordWrap w:val="0"/>
        <w:spacing w:before="260" w:line="416" w:lineRule="auto"/>
        <w:outlineLvl w:val="2"/>
        <w:rPr>
          <w:rFonts w:ascii="宋体" w:hAnsi="宋体" w:eastAsia="宋体" w:cs="宋体"/>
          <w:b/>
          <w:bCs/>
          <w:color w:val="auto"/>
          <w:spacing w:val="1"/>
          <w:sz w:val="28"/>
          <w:szCs w:val="32"/>
          <w:highlight w:val="none"/>
          <w:u w:val="single"/>
          <w:lang w:val="zh-CN"/>
        </w:rPr>
      </w:pPr>
      <w:bookmarkStart w:id="197" w:name="_Toc193358010"/>
      <w:r>
        <w:rPr>
          <w:rFonts w:hint="eastAsia" w:ascii="宋体" w:hAnsi="宋体" w:eastAsia="宋体" w:cs="宋体"/>
          <w:b/>
          <w:bCs/>
          <w:color w:val="auto"/>
          <w:spacing w:val="1"/>
          <w:sz w:val="28"/>
          <w:szCs w:val="32"/>
          <w:highlight w:val="none"/>
          <w:lang w:val="zh-CN"/>
        </w:rPr>
        <w:t xml:space="preserve">3.1 </w:t>
      </w:r>
      <w:bookmarkEnd w:id="197"/>
      <w:r>
        <w:rPr>
          <w:rFonts w:hint="eastAsia" w:ascii="宋体" w:hAnsi="宋体" w:eastAsia="宋体" w:cs="宋体"/>
          <w:b/>
          <w:bCs/>
          <w:strike/>
          <w:dstrike w:val="0"/>
          <w:color w:val="auto"/>
          <w:spacing w:val="1"/>
          <w:sz w:val="28"/>
          <w:szCs w:val="32"/>
          <w:highlight w:val="none"/>
          <w:lang w:val="zh-CN"/>
        </w:rPr>
        <w:t>商务文件初步评审及资格评审</w:t>
      </w:r>
      <w:r>
        <w:rPr>
          <w:rFonts w:hint="eastAsia" w:ascii="宋体" w:hAnsi="宋体" w:eastAsia="宋体" w:cs="宋体"/>
          <w:b/>
          <w:bCs/>
          <w:color w:val="auto"/>
          <w:spacing w:val="1"/>
          <w:sz w:val="28"/>
          <w:szCs w:val="32"/>
          <w:highlight w:val="none"/>
          <w:u w:val="single"/>
          <w:lang w:val="zh-CN"/>
        </w:rPr>
        <w:t>商务文件形式评审、资格评审、商务文件响应性评审</w:t>
      </w:r>
    </w:p>
    <w:p w14:paraId="0CD5B68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dstrike w:val="0"/>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dstrike w:val="0"/>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717CD86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3.1.1.1 商务文件形式评审：</w:t>
      </w:r>
    </w:p>
    <w:p w14:paraId="58FDA2D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评标委员会根据评标办法前附表中规定的评审因素和评审标准，对投标人的商务文件进行形式评审。通过商务文件形式评审的投标文件方可参加下一阶段评审程序。</w:t>
      </w:r>
    </w:p>
    <w:p w14:paraId="22C6334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3.1.1.2 资格评审：</w:t>
      </w:r>
    </w:p>
    <w:p w14:paraId="5FAD90C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评标委员会根据评标办法前附表中的规定的评审因素和评审标准，对投标人的资格审查文件进行资格评审。通过资格评审的投标文件方可参加下一阶段评审程序。</w:t>
      </w:r>
    </w:p>
    <w:p w14:paraId="15FC892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3.1.1.3 商务文件响应性评审：</w:t>
      </w:r>
    </w:p>
    <w:p w14:paraId="1E553A9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评标委员会根据评标办法前附表中规定的评审因素和评审标准，对投标人的商务文件进行响应性评审。通过商务文件响应性评审的投标文件方可参加下一阶段评审程序。</w:t>
      </w:r>
    </w:p>
    <w:p w14:paraId="3B94398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72B4909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740BA1B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0FCA3BC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设置了成本警示价的，对于低于成本警示价的投标报价，投标人必须提供详细的单价、措施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w:t>
      </w:r>
    </w:p>
    <w:p w14:paraId="34CCF7E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（4）评标办法规定的其他应当否决其投标的情形。</w:t>
      </w:r>
    </w:p>
    <w:p w14:paraId="77C004A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7A8F913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20B24A9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0A7B71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144B724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有效投标不足三个的，评标委员会应当对投标是否明显缺乏竞争和是否需要否决全部投标进行充分论证，并在评标报告中记载论证过程和结果。</w:t>
      </w:r>
    </w:p>
    <w:p w14:paraId="5D4A6DB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3.1.6 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14:paraId="66629EAC">
      <w:pPr>
        <w:wordWrap w:val="0"/>
        <w:spacing w:line="360" w:lineRule="auto"/>
        <w:ind w:firstLine="480" w:firstLineChars="200"/>
        <w:rPr>
          <w:rFonts w:ascii="宋体" w:hAnsi="宋体" w:eastAsia="宋体" w:cs="宋体"/>
          <w:color w:val="auto"/>
          <w:sz w:val="24"/>
          <w:szCs w:val="24"/>
          <w:highlight w:val="none"/>
        </w:rPr>
      </w:pPr>
    </w:p>
    <w:p w14:paraId="368A379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8" w:name="_Toc193358011"/>
      <w:r>
        <w:rPr>
          <w:rFonts w:hint="eastAsia" w:ascii="宋体" w:hAnsi="宋体" w:eastAsia="宋体" w:cs="宋体"/>
          <w:b/>
          <w:bCs/>
          <w:color w:val="auto"/>
          <w:spacing w:val="1"/>
          <w:sz w:val="28"/>
          <w:szCs w:val="32"/>
          <w:highlight w:val="none"/>
          <w:lang w:val="zh-CN"/>
        </w:rPr>
        <w:t xml:space="preserve">3.2 </w:t>
      </w:r>
      <w:bookmarkEnd w:id="198"/>
      <w:r>
        <w:rPr>
          <w:rFonts w:hint="eastAsia" w:ascii="宋体" w:hAnsi="宋体" w:eastAsia="宋体" w:cs="宋体"/>
          <w:b/>
          <w:bCs/>
          <w:color w:val="auto"/>
          <w:spacing w:val="1"/>
          <w:sz w:val="28"/>
          <w:szCs w:val="32"/>
          <w:highlight w:val="none"/>
          <w:lang w:val="zh-CN"/>
        </w:rPr>
        <w:t>商务文件详细评审</w:t>
      </w:r>
    </w:p>
    <w:p w14:paraId="0091539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评标委员会按本章第2.2款规定的量化因素和分值进行打分，并计算出综合得分。</w:t>
      </w:r>
    </w:p>
    <w:p w14:paraId="7D1DDEE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w:t>
      </w:r>
      <w:r>
        <w:rPr>
          <w:rFonts w:hint="eastAsia" w:ascii="宋体" w:hAnsi="宋体" w:eastAsia="宋体" w:cs="宋体"/>
          <w:b/>
          <w:bCs/>
          <w:color w:val="auto"/>
          <w:sz w:val="24"/>
          <w:szCs w:val="24"/>
          <w:highlight w:val="none"/>
          <w:u w:val="single"/>
        </w:rPr>
        <w:t>算术平均值</w:t>
      </w:r>
      <w:r>
        <w:rPr>
          <w:rFonts w:hint="eastAsia" w:ascii="宋体" w:hAnsi="宋体" w:eastAsia="宋体" w:cs="宋体"/>
          <w:strike/>
          <w:dstrike w:val="0"/>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6A5C453E">
      <w:pPr>
        <w:wordWrap w:val="0"/>
        <w:spacing w:line="360" w:lineRule="auto"/>
        <w:ind w:firstLine="480" w:firstLineChars="200"/>
        <w:rPr>
          <w:rFonts w:ascii="宋体" w:hAnsi="宋体" w:eastAsia="宋体" w:cs="宋体"/>
          <w:color w:val="auto"/>
          <w:sz w:val="24"/>
          <w:szCs w:val="24"/>
          <w:highlight w:val="none"/>
          <w:u w:val="single"/>
        </w:rPr>
      </w:pPr>
    </w:p>
    <w:p w14:paraId="5859E4E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99" w:name="_Toc193358012"/>
      <w:r>
        <w:rPr>
          <w:rFonts w:hint="eastAsia" w:ascii="宋体" w:hAnsi="宋体" w:eastAsia="宋体" w:cs="宋体"/>
          <w:b/>
          <w:bCs/>
          <w:color w:val="auto"/>
          <w:spacing w:val="1"/>
          <w:sz w:val="28"/>
          <w:szCs w:val="32"/>
          <w:highlight w:val="none"/>
        </w:rPr>
        <w:t>3.3</w:t>
      </w:r>
      <w:r>
        <w:rPr>
          <w:rFonts w:ascii="宋体" w:hAnsi="宋体" w:eastAsia="宋体" w:cs="宋体"/>
          <w:b/>
          <w:bCs/>
          <w:color w:val="auto"/>
          <w:spacing w:val="1"/>
          <w:sz w:val="28"/>
          <w:szCs w:val="32"/>
          <w:highlight w:val="none"/>
        </w:rPr>
        <w:t xml:space="preserve"> </w:t>
      </w:r>
      <w:bookmarkEnd w:id="199"/>
      <w:r>
        <w:rPr>
          <w:rFonts w:hint="eastAsia" w:ascii="宋体" w:hAnsi="宋体" w:eastAsia="宋体" w:cs="宋体"/>
          <w:b/>
          <w:bCs/>
          <w:color w:val="auto"/>
          <w:spacing w:val="1"/>
          <w:sz w:val="28"/>
          <w:szCs w:val="32"/>
          <w:highlight w:val="none"/>
          <w:lang w:val="zh-CN"/>
        </w:rPr>
        <w:t>技术文件初步评审</w:t>
      </w:r>
    </w:p>
    <w:p w14:paraId="30DD6D4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评标委员会依据本章第2.1.3（2）款规定的标准对投标文件进行技术文件初步评审。有一项不符合评审标准的，评标委员会应当否决其投标，未能通过技术文件初步评审的投标文件不能参加下一阶段评审程序。</w:t>
      </w:r>
    </w:p>
    <w:p w14:paraId="1C6FF13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评标时若遇不可抗力发生（如：网络瘫痪、服务器损坏、交易系统故障短期无法恢复等因素），由评标委员会开启现场递交的全部备用投标文件光盘，并按备用光盘内容进行评审。</w:t>
      </w:r>
    </w:p>
    <w:p w14:paraId="5631225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3.3.3 技术文件光盘、保密文件光盘接收时不得启封，当符合上款条件需要对技术文件进行评审时，由交易服务机构见证人对技术文件光盘启封密封袋并编号，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p w14:paraId="12E4F71C">
      <w:pPr>
        <w:wordWrap w:val="0"/>
        <w:spacing w:line="360" w:lineRule="auto"/>
        <w:ind w:firstLine="480" w:firstLineChars="200"/>
        <w:rPr>
          <w:rFonts w:ascii="宋体" w:hAnsi="宋体" w:eastAsia="宋体" w:cs="宋体"/>
          <w:color w:val="auto"/>
          <w:sz w:val="24"/>
          <w:szCs w:val="24"/>
          <w:highlight w:val="none"/>
          <w:u w:val="single"/>
        </w:rPr>
      </w:pPr>
    </w:p>
    <w:p w14:paraId="18553607">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0" w:name="_Toc193358013"/>
      <w:r>
        <w:rPr>
          <w:rFonts w:hint="eastAsia" w:ascii="宋体" w:hAnsi="宋体" w:eastAsia="宋体" w:cs="宋体"/>
          <w:b/>
          <w:bCs/>
          <w:color w:val="auto"/>
          <w:spacing w:val="1"/>
          <w:sz w:val="28"/>
          <w:szCs w:val="32"/>
          <w:highlight w:val="none"/>
        </w:rPr>
        <w:t xml:space="preserve">3.4 </w:t>
      </w:r>
      <w:bookmarkEnd w:id="200"/>
      <w:r>
        <w:rPr>
          <w:rFonts w:hint="eastAsia" w:ascii="宋体" w:hAnsi="宋体" w:eastAsia="宋体" w:cs="宋体"/>
          <w:b/>
          <w:bCs/>
          <w:color w:val="auto"/>
          <w:spacing w:val="1"/>
          <w:sz w:val="28"/>
          <w:szCs w:val="32"/>
          <w:highlight w:val="none"/>
        </w:rPr>
        <w:t>技术文件详细评审</w:t>
      </w:r>
    </w:p>
    <w:p w14:paraId="1627494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3.4.1 评标委员会按本章第2.2款规定的量化因素和分值进行打分，并计算出综合得分。</w:t>
      </w:r>
    </w:p>
    <w:p w14:paraId="0F79FAD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dstrike w:val="0"/>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14:paraId="5FCA6C2A">
      <w:pPr>
        <w:wordWrap w:val="0"/>
        <w:spacing w:line="360" w:lineRule="auto"/>
        <w:ind w:firstLine="480" w:firstLineChars="200"/>
        <w:rPr>
          <w:rFonts w:ascii="宋体" w:hAnsi="宋体" w:eastAsia="宋体" w:cs="宋体"/>
          <w:color w:val="auto"/>
          <w:sz w:val="24"/>
          <w:szCs w:val="24"/>
          <w:highlight w:val="none"/>
          <w:u w:val="single"/>
        </w:rPr>
      </w:pPr>
    </w:p>
    <w:p w14:paraId="66C60B14">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1" w:name="_Toc193358014"/>
      <w:r>
        <w:rPr>
          <w:rFonts w:hint="eastAsia" w:ascii="宋体" w:hAnsi="宋体" w:eastAsia="宋体" w:cs="宋体"/>
          <w:b/>
          <w:bCs/>
          <w:color w:val="auto"/>
          <w:spacing w:val="1"/>
          <w:sz w:val="28"/>
          <w:szCs w:val="32"/>
          <w:highlight w:val="none"/>
        </w:rPr>
        <w:t xml:space="preserve">3.5 </w:t>
      </w:r>
      <w:bookmarkEnd w:id="201"/>
      <w:r>
        <w:rPr>
          <w:rFonts w:hint="eastAsia" w:ascii="宋体" w:hAnsi="宋体" w:eastAsia="宋体" w:cs="宋体"/>
          <w:b/>
          <w:bCs/>
          <w:color w:val="auto"/>
          <w:spacing w:val="1"/>
          <w:sz w:val="28"/>
          <w:szCs w:val="32"/>
          <w:highlight w:val="none"/>
        </w:rPr>
        <w:t>揭晓技术文件评审结果</w:t>
      </w:r>
    </w:p>
    <w:p w14:paraId="5326975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 由评标委员会在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电子交易系统揭晓，系统自动形成暗标编码表显示各投标单位对应的编码，并由评标委员会确认投标人技术文件的评审得分。</w:t>
      </w:r>
    </w:p>
    <w:p w14:paraId="61E082A3">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2" w:name="_Toc193358015"/>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6</w:t>
      </w:r>
      <w:r>
        <w:rPr>
          <w:rFonts w:hint="eastAsia" w:ascii="宋体" w:hAnsi="宋体" w:eastAsia="宋体" w:cs="宋体"/>
          <w:b/>
          <w:bCs/>
          <w:color w:val="auto"/>
          <w:spacing w:val="1"/>
          <w:sz w:val="28"/>
          <w:szCs w:val="32"/>
          <w:highlight w:val="none"/>
        </w:rPr>
        <w:t xml:space="preserve"> </w:t>
      </w:r>
      <w:bookmarkEnd w:id="202"/>
      <w:r>
        <w:rPr>
          <w:rFonts w:hint="eastAsia" w:ascii="宋体" w:hAnsi="宋体" w:eastAsia="宋体" w:cs="宋体"/>
          <w:b/>
          <w:bCs/>
          <w:color w:val="auto"/>
          <w:spacing w:val="1"/>
          <w:sz w:val="28"/>
          <w:szCs w:val="32"/>
          <w:highlight w:val="none"/>
        </w:rPr>
        <w:t>汇总投标人总得分</w:t>
      </w:r>
    </w:p>
    <w:p w14:paraId="6AC9370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 评标委员会按本章第2.2款规定的量化因素和分值进行打分，并计算出综合得分。</w:t>
      </w:r>
    </w:p>
    <w:p w14:paraId="077189C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（1）按本章第2.2.4（1）目规定的评审因素和分值对商务文件部分计算出得分A；</w:t>
      </w:r>
    </w:p>
    <w:p w14:paraId="612D948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（2）按本章第2.2.4（2）目规定的评审因素和分值对技术文件部分计算出得分B；</w:t>
      </w:r>
    </w:p>
    <w:p w14:paraId="063D29FD">
      <w:pPr>
        <w:wordWrap w:val="0"/>
        <w:spacing w:line="360" w:lineRule="auto"/>
        <w:ind w:firstLine="480" w:firstLineChars="200"/>
        <w:rPr>
          <w:rFonts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（3）按本章第2.2.4（3）目规定的评审因素和分值对投标报价计算出得分C；</w:t>
      </w:r>
    </w:p>
    <w:p w14:paraId="07562B35">
      <w:pPr>
        <w:wordWrap w:val="0"/>
        <w:spacing w:line="360" w:lineRule="auto"/>
        <w:ind w:firstLine="480" w:firstLineChars="200"/>
        <w:rPr>
          <w:rFonts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（4）按本章第2.2.4（4）目规定的评审因素和分值对其他部分计算出得分D。</w:t>
      </w:r>
    </w:p>
    <w:p w14:paraId="5DDD08D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 评分分值计算保留小数点后两位，小数点后第三位“四舍五入”。</w:t>
      </w:r>
    </w:p>
    <w:p w14:paraId="7AC2A628">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3.6.3 </w:t>
      </w:r>
      <w:r>
        <w:rPr>
          <w:rFonts w:hint="eastAsia" w:ascii="宋体" w:hAnsi="宋体" w:eastAsia="宋体"/>
          <w:color w:val="auto"/>
          <w:sz w:val="24"/>
          <w:szCs w:val="24"/>
          <w:highlight w:val="none"/>
        </w:rPr>
        <w:t>投标人得分=A</w:t>
      </w:r>
      <w:r>
        <w:rPr>
          <w:rFonts w:hint="default" w:ascii="Arial" w:hAnsi="Arial" w:eastAsia="宋体" w:cs="Arial"/>
          <w:b/>
          <w:bCs/>
          <w:color w:val="auto"/>
          <w:sz w:val="24"/>
          <w:szCs w:val="24"/>
          <w:highlight w:val="none"/>
          <w:u w:val="single"/>
        </w:rPr>
        <w:t>×</w:t>
      </w:r>
      <w:r>
        <w:rPr>
          <w:rFonts w:hint="eastAsia" w:ascii="宋体" w:hAnsi="宋体" w:eastAsia="宋体"/>
          <w:b/>
          <w:bCs/>
          <w:color w:val="auto"/>
          <w:sz w:val="24"/>
          <w:szCs w:val="24"/>
          <w:highlight w:val="none"/>
          <w:u w:val="single"/>
          <w:lang w:val="en-US" w:eastAsia="zh-CN"/>
        </w:rPr>
        <w:t>20%</w:t>
      </w:r>
      <w:r>
        <w:rPr>
          <w:rFonts w:hint="eastAsia" w:ascii="宋体" w:hAnsi="宋体" w:eastAsia="宋体"/>
          <w:color w:val="auto"/>
          <w:sz w:val="24"/>
          <w:szCs w:val="24"/>
          <w:highlight w:val="none"/>
        </w:rPr>
        <w:t>+B</w:t>
      </w:r>
      <w:r>
        <w:rPr>
          <w:rFonts w:hint="default" w:ascii="Arial" w:hAnsi="Arial" w:eastAsia="宋体" w:cs="Arial"/>
          <w:b/>
          <w:bCs/>
          <w:color w:val="auto"/>
          <w:sz w:val="24"/>
          <w:szCs w:val="24"/>
          <w:highlight w:val="none"/>
          <w:u w:val="single"/>
        </w:rPr>
        <w:t>×</w:t>
      </w:r>
      <w:r>
        <w:rPr>
          <w:rFonts w:hint="eastAsia" w:ascii="宋体" w:hAnsi="宋体" w:eastAsia="宋体"/>
          <w:b/>
          <w:bCs/>
          <w:color w:val="auto"/>
          <w:sz w:val="24"/>
          <w:szCs w:val="24"/>
          <w:highlight w:val="none"/>
          <w:u w:val="single"/>
          <w:lang w:val="en-US" w:eastAsia="zh-CN"/>
        </w:rPr>
        <w:t>70%</w:t>
      </w:r>
      <w:r>
        <w:rPr>
          <w:rFonts w:hint="eastAsia" w:ascii="宋体" w:hAnsi="宋体" w:eastAsia="宋体"/>
          <w:strike w:val="0"/>
          <w:dstrike w:val="0"/>
          <w:color w:val="auto"/>
          <w:sz w:val="24"/>
          <w:szCs w:val="24"/>
          <w:highlight w:val="none"/>
        </w:rPr>
        <w:t>+C</w:t>
      </w:r>
      <w:r>
        <w:rPr>
          <w:rFonts w:hint="default" w:ascii="Arial" w:hAnsi="Arial" w:eastAsia="宋体" w:cs="Arial"/>
          <w:b/>
          <w:bCs/>
          <w:color w:val="auto"/>
          <w:sz w:val="24"/>
          <w:szCs w:val="24"/>
          <w:highlight w:val="none"/>
          <w:u w:val="single"/>
        </w:rPr>
        <w:t>×</w:t>
      </w:r>
      <w:r>
        <w:rPr>
          <w:rFonts w:hint="eastAsia" w:ascii="宋体" w:hAnsi="宋体" w:eastAsia="宋体"/>
          <w:b/>
          <w:bCs/>
          <w:color w:val="auto"/>
          <w:sz w:val="24"/>
          <w:szCs w:val="24"/>
          <w:highlight w:val="none"/>
          <w:u w:val="single"/>
          <w:lang w:val="en-US" w:eastAsia="zh-CN"/>
        </w:rPr>
        <w:t>10%</w:t>
      </w:r>
      <w:r>
        <w:rPr>
          <w:rFonts w:hint="eastAsia" w:ascii="宋体" w:hAnsi="宋体" w:eastAsia="宋体"/>
          <w:strike/>
          <w:dstrike w:val="0"/>
          <w:color w:val="auto"/>
          <w:sz w:val="24"/>
          <w:szCs w:val="24"/>
          <w:highlight w:val="none"/>
        </w:rPr>
        <w:t>+D</w:t>
      </w:r>
      <w:r>
        <w:rPr>
          <w:rFonts w:hint="eastAsia" w:ascii="宋体" w:hAnsi="宋体" w:eastAsia="宋体"/>
          <w:color w:val="auto"/>
          <w:sz w:val="24"/>
          <w:szCs w:val="24"/>
          <w:highlight w:val="none"/>
        </w:rPr>
        <w:t>。</w:t>
      </w:r>
    </w:p>
    <w:p w14:paraId="498A6D49">
      <w:pPr>
        <w:keepNext/>
        <w:keepLines/>
        <w:wordWrap w:val="0"/>
        <w:spacing w:before="260" w:line="416" w:lineRule="auto"/>
        <w:outlineLvl w:val="2"/>
        <w:rPr>
          <w:rFonts w:ascii="宋体" w:hAnsi="宋体" w:eastAsia="宋体" w:cs="宋体"/>
          <w:b/>
          <w:bCs/>
          <w:color w:val="auto"/>
          <w:spacing w:val="1"/>
          <w:sz w:val="28"/>
          <w:szCs w:val="32"/>
          <w:highlight w:val="none"/>
        </w:rPr>
      </w:pPr>
      <w:bookmarkStart w:id="203" w:name="_Toc193358016"/>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7</w:t>
      </w:r>
      <w:r>
        <w:rPr>
          <w:rFonts w:hint="eastAsia" w:ascii="宋体" w:hAnsi="宋体" w:eastAsia="宋体" w:cs="宋体"/>
          <w:b/>
          <w:bCs/>
          <w:color w:val="auto"/>
          <w:spacing w:val="1"/>
          <w:sz w:val="28"/>
          <w:szCs w:val="32"/>
          <w:highlight w:val="none"/>
        </w:rPr>
        <w:t xml:space="preserve"> </w:t>
      </w:r>
      <w:bookmarkEnd w:id="203"/>
      <w:r>
        <w:rPr>
          <w:rFonts w:hint="eastAsia" w:ascii="宋体" w:hAnsi="宋体" w:eastAsia="宋体" w:cs="宋体"/>
          <w:b/>
          <w:bCs/>
          <w:color w:val="auto"/>
          <w:spacing w:val="1"/>
          <w:sz w:val="28"/>
          <w:szCs w:val="32"/>
          <w:highlight w:val="none"/>
        </w:rPr>
        <w:t>投标文件的澄清</w:t>
      </w:r>
    </w:p>
    <w:p w14:paraId="005387A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 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3E8EF7E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 澄清、说明或补正不得超出投标文件的范围且不得改变投标文件实质性内容，并构成投标文件的组成部分。</w:t>
      </w:r>
    </w:p>
    <w:p w14:paraId="7610BAB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 评标委员会对投标人提交的澄清、说明或补正有疑问的，可以要求投标人进一步澄清、说明或补正，直到满足评标委员会的要求。</w:t>
      </w:r>
    </w:p>
    <w:p w14:paraId="0FD4E18C">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3.7.4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A6F7DBC">
      <w:pPr>
        <w:wordWrap w:val="0"/>
        <w:spacing w:line="360" w:lineRule="auto"/>
        <w:ind w:firstLine="480" w:firstLineChars="200"/>
        <w:rPr>
          <w:rFonts w:ascii="宋体" w:hAnsi="宋体" w:eastAsia="宋体" w:cs="宋体"/>
          <w:color w:val="auto"/>
          <w:sz w:val="24"/>
          <w:szCs w:val="24"/>
          <w:highlight w:val="none"/>
        </w:rPr>
      </w:pPr>
    </w:p>
    <w:p w14:paraId="626E922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04" w:name="_Toc193358018"/>
      <w:r>
        <w:rPr>
          <w:rFonts w:hint="eastAsia" w:ascii="宋体" w:hAnsi="宋体" w:eastAsia="宋体" w:cs="宋体"/>
          <w:b/>
          <w:bCs/>
          <w:color w:val="auto"/>
          <w:spacing w:val="1"/>
          <w:sz w:val="28"/>
          <w:szCs w:val="32"/>
          <w:highlight w:val="none"/>
          <w:lang w:val="zh-CN"/>
        </w:rPr>
        <w:t>3.</w:t>
      </w:r>
      <w:r>
        <w:rPr>
          <w:rFonts w:hint="eastAsia" w:ascii="宋体" w:hAnsi="宋体" w:eastAsia="宋体" w:cs="宋体"/>
          <w:b/>
          <w:bCs/>
          <w:color w:val="auto"/>
          <w:spacing w:val="1"/>
          <w:sz w:val="28"/>
          <w:szCs w:val="32"/>
          <w:highlight w:val="none"/>
        </w:rPr>
        <w:t>8</w:t>
      </w:r>
      <w:r>
        <w:rPr>
          <w:rFonts w:hint="eastAsia" w:ascii="宋体" w:hAnsi="宋体" w:eastAsia="宋体" w:cs="宋体"/>
          <w:b/>
          <w:bCs/>
          <w:color w:val="auto"/>
          <w:spacing w:val="1"/>
          <w:sz w:val="28"/>
          <w:szCs w:val="32"/>
          <w:highlight w:val="none"/>
          <w:lang w:val="zh-CN"/>
        </w:rPr>
        <w:t xml:space="preserve"> 评标结果</w:t>
      </w:r>
      <w:bookmarkEnd w:id="204"/>
    </w:p>
    <w:p w14:paraId="0DED87F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3.8.1 </w:t>
      </w:r>
      <w:r>
        <w:rPr>
          <w:rFonts w:hint="eastAsia" w:ascii="宋体" w:hAnsi="宋体" w:eastAsia="宋体" w:cs="宋体"/>
          <w:strike/>
          <w:dstrike w:val="0"/>
          <w:color w:val="auto"/>
          <w:sz w:val="24"/>
          <w:szCs w:val="24"/>
          <w:highlight w:val="none"/>
        </w:rPr>
        <w:t>除第二章“投标人须知”前附表授权直接确定中标人外，评标委员会按照得分由高到低的顺序推荐中标候选人，并标明排序。</w:t>
      </w:r>
      <w:r>
        <w:rPr>
          <w:rFonts w:hint="eastAsia" w:ascii="宋体" w:hAnsi="宋体" w:eastAsia="宋体" w:cs="宋体"/>
          <w:b/>
          <w:bCs/>
          <w:color w:val="auto"/>
          <w:sz w:val="24"/>
          <w:szCs w:val="24"/>
          <w:highlight w:val="none"/>
          <w:u w:val="single"/>
        </w:rPr>
        <w:t>评标委员会按本章第2.2.1款规定的标准汇总各有效投标文件的综合得分，并按照本章前附表第1条的要求推荐合格的中标候选人进入定标阶段。</w:t>
      </w:r>
    </w:p>
    <w:p w14:paraId="06B9195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3.8.2 评标委员会完成评标后，应当向招标人提交书面评标报告和</w:t>
      </w:r>
      <w:r>
        <w:rPr>
          <w:rFonts w:hint="eastAsia" w:ascii="宋体" w:hAnsi="宋体" w:eastAsia="宋体" w:cs="宋体"/>
          <w:b/>
          <w:bCs/>
          <w:color w:val="auto"/>
          <w:sz w:val="24"/>
          <w:szCs w:val="24"/>
          <w:highlight w:val="none"/>
          <w:u w:val="single"/>
          <w:lang w:val="en-US" w:eastAsia="zh-CN"/>
        </w:rPr>
        <w:t>合格的</w:t>
      </w:r>
      <w:r>
        <w:rPr>
          <w:rFonts w:hint="eastAsia" w:ascii="宋体" w:hAnsi="宋体" w:eastAsia="宋体" w:cs="宋体"/>
          <w:color w:val="auto"/>
          <w:sz w:val="24"/>
          <w:szCs w:val="24"/>
          <w:highlight w:val="none"/>
        </w:rPr>
        <w:t>中标候选人名单。</w:t>
      </w:r>
    </w:p>
    <w:p w14:paraId="7A64C519">
      <w:pPr>
        <w:wordWrap w:val="0"/>
        <w:spacing w:line="360" w:lineRule="auto"/>
        <w:ind w:firstLine="480" w:firstLineChars="200"/>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3.8.3 如采用评标定标分离方法的，按相关规定执行。</w:t>
      </w:r>
    </w:p>
    <w:bookmarkEnd w:id="195"/>
    <w:bookmarkEnd w:id="196"/>
    <w:p w14:paraId="0F180DE7">
      <w:pPr>
        <w:wordWrap w:val="0"/>
        <w:spacing w:line="360" w:lineRule="auto"/>
        <w:ind w:firstLine="480" w:firstLineChars="200"/>
        <w:rPr>
          <w:rFonts w:ascii="宋体" w:hAnsi="宋体" w:eastAsia="宋体" w:cs="宋体"/>
          <w:color w:val="auto"/>
          <w:sz w:val="24"/>
          <w:szCs w:val="24"/>
          <w:highlight w:val="none"/>
        </w:rPr>
      </w:pPr>
    </w:p>
    <w:p w14:paraId="206B452B">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en-US" w:eastAsia="zh-CN"/>
        </w:rPr>
        <w:t>4</w:t>
      </w:r>
      <w:r>
        <w:rPr>
          <w:rFonts w:hint="eastAsia" w:ascii="宋体" w:hAnsi="宋体" w:eastAsia="宋体" w:cs="宋体"/>
          <w:b/>
          <w:bCs/>
          <w:color w:val="auto"/>
          <w:spacing w:val="1"/>
          <w:sz w:val="28"/>
          <w:szCs w:val="32"/>
          <w:highlight w:val="none"/>
          <w:lang w:val="zh-CN"/>
        </w:rPr>
        <w:t xml:space="preserve"> 定标办法</w:t>
      </w:r>
    </w:p>
    <w:p w14:paraId="6B2EBAAE">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4.1评标结果公示结束后，招标人一般在5个工作日内召开定标会议确定中标人。招标人在广州交易集团有限公司（广州公共资源交易中心）组织定标工作，选定中标人，并标明排序。</w:t>
      </w:r>
    </w:p>
    <w:p w14:paraId="224D5509">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4.2监督小组：招标人依据《广州市交通运输局关于印发广州市交通工程建设项目评标定标分离操作指引（试行）的通知》（穗交运函〔2025〕17号文）组建监督小组。</w:t>
      </w:r>
    </w:p>
    <w:p w14:paraId="5A4EAED0">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4.3定标规则及程序</w:t>
      </w:r>
    </w:p>
    <w:p w14:paraId="4A263F64">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4.3.1本项目采用评分法（方案因素+答辩因素）。</w:t>
      </w:r>
    </w:p>
    <w:p w14:paraId="276D3510">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4.3.2招标人（招标代理）应当在定标会上向定标委员会介绍项目基本情况、合格中标候选人情况、评标委员会的评审意见及定标规则等内容。定标委员会成员有疑问的，可以向招标人提问。</w:t>
      </w:r>
    </w:p>
    <w:p w14:paraId="7A77A0F1">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4.3.3定标委员会在评标委员会评审的基础上，根据《定标因素表》及定标辅助资料，对进入定标阶段的全部合格中标候选人的方案因素和答辩因素进行评分，各合格中标候选人总得分为各</w:t>
      </w:r>
      <w:r>
        <w:rPr>
          <w:rFonts w:hint="eastAsia" w:ascii="宋体" w:hAnsi="宋体" w:eastAsia="宋体" w:cs="宋体"/>
          <w:b/>
          <w:bCs/>
          <w:color w:val="auto"/>
          <w:sz w:val="24"/>
          <w:szCs w:val="24"/>
          <w:highlight w:val="none"/>
          <w:u w:val="single"/>
          <w:lang w:val="zh-CN" w:eastAsia="zh-CN"/>
        </w:rPr>
        <w:t>定标委员</w:t>
      </w:r>
      <w:r>
        <w:rPr>
          <w:rFonts w:hint="eastAsia" w:ascii="宋体" w:hAnsi="宋体" w:eastAsia="宋体" w:cs="宋体"/>
          <w:b/>
          <w:bCs/>
          <w:color w:val="auto"/>
          <w:sz w:val="24"/>
          <w:szCs w:val="24"/>
          <w:highlight w:val="none"/>
          <w:u w:val="single"/>
          <w:lang w:val="zh-CN"/>
        </w:rPr>
        <w:t>评分的算术平均值，得分四舍五入保留两位小数。定标辅助资料为评标报告、投标人提交的投标文件。</w:t>
      </w:r>
    </w:p>
    <w:p w14:paraId="14444378">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4.3.4定标委员会根据合格中标候选人总得分由高至低进行排序。合格中标候选人总得分=方案因素（</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val="zh-CN"/>
        </w:rPr>
        <w:t>0分）+答辩因素（</w:t>
      </w:r>
      <w:r>
        <w:rPr>
          <w:rFonts w:hint="eastAsia" w:ascii="宋体" w:hAnsi="宋体" w:eastAsia="宋体" w:cs="宋体"/>
          <w:b/>
          <w:bCs/>
          <w:color w:val="auto"/>
          <w:sz w:val="24"/>
          <w:szCs w:val="24"/>
          <w:highlight w:val="none"/>
          <w:u w:val="single"/>
          <w:lang w:val="en-US" w:eastAsia="zh-CN"/>
        </w:rPr>
        <w:t>40</w:t>
      </w:r>
      <w:r>
        <w:rPr>
          <w:rFonts w:hint="eastAsia" w:ascii="宋体" w:hAnsi="宋体" w:eastAsia="宋体" w:cs="宋体"/>
          <w:b/>
          <w:bCs/>
          <w:color w:val="auto"/>
          <w:sz w:val="24"/>
          <w:szCs w:val="24"/>
          <w:highlight w:val="none"/>
          <w:u w:val="single"/>
          <w:lang w:val="zh-CN"/>
        </w:rPr>
        <w:t>分）。总得分四舍五入保留两位小数。</w:t>
      </w:r>
    </w:p>
    <w:p w14:paraId="0EB6D30E">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总得分相同的合格中标候选人，以</w:t>
      </w:r>
      <w:r>
        <w:rPr>
          <w:rFonts w:hint="eastAsia" w:ascii="宋体" w:hAnsi="宋体" w:eastAsia="宋体" w:cs="宋体"/>
          <w:b/>
          <w:bCs/>
          <w:color w:val="auto"/>
          <w:sz w:val="24"/>
          <w:szCs w:val="24"/>
          <w:highlight w:val="none"/>
          <w:u w:val="single"/>
          <w:lang w:val="en-US" w:eastAsia="zh-CN"/>
        </w:rPr>
        <w:t>方案</w:t>
      </w:r>
      <w:r>
        <w:rPr>
          <w:rFonts w:hint="eastAsia" w:ascii="宋体" w:hAnsi="宋体" w:eastAsia="宋体" w:cs="宋体"/>
          <w:b/>
          <w:bCs/>
          <w:color w:val="auto"/>
          <w:sz w:val="24"/>
          <w:szCs w:val="24"/>
          <w:highlight w:val="none"/>
          <w:u w:val="single"/>
          <w:lang w:val="zh-CN"/>
        </w:rPr>
        <w:t>因素得分较高的排前；</w:t>
      </w:r>
      <w:r>
        <w:rPr>
          <w:rFonts w:hint="eastAsia" w:ascii="宋体" w:hAnsi="宋体" w:eastAsia="宋体" w:cs="宋体"/>
          <w:b/>
          <w:bCs/>
          <w:strike/>
          <w:color w:val="auto"/>
          <w:sz w:val="24"/>
          <w:szCs w:val="24"/>
          <w:highlight w:val="none"/>
          <w:u w:val="single"/>
          <w:lang w:val="zh-CN"/>
        </w:rPr>
        <w:t>总得分与</w:t>
      </w:r>
      <w:r>
        <w:rPr>
          <w:rFonts w:hint="eastAsia" w:ascii="宋体" w:hAnsi="宋体" w:eastAsia="宋体" w:cs="宋体"/>
          <w:b/>
          <w:bCs/>
          <w:strike/>
          <w:color w:val="auto"/>
          <w:sz w:val="24"/>
          <w:szCs w:val="24"/>
          <w:highlight w:val="none"/>
          <w:u w:val="single"/>
          <w:lang w:val="en-US" w:eastAsia="zh-CN"/>
        </w:rPr>
        <w:t>方案</w:t>
      </w:r>
      <w:r>
        <w:rPr>
          <w:rFonts w:hint="eastAsia" w:ascii="宋体" w:hAnsi="宋体" w:eastAsia="宋体" w:cs="宋体"/>
          <w:b/>
          <w:bCs/>
          <w:strike/>
          <w:color w:val="auto"/>
          <w:sz w:val="24"/>
          <w:szCs w:val="24"/>
          <w:highlight w:val="none"/>
          <w:u w:val="single"/>
          <w:lang w:val="zh-CN"/>
        </w:rPr>
        <w:t>因素得分均相同的，以答辩因素得分较高的排前；</w:t>
      </w:r>
      <w:r>
        <w:rPr>
          <w:rFonts w:hint="eastAsia" w:ascii="宋体" w:hAnsi="宋体" w:eastAsia="宋体" w:cs="宋体"/>
          <w:b/>
          <w:bCs/>
          <w:color w:val="auto"/>
          <w:sz w:val="24"/>
          <w:szCs w:val="24"/>
          <w:highlight w:val="none"/>
          <w:u w:val="single"/>
          <w:lang w:val="zh-CN"/>
        </w:rPr>
        <w:t>总得分、</w:t>
      </w:r>
      <w:r>
        <w:rPr>
          <w:rFonts w:hint="eastAsia" w:ascii="宋体" w:hAnsi="宋体" w:eastAsia="宋体" w:cs="宋体"/>
          <w:b/>
          <w:bCs/>
          <w:color w:val="auto"/>
          <w:sz w:val="24"/>
          <w:szCs w:val="24"/>
          <w:highlight w:val="none"/>
          <w:u w:val="single"/>
          <w:lang w:val="en-US" w:eastAsia="zh-CN"/>
        </w:rPr>
        <w:t>方案</w:t>
      </w:r>
      <w:r>
        <w:rPr>
          <w:rFonts w:hint="eastAsia" w:ascii="宋体" w:hAnsi="宋体" w:eastAsia="宋体" w:cs="宋体"/>
          <w:b/>
          <w:bCs/>
          <w:color w:val="auto"/>
          <w:sz w:val="24"/>
          <w:szCs w:val="24"/>
          <w:highlight w:val="none"/>
          <w:u w:val="single"/>
          <w:lang w:val="zh-CN"/>
        </w:rPr>
        <w:t>因素得分</w:t>
      </w:r>
      <w:r>
        <w:rPr>
          <w:rFonts w:hint="eastAsia" w:ascii="宋体" w:hAnsi="宋体" w:eastAsia="宋体" w:cs="宋体"/>
          <w:b/>
          <w:bCs/>
          <w:strike/>
          <w:color w:val="auto"/>
          <w:sz w:val="24"/>
          <w:szCs w:val="24"/>
          <w:highlight w:val="none"/>
          <w:u w:val="single"/>
          <w:lang w:val="zh-CN"/>
        </w:rPr>
        <w:t>与答辩因素得分</w:t>
      </w:r>
      <w:r>
        <w:rPr>
          <w:rFonts w:hint="eastAsia" w:ascii="宋体" w:hAnsi="宋体" w:eastAsia="宋体" w:cs="宋体"/>
          <w:b/>
          <w:bCs/>
          <w:color w:val="auto"/>
          <w:sz w:val="24"/>
          <w:szCs w:val="24"/>
          <w:highlight w:val="none"/>
          <w:u w:val="single"/>
          <w:lang w:val="zh-CN"/>
        </w:rPr>
        <w:t>均相同的，则由定标委员会采用投票方式，确定合格中标候选人的排序。</w:t>
      </w:r>
    </w:p>
    <w:p w14:paraId="4104A1E2">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注：记名投票方式确定排序的具体操作步骤为：由定标委员会对出现该情况的合格中标候选人进行编号，然后通过记名投票方式依次确定投标人的排序。</w:t>
      </w:r>
    </w:p>
    <w:p w14:paraId="7C89E370">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4.3.5定标委员会确定总得分最高的合格中标候选人为中标人。</w:t>
      </w:r>
    </w:p>
    <w:p w14:paraId="4DB03BDD">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4.3.6编写定标报告，定标委员会全体确认后签署定标报告：定标报告应记录定标委员会成员名单、监督小组名单、定标办法、定标过程、定标工作情况、定标结果，并由定标委员会成员、监督小组成员代表签字。监督小组应对定标全过程进行监督，在定标报告上签名。招标人应对定标全过程做好录音、录像工作，并存档备查。</w:t>
      </w:r>
    </w:p>
    <w:p w14:paraId="77C640D0">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4.4招标人应当在定标工作完成后3日内在广东省招投标监管网、广州交易集团有限公司（广州公共资源交易中心）网站公示中标结果，公示内容包括：定标时间、所有合格中标候选人的评分结果、中标人名称、投标价格、项目负责人等信息、定标报告等（但应隐去或遮蔽个人隐私内容、信息字段），同时提出投诉的渠道方式，以及法律法规和招标文件规定应当公示的其他内容。</w:t>
      </w:r>
    </w:p>
    <w:p w14:paraId="1B3C1CB7">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4.5因发生异议或投诉需要重新评标或定标的，评标、定标信息仍以投标截止时投标人的信息为准。因特殊原因需要延长投标有效期，投标人拒绝延长投标有效期的，仍参与评标，但不被推荐为合格中标候选人。</w:t>
      </w:r>
    </w:p>
    <w:p w14:paraId="0F2E8406">
      <w:pPr>
        <w:wordWrap w:val="0"/>
        <w:spacing w:line="360" w:lineRule="auto"/>
        <w:ind w:firstLine="482"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u w:val="single"/>
          <w:lang w:val="zh-CN"/>
        </w:rPr>
        <w:t>4.6在定标后，中标人放弃中标、无故不签订合同或因不可抗力不能履行合同、不按照招标文件要求提交履约保证金，或者被查实存在影响中标结果的违法行为等情形，不符合中标条件的，招标人可以重新招标或由原定标委员会按原定标规则在合格中标候选人名单中重新确定中标人并公示。</w:t>
      </w:r>
    </w:p>
    <w:p w14:paraId="1306DDC2">
      <w:pPr>
        <w:rPr>
          <w:rFonts w:hint="eastAsia"/>
          <w:color w:val="auto"/>
          <w:highlight w:val="none"/>
          <w:lang w:val="zh-CN"/>
        </w:rPr>
      </w:pPr>
      <w:r>
        <w:rPr>
          <w:rFonts w:hint="eastAsia"/>
          <w:color w:val="auto"/>
          <w:highlight w:val="none"/>
          <w:lang w:val="zh-CN"/>
        </w:rPr>
        <w:br w:type="page"/>
      </w:r>
    </w:p>
    <w:p w14:paraId="416B7F3F">
      <w:pPr>
        <w:widowControl/>
        <w:shd w:val="clear" w:color="auto" w:fill="FFFFFF"/>
        <w:jc w:val="center"/>
        <w:rPr>
          <w:rFonts w:hint="eastAsia" w:ascii="Arial" w:hAnsi="Arial" w:eastAsia="宋体" w:cs="Arial"/>
          <w:b/>
          <w:bCs/>
          <w:color w:val="auto"/>
          <w:kern w:val="0"/>
          <w:sz w:val="32"/>
          <w:szCs w:val="32"/>
          <w:highlight w:val="none"/>
        </w:rPr>
      </w:pPr>
      <w:r>
        <w:rPr>
          <w:rFonts w:hint="eastAsia" w:ascii="宋体" w:hAnsi="宋体" w:eastAsia="宋体" w:cs="宋体"/>
          <w:b/>
          <w:bCs/>
          <w:color w:val="auto"/>
          <w:kern w:val="0"/>
          <w:sz w:val="32"/>
          <w:szCs w:val="32"/>
          <w:highlight w:val="none"/>
        </w:rPr>
        <w:t>定标因素表</w:t>
      </w:r>
    </w:p>
    <w:p w14:paraId="39C3D861">
      <w:pPr>
        <w:rPr>
          <w:rFonts w:hint="eastAsia"/>
          <w:color w:val="auto"/>
          <w:highlight w:val="none"/>
          <w:lang w:val="zh-CN"/>
        </w:rPr>
      </w:pP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25"/>
        <w:gridCol w:w="6829"/>
      </w:tblGrid>
      <w:tr w14:paraId="61D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blHeade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40C5AD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6F47AD1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评价项目</w:t>
            </w:r>
          </w:p>
        </w:tc>
        <w:tc>
          <w:tcPr>
            <w:tcW w:w="3916" w:type="pct"/>
            <w:tcBorders>
              <w:top w:val="single" w:color="auto" w:sz="4" w:space="0"/>
              <w:left w:val="single" w:color="auto" w:sz="4" w:space="0"/>
              <w:bottom w:val="single" w:color="auto" w:sz="4" w:space="0"/>
              <w:right w:val="single" w:color="auto" w:sz="4" w:space="0"/>
            </w:tcBorders>
            <w:noWrap w:val="0"/>
            <w:vAlign w:val="center"/>
          </w:tcPr>
          <w:p w14:paraId="064A4B7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定标评价的内容</w:t>
            </w:r>
          </w:p>
        </w:tc>
      </w:tr>
      <w:tr w14:paraId="502C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37" w:type="pct"/>
            <w:vMerge w:val="restart"/>
            <w:tcBorders>
              <w:top w:val="single" w:color="auto" w:sz="4" w:space="0"/>
              <w:left w:val="single" w:color="auto" w:sz="4" w:space="0"/>
              <w:right w:val="single" w:color="auto" w:sz="4" w:space="0"/>
            </w:tcBorders>
            <w:noWrap w:val="0"/>
            <w:vAlign w:val="center"/>
          </w:tcPr>
          <w:p w14:paraId="47EDA6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45" w:type="pct"/>
            <w:vMerge w:val="restart"/>
            <w:tcBorders>
              <w:top w:val="single" w:color="auto" w:sz="4" w:space="0"/>
              <w:left w:val="single" w:color="auto" w:sz="4" w:space="0"/>
              <w:right w:val="single" w:color="auto" w:sz="4" w:space="0"/>
            </w:tcBorders>
            <w:noWrap w:val="0"/>
            <w:vAlign w:val="center"/>
          </w:tcPr>
          <w:p w14:paraId="07B8EEB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方案因素（</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3916" w:type="pct"/>
            <w:tcBorders>
              <w:top w:val="single" w:color="auto" w:sz="4" w:space="0"/>
              <w:left w:val="single" w:color="auto" w:sz="4" w:space="0"/>
              <w:bottom w:val="single" w:color="auto" w:sz="4" w:space="0"/>
              <w:right w:val="single" w:color="auto" w:sz="4" w:space="0"/>
            </w:tcBorders>
            <w:noWrap w:val="0"/>
            <w:vAlign w:val="center"/>
          </w:tcPr>
          <w:p w14:paraId="4C8A62F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1、外观设计</w:t>
            </w:r>
            <w:r>
              <w:rPr>
                <w:rFonts w:hint="eastAsia" w:ascii="宋体" w:hAnsi="宋体" w:eastAsia="宋体" w:cs="宋体"/>
                <w:color w:val="auto"/>
                <w:sz w:val="21"/>
                <w:szCs w:val="21"/>
                <w:highlight w:val="none"/>
              </w:rPr>
              <w:t>：</w:t>
            </w:r>
          </w:p>
          <w:p w14:paraId="384347A2">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在设计任务书的基础上开展设计，</w:t>
            </w:r>
            <w:r>
              <w:rPr>
                <w:rFonts w:hint="eastAsia" w:ascii="宋体" w:hAnsi="宋体" w:eastAsia="宋体" w:cs="宋体"/>
                <w:color w:val="auto"/>
                <w:sz w:val="21"/>
                <w:szCs w:val="21"/>
                <w:highlight w:val="none"/>
              </w:rPr>
              <w:t>建筑形式清晰、细腻、精致、简洁，视觉效果好，建筑外观与传统文化及周边环境整体和谐，符合</w:t>
            </w:r>
            <w:r>
              <w:rPr>
                <w:rFonts w:hint="eastAsia" w:ascii="宋体" w:hAnsi="宋体" w:eastAsia="宋体" w:cs="宋体"/>
                <w:color w:val="auto"/>
                <w:sz w:val="21"/>
                <w:szCs w:val="21"/>
                <w:highlight w:val="none"/>
                <w:lang w:val="en-US" w:eastAsia="zh-CN"/>
              </w:rPr>
              <w:t>周边</w:t>
            </w:r>
            <w:r>
              <w:rPr>
                <w:rFonts w:hint="eastAsia" w:ascii="宋体" w:hAnsi="宋体" w:eastAsia="宋体" w:cs="宋体"/>
                <w:color w:val="auto"/>
                <w:sz w:val="21"/>
                <w:szCs w:val="21"/>
                <w:highlight w:val="none"/>
              </w:rPr>
              <w:t>区域及片区的特征和特色</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(8,10]</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3801166F">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在设计任务书的基础上开展设计，</w:t>
            </w:r>
            <w:r>
              <w:rPr>
                <w:rFonts w:hint="eastAsia" w:ascii="宋体" w:hAnsi="宋体" w:eastAsia="宋体" w:cs="宋体"/>
                <w:color w:val="auto"/>
                <w:sz w:val="21"/>
                <w:szCs w:val="21"/>
                <w:highlight w:val="none"/>
              </w:rPr>
              <w:t>建筑形式</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rPr>
              <w:t>清晰、</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rPr>
              <w:t>简洁，视觉效果</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rPr>
              <w:t>好，建筑外观与传统文化及周边环境整体</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rPr>
              <w:t>和谐，</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val="en-US" w:eastAsia="zh-CN"/>
              </w:rPr>
              <w:t>周边</w:t>
            </w:r>
            <w:r>
              <w:rPr>
                <w:rFonts w:hint="eastAsia" w:ascii="宋体" w:hAnsi="宋体" w:eastAsia="宋体" w:cs="宋体"/>
                <w:color w:val="auto"/>
                <w:sz w:val="21"/>
                <w:szCs w:val="21"/>
                <w:highlight w:val="none"/>
              </w:rPr>
              <w:t>区域及片区的特征和特色</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0D30985A">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hAnsi="宋体" w:cs="宋体"/>
                <w:color w:val="auto"/>
                <w:sz w:val="21"/>
                <w:szCs w:val="21"/>
                <w:highlight w:val="none"/>
                <w:lang w:val="en-US" w:eastAsia="zh-CN"/>
              </w:rPr>
              <w:t>外观</w:t>
            </w:r>
            <w:r>
              <w:rPr>
                <w:rFonts w:hint="eastAsia" w:ascii="宋体" w:hAnsi="宋体" w:eastAsia="宋体" w:cs="宋体"/>
                <w:color w:val="auto"/>
                <w:sz w:val="21"/>
                <w:szCs w:val="21"/>
                <w:highlight w:val="none"/>
              </w:rPr>
              <w:t>视觉效果</w:t>
            </w:r>
            <w:r>
              <w:rPr>
                <w:rFonts w:hint="eastAsia" w:hAnsi="宋体" w:cs="宋体"/>
                <w:color w:val="auto"/>
                <w:sz w:val="21"/>
                <w:szCs w:val="21"/>
                <w:highlight w:val="none"/>
                <w:lang w:eastAsia="zh-CN"/>
              </w:rPr>
              <w:t>较</w:t>
            </w:r>
            <w:r>
              <w:rPr>
                <w:rFonts w:hint="eastAsia" w:hAnsi="宋体" w:cs="宋体"/>
                <w:color w:val="auto"/>
                <w:sz w:val="21"/>
                <w:szCs w:val="21"/>
                <w:highlight w:val="none"/>
                <w:lang w:val="en-US" w:eastAsia="zh-CN"/>
              </w:rPr>
              <w:t>一般</w:t>
            </w:r>
            <w:r>
              <w:rPr>
                <w:rFonts w:hint="eastAsia" w:ascii="宋体" w:hAnsi="宋体" w:eastAsia="宋体" w:cs="宋体"/>
                <w:color w:val="auto"/>
                <w:sz w:val="21"/>
                <w:szCs w:val="21"/>
                <w:highlight w:val="none"/>
              </w:rPr>
              <w:t>，建筑外观与传统文化及周边环境</w:t>
            </w:r>
            <w:r>
              <w:rPr>
                <w:rFonts w:hint="eastAsia" w:hAnsi="宋体" w:cs="宋体"/>
                <w:color w:val="auto"/>
                <w:sz w:val="21"/>
                <w:szCs w:val="21"/>
                <w:highlight w:val="none"/>
                <w:lang w:eastAsia="zh-CN"/>
              </w:rPr>
              <w:t>欠协调。</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lang w:eastAsia="zh-CN"/>
              </w:rPr>
              <w:t>分。</w:t>
            </w:r>
          </w:p>
          <w:p w14:paraId="63F72FB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p w14:paraId="042244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0FA6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37" w:type="pct"/>
            <w:vMerge w:val="continue"/>
            <w:tcBorders>
              <w:left w:val="single" w:color="auto" w:sz="4" w:space="0"/>
              <w:right w:val="single" w:color="auto" w:sz="4" w:space="0"/>
            </w:tcBorders>
            <w:noWrap w:val="0"/>
            <w:vAlign w:val="center"/>
          </w:tcPr>
          <w:p w14:paraId="744BCBE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p>
        </w:tc>
        <w:tc>
          <w:tcPr>
            <w:tcW w:w="645" w:type="pct"/>
            <w:vMerge w:val="continue"/>
            <w:tcBorders>
              <w:left w:val="single" w:color="auto" w:sz="4" w:space="0"/>
              <w:right w:val="single" w:color="auto" w:sz="4" w:space="0"/>
            </w:tcBorders>
            <w:noWrap w:val="0"/>
            <w:vAlign w:val="center"/>
          </w:tcPr>
          <w:p w14:paraId="3408D6B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p>
        </w:tc>
        <w:tc>
          <w:tcPr>
            <w:tcW w:w="3916" w:type="pct"/>
            <w:tcBorders>
              <w:top w:val="single" w:color="auto" w:sz="4" w:space="0"/>
              <w:left w:val="single" w:color="auto" w:sz="4" w:space="0"/>
              <w:bottom w:val="single" w:color="auto" w:sz="4" w:space="0"/>
              <w:right w:val="single" w:color="auto" w:sz="4" w:space="0"/>
            </w:tcBorders>
            <w:noWrap w:val="0"/>
            <w:vAlign w:val="center"/>
          </w:tcPr>
          <w:p w14:paraId="7739BF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2、停车场设计</w:t>
            </w:r>
            <w:r>
              <w:rPr>
                <w:rFonts w:hint="eastAsia" w:ascii="宋体" w:hAnsi="宋体" w:eastAsia="宋体" w:cs="宋体"/>
                <w:b/>
                <w:bCs/>
                <w:color w:val="auto"/>
                <w:sz w:val="21"/>
                <w:szCs w:val="21"/>
                <w:highlight w:val="none"/>
              </w:rPr>
              <w:t>：</w:t>
            </w:r>
          </w:p>
          <w:p w14:paraId="2C356BC1">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智慧停车场设计</w:t>
            </w:r>
            <w:r>
              <w:rPr>
                <w:rFonts w:hint="eastAsia" w:ascii="宋体" w:hAnsi="宋体" w:eastAsia="宋体" w:cs="宋体"/>
                <w:color w:val="auto"/>
                <w:sz w:val="21"/>
                <w:szCs w:val="21"/>
                <w:highlight w:val="none"/>
                <w:lang w:eastAsia="zh-CN"/>
              </w:rPr>
              <w:t>方案充分反映了“</w:t>
            </w:r>
            <w:r>
              <w:rPr>
                <w:rFonts w:hint="eastAsia" w:ascii="宋体" w:hAnsi="宋体" w:eastAsia="宋体" w:cs="宋体"/>
                <w:color w:val="auto"/>
                <w:sz w:val="21"/>
                <w:szCs w:val="21"/>
                <w:highlight w:val="none"/>
                <w:lang w:val="en-US" w:eastAsia="zh-CN"/>
              </w:rPr>
              <w:t>智慧</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特征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体现了便利性及智慧（智能）化，</w:t>
            </w:r>
            <w:r>
              <w:rPr>
                <w:rFonts w:hint="eastAsia" w:hAnsi="宋体" w:cs="宋体"/>
                <w:color w:val="auto"/>
                <w:sz w:val="21"/>
                <w:szCs w:val="21"/>
                <w:highlight w:val="none"/>
                <w:lang w:val="en-US" w:eastAsia="zh-CN"/>
              </w:rPr>
              <w:t>能</w:t>
            </w:r>
            <w:r>
              <w:rPr>
                <w:rFonts w:hint="eastAsia" w:ascii="宋体" w:hAnsi="宋体" w:eastAsia="宋体" w:cs="宋体"/>
                <w:color w:val="auto"/>
                <w:sz w:val="21"/>
                <w:szCs w:val="21"/>
                <w:highlight w:val="none"/>
                <w:lang w:val="en-US" w:eastAsia="zh-CN"/>
              </w:rPr>
              <w:t>节省运维成本。停车场的充电桩车位和无障碍停车位设置便利</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(16,20]</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6174CA7A">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智慧停车场设计</w:t>
            </w:r>
            <w:r>
              <w:rPr>
                <w:rFonts w:hint="eastAsia" w:ascii="宋体" w:hAnsi="宋体" w:eastAsia="宋体" w:cs="宋体"/>
                <w:color w:val="auto"/>
                <w:sz w:val="21"/>
                <w:szCs w:val="21"/>
                <w:highlight w:val="none"/>
                <w:lang w:eastAsia="zh-CN"/>
              </w:rPr>
              <w:t>方案</w:t>
            </w:r>
            <w:r>
              <w:rPr>
                <w:rFonts w:hint="eastAsia" w:hAnsi="宋体" w:cs="宋体"/>
                <w:color w:val="auto"/>
                <w:sz w:val="21"/>
                <w:szCs w:val="21"/>
                <w:highlight w:val="none"/>
                <w:lang w:eastAsia="zh-CN"/>
              </w:rPr>
              <w:t>较好的</w:t>
            </w:r>
            <w:r>
              <w:rPr>
                <w:rFonts w:hint="eastAsia" w:ascii="宋体" w:hAnsi="宋体" w:eastAsia="宋体" w:cs="宋体"/>
                <w:color w:val="auto"/>
                <w:sz w:val="21"/>
                <w:szCs w:val="21"/>
                <w:highlight w:val="none"/>
                <w:lang w:eastAsia="zh-CN"/>
              </w:rPr>
              <w:t>反映了“</w:t>
            </w:r>
            <w:r>
              <w:rPr>
                <w:rFonts w:hint="eastAsia" w:ascii="宋体" w:hAnsi="宋体" w:eastAsia="宋体" w:cs="宋体"/>
                <w:color w:val="auto"/>
                <w:sz w:val="21"/>
                <w:szCs w:val="21"/>
                <w:highlight w:val="none"/>
                <w:lang w:val="en-US" w:eastAsia="zh-CN"/>
              </w:rPr>
              <w:t>智慧</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特征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体现了便利性及智慧（智能）化，</w:t>
            </w:r>
            <w:r>
              <w:rPr>
                <w:rFonts w:hint="eastAsia" w:hAnsi="宋体" w:cs="宋体"/>
                <w:color w:val="auto"/>
                <w:sz w:val="21"/>
                <w:szCs w:val="21"/>
                <w:highlight w:val="none"/>
                <w:lang w:val="en-US" w:eastAsia="zh-CN"/>
              </w:rPr>
              <w:t>较能</w:t>
            </w:r>
            <w:r>
              <w:rPr>
                <w:rFonts w:hint="eastAsia" w:ascii="宋体" w:hAnsi="宋体" w:eastAsia="宋体" w:cs="宋体"/>
                <w:color w:val="auto"/>
                <w:sz w:val="21"/>
                <w:szCs w:val="21"/>
                <w:highlight w:val="none"/>
                <w:lang w:val="en-US" w:eastAsia="zh-CN"/>
              </w:rPr>
              <w:t>节省运维成本。停车场的充电桩车位和无障碍停车位设置</w:t>
            </w:r>
            <w:r>
              <w:rPr>
                <w:rFonts w:hint="eastAsia"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便利</w:t>
            </w:r>
            <w:r>
              <w:rPr>
                <w:rFonts w:hint="eastAsia" w:hAnsi="宋体" w:cs="宋体"/>
                <w:bCs/>
                <w:color w:val="auto"/>
                <w:sz w:val="21"/>
                <w:szCs w:val="21"/>
                <w:highlight w:val="none"/>
                <w:lang w:val="en-US" w:eastAsia="zh-CN"/>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(12，16]</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3DCC4FE9">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智慧停车场设计</w:t>
            </w:r>
            <w:r>
              <w:rPr>
                <w:rFonts w:hint="eastAsia" w:ascii="宋体" w:hAnsi="宋体" w:eastAsia="宋体" w:cs="宋体"/>
                <w:color w:val="auto"/>
                <w:sz w:val="21"/>
                <w:szCs w:val="21"/>
                <w:highlight w:val="none"/>
                <w:lang w:eastAsia="zh-CN"/>
              </w:rPr>
              <w:t>方案</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eastAsia="zh-CN"/>
              </w:rPr>
              <w:t>反映了“</w:t>
            </w:r>
            <w:r>
              <w:rPr>
                <w:rFonts w:hint="eastAsia" w:ascii="宋体" w:hAnsi="宋体" w:eastAsia="宋体" w:cs="宋体"/>
                <w:color w:val="auto"/>
                <w:sz w:val="21"/>
                <w:szCs w:val="21"/>
                <w:highlight w:val="none"/>
                <w:lang w:val="en-US" w:eastAsia="zh-CN"/>
              </w:rPr>
              <w:t>智慧</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特征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便利性及智慧（智能）化</w:t>
            </w:r>
            <w:r>
              <w:rPr>
                <w:rFonts w:hint="eastAsia"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，运维成本</w:t>
            </w:r>
            <w:r>
              <w:rPr>
                <w:rFonts w:hint="eastAsia" w:hAnsi="宋体" w:cs="宋体"/>
                <w:color w:val="auto"/>
                <w:sz w:val="21"/>
                <w:szCs w:val="21"/>
                <w:highlight w:val="none"/>
                <w:lang w:val="en-US" w:eastAsia="zh-CN"/>
              </w:rPr>
              <w:t>较高</w:t>
            </w:r>
            <w:r>
              <w:rPr>
                <w:rFonts w:hint="eastAsia" w:ascii="宋体" w:hAnsi="宋体" w:eastAsia="宋体" w:cs="宋体"/>
                <w:color w:val="auto"/>
                <w:sz w:val="21"/>
                <w:szCs w:val="21"/>
                <w:highlight w:val="none"/>
                <w:lang w:val="en-US" w:eastAsia="zh-CN"/>
              </w:rPr>
              <w:t>。停车场的充电桩车位和无障碍停车位设置</w:t>
            </w:r>
            <w:r>
              <w:rPr>
                <w:rFonts w:hint="eastAsia" w:ascii="宋体" w:hAnsi="宋体" w:eastAsia="宋体" w:cs="宋体"/>
                <w:i w:val="0"/>
                <w:iCs w:val="0"/>
                <w:caps w:val="0"/>
                <w:color w:val="auto"/>
                <w:spacing w:val="0"/>
                <w:sz w:val="21"/>
                <w:szCs w:val="21"/>
                <w:highlight w:val="none"/>
                <w:shd w:val="clear"/>
                <w:lang w:val="en-US" w:eastAsia="zh-CN"/>
              </w:rPr>
              <w:t>缺乏便利性</w:t>
            </w:r>
            <w:r>
              <w:rPr>
                <w:rFonts w:hint="eastAsia" w:hAnsi="宋体" w:cs="宋体"/>
                <w:bCs/>
                <w:color w:val="auto"/>
                <w:sz w:val="21"/>
                <w:szCs w:val="21"/>
                <w:highlight w:val="none"/>
                <w:lang w:eastAsia="zh-CN"/>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(8,12]</w:t>
            </w:r>
            <w:r>
              <w:rPr>
                <w:rFonts w:hint="eastAsia" w:ascii="宋体" w:hAnsi="宋体" w:eastAsia="宋体" w:cs="宋体"/>
                <w:color w:val="auto"/>
                <w:sz w:val="21"/>
                <w:szCs w:val="21"/>
                <w:highlight w:val="none"/>
                <w:lang w:eastAsia="zh-CN"/>
              </w:rPr>
              <w:t>分。</w:t>
            </w:r>
          </w:p>
          <w:p w14:paraId="68F1E59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p w14:paraId="74C9438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14:paraId="1412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37" w:type="pct"/>
            <w:vMerge w:val="continue"/>
            <w:tcBorders>
              <w:left w:val="single" w:color="auto" w:sz="4" w:space="0"/>
              <w:right w:val="single" w:color="auto" w:sz="4" w:space="0"/>
            </w:tcBorders>
            <w:noWrap w:val="0"/>
            <w:vAlign w:val="center"/>
          </w:tcPr>
          <w:p w14:paraId="5AA84A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p>
        </w:tc>
        <w:tc>
          <w:tcPr>
            <w:tcW w:w="645" w:type="pct"/>
            <w:vMerge w:val="continue"/>
            <w:tcBorders>
              <w:left w:val="single" w:color="auto" w:sz="4" w:space="0"/>
              <w:right w:val="single" w:color="auto" w:sz="4" w:space="0"/>
            </w:tcBorders>
            <w:noWrap w:val="0"/>
            <w:vAlign w:val="center"/>
          </w:tcPr>
          <w:p w14:paraId="64C9AB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p>
        </w:tc>
        <w:tc>
          <w:tcPr>
            <w:tcW w:w="3916" w:type="pct"/>
            <w:tcBorders>
              <w:top w:val="single" w:color="auto" w:sz="4" w:space="0"/>
              <w:left w:val="single" w:color="auto" w:sz="4" w:space="0"/>
              <w:bottom w:val="single" w:color="auto" w:sz="4" w:space="0"/>
              <w:right w:val="single" w:color="auto" w:sz="4" w:space="0"/>
            </w:tcBorders>
            <w:noWrap w:val="0"/>
            <w:vAlign w:val="center"/>
          </w:tcPr>
          <w:p w14:paraId="2B715C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3、隧道配套上盖设计</w:t>
            </w:r>
            <w:r>
              <w:rPr>
                <w:rFonts w:hint="eastAsia" w:ascii="宋体" w:hAnsi="宋体" w:eastAsia="宋体" w:cs="宋体"/>
                <w:b/>
                <w:bCs/>
                <w:color w:val="auto"/>
                <w:sz w:val="21"/>
                <w:szCs w:val="21"/>
                <w:highlight w:val="none"/>
                <w:lang w:eastAsia="zh-CN"/>
              </w:rPr>
              <w:t>：</w:t>
            </w:r>
          </w:p>
          <w:p w14:paraId="445EF123">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u w:val="none"/>
                <w:lang w:val="en-US" w:eastAsia="zh-CN"/>
              </w:rPr>
              <w:t>隧道</w:t>
            </w:r>
            <w:r>
              <w:rPr>
                <w:rFonts w:hint="eastAsia" w:hAnsi="宋体" w:cs="宋体"/>
                <w:color w:val="auto"/>
                <w:sz w:val="21"/>
                <w:szCs w:val="21"/>
                <w:highlight w:val="none"/>
                <w:u w:val="none"/>
                <w:lang w:val="en-US" w:eastAsia="zh-CN"/>
              </w:rPr>
              <w:t>配套</w:t>
            </w:r>
            <w:r>
              <w:rPr>
                <w:rFonts w:hint="eastAsia" w:ascii="宋体" w:hAnsi="宋体" w:eastAsia="宋体" w:cs="宋体"/>
                <w:color w:val="auto"/>
                <w:sz w:val="21"/>
                <w:szCs w:val="21"/>
                <w:highlight w:val="none"/>
                <w:u w:val="none"/>
                <w:lang w:val="en-US" w:eastAsia="zh-CN"/>
              </w:rPr>
              <w:t>上盖设计</w:t>
            </w:r>
            <w:r>
              <w:rPr>
                <w:rFonts w:hint="eastAsia" w:ascii="宋体" w:hAnsi="宋体" w:eastAsia="宋体" w:cs="宋体"/>
                <w:bCs/>
                <w:color w:val="auto"/>
                <w:sz w:val="21"/>
                <w:szCs w:val="21"/>
                <w:highlight w:val="none"/>
                <w:u w:val="none"/>
                <w:lang w:val="en-US" w:eastAsia="zh-CN"/>
              </w:rPr>
              <w:t>合理，与隧道、停车场的</w:t>
            </w:r>
            <w:r>
              <w:rPr>
                <w:rFonts w:hint="eastAsia" w:hAnsi="宋体" w:cs="宋体"/>
                <w:bCs/>
                <w:color w:val="auto"/>
                <w:sz w:val="21"/>
                <w:szCs w:val="21"/>
                <w:highlight w:val="none"/>
                <w:u w:val="none"/>
                <w:lang w:val="en-US" w:eastAsia="zh-CN"/>
              </w:rPr>
              <w:t>结构</w:t>
            </w:r>
            <w:r>
              <w:rPr>
                <w:rFonts w:hint="eastAsia" w:ascii="宋体" w:hAnsi="宋体" w:eastAsia="宋体" w:cs="宋体"/>
                <w:bCs/>
                <w:color w:val="auto"/>
                <w:sz w:val="21"/>
                <w:szCs w:val="21"/>
                <w:highlight w:val="none"/>
                <w:u w:val="none"/>
                <w:lang w:val="en-US" w:eastAsia="zh-CN"/>
              </w:rPr>
              <w:t>空间关系处理得当，具有</w:t>
            </w:r>
            <w:r>
              <w:rPr>
                <w:rFonts w:hint="eastAsia" w:hAnsi="宋体" w:cs="宋体"/>
                <w:bCs/>
                <w:color w:val="auto"/>
                <w:sz w:val="21"/>
                <w:szCs w:val="21"/>
                <w:highlight w:val="none"/>
                <w:u w:val="none"/>
                <w:lang w:val="en-US" w:eastAsia="zh-CN"/>
              </w:rPr>
              <w:t>较优的</w:t>
            </w:r>
            <w:r>
              <w:rPr>
                <w:rFonts w:hint="eastAsia" w:ascii="宋体" w:hAnsi="宋体" w:eastAsia="宋体" w:cs="宋体"/>
                <w:bCs/>
                <w:color w:val="auto"/>
                <w:sz w:val="21"/>
                <w:szCs w:val="21"/>
                <w:highlight w:val="none"/>
                <w:u w:val="none"/>
                <w:lang w:val="en-US" w:eastAsia="zh-CN"/>
              </w:rPr>
              <w:t>可实施性</w:t>
            </w:r>
            <w:r>
              <w:rPr>
                <w:rFonts w:hint="eastAsia" w:hAnsi="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(12,15]</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6C7BF474">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隧道</w:t>
            </w:r>
            <w:r>
              <w:rPr>
                <w:rFonts w:hint="eastAsia" w:hAnsi="宋体" w:cs="宋体"/>
                <w:color w:val="auto"/>
                <w:sz w:val="21"/>
                <w:szCs w:val="21"/>
                <w:highlight w:val="none"/>
                <w:lang w:val="en-US" w:eastAsia="zh-CN"/>
              </w:rPr>
              <w:t>配套</w:t>
            </w:r>
            <w:r>
              <w:rPr>
                <w:rFonts w:hint="eastAsia" w:ascii="宋体" w:hAnsi="宋体" w:eastAsia="宋体" w:cs="宋体"/>
                <w:color w:val="auto"/>
                <w:sz w:val="21"/>
                <w:szCs w:val="21"/>
                <w:highlight w:val="none"/>
                <w:lang w:val="en-US" w:eastAsia="zh-CN"/>
              </w:rPr>
              <w:t>上盖设计</w:t>
            </w:r>
            <w:r>
              <w:rPr>
                <w:rFonts w:hint="eastAsia" w:hAnsi="宋体" w:cs="宋体"/>
                <w:color w:val="auto"/>
                <w:sz w:val="21"/>
                <w:szCs w:val="21"/>
                <w:highlight w:val="none"/>
                <w:lang w:val="en-US" w:eastAsia="zh-CN"/>
              </w:rPr>
              <w:t>较</w:t>
            </w:r>
            <w:r>
              <w:rPr>
                <w:rFonts w:hint="eastAsia" w:ascii="宋体" w:hAnsi="宋体" w:eastAsia="宋体" w:cs="宋体"/>
                <w:bCs/>
                <w:color w:val="auto"/>
                <w:sz w:val="21"/>
                <w:szCs w:val="21"/>
                <w:highlight w:val="none"/>
                <w:lang w:val="en-US" w:eastAsia="zh-CN"/>
              </w:rPr>
              <w:t>合理，与隧道、停车场的</w:t>
            </w:r>
            <w:r>
              <w:rPr>
                <w:rFonts w:hint="eastAsia" w:hAnsi="宋体" w:cs="宋体"/>
                <w:bCs/>
                <w:color w:val="auto"/>
                <w:sz w:val="21"/>
                <w:szCs w:val="21"/>
                <w:highlight w:val="none"/>
                <w:u w:val="none"/>
                <w:lang w:val="en-US" w:eastAsia="zh-CN"/>
              </w:rPr>
              <w:t>结构</w:t>
            </w:r>
            <w:r>
              <w:rPr>
                <w:rFonts w:hint="eastAsia" w:ascii="宋体" w:hAnsi="宋体" w:eastAsia="宋体" w:cs="宋体"/>
                <w:bCs/>
                <w:color w:val="auto"/>
                <w:sz w:val="21"/>
                <w:szCs w:val="21"/>
                <w:highlight w:val="none"/>
                <w:lang w:val="en-US" w:eastAsia="zh-CN"/>
              </w:rPr>
              <w:t>空间关系处理</w:t>
            </w:r>
            <w:r>
              <w:rPr>
                <w:rFonts w:hint="eastAsia" w:hAnsi="宋体" w:cs="宋体"/>
                <w:bCs/>
                <w:color w:val="auto"/>
                <w:sz w:val="21"/>
                <w:szCs w:val="21"/>
                <w:highlight w:val="none"/>
                <w:lang w:val="en-US" w:eastAsia="zh-CN"/>
              </w:rPr>
              <w:t>较</w:t>
            </w:r>
            <w:r>
              <w:rPr>
                <w:rFonts w:hint="eastAsia" w:ascii="宋体" w:hAnsi="宋体" w:eastAsia="宋体" w:cs="宋体"/>
                <w:bCs/>
                <w:color w:val="auto"/>
                <w:sz w:val="21"/>
                <w:szCs w:val="21"/>
                <w:highlight w:val="none"/>
                <w:lang w:val="en-US" w:eastAsia="zh-CN"/>
              </w:rPr>
              <w:t>得当，具有</w:t>
            </w:r>
            <w:r>
              <w:rPr>
                <w:rFonts w:hint="eastAsia" w:hAnsi="宋体" w:cs="宋体"/>
                <w:bCs/>
                <w:color w:val="auto"/>
                <w:sz w:val="21"/>
                <w:szCs w:val="21"/>
                <w:highlight w:val="none"/>
                <w:lang w:val="en-US" w:eastAsia="zh-CN"/>
              </w:rPr>
              <w:t>一定</w:t>
            </w:r>
            <w:r>
              <w:rPr>
                <w:rFonts w:hint="eastAsia" w:ascii="宋体" w:hAnsi="宋体" w:eastAsia="宋体" w:cs="宋体"/>
                <w:bCs/>
                <w:color w:val="auto"/>
                <w:sz w:val="21"/>
                <w:szCs w:val="21"/>
                <w:highlight w:val="none"/>
                <w:lang w:val="en-US" w:eastAsia="zh-CN"/>
              </w:rPr>
              <w:t>可实施性</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(9，12]</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5FC52632">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隧道</w:t>
            </w:r>
            <w:r>
              <w:rPr>
                <w:rFonts w:hint="eastAsia" w:hAnsi="宋体" w:cs="宋体"/>
                <w:color w:val="auto"/>
                <w:sz w:val="21"/>
                <w:szCs w:val="21"/>
                <w:highlight w:val="none"/>
                <w:lang w:val="en-US" w:eastAsia="zh-CN"/>
              </w:rPr>
              <w:t>配套</w:t>
            </w:r>
            <w:r>
              <w:rPr>
                <w:rFonts w:hint="eastAsia" w:ascii="宋体" w:hAnsi="宋体" w:eastAsia="宋体" w:cs="宋体"/>
                <w:color w:val="auto"/>
                <w:sz w:val="21"/>
                <w:szCs w:val="21"/>
                <w:highlight w:val="none"/>
                <w:lang w:val="en-US" w:eastAsia="zh-CN"/>
              </w:rPr>
              <w:t>上盖设计</w:t>
            </w:r>
            <w:r>
              <w:rPr>
                <w:rFonts w:hint="eastAsia" w:hAnsi="宋体" w:cs="宋体"/>
                <w:color w:val="auto"/>
                <w:sz w:val="21"/>
                <w:szCs w:val="21"/>
                <w:highlight w:val="none"/>
                <w:lang w:val="en-US" w:eastAsia="zh-CN"/>
              </w:rPr>
              <w:t>基本</w:t>
            </w:r>
            <w:r>
              <w:rPr>
                <w:rFonts w:hint="eastAsia" w:ascii="宋体" w:hAnsi="宋体" w:eastAsia="宋体" w:cs="宋体"/>
                <w:bCs/>
                <w:color w:val="auto"/>
                <w:sz w:val="21"/>
                <w:szCs w:val="21"/>
                <w:highlight w:val="none"/>
                <w:lang w:val="en-US" w:eastAsia="zh-CN"/>
              </w:rPr>
              <w:t>合理，与隧道、停车场的</w:t>
            </w:r>
            <w:r>
              <w:rPr>
                <w:rFonts w:hint="eastAsia" w:hAnsi="宋体" w:cs="宋体"/>
                <w:bCs/>
                <w:color w:val="auto"/>
                <w:sz w:val="21"/>
                <w:szCs w:val="21"/>
                <w:highlight w:val="none"/>
                <w:u w:val="none"/>
                <w:lang w:val="en-US" w:eastAsia="zh-CN"/>
              </w:rPr>
              <w:t>结构</w:t>
            </w:r>
            <w:r>
              <w:rPr>
                <w:rFonts w:hint="eastAsia" w:ascii="宋体" w:hAnsi="宋体" w:eastAsia="宋体" w:cs="宋体"/>
                <w:bCs/>
                <w:color w:val="auto"/>
                <w:sz w:val="21"/>
                <w:szCs w:val="21"/>
                <w:highlight w:val="none"/>
                <w:lang w:val="en-US" w:eastAsia="zh-CN"/>
              </w:rPr>
              <w:t>空间关系处理</w:t>
            </w:r>
            <w:r>
              <w:rPr>
                <w:rFonts w:hint="eastAsia" w:hAnsi="宋体" w:cs="宋体"/>
                <w:bCs/>
                <w:color w:val="auto"/>
                <w:sz w:val="21"/>
                <w:szCs w:val="21"/>
                <w:highlight w:val="none"/>
                <w:lang w:val="en-US" w:eastAsia="zh-CN"/>
              </w:rPr>
              <w:t>欠合理</w:t>
            </w:r>
            <w:r>
              <w:rPr>
                <w:rFonts w:hint="eastAsia" w:ascii="宋体" w:hAnsi="宋体" w:eastAsia="宋体" w:cs="宋体"/>
                <w:bCs/>
                <w:color w:val="auto"/>
                <w:sz w:val="21"/>
                <w:szCs w:val="21"/>
                <w:highlight w:val="none"/>
                <w:lang w:val="en-US" w:eastAsia="zh-CN"/>
              </w:rPr>
              <w:t>，可实施性</w:t>
            </w:r>
            <w:r>
              <w:rPr>
                <w:rFonts w:hint="eastAsia" w:hAnsi="宋体" w:cs="宋体"/>
                <w:bCs/>
                <w:color w:val="auto"/>
                <w:sz w:val="21"/>
                <w:szCs w:val="21"/>
                <w:highlight w:val="none"/>
                <w:lang w:val="en-US" w:eastAsia="zh-CN"/>
              </w:rPr>
              <w:t>差</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lang w:eastAsia="zh-CN"/>
              </w:rPr>
              <w:t>分。</w:t>
            </w:r>
          </w:p>
          <w:p w14:paraId="0AED13F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无此部分内容得0分。</w:t>
            </w:r>
          </w:p>
          <w:p w14:paraId="5E4A11D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4C88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37" w:type="pct"/>
            <w:vMerge w:val="continue"/>
            <w:tcBorders>
              <w:left w:val="single" w:color="auto" w:sz="4" w:space="0"/>
              <w:right w:val="single" w:color="auto" w:sz="4" w:space="0"/>
            </w:tcBorders>
            <w:noWrap w:val="0"/>
            <w:vAlign w:val="center"/>
          </w:tcPr>
          <w:p w14:paraId="56BFD0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p>
        </w:tc>
        <w:tc>
          <w:tcPr>
            <w:tcW w:w="645" w:type="pct"/>
            <w:vMerge w:val="continue"/>
            <w:tcBorders>
              <w:left w:val="single" w:color="auto" w:sz="4" w:space="0"/>
              <w:right w:val="single" w:color="auto" w:sz="4" w:space="0"/>
            </w:tcBorders>
            <w:noWrap w:val="0"/>
            <w:vAlign w:val="center"/>
          </w:tcPr>
          <w:p w14:paraId="763683C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p>
        </w:tc>
        <w:tc>
          <w:tcPr>
            <w:tcW w:w="3916" w:type="pct"/>
            <w:tcBorders>
              <w:top w:val="single" w:color="auto" w:sz="4" w:space="0"/>
              <w:left w:val="single" w:color="auto" w:sz="4" w:space="0"/>
              <w:bottom w:val="single" w:color="auto" w:sz="4" w:space="0"/>
              <w:right w:val="single" w:color="auto" w:sz="4" w:space="0"/>
            </w:tcBorders>
            <w:noWrap w:val="0"/>
            <w:vAlign w:val="center"/>
          </w:tcPr>
          <w:p w14:paraId="68FEE6D1">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sz w:val="21"/>
                <w:szCs w:val="21"/>
                <w:highlight w:val="none"/>
                <w:lang w:val="en-US" w:eastAsia="zh-CN"/>
              </w:rPr>
              <w:t>重、难点分析：</w:t>
            </w:r>
          </w:p>
          <w:p w14:paraId="53355C52">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b w:val="0"/>
                <w:bCs w:val="0"/>
                <w:color w:val="auto"/>
                <w:sz w:val="21"/>
                <w:szCs w:val="21"/>
                <w:highlight w:val="none"/>
                <w:lang w:val="en-US" w:eastAsia="zh-CN"/>
              </w:rPr>
              <w:t>对工程建设和使用的重点、难点分析透彻，提出的设计方案解决措施合理。</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(12,15]</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1DC0DF1C">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对工程建设和使用的重点、难点分析</w:t>
            </w:r>
            <w:r>
              <w:rPr>
                <w:rFonts w:hint="eastAsia" w:hAnsi="宋体" w:cs="宋体"/>
                <w:b w:val="0"/>
                <w:bCs w:val="0"/>
                <w:color w:val="auto"/>
                <w:sz w:val="21"/>
                <w:szCs w:val="21"/>
                <w:highlight w:val="none"/>
                <w:lang w:val="en-US" w:eastAsia="zh-CN"/>
              </w:rPr>
              <w:t>较</w:t>
            </w:r>
            <w:r>
              <w:rPr>
                <w:rFonts w:hint="eastAsia" w:ascii="宋体" w:hAnsi="宋体" w:eastAsia="宋体" w:cs="宋体"/>
                <w:b w:val="0"/>
                <w:bCs w:val="0"/>
                <w:color w:val="auto"/>
                <w:sz w:val="21"/>
                <w:szCs w:val="21"/>
                <w:highlight w:val="none"/>
                <w:lang w:val="en-US" w:eastAsia="zh-CN"/>
              </w:rPr>
              <w:t>透彻，提出的设计方案解决措施</w:t>
            </w:r>
            <w:r>
              <w:rPr>
                <w:rFonts w:hint="eastAsia" w:hAnsi="宋体" w:cs="宋体"/>
                <w:b w:val="0"/>
                <w:bCs w:val="0"/>
                <w:color w:val="auto"/>
                <w:sz w:val="21"/>
                <w:szCs w:val="21"/>
                <w:highlight w:val="none"/>
                <w:lang w:val="en-US" w:eastAsia="zh-CN"/>
              </w:rPr>
              <w:t>较</w:t>
            </w:r>
            <w:r>
              <w:rPr>
                <w:rFonts w:hint="eastAsia" w:ascii="宋体" w:hAnsi="宋体" w:eastAsia="宋体" w:cs="宋体"/>
                <w:b w:val="0"/>
                <w:bCs w:val="0"/>
                <w:color w:val="auto"/>
                <w:sz w:val="21"/>
                <w:szCs w:val="21"/>
                <w:highlight w:val="none"/>
                <w:lang w:val="en-US" w:eastAsia="zh-CN"/>
              </w:rPr>
              <w:t>合理。</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(9，12]</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4379748D">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对工程建设和使用的重点、难点分析</w:t>
            </w:r>
            <w:r>
              <w:rPr>
                <w:rFonts w:hint="eastAsia" w:hAnsi="宋体" w:cs="宋体"/>
                <w:b w:val="0"/>
                <w:bCs w:val="0"/>
                <w:color w:val="auto"/>
                <w:sz w:val="21"/>
                <w:szCs w:val="21"/>
                <w:highlight w:val="none"/>
                <w:lang w:val="en-US" w:eastAsia="zh-CN"/>
              </w:rPr>
              <w:t>一般</w:t>
            </w:r>
            <w:r>
              <w:rPr>
                <w:rFonts w:hint="eastAsia" w:ascii="宋体" w:hAnsi="宋体" w:eastAsia="宋体" w:cs="宋体"/>
                <w:b w:val="0"/>
                <w:bCs w:val="0"/>
                <w:color w:val="auto"/>
                <w:sz w:val="21"/>
                <w:szCs w:val="21"/>
                <w:highlight w:val="none"/>
                <w:lang w:val="en-US" w:eastAsia="zh-CN"/>
              </w:rPr>
              <w:t>，提出的设计方案解决措施</w:t>
            </w:r>
            <w:r>
              <w:rPr>
                <w:rFonts w:hint="eastAsia" w:hAnsi="宋体" w:cs="宋体"/>
                <w:b w:val="0"/>
                <w:bCs w:val="0"/>
                <w:color w:val="auto"/>
                <w:sz w:val="21"/>
                <w:szCs w:val="21"/>
                <w:highlight w:val="none"/>
                <w:lang w:val="en-US" w:eastAsia="zh-CN"/>
              </w:rPr>
              <w:t>欠</w:t>
            </w:r>
            <w:r>
              <w:rPr>
                <w:rFonts w:hint="eastAsia" w:ascii="宋体" w:hAnsi="宋体" w:eastAsia="宋体" w:cs="宋体"/>
                <w:b w:val="0"/>
                <w:bCs w:val="0"/>
                <w:color w:val="auto"/>
                <w:sz w:val="21"/>
                <w:szCs w:val="21"/>
                <w:highlight w:val="none"/>
                <w:lang w:val="en-US" w:eastAsia="zh-CN"/>
              </w:rPr>
              <w:t>合理。</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lang w:eastAsia="zh-CN"/>
              </w:rPr>
              <w:t>分。</w:t>
            </w:r>
          </w:p>
          <w:p w14:paraId="0CC740BC">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p w14:paraId="07B4B7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6572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4E9B2AB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6DC8B4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答辩</w:t>
            </w:r>
            <w:r>
              <w:rPr>
                <w:rFonts w:hint="eastAsia" w:ascii="宋体" w:hAnsi="宋体" w:eastAsia="宋体" w:cs="宋体"/>
                <w:color w:val="auto"/>
                <w:sz w:val="21"/>
                <w:szCs w:val="21"/>
                <w:highlight w:val="none"/>
              </w:rPr>
              <w:t>因素（</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3916" w:type="pct"/>
            <w:tcBorders>
              <w:top w:val="single" w:color="auto" w:sz="4" w:space="0"/>
              <w:left w:val="single" w:color="auto" w:sz="4" w:space="0"/>
              <w:bottom w:val="single" w:color="auto" w:sz="4" w:space="0"/>
              <w:right w:val="single" w:color="auto" w:sz="4" w:space="0"/>
            </w:tcBorders>
            <w:noWrap w:val="0"/>
            <w:vAlign w:val="center"/>
          </w:tcPr>
          <w:p w14:paraId="15EC9969">
            <w:pPr>
              <w:pStyle w:val="25"/>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投标人本项目拟投入项目负责人进行现场答辩</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介绍时间不超过</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分钟</w:t>
            </w:r>
            <w:r>
              <w:rPr>
                <w:rFonts w:hint="eastAsia" w:hAnsi="宋体" w:cs="宋体"/>
                <w:color w:val="auto"/>
                <w:sz w:val="21"/>
                <w:szCs w:val="21"/>
                <w:highlight w:val="none"/>
                <w:lang w:eastAsia="zh-CN"/>
              </w:rPr>
              <w:t>。</w:t>
            </w:r>
          </w:p>
          <w:p w14:paraId="03AC7441">
            <w:pPr>
              <w:pStyle w:val="25"/>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项目负责人对设计方案进行</w:t>
            </w:r>
            <w:r>
              <w:rPr>
                <w:rFonts w:hint="eastAsia" w:ascii="宋体" w:hAnsi="宋体" w:eastAsia="宋体" w:cs="宋体"/>
                <w:color w:val="auto"/>
                <w:sz w:val="21"/>
                <w:szCs w:val="21"/>
                <w:highlight w:val="none"/>
              </w:rPr>
              <w:t>介绍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内容包括：</w:t>
            </w:r>
            <w:r>
              <w:rPr>
                <w:rFonts w:hint="eastAsia" w:hAnsi="宋体" w:cs="宋体"/>
                <w:color w:val="auto"/>
                <w:sz w:val="21"/>
                <w:szCs w:val="21"/>
                <w:highlight w:val="none"/>
                <w:lang w:val="en-US" w:eastAsia="zh-CN"/>
              </w:rPr>
              <w:t>隧道配套上盖和原隧道的衔接，停车场的便利性、智慧（智能）化及与周边交通的衔接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val="en-US" w:eastAsia="zh-CN"/>
              </w:rPr>
              <w:t>勘察</w:t>
            </w:r>
            <w:r>
              <w:rPr>
                <w:rFonts w:hint="eastAsia" w:ascii="宋体" w:hAnsi="宋体" w:eastAsia="宋体" w:cs="宋体"/>
                <w:color w:val="auto"/>
                <w:sz w:val="21"/>
                <w:szCs w:val="21"/>
                <w:highlight w:val="none"/>
                <w:lang w:val="en-US" w:eastAsia="zh-CN"/>
              </w:rPr>
              <w:t>设计方案</w:t>
            </w:r>
            <w:r>
              <w:rPr>
                <w:rFonts w:hint="eastAsia" w:ascii="宋体" w:hAnsi="宋体" w:eastAsia="宋体" w:cs="宋体"/>
                <w:color w:val="auto"/>
                <w:sz w:val="21"/>
                <w:szCs w:val="21"/>
                <w:highlight w:val="none"/>
              </w:rPr>
              <w:t>重点和难点的分析和应对措施</w:t>
            </w:r>
            <w:r>
              <w:rPr>
                <w:rFonts w:hint="eastAsia" w:hAnsi="宋体" w:cs="宋体"/>
                <w:color w:val="auto"/>
                <w:sz w:val="21"/>
                <w:szCs w:val="21"/>
                <w:highlight w:val="none"/>
                <w:lang w:eastAsia="zh-CN"/>
              </w:rPr>
              <w:t>。</w:t>
            </w:r>
          </w:p>
          <w:p w14:paraId="1898A99C">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b w:val="0"/>
                <w:bCs w:val="0"/>
                <w:color w:val="auto"/>
                <w:sz w:val="21"/>
                <w:szCs w:val="21"/>
                <w:highlight w:val="none"/>
                <w:lang w:val="en-US" w:eastAsia="zh-CN"/>
              </w:rPr>
              <w:t>项目负责人介绍内容清晰、条理性强，内容合理可行。</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20</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26C966C3">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项目负责人介绍内容较清晰、条理性较好，内容较合理可行。</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(12，16]</w:t>
            </w:r>
            <w:r>
              <w:rPr>
                <w:rFonts w:hint="eastAsia" w:ascii="宋体" w:hAnsi="宋体" w:eastAsia="宋体" w:cs="宋体"/>
                <w:color w:val="auto"/>
                <w:sz w:val="21"/>
                <w:szCs w:val="21"/>
                <w:highlight w:val="none"/>
                <w:lang w:eastAsia="zh-CN"/>
              </w:rPr>
              <w:t>分</w:t>
            </w:r>
            <w:r>
              <w:rPr>
                <w:rFonts w:hint="eastAsia" w:hAnsi="宋体" w:cs="宋体"/>
                <w:color w:val="auto"/>
                <w:sz w:val="21"/>
                <w:szCs w:val="21"/>
                <w:highlight w:val="none"/>
                <w:lang w:eastAsia="zh-CN"/>
              </w:rPr>
              <w:t>。</w:t>
            </w:r>
          </w:p>
          <w:p w14:paraId="7E8795FD">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项目负责人介绍内容基本清晰、条理性一般，内容欠合理可行。</w:t>
            </w:r>
            <w:r>
              <w:rPr>
                <w:rFonts w:hint="eastAsia" w:ascii="宋体" w:hAnsi="宋体" w:eastAsia="宋体" w:cs="宋体"/>
                <w:color w:val="auto"/>
                <w:sz w:val="21"/>
                <w:szCs w:val="21"/>
                <w:highlight w:val="none"/>
                <w:lang w:eastAsia="zh-CN"/>
              </w:rPr>
              <w:t>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12</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w:t>
            </w:r>
          </w:p>
          <w:p w14:paraId="2DC8ED7E">
            <w:pPr>
              <w:pStyle w:val="25"/>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eastAsia="zh-CN"/>
              </w:rPr>
              <w:t>无此部分内容得0分。</w:t>
            </w:r>
          </w:p>
          <w:p w14:paraId="0C9EA653">
            <w:pPr>
              <w:pStyle w:val="25"/>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28376170">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bidi="ar-SA"/>
              </w:rPr>
              <w:t>2.</w:t>
            </w:r>
            <w:r>
              <w:rPr>
                <w:rFonts w:hint="eastAsia" w:ascii="宋体" w:hAnsi="宋体" w:eastAsia="宋体" w:cs="宋体"/>
                <w:color w:val="auto"/>
                <w:sz w:val="21"/>
                <w:szCs w:val="21"/>
                <w:highlight w:val="none"/>
                <w:lang w:eastAsia="zh-CN"/>
              </w:rPr>
              <w:t>项目负责人</w:t>
            </w:r>
            <w:r>
              <w:rPr>
                <w:rFonts w:hint="eastAsia" w:hAnsi="宋体" w:cs="宋体"/>
                <w:color w:val="auto"/>
                <w:sz w:val="21"/>
                <w:szCs w:val="21"/>
                <w:highlight w:val="none"/>
                <w:lang w:val="en-US" w:eastAsia="zh-CN"/>
              </w:rPr>
              <w:t>对本项目的人员配备情况进行介绍，内容包括：投入的设计人员、各设计阶段的人员保障措施。</w:t>
            </w:r>
          </w:p>
          <w:p w14:paraId="0B6713B3">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b w:val="0"/>
                <w:bCs w:val="0"/>
                <w:color w:val="auto"/>
                <w:sz w:val="21"/>
                <w:szCs w:val="21"/>
                <w:highlight w:val="none"/>
                <w:lang w:val="en-US" w:eastAsia="zh-CN"/>
              </w:rPr>
              <w:t>项目负责人介绍内容清晰、条理性强，</w:t>
            </w:r>
            <w:r>
              <w:rPr>
                <w:rFonts w:hint="eastAsia" w:hAnsi="宋体" w:cs="宋体"/>
                <w:b w:val="0"/>
                <w:bCs w:val="0"/>
                <w:color w:val="auto"/>
                <w:sz w:val="21"/>
                <w:szCs w:val="21"/>
                <w:highlight w:val="none"/>
                <w:lang w:val="en-US" w:eastAsia="zh-CN"/>
              </w:rPr>
              <w:t>设计人员到岗履职保障措施</w:t>
            </w:r>
            <w:r>
              <w:rPr>
                <w:rFonts w:hint="eastAsia" w:ascii="宋体" w:hAnsi="宋体" w:eastAsia="宋体" w:cs="宋体"/>
                <w:b w:val="0"/>
                <w:bCs w:val="0"/>
                <w:color w:val="auto"/>
                <w:sz w:val="21"/>
                <w:szCs w:val="21"/>
                <w:highlight w:val="none"/>
                <w:lang w:val="en-US" w:eastAsia="zh-CN"/>
              </w:rPr>
              <w:t>合理可行。</w:t>
            </w:r>
            <w:r>
              <w:rPr>
                <w:rFonts w:hint="eastAsia" w:ascii="宋体" w:hAnsi="宋体" w:eastAsia="宋体" w:cs="宋体"/>
                <w:color w:val="auto"/>
                <w:sz w:val="21"/>
                <w:szCs w:val="21"/>
                <w:highlight w:val="none"/>
                <w:lang w:eastAsia="zh-CN"/>
              </w:rPr>
              <w:t>得(8,10]分</w:t>
            </w:r>
            <w:r>
              <w:rPr>
                <w:rFonts w:hint="eastAsia" w:hAnsi="宋体" w:cs="宋体"/>
                <w:color w:val="auto"/>
                <w:sz w:val="21"/>
                <w:szCs w:val="21"/>
                <w:highlight w:val="none"/>
                <w:lang w:eastAsia="zh-CN"/>
              </w:rPr>
              <w:t>。</w:t>
            </w:r>
          </w:p>
          <w:p w14:paraId="1AD64289">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项目负责人介绍内容较清晰、条理性较好，</w:t>
            </w:r>
            <w:r>
              <w:rPr>
                <w:rFonts w:hint="eastAsia" w:hAnsi="宋体" w:cs="宋体"/>
                <w:b w:val="0"/>
                <w:bCs w:val="0"/>
                <w:color w:val="auto"/>
                <w:sz w:val="21"/>
                <w:szCs w:val="21"/>
                <w:highlight w:val="none"/>
                <w:lang w:val="en-US" w:eastAsia="zh-CN"/>
              </w:rPr>
              <w:t>设计人员到岗履职保障措施</w:t>
            </w:r>
            <w:r>
              <w:rPr>
                <w:rFonts w:hint="eastAsia" w:ascii="宋体" w:hAnsi="宋体" w:eastAsia="宋体" w:cs="宋体"/>
                <w:b w:val="0"/>
                <w:bCs w:val="0"/>
                <w:color w:val="auto"/>
                <w:sz w:val="21"/>
                <w:szCs w:val="21"/>
                <w:highlight w:val="none"/>
                <w:lang w:val="en-US" w:eastAsia="zh-CN"/>
              </w:rPr>
              <w:t>较合理可行。</w:t>
            </w:r>
            <w:r>
              <w:rPr>
                <w:rFonts w:hint="eastAsia" w:ascii="宋体" w:hAnsi="宋体" w:eastAsia="宋体" w:cs="宋体"/>
                <w:color w:val="auto"/>
                <w:sz w:val="21"/>
                <w:szCs w:val="21"/>
                <w:highlight w:val="none"/>
                <w:lang w:eastAsia="zh-CN"/>
              </w:rPr>
              <w:t>得(6,8]分</w:t>
            </w:r>
            <w:r>
              <w:rPr>
                <w:rFonts w:hint="eastAsia" w:hAnsi="宋体" w:cs="宋体"/>
                <w:color w:val="auto"/>
                <w:sz w:val="21"/>
                <w:szCs w:val="21"/>
                <w:highlight w:val="none"/>
                <w:lang w:eastAsia="zh-CN"/>
              </w:rPr>
              <w:t>。</w:t>
            </w:r>
          </w:p>
          <w:p w14:paraId="6284FD6D">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项目负责人介绍内容基本清晰、条理性一般，</w:t>
            </w:r>
            <w:r>
              <w:rPr>
                <w:rFonts w:hint="eastAsia" w:hAnsi="宋体" w:cs="宋体"/>
                <w:b w:val="0"/>
                <w:bCs w:val="0"/>
                <w:color w:val="auto"/>
                <w:sz w:val="21"/>
                <w:szCs w:val="21"/>
                <w:highlight w:val="none"/>
                <w:lang w:val="en-US" w:eastAsia="zh-CN"/>
              </w:rPr>
              <w:t>设计人员到岗履职保障措施</w:t>
            </w:r>
            <w:r>
              <w:rPr>
                <w:rFonts w:hint="eastAsia" w:ascii="宋体" w:hAnsi="宋体" w:eastAsia="宋体" w:cs="宋体"/>
                <w:b w:val="0"/>
                <w:bCs w:val="0"/>
                <w:color w:val="auto"/>
                <w:sz w:val="21"/>
                <w:szCs w:val="21"/>
                <w:highlight w:val="none"/>
                <w:lang w:val="en-US" w:eastAsia="zh-CN"/>
              </w:rPr>
              <w:t>欠合理可行。</w:t>
            </w:r>
            <w:r>
              <w:rPr>
                <w:rFonts w:hint="eastAsia" w:ascii="宋体" w:hAnsi="宋体" w:eastAsia="宋体" w:cs="宋体"/>
                <w:color w:val="auto"/>
                <w:sz w:val="21"/>
                <w:szCs w:val="21"/>
                <w:highlight w:val="none"/>
                <w:lang w:eastAsia="zh-CN"/>
              </w:rPr>
              <w:t>得(4,6]分。</w:t>
            </w:r>
          </w:p>
          <w:p w14:paraId="6EB37D3B">
            <w:pPr>
              <w:pStyle w:val="25"/>
              <w:widowControl/>
              <w:numPr>
                <w:ilvl w:val="0"/>
                <w:numId w:val="0"/>
              </w:numPr>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无此部分内容得0分。</w:t>
            </w:r>
          </w:p>
          <w:p w14:paraId="3AC2475F">
            <w:pPr>
              <w:pStyle w:val="25"/>
              <w:widowControl/>
              <w:numPr>
                <w:ilvl w:val="0"/>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本小项最高得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7FFE81EE">
            <w:pPr>
              <w:pStyle w:val="25"/>
              <w:widowControl/>
              <w:numPr>
                <w:ilvl w:val="0"/>
                <w:numId w:val="0"/>
              </w:numPr>
              <w:jc w:val="left"/>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3.项目负责人对本项目施工期间的设计配合工作进行介绍，内容包括：现场服务、设计变更配合保障：</w:t>
            </w:r>
          </w:p>
          <w:p w14:paraId="3A83E663">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b w:val="0"/>
                <w:bCs w:val="0"/>
                <w:color w:val="auto"/>
                <w:sz w:val="21"/>
                <w:szCs w:val="21"/>
                <w:highlight w:val="none"/>
                <w:lang w:val="en-US" w:eastAsia="zh-CN"/>
              </w:rPr>
              <w:t>项目负责人介绍内容清晰、条理性强，</w:t>
            </w:r>
            <w:r>
              <w:rPr>
                <w:rFonts w:hint="eastAsia" w:hAnsi="宋体" w:cs="宋体"/>
                <w:b w:val="0"/>
                <w:bCs w:val="0"/>
                <w:color w:val="auto"/>
                <w:sz w:val="21"/>
                <w:szCs w:val="21"/>
                <w:highlight w:val="none"/>
                <w:lang w:val="en-US" w:eastAsia="zh-CN"/>
              </w:rPr>
              <w:t>保障措施</w:t>
            </w:r>
            <w:r>
              <w:rPr>
                <w:rFonts w:hint="eastAsia" w:ascii="宋体" w:hAnsi="宋体" w:eastAsia="宋体" w:cs="宋体"/>
                <w:b w:val="0"/>
                <w:bCs w:val="0"/>
                <w:color w:val="auto"/>
                <w:sz w:val="21"/>
                <w:szCs w:val="21"/>
                <w:highlight w:val="none"/>
                <w:lang w:val="en-US" w:eastAsia="zh-CN"/>
              </w:rPr>
              <w:t>合理可行</w:t>
            </w:r>
            <w:r>
              <w:rPr>
                <w:rFonts w:hint="eastAsia" w:hAnsi="宋体" w:cs="宋体"/>
                <w:b w:val="0"/>
                <w:bCs w:val="0"/>
                <w:color w:val="auto"/>
                <w:sz w:val="21"/>
                <w:szCs w:val="21"/>
                <w:highlight w:val="none"/>
                <w:lang w:val="en-US" w:eastAsia="zh-CN"/>
              </w:rPr>
              <w:t>，配备有专职设计人员负责施工期间的配合工作及设计变更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eastAsia="zh-CN"/>
              </w:rPr>
              <w:t>得(8,10]分</w:t>
            </w:r>
            <w:r>
              <w:rPr>
                <w:rFonts w:hint="eastAsia" w:hAnsi="宋体" w:cs="宋体"/>
                <w:color w:val="auto"/>
                <w:sz w:val="21"/>
                <w:szCs w:val="21"/>
                <w:highlight w:val="none"/>
                <w:lang w:eastAsia="zh-CN"/>
              </w:rPr>
              <w:t>。</w:t>
            </w:r>
          </w:p>
          <w:p w14:paraId="6947AB30">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项目负责人介绍内容较清晰、条理性较好，</w:t>
            </w:r>
            <w:r>
              <w:rPr>
                <w:rFonts w:hint="eastAsia" w:hAnsi="宋体" w:cs="宋体"/>
                <w:b w:val="0"/>
                <w:bCs w:val="0"/>
                <w:color w:val="auto"/>
                <w:sz w:val="21"/>
                <w:szCs w:val="21"/>
                <w:highlight w:val="none"/>
                <w:lang w:val="en-US" w:eastAsia="zh-CN"/>
              </w:rPr>
              <w:t>保障措施</w:t>
            </w:r>
            <w:r>
              <w:rPr>
                <w:rFonts w:hint="eastAsia" w:ascii="宋体" w:hAnsi="宋体" w:eastAsia="宋体" w:cs="宋体"/>
                <w:b w:val="0"/>
                <w:bCs w:val="0"/>
                <w:color w:val="auto"/>
                <w:sz w:val="21"/>
                <w:szCs w:val="21"/>
                <w:highlight w:val="none"/>
                <w:lang w:val="en-US" w:eastAsia="zh-CN"/>
              </w:rPr>
              <w:t>较合理可行</w:t>
            </w:r>
            <w:r>
              <w:rPr>
                <w:rFonts w:hint="eastAsia" w:hAnsi="宋体" w:cs="宋体"/>
                <w:b w:val="0"/>
                <w:bCs w:val="0"/>
                <w:color w:val="auto"/>
                <w:sz w:val="21"/>
                <w:szCs w:val="21"/>
                <w:highlight w:val="none"/>
                <w:lang w:val="en-US" w:eastAsia="zh-CN"/>
              </w:rPr>
              <w:t>，配备有专职设计人员负责施工期间的配合工作及设计变更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eastAsia="zh-CN"/>
              </w:rPr>
              <w:t>得(6,8]分</w:t>
            </w:r>
            <w:r>
              <w:rPr>
                <w:rFonts w:hint="eastAsia" w:hAnsi="宋体" w:cs="宋体"/>
                <w:color w:val="auto"/>
                <w:sz w:val="21"/>
                <w:szCs w:val="21"/>
                <w:highlight w:val="none"/>
                <w:lang w:eastAsia="zh-CN"/>
              </w:rPr>
              <w:t>。</w:t>
            </w:r>
          </w:p>
          <w:p w14:paraId="2F002BB3">
            <w:pPr>
              <w:pStyle w:val="2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rPr>
            </w:pPr>
            <w:r>
              <w:rPr>
                <w:rFonts w:hint="eastAsia" w:hAnsi="宋体" w:cs="宋体"/>
                <w:b/>
                <w:bCs/>
                <w:color w:val="auto"/>
                <w:sz w:val="21"/>
                <w:szCs w:val="21"/>
                <w:highlight w:val="none"/>
                <w:lang w:val="en-US" w:eastAsia="zh-CN"/>
              </w:rPr>
              <w:t>一般</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项目负责人介绍内容基本清晰、条理性一般，</w:t>
            </w:r>
            <w:r>
              <w:rPr>
                <w:rFonts w:hint="eastAsia" w:hAnsi="宋体" w:cs="宋体"/>
                <w:b w:val="0"/>
                <w:bCs w:val="0"/>
                <w:color w:val="auto"/>
                <w:sz w:val="21"/>
                <w:szCs w:val="21"/>
                <w:highlight w:val="none"/>
                <w:lang w:val="en-US" w:eastAsia="zh-CN"/>
              </w:rPr>
              <w:t>保障</w:t>
            </w:r>
            <w:r>
              <w:rPr>
                <w:rFonts w:hint="eastAsia" w:ascii="宋体" w:hAnsi="宋体" w:eastAsia="宋体" w:cs="宋体"/>
                <w:b w:val="0"/>
                <w:bCs w:val="0"/>
                <w:color w:val="auto"/>
                <w:sz w:val="21"/>
                <w:szCs w:val="21"/>
                <w:highlight w:val="none"/>
                <w:lang w:val="en-US" w:eastAsia="zh-CN"/>
              </w:rPr>
              <w:t>欠合理可行</w:t>
            </w:r>
            <w:r>
              <w:rPr>
                <w:rFonts w:hint="eastAsia" w:hAnsi="宋体" w:cs="宋体"/>
                <w:b w:val="0"/>
                <w:bCs w:val="0"/>
                <w:color w:val="auto"/>
                <w:sz w:val="21"/>
                <w:szCs w:val="21"/>
                <w:highlight w:val="none"/>
                <w:lang w:val="en-US" w:eastAsia="zh-CN"/>
              </w:rPr>
              <w:t>，未配备专职设计人员负责施工期间的配合工作及设计变更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eastAsia="zh-CN"/>
              </w:rPr>
              <w:t>得(4,6]分。</w:t>
            </w:r>
          </w:p>
          <w:p w14:paraId="6C3EE8E1">
            <w:pPr>
              <w:pStyle w:val="25"/>
              <w:widowControl/>
              <w:numPr>
                <w:ilvl w:val="0"/>
                <w:numId w:val="0"/>
              </w:numPr>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无此部分内容得0分。</w:t>
            </w:r>
          </w:p>
          <w:p w14:paraId="48A3848B">
            <w:pPr>
              <w:pStyle w:val="25"/>
              <w:widowControl/>
              <w:numPr>
                <w:ilvl w:val="0"/>
                <w:numId w:val="0"/>
              </w:numPr>
              <w:jc w:val="left"/>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本小项最高得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41359D2">
            <w:pPr>
              <w:pStyle w:val="25"/>
              <w:widowControl/>
              <w:numPr>
                <w:ilvl w:val="0"/>
                <w:numId w:val="0"/>
              </w:numPr>
              <w:jc w:val="left"/>
              <w:rPr>
                <w:rFonts w:hint="default" w:eastAsia="宋体"/>
                <w:color w:val="auto"/>
                <w:highlight w:val="none"/>
                <w:lang w:val="en-US" w:eastAsia="zh-CN"/>
              </w:rPr>
            </w:pPr>
            <w:r>
              <w:rPr>
                <w:rFonts w:hint="eastAsia" w:hAnsi="宋体" w:cs="宋体"/>
                <w:color w:val="auto"/>
                <w:sz w:val="21"/>
                <w:szCs w:val="21"/>
                <w:highlight w:val="none"/>
                <w:lang w:val="en-US" w:eastAsia="zh-CN"/>
              </w:rPr>
              <w:t>注：拟投入项目负责人未参加现场答辩的，上述三项均不得分。</w:t>
            </w:r>
          </w:p>
        </w:tc>
      </w:tr>
    </w:tbl>
    <w:p w14:paraId="0A353B84">
      <w:pPr>
        <w:wordWrap w:val="0"/>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w:t>
      </w:r>
    </w:p>
    <w:p w14:paraId="43EFD964">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1.投标人拟派项目负责人必须携带本单位法定代表人证明书原件、法定代表人授权委托证明书原件，本人身份证原件或身份证电子证照参与介绍及答辩；否则，不允许参与本项目介绍及答辩。</w:t>
      </w:r>
    </w:p>
    <w:p w14:paraId="16EF46AB">
      <w:pPr>
        <w:wordWrap w:val="0"/>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2.定标答辩顺序：各合格中标候选人答辩顺序按《开标记录表》PDF版中顺序进行。</w:t>
      </w:r>
    </w:p>
    <w:p w14:paraId="2A2B2ACD">
      <w:pPr>
        <w:wordWrap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3.答辩开始时间：具体答辩开始时间以定标委员会（或招标人或招标代理）通知为准。</w:t>
      </w:r>
    </w:p>
    <w:p w14:paraId="6DEC750D">
      <w:pPr>
        <w:wordWrap w:val="0"/>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各合格中标候选人总得分为各</w:t>
      </w:r>
      <w:r>
        <w:rPr>
          <w:rFonts w:hint="eastAsia" w:ascii="宋体" w:hAnsi="宋体" w:eastAsia="宋体" w:cs="宋体"/>
          <w:color w:val="auto"/>
          <w:szCs w:val="21"/>
          <w:highlight w:val="none"/>
          <w:lang w:val="en-US" w:eastAsia="zh-CN"/>
        </w:rPr>
        <w:t>定标委员</w:t>
      </w:r>
      <w:r>
        <w:rPr>
          <w:rFonts w:hint="eastAsia" w:ascii="宋体" w:hAnsi="宋体" w:eastAsia="宋体" w:cs="宋体"/>
          <w:color w:val="auto"/>
          <w:szCs w:val="21"/>
          <w:highlight w:val="none"/>
          <w:lang w:val="zh-CN"/>
        </w:rPr>
        <w:t>评分的算术平均值，得分四舍五入保留两位小数。</w:t>
      </w:r>
    </w:p>
    <w:p w14:paraId="364044A9">
      <w:pPr>
        <w:wordWrap w:val="0"/>
        <w:ind w:firstLine="420" w:firstLineChars="200"/>
        <w:rPr>
          <w:rFonts w:hint="eastAsia"/>
          <w:color w:val="auto"/>
          <w:highlight w:val="none"/>
          <w:lang w:val="zh-CN"/>
        </w:rPr>
      </w:pPr>
      <w:r>
        <w:rPr>
          <w:rFonts w:hint="eastAsia"/>
          <w:color w:val="auto"/>
          <w:highlight w:val="none"/>
          <w:lang w:val="zh-CN"/>
        </w:rPr>
        <w:br w:type="page"/>
      </w:r>
    </w:p>
    <w:p w14:paraId="24750419">
      <w:pPr>
        <w:wordWrap w:val="0"/>
        <w:spacing w:line="360" w:lineRule="auto"/>
        <w:ind w:firstLine="482" w:firstLineChars="200"/>
        <w:rPr>
          <w:rFonts w:hint="eastAsia" w:ascii="宋体" w:hAnsi="宋体" w:eastAsia="宋体" w:cs="宋体"/>
          <w:b/>
          <w:bCs/>
          <w:color w:val="auto"/>
          <w:sz w:val="24"/>
          <w:szCs w:val="24"/>
          <w:highlight w:val="none"/>
          <w:u w:val="single"/>
          <w:lang w:val="zh-CN"/>
        </w:rPr>
      </w:pPr>
    </w:p>
    <w:p w14:paraId="75EFC91A">
      <w:pPr>
        <w:wordWrap w:val="0"/>
        <w:spacing w:line="360" w:lineRule="auto"/>
        <w:ind w:firstLine="482" w:firstLineChars="200"/>
        <w:rPr>
          <w:rFonts w:hint="eastAsia" w:ascii="宋体" w:hAnsi="宋体" w:eastAsia="宋体" w:cs="宋体"/>
          <w:b/>
          <w:bCs/>
          <w:color w:val="auto"/>
          <w:sz w:val="24"/>
          <w:szCs w:val="24"/>
          <w:highlight w:val="none"/>
          <w:u w:val="single"/>
          <w:lang w:val="zh-CN"/>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sectPr>
      </w:pPr>
    </w:p>
    <w:p w14:paraId="5C0D9916">
      <w:pPr>
        <w:pStyle w:val="2"/>
        <w:rPr>
          <w:color w:val="auto"/>
          <w:highlight w:val="none"/>
        </w:rPr>
      </w:pPr>
      <w:bookmarkStart w:id="205" w:name="_Toc111186799"/>
      <w:bookmarkStart w:id="206" w:name="_Toc193358019"/>
      <w:r>
        <w:rPr>
          <w:rFonts w:hint="eastAsia"/>
          <w:color w:val="auto"/>
          <w:highlight w:val="none"/>
        </w:rPr>
        <w:t>第四章  合同条款及格式</w:t>
      </w:r>
      <w:bookmarkEnd w:id="205"/>
      <w:bookmarkEnd w:id="206"/>
    </w:p>
    <w:p w14:paraId="60B1CA96">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613ACFC0">
      <w:pPr>
        <w:widowControl/>
        <w:wordWrap w:val="0"/>
        <w:jc w:val="left"/>
        <w:rPr>
          <w:rFonts w:ascii="宋体" w:hAnsi="宋体" w:eastAsia="宋体" w:cs="宋体"/>
          <w:color w:val="auto"/>
          <w:szCs w:val="24"/>
          <w:highlight w:val="none"/>
        </w:rPr>
      </w:pPr>
      <w:r>
        <w:rPr>
          <w:rFonts w:ascii="宋体" w:hAnsi="宋体" w:eastAsia="宋体" w:cs="宋体"/>
          <w:color w:val="auto"/>
          <w:szCs w:val="24"/>
          <w:highlight w:val="none"/>
        </w:rPr>
        <w:br w:type="page"/>
      </w:r>
    </w:p>
    <w:p w14:paraId="54277BD8">
      <w:pPr>
        <w:wordWrap w:val="0"/>
        <w:autoSpaceDE w:val="0"/>
        <w:autoSpaceDN w:val="0"/>
        <w:spacing w:line="200" w:lineRule="exact"/>
        <w:jc w:val="left"/>
        <w:rPr>
          <w:rFonts w:ascii="宋体" w:hAnsi="宋体" w:eastAsia="宋体" w:cs="宋体"/>
          <w:color w:val="auto"/>
          <w:kern w:val="0"/>
          <w:sz w:val="20"/>
          <w:szCs w:val="20"/>
          <w:highlight w:val="none"/>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docGrid w:linePitch="286" w:charSpace="0"/>
        </w:sectPr>
      </w:pPr>
    </w:p>
    <w:p w14:paraId="4103EBB9">
      <w:pPr>
        <w:pStyle w:val="2"/>
        <w:rPr>
          <w:color w:val="auto"/>
          <w:highlight w:val="none"/>
        </w:rPr>
      </w:pPr>
      <w:bookmarkStart w:id="207" w:name="_Toc111186800"/>
      <w:bookmarkStart w:id="208" w:name="_Toc82786981"/>
      <w:bookmarkStart w:id="209" w:name="_Toc193358020"/>
      <w:r>
        <w:rPr>
          <w:rFonts w:hint="eastAsia"/>
          <w:color w:val="auto"/>
          <w:highlight w:val="none"/>
        </w:rPr>
        <w:t>第二卷</w:t>
      </w:r>
      <w:bookmarkEnd w:id="207"/>
      <w:bookmarkEnd w:id="208"/>
      <w:bookmarkEnd w:id="209"/>
    </w:p>
    <w:p w14:paraId="459EBFB9">
      <w:pPr>
        <w:widowControl/>
        <w:wordWrap w:val="0"/>
        <w:jc w:val="left"/>
        <w:rPr>
          <w:rFonts w:ascii="宋体" w:hAnsi="宋体" w:eastAsia="宋体" w:cs="宋体"/>
          <w:color w:val="auto"/>
          <w:kern w:val="0"/>
          <w:sz w:val="14"/>
          <w:szCs w:val="14"/>
          <w:highlight w:val="none"/>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sectPr>
      </w:pPr>
    </w:p>
    <w:p w14:paraId="7661C94F">
      <w:pPr>
        <w:pStyle w:val="2"/>
        <w:rPr>
          <w:color w:val="auto"/>
          <w:highlight w:val="none"/>
        </w:rPr>
      </w:pPr>
      <w:bookmarkStart w:id="210" w:name="_Toc193358021"/>
      <w:r>
        <w:rPr>
          <w:rFonts w:hint="eastAsia"/>
          <w:color w:val="auto"/>
          <w:highlight w:val="none"/>
        </w:rPr>
        <w:t xml:space="preserve">第五章 </w:t>
      </w:r>
      <w:r>
        <w:rPr>
          <w:color w:val="auto"/>
          <w:highlight w:val="none"/>
        </w:rPr>
        <w:t xml:space="preserve"> </w:t>
      </w:r>
      <w:r>
        <w:rPr>
          <w:rFonts w:hint="eastAsia"/>
          <w:color w:val="auto"/>
          <w:highlight w:val="none"/>
        </w:rPr>
        <w:t>发包人要求</w:t>
      </w:r>
      <w:bookmarkEnd w:id="210"/>
    </w:p>
    <w:p w14:paraId="2E7BBE9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auto"/>
        <w:outlineLvl w:val="9"/>
        <w:rPr>
          <w:rFonts w:hint="eastAsia" w:ascii="宋体" w:hAnsi="宋体" w:eastAsia="宋体" w:cs="宋体"/>
          <w:b/>
          <w:color w:val="auto"/>
          <w:sz w:val="24"/>
          <w:szCs w:val="24"/>
          <w:highlight w:val="none"/>
          <w:lang w:eastAsia="zh-CN"/>
        </w:rPr>
      </w:pPr>
    </w:p>
    <w:p w14:paraId="7EC1A3CE">
      <w:pPr>
        <w:wordWrap w:val="0"/>
        <w:spacing w:line="360" w:lineRule="auto"/>
        <w:jc w:val="center"/>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（详见勘察设计任务书）</w:t>
      </w:r>
    </w:p>
    <w:p w14:paraId="7350FF93">
      <w:pPr>
        <w:wordWrap w:val="0"/>
        <w:rPr>
          <w:rFonts w:ascii="宋体" w:hAnsi="宋体" w:eastAsia="宋体" w:cs="宋体"/>
          <w:b/>
          <w:bCs/>
          <w:color w:val="auto"/>
          <w:sz w:val="30"/>
          <w:szCs w:val="30"/>
          <w:highlight w:val="none"/>
        </w:rPr>
      </w:pPr>
    </w:p>
    <w:p w14:paraId="2FF9F73E">
      <w:pPr>
        <w:wordWrap w:val="0"/>
        <w:rPr>
          <w:rFonts w:ascii="宋体" w:hAnsi="宋体" w:eastAsia="宋体" w:cs="宋体"/>
          <w:color w:val="auto"/>
          <w:szCs w:val="24"/>
          <w:highlight w:val="none"/>
        </w:rPr>
      </w:pPr>
      <w:bookmarkStart w:id="211" w:name="_Toc82786986"/>
      <w:bookmarkStart w:id="212" w:name="_Toc111186802"/>
      <w:r>
        <w:rPr>
          <w:rFonts w:hint="eastAsia" w:ascii="宋体" w:hAnsi="宋体" w:eastAsia="宋体" w:cs="宋体"/>
          <w:color w:val="auto"/>
          <w:szCs w:val="24"/>
          <w:highlight w:val="none"/>
        </w:rPr>
        <w:br w:type="page"/>
      </w:r>
    </w:p>
    <w:p w14:paraId="30AD1E04">
      <w:pPr>
        <w:pStyle w:val="2"/>
        <w:rPr>
          <w:color w:val="auto"/>
          <w:highlight w:val="none"/>
        </w:rPr>
      </w:pPr>
      <w:bookmarkStart w:id="213" w:name="_Toc193358022"/>
      <w:r>
        <w:rPr>
          <w:rFonts w:hint="eastAsia"/>
          <w:color w:val="auto"/>
          <w:highlight w:val="none"/>
        </w:rPr>
        <w:t>第三卷</w:t>
      </w:r>
      <w:bookmarkEnd w:id="211"/>
      <w:bookmarkEnd w:id="212"/>
      <w:bookmarkEnd w:id="213"/>
    </w:p>
    <w:p w14:paraId="346FDEEB">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sectPr>
      </w:pPr>
    </w:p>
    <w:p w14:paraId="63E5EFE1">
      <w:pPr>
        <w:pStyle w:val="2"/>
        <w:rPr>
          <w:color w:val="auto"/>
          <w:highlight w:val="none"/>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sectPr>
      </w:pPr>
      <w:bookmarkStart w:id="214" w:name="_Toc111186803"/>
      <w:bookmarkStart w:id="215" w:name="_Toc193358023"/>
      <w:r>
        <w:rPr>
          <w:rFonts w:hint="eastAsia"/>
          <w:color w:val="auto"/>
          <w:highlight w:val="none"/>
        </w:rPr>
        <w:t>第六章  投标文件格式</w:t>
      </w:r>
      <w:bookmarkEnd w:id="214"/>
      <w:bookmarkEnd w:id="215"/>
    </w:p>
    <w:p w14:paraId="44CCC584">
      <w:pPr>
        <w:pStyle w:val="4"/>
        <w:wordWrap w:val="0"/>
        <w:rPr>
          <w:color w:val="auto"/>
          <w:highlight w:val="none"/>
        </w:rPr>
      </w:pPr>
      <w:bookmarkStart w:id="216" w:name="_Toc111186804"/>
      <w:bookmarkStart w:id="217" w:name="_Toc193358024"/>
      <w:bookmarkStart w:id="218" w:name="_Toc18166"/>
      <w:r>
        <w:rPr>
          <w:rFonts w:hint="eastAsia"/>
          <w:color w:val="auto"/>
          <w:highlight w:val="none"/>
        </w:rPr>
        <w:t>1.</w:t>
      </w:r>
      <w:bookmarkEnd w:id="216"/>
      <w:bookmarkEnd w:id="217"/>
      <w:bookmarkEnd w:id="218"/>
      <w:r>
        <w:rPr>
          <w:rFonts w:hint="eastAsia"/>
          <w:color w:val="auto"/>
          <w:highlight w:val="none"/>
        </w:rPr>
        <w:t xml:space="preserve"> 商务文件包括以下资料：</w:t>
      </w:r>
    </w:p>
    <w:p w14:paraId="716C9AE9">
      <w:pPr>
        <w:wordWrap w:val="0"/>
        <w:rPr>
          <w:rFonts w:ascii="宋体" w:hAnsi="宋体" w:eastAsia="宋体" w:cs="宋体"/>
          <w:color w:val="auto"/>
          <w:szCs w:val="24"/>
          <w:highlight w:val="none"/>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sectPr>
      </w:pPr>
    </w:p>
    <w:p w14:paraId="133631E8">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61A224D3">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6C8AEDA8">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63D92D6A">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（4）投标保证金（如有）；</w:t>
      </w:r>
    </w:p>
    <w:p w14:paraId="18D92F6D">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7C9B0EC8">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544ED993">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65B2C8B5">
      <w:pPr>
        <w:widowControl/>
        <w:wordWrap w:val="0"/>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14:paraId="5FB34144">
      <w:pPr>
        <w:wordWrap w:val="0"/>
        <w:rPr>
          <w:rFonts w:ascii="宋体" w:hAnsi="宋体" w:eastAsia="宋体" w:cs="宋体"/>
          <w:b/>
          <w:bCs/>
          <w:color w:val="auto"/>
          <w:szCs w:val="21"/>
          <w:highlight w:val="none"/>
        </w:rPr>
        <w:sectPr>
          <w:type w:val="continuous"/>
          <w:pgSz w:w="11905" w:h="16838"/>
          <w:pgMar w:top="1474" w:right="1701" w:bottom="1474" w:left="1701" w:header="720" w:footer="720" w:gutter="0"/>
          <w:pgBorders>
            <w:top w:val="none" w:sz="0" w:space="0"/>
            <w:left w:val="none" w:sz="0" w:space="0"/>
            <w:bottom w:val="none" w:sz="0" w:space="0"/>
            <w:right w:val="none" w:sz="0" w:space="0"/>
          </w:pgBorders>
          <w:cols w:space="720" w:num="1"/>
        </w:sectPr>
      </w:pPr>
    </w:p>
    <w:p w14:paraId="2B7D8616">
      <w:pPr>
        <w:pStyle w:val="5"/>
        <w:wordWrap w:val="0"/>
        <w:rPr>
          <w:color w:val="auto"/>
          <w:highlight w:val="none"/>
        </w:rPr>
      </w:pPr>
      <w:bookmarkStart w:id="219" w:name="_Toc111186813"/>
      <w:bookmarkStart w:id="220" w:name="_Toc20296"/>
      <w:bookmarkStart w:id="221" w:name="_Toc16936"/>
      <w:bookmarkStart w:id="222" w:name="_Toc111186812"/>
      <w:r>
        <w:rPr>
          <w:rFonts w:hint="eastAsia"/>
          <w:color w:val="auto"/>
          <w:highlight w:val="none"/>
        </w:rPr>
        <w:t>一</w:t>
      </w:r>
      <w:bookmarkEnd w:id="219"/>
      <w:bookmarkEnd w:id="220"/>
      <w:r>
        <w:rPr>
          <w:rFonts w:hint="eastAsia"/>
          <w:color w:val="auto"/>
          <w:highlight w:val="none"/>
        </w:rPr>
        <w:t>、投标函及投标函附录</w:t>
      </w:r>
    </w:p>
    <w:p w14:paraId="142D3C70">
      <w:pPr>
        <w:spacing w:line="360" w:lineRule="auto"/>
        <w:jc w:val="center"/>
        <w:rPr>
          <w:rFonts w:ascii="宋体" w:hAnsi="宋体" w:eastAsia="宋体" w:cs="宋体"/>
          <w:color w:val="auto"/>
          <w:sz w:val="24"/>
          <w:szCs w:val="24"/>
          <w:highlight w:val="none"/>
        </w:rPr>
      </w:pPr>
      <w:r>
        <w:rPr>
          <w:rFonts w:hint="eastAsia" w:ascii="宋体" w:hAnsi="宋体" w:eastAsia="宋体" w:cs="宋体"/>
          <w:b/>
          <w:color w:val="auto"/>
          <w:sz w:val="28"/>
          <w:szCs w:val="28"/>
          <w:highlight w:val="none"/>
        </w:rPr>
        <w:t>投标函</w:t>
      </w:r>
    </w:p>
    <w:p w14:paraId="79DAD19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14:paraId="66CEB964">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招标项目招标文件全部内容及其补充文件和技术规范等文件，愿意以人民币（大写）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）的投标总报价，按合同约定完成勘察设计工作。我方项目负责人是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85BDA3">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2.我方的投标文件包括下列内容：</w:t>
      </w:r>
    </w:p>
    <w:p w14:paraId="609F954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32BDEFF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2F265DF2">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（3）联合体协议书(如有)；</w:t>
      </w:r>
    </w:p>
    <w:p w14:paraId="6621EA21">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（4）投标人声明</w:t>
      </w:r>
    </w:p>
    <w:p w14:paraId="3E40DE9F">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（5）投标保证金(如有)；</w:t>
      </w:r>
    </w:p>
    <w:p w14:paraId="1FA191D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（6）勘察设计费报价表；</w:t>
      </w:r>
    </w:p>
    <w:p w14:paraId="73EB5A6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（7）资格审查资料；</w:t>
      </w:r>
    </w:p>
    <w:p w14:paraId="34777DC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（8）商务文件；</w:t>
      </w:r>
    </w:p>
    <w:p w14:paraId="00F6B15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（9）技术文件；</w:t>
      </w:r>
    </w:p>
    <w:p w14:paraId="3814D32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（10）投标文件光盘（备用）。注：投标人也可不提交投标文件光盘（备用）</w:t>
      </w:r>
    </w:p>
    <w:p w14:paraId="413B1B8F">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投标文件的上述组成部分如存在内容不一致的，以投标函为准。</w:t>
      </w:r>
    </w:p>
    <w:p w14:paraId="142729C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3.我方承诺在招标文件规定的投标有效期内不撤销投标文件。</w:t>
      </w:r>
    </w:p>
    <w:p w14:paraId="011001D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4.如我方中标，我方承诺：</w:t>
      </w:r>
    </w:p>
    <w:p w14:paraId="79C97B80">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（1）在收到中标通知书后，在法律法规规定的期限内与你方签订合同；</w:t>
      </w:r>
    </w:p>
    <w:p w14:paraId="2261ED41">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14:paraId="2D4CF4D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（3）按照招标文件要求提交履约保证金；</w:t>
      </w:r>
    </w:p>
    <w:p w14:paraId="760CA23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（4）在合同约定的期限内完成合同规定的全部义务；</w:t>
      </w:r>
    </w:p>
    <w:p w14:paraId="0E8C6A1A">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（5）承诺本项目拟投入的人员为本单位人员，并已按规定购买社保。</w:t>
      </w:r>
    </w:p>
    <w:p w14:paraId="326A2AF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5.如我方成为本项目的中标候选人，我方同意并授权招标人将我司投标文件商务部分的人员、业绩、奖项等资料进行公示。</w:t>
      </w:r>
    </w:p>
    <w:p w14:paraId="589E658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遵守本投标书直至投标有效期满，在投标有效期满前，本投标书对我方一直具有约束力，随时可接受中标。我方承认所附投标文件资料为本投标书的一部分。如果我方投标书含有不符合招标文件规定的内容，我方同意按招标文件规定予以修正。</w:t>
      </w:r>
    </w:p>
    <w:p w14:paraId="40F5CAA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7.我方认同招标文件规定的评审规则，遵守评标委员会的裁决结果，并且不会采取妨碍项目进展的行为。我方理解你方没有必须接受你方可能收到的最低标或任何投标的义务。</w:t>
      </w:r>
    </w:p>
    <w:p w14:paraId="1D9FDA0A">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8.如果我方中标，我方将提供规定的履约担保，将在合同规定的日期开工，并在竣工时间内，按照上述文件完成项目。</w:t>
      </w:r>
    </w:p>
    <w:p w14:paraId="52B2EF52">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9.除非制定正式合同协议书并生效，本投标书以及你方中标通知书，应构成你我双方间具有约束力的合同。</w:t>
      </w:r>
    </w:p>
    <w:p w14:paraId="18355102">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在此声明，所递交的投标文件及有关资料内容完整、真实和准确，且不存在第二章“投标人须知”第1.4.3项规定的任何一种情形。若与事实不符，经查实，我方愿意接受公开通报，承担由此带来的法律的后果，并自愿停止参加你方组织的在广州市行政辖区内的招标投标活动3个月。</w:t>
      </w:r>
    </w:p>
    <w:p w14:paraId="553A656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11.（其他补充说明）。</w:t>
      </w:r>
    </w:p>
    <w:p w14:paraId="52BBDEA6">
      <w:pPr>
        <w:wordWrap w:val="0"/>
        <w:spacing w:line="360" w:lineRule="auto"/>
        <w:rPr>
          <w:rFonts w:ascii="宋体" w:hAnsi="宋体" w:eastAsia="宋体" w:cs="宋体"/>
          <w:color w:val="auto"/>
          <w:sz w:val="24"/>
          <w:szCs w:val="24"/>
          <w:highlight w:val="none"/>
        </w:rPr>
      </w:pPr>
    </w:p>
    <w:p w14:paraId="71C6D395">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A777387">
      <w:pPr>
        <w:wordWrap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58931509">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A4A3E70">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rPr>
        <w:t xml:space="preserve">                          </w:t>
      </w:r>
    </w:p>
    <w:p w14:paraId="539AA191">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CE16379">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4D70F436">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3FDC29A">
      <w:pPr>
        <w:wordWrap w:val="0"/>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08871A5A">
      <w:pPr>
        <w:wordWrap w:val="0"/>
        <w:spacing w:line="360" w:lineRule="auto"/>
        <w:ind w:right="120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u w:val="single"/>
        </w:rPr>
        <w:t>（注：如联合体投标人，由投标主办方盖章即可。）</w:t>
      </w:r>
    </w:p>
    <w:p w14:paraId="61649612">
      <w:pPr>
        <w:wordWrap w:val="0"/>
        <w:jc w:val="center"/>
        <w:rPr>
          <w:rFonts w:ascii="宋体" w:hAnsi="宋体" w:eastAsia="宋体" w:cs="宋体"/>
          <w:b/>
          <w:color w:val="auto"/>
          <w:sz w:val="28"/>
          <w:szCs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szCs w:val="28"/>
          <w:highlight w:val="none"/>
        </w:rPr>
        <w:t>投标函附录</w:t>
      </w:r>
    </w:p>
    <w:p w14:paraId="73982614">
      <w:pPr>
        <w:wordWrap w:val="0"/>
        <w:jc w:val="center"/>
        <w:rPr>
          <w:rFonts w:ascii="宋体" w:hAnsi="宋体" w:eastAsia="宋体" w:cs="宋体"/>
          <w:b/>
          <w:bCs/>
          <w:color w:val="auto"/>
          <w:sz w:val="32"/>
          <w:szCs w:val="32"/>
          <w:highlight w:val="none"/>
        </w:rPr>
      </w:pPr>
    </w:p>
    <w:tbl>
      <w:tblPr>
        <w:tblStyle w:val="4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13"/>
        <w:gridCol w:w="2970"/>
        <w:gridCol w:w="2878"/>
        <w:gridCol w:w="1917"/>
      </w:tblGrid>
      <w:tr w14:paraId="07935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23" w:type="pct"/>
            <w:vAlign w:val="center"/>
          </w:tcPr>
          <w:p w14:paraId="638FFAFB">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36" w:type="pct"/>
            <w:vAlign w:val="center"/>
          </w:tcPr>
          <w:p w14:paraId="33A1AE39">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1585" w:type="pct"/>
            <w:vAlign w:val="center"/>
          </w:tcPr>
          <w:p w14:paraId="753B234A">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约定内容</w:t>
            </w:r>
          </w:p>
        </w:tc>
        <w:tc>
          <w:tcPr>
            <w:tcW w:w="1056" w:type="pct"/>
            <w:vAlign w:val="center"/>
          </w:tcPr>
          <w:p w14:paraId="79945FE8">
            <w:pPr>
              <w:wordWrap w:val="0"/>
              <w:autoSpaceDE w:val="0"/>
              <w:autoSpaceDN w:val="0"/>
              <w:spacing w:line="276" w:lineRule="auto"/>
              <w:ind w:right="3"/>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0CE88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3941686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36" w:type="pct"/>
            <w:vAlign w:val="center"/>
          </w:tcPr>
          <w:p w14:paraId="78A4EF81">
            <w:pPr>
              <w:wordWrap w:val="0"/>
              <w:autoSpaceDE w:val="0"/>
              <w:autoSpaceDN w:val="0"/>
              <w:spacing w:line="276" w:lineRule="auto"/>
              <w:ind w:left="-4" w:leftChars="-2"/>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项目负责人</w:t>
            </w:r>
          </w:p>
        </w:tc>
        <w:tc>
          <w:tcPr>
            <w:tcW w:w="1585" w:type="pct"/>
            <w:vAlign w:val="center"/>
          </w:tcPr>
          <w:p w14:paraId="4C49236B">
            <w:pPr>
              <w:wordWrap w:val="0"/>
              <w:autoSpaceDE w:val="0"/>
              <w:autoSpaceDN w:val="0"/>
              <w:spacing w:line="276" w:lineRule="auto"/>
              <w:ind w:left="102"/>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p>
        </w:tc>
        <w:tc>
          <w:tcPr>
            <w:tcW w:w="1056" w:type="pct"/>
            <w:vAlign w:val="center"/>
          </w:tcPr>
          <w:p w14:paraId="52DF6190">
            <w:pPr>
              <w:wordWrap w:val="0"/>
              <w:spacing w:line="276" w:lineRule="auto"/>
              <w:jc w:val="center"/>
              <w:rPr>
                <w:rFonts w:ascii="宋体" w:hAnsi="宋体" w:eastAsia="宋体" w:cs="宋体"/>
                <w:color w:val="auto"/>
                <w:szCs w:val="21"/>
                <w:highlight w:val="none"/>
              </w:rPr>
            </w:pPr>
          </w:p>
        </w:tc>
      </w:tr>
      <w:tr w14:paraId="70B7F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485B246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636" w:type="pct"/>
            <w:vAlign w:val="center"/>
          </w:tcPr>
          <w:p w14:paraId="73B99A4B">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勘察设计服务期限</w:t>
            </w:r>
          </w:p>
        </w:tc>
        <w:tc>
          <w:tcPr>
            <w:tcW w:w="1585" w:type="pct"/>
            <w:vAlign w:val="center"/>
          </w:tcPr>
          <w:p w14:paraId="78F2857B">
            <w:pPr>
              <w:wordWrap w:val="0"/>
              <w:autoSpaceDE w:val="0"/>
              <w:autoSpaceDN w:val="0"/>
              <w:spacing w:line="276" w:lineRule="auto"/>
              <w:ind w:left="102"/>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616DED2F">
            <w:pPr>
              <w:wordWrap w:val="0"/>
              <w:spacing w:line="276" w:lineRule="auto"/>
              <w:jc w:val="center"/>
              <w:rPr>
                <w:rFonts w:ascii="宋体" w:hAnsi="宋体" w:eastAsia="宋体" w:cs="宋体"/>
                <w:color w:val="auto"/>
                <w:szCs w:val="21"/>
                <w:highlight w:val="none"/>
              </w:rPr>
            </w:pPr>
          </w:p>
        </w:tc>
      </w:tr>
      <w:tr w14:paraId="5551E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6CF7178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636" w:type="pct"/>
            <w:vAlign w:val="center"/>
          </w:tcPr>
          <w:p w14:paraId="155418EC">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pacing w:val="-3"/>
                <w:szCs w:val="21"/>
                <w:highlight w:val="none"/>
              </w:rPr>
              <w:t>价</w:t>
            </w:r>
            <w:r>
              <w:rPr>
                <w:rFonts w:hint="eastAsia" w:ascii="宋体" w:hAnsi="宋体" w:eastAsia="宋体" w:cs="宋体"/>
                <w:color w:val="auto"/>
                <w:szCs w:val="21"/>
                <w:highlight w:val="none"/>
              </w:rPr>
              <w:t>款</w:t>
            </w:r>
            <w:r>
              <w:rPr>
                <w:rFonts w:hint="eastAsia" w:ascii="宋体" w:hAnsi="宋体" w:eastAsia="宋体" w:cs="宋体"/>
                <w:color w:val="auto"/>
                <w:spacing w:val="-3"/>
                <w:szCs w:val="21"/>
                <w:highlight w:val="none"/>
              </w:rPr>
              <w:t>确</w:t>
            </w:r>
            <w:r>
              <w:rPr>
                <w:rFonts w:hint="eastAsia" w:ascii="宋体" w:hAnsi="宋体" w:eastAsia="宋体" w:cs="宋体"/>
                <w:color w:val="auto"/>
                <w:szCs w:val="21"/>
                <w:highlight w:val="none"/>
              </w:rPr>
              <w:t>定</w:t>
            </w:r>
            <w:r>
              <w:rPr>
                <w:rFonts w:hint="eastAsia" w:ascii="宋体" w:hAnsi="宋体" w:eastAsia="宋体" w:cs="宋体"/>
                <w:color w:val="auto"/>
                <w:spacing w:val="-3"/>
                <w:szCs w:val="21"/>
                <w:highlight w:val="none"/>
              </w:rPr>
              <w:t>方式</w:t>
            </w:r>
          </w:p>
        </w:tc>
        <w:tc>
          <w:tcPr>
            <w:tcW w:w="1585" w:type="pct"/>
            <w:vAlign w:val="center"/>
          </w:tcPr>
          <w:p w14:paraId="655123D3">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48C20C71">
            <w:pPr>
              <w:wordWrap w:val="0"/>
              <w:spacing w:line="276" w:lineRule="auto"/>
              <w:jc w:val="center"/>
              <w:rPr>
                <w:rFonts w:ascii="宋体" w:hAnsi="宋体" w:eastAsia="宋体" w:cs="宋体"/>
                <w:color w:val="auto"/>
                <w:szCs w:val="21"/>
                <w:highlight w:val="none"/>
              </w:rPr>
            </w:pPr>
          </w:p>
        </w:tc>
      </w:tr>
      <w:tr w14:paraId="66266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5EF07246">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636" w:type="pct"/>
            <w:vAlign w:val="center"/>
          </w:tcPr>
          <w:p w14:paraId="451B2076">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投标内容</w:t>
            </w:r>
          </w:p>
        </w:tc>
        <w:tc>
          <w:tcPr>
            <w:tcW w:w="1585" w:type="pct"/>
            <w:vAlign w:val="center"/>
          </w:tcPr>
          <w:p w14:paraId="0583D3FF">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58053868">
            <w:pPr>
              <w:wordWrap w:val="0"/>
              <w:spacing w:line="276" w:lineRule="auto"/>
              <w:jc w:val="center"/>
              <w:rPr>
                <w:rFonts w:ascii="宋体" w:hAnsi="宋体" w:eastAsia="宋体" w:cs="宋体"/>
                <w:color w:val="auto"/>
                <w:szCs w:val="21"/>
                <w:highlight w:val="none"/>
              </w:rPr>
            </w:pPr>
          </w:p>
        </w:tc>
      </w:tr>
      <w:tr w14:paraId="41E68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4DA6104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636" w:type="pct"/>
            <w:vAlign w:val="center"/>
          </w:tcPr>
          <w:p w14:paraId="6A36D281">
            <w:pPr>
              <w:wordWrap w:val="0"/>
              <w:autoSpaceDE w:val="0"/>
              <w:autoSpaceDN w:val="0"/>
              <w:spacing w:line="276" w:lineRule="auto"/>
              <w:ind w:left="-4" w:leftChars="-3" w:hanging="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质量标准</w:t>
            </w:r>
          </w:p>
        </w:tc>
        <w:tc>
          <w:tcPr>
            <w:tcW w:w="1585" w:type="pct"/>
            <w:vAlign w:val="center"/>
          </w:tcPr>
          <w:p w14:paraId="2F06DB11">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717C7413">
            <w:pPr>
              <w:wordWrap w:val="0"/>
              <w:spacing w:line="276" w:lineRule="auto"/>
              <w:jc w:val="center"/>
              <w:rPr>
                <w:rFonts w:ascii="宋体" w:hAnsi="宋体" w:eastAsia="宋体" w:cs="宋体"/>
                <w:color w:val="auto"/>
                <w:szCs w:val="21"/>
                <w:highlight w:val="none"/>
              </w:rPr>
            </w:pPr>
          </w:p>
        </w:tc>
      </w:tr>
      <w:tr w14:paraId="7BF7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569BE36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636" w:type="pct"/>
            <w:vAlign w:val="center"/>
          </w:tcPr>
          <w:p w14:paraId="73963A02">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投标有效期</w:t>
            </w:r>
          </w:p>
        </w:tc>
        <w:tc>
          <w:tcPr>
            <w:tcW w:w="1585" w:type="pct"/>
            <w:vAlign w:val="center"/>
          </w:tcPr>
          <w:p w14:paraId="68719DC7">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0F112EEF">
            <w:pPr>
              <w:wordWrap w:val="0"/>
              <w:spacing w:line="276" w:lineRule="auto"/>
              <w:jc w:val="center"/>
              <w:rPr>
                <w:rFonts w:ascii="宋体" w:hAnsi="宋体" w:eastAsia="宋体" w:cs="宋体"/>
                <w:color w:val="auto"/>
                <w:szCs w:val="21"/>
                <w:highlight w:val="none"/>
              </w:rPr>
            </w:pPr>
          </w:p>
        </w:tc>
      </w:tr>
    </w:tbl>
    <w:p w14:paraId="41BDB0B9">
      <w:pPr>
        <w:pBdr>
          <w:top w:val="single" w:color="auto" w:sz="4" w:space="1"/>
        </w:pBdr>
        <w:wordWrap w:val="0"/>
        <w:spacing w:line="360" w:lineRule="auto"/>
        <w:rPr>
          <w:rFonts w:ascii="宋体" w:hAnsi="宋体" w:eastAsia="宋体" w:cs="宋体"/>
          <w:bCs/>
          <w:color w:val="auto"/>
          <w:sz w:val="24"/>
          <w:szCs w:val="24"/>
          <w:highlight w:val="none"/>
        </w:rPr>
      </w:pPr>
    </w:p>
    <w:p w14:paraId="7FA5A61C">
      <w:pPr>
        <w:pBdr>
          <w:top w:val="single" w:color="auto" w:sz="4" w:space="1"/>
        </w:pBdr>
        <w:wordWrap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pacing w:val="-2"/>
          <w:sz w:val="24"/>
          <w:szCs w:val="24"/>
          <w:highlight w:val="none"/>
        </w:rPr>
        <w:t>人：</w:t>
      </w:r>
      <w:r>
        <w:rPr>
          <w:rFonts w:hint="eastAsia" w:ascii="宋体" w:hAnsi="宋体" w:eastAsia="宋体" w:cs="宋体"/>
          <w:bCs/>
          <w:color w:val="auto"/>
          <w:spacing w:val="-2"/>
          <w:sz w:val="24"/>
          <w:szCs w:val="24"/>
          <w:highlight w:val="none"/>
          <w:u w:val="single"/>
        </w:rPr>
        <w:t xml:space="preserve">    </w:t>
      </w:r>
      <w:r>
        <w:rPr>
          <w:rFonts w:hint="eastAsia" w:ascii="宋体" w:hAnsi="宋体" w:eastAsia="宋体" w:cs="宋体"/>
          <w:bCs/>
          <w:color w:val="auto"/>
          <w:spacing w:val="-1"/>
          <w:sz w:val="24"/>
          <w:szCs w:val="24"/>
          <w:highlight w:val="none"/>
        </w:rPr>
        <w:t>（盖章）</w:t>
      </w:r>
    </w:p>
    <w:p w14:paraId="1078BCB0">
      <w:pPr>
        <w:wordWrap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1724893A">
      <w:pPr>
        <w:wordWrap w:val="0"/>
        <w:spacing w:line="360" w:lineRule="auto"/>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263828AA">
      <w:pPr>
        <w:wordWrap w:val="0"/>
        <w:spacing w:line="360" w:lineRule="auto"/>
        <w:ind w:firstLine="240" w:firstLineChars="100"/>
        <w:rPr>
          <w:rFonts w:ascii="宋体" w:hAnsi="宋体" w:eastAsia="宋体" w:cs="宋体"/>
          <w:color w:val="auto"/>
          <w:sz w:val="24"/>
          <w:szCs w:val="24"/>
          <w:highlight w:val="none"/>
        </w:rPr>
      </w:pPr>
    </w:p>
    <w:p w14:paraId="6DB0D78A">
      <w:pPr>
        <w:wordWrap w:val="0"/>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173A0DEB">
      <w:pPr>
        <w:pStyle w:val="5"/>
        <w:wordWrap w:val="0"/>
        <w:rPr>
          <w:color w:val="auto"/>
          <w:highlight w:val="none"/>
        </w:rPr>
      </w:pPr>
      <w:r>
        <w:rPr>
          <w:rFonts w:hint="eastAsia"/>
          <w:color w:val="auto"/>
          <w:highlight w:val="none"/>
        </w:rPr>
        <w:br w:type="page"/>
      </w:r>
      <w:r>
        <w:rPr>
          <w:rFonts w:hint="eastAsia"/>
          <w:color w:val="auto"/>
          <w:highlight w:val="none"/>
        </w:rPr>
        <w:t>二、法定代表人身份证明及授权委托书</w:t>
      </w:r>
      <w:bookmarkEnd w:id="221"/>
      <w:bookmarkEnd w:id="222"/>
    </w:p>
    <w:p w14:paraId="11EF4DB3">
      <w:pPr>
        <w:wordWrap w:val="0"/>
        <w:jc w:val="center"/>
        <w:rPr>
          <w:rFonts w:ascii="宋体" w:hAnsi="宋体" w:eastAsia="宋体" w:cs="宋体"/>
          <w:b/>
          <w:color w:val="auto"/>
          <w:sz w:val="28"/>
          <w:szCs w:val="28"/>
          <w:highlight w:val="none"/>
        </w:rPr>
      </w:pPr>
      <w:bookmarkStart w:id="223" w:name="_Toc35513540"/>
      <w:bookmarkStart w:id="224" w:name="_Toc82786997"/>
      <w:r>
        <w:rPr>
          <w:rFonts w:hint="eastAsia" w:ascii="宋体" w:hAnsi="宋体" w:eastAsia="宋体" w:cs="宋体"/>
          <w:b/>
          <w:color w:val="auto"/>
          <w:sz w:val="28"/>
          <w:szCs w:val="28"/>
          <w:highlight w:val="none"/>
        </w:rPr>
        <w:t>法定代表人身份证明</w:t>
      </w:r>
      <w:bookmarkEnd w:id="223"/>
      <w:bookmarkEnd w:id="224"/>
    </w:p>
    <w:p w14:paraId="44BE437A">
      <w:pPr>
        <w:wordWrap w:val="0"/>
        <w:spacing w:line="360" w:lineRule="auto"/>
        <w:ind w:firstLine="480"/>
        <w:rPr>
          <w:rFonts w:ascii="宋体" w:hAnsi="宋体" w:eastAsia="宋体" w:cs="宋体"/>
          <w:color w:val="auto"/>
          <w:sz w:val="24"/>
          <w:szCs w:val="24"/>
          <w:highlight w:val="none"/>
        </w:rPr>
      </w:pPr>
    </w:p>
    <w:p w14:paraId="2E332E90">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2209F721">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A7C5365">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2C96FB17">
      <w:pPr>
        <w:wordWrap w:val="0"/>
        <w:spacing w:line="360" w:lineRule="auto"/>
        <w:ind w:firstLine="480"/>
        <w:rPr>
          <w:rFonts w:ascii="宋体" w:hAnsi="宋体" w:eastAsia="宋体" w:cs="宋体"/>
          <w:color w:val="auto"/>
          <w:sz w:val="24"/>
          <w:szCs w:val="24"/>
          <w:highlight w:val="none"/>
        </w:rPr>
      </w:pPr>
    </w:p>
    <w:p w14:paraId="7F3098B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32A8A43">
      <w:pPr>
        <w:wordWrap w:val="0"/>
        <w:spacing w:line="360" w:lineRule="auto"/>
        <w:ind w:firstLine="480"/>
        <w:rPr>
          <w:rFonts w:ascii="宋体" w:hAnsi="宋体" w:eastAsia="宋体" w:cs="宋体"/>
          <w:color w:val="auto"/>
          <w:sz w:val="24"/>
          <w:szCs w:val="24"/>
          <w:highlight w:val="none"/>
        </w:rPr>
      </w:pPr>
    </w:p>
    <w:p w14:paraId="7FFE8487">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p>
    <w:p w14:paraId="7D03F1D5">
      <w:pPr>
        <w:wordWrap w:val="0"/>
        <w:spacing w:line="360" w:lineRule="auto"/>
        <w:ind w:firstLine="480"/>
        <w:rPr>
          <w:rFonts w:ascii="宋体" w:hAnsi="宋体" w:eastAsia="宋体" w:cs="宋体"/>
          <w:color w:val="auto"/>
          <w:sz w:val="24"/>
          <w:szCs w:val="24"/>
          <w:highlight w:val="none"/>
        </w:rPr>
      </w:pPr>
    </w:p>
    <w:p w14:paraId="60758F2C">
      <w:pPr>
        <w:wordWrap w:val="0"/>
        <w:spacing w:line="360" w:lineRule="auto"/>
        <w:ind w:firstLine="480"/>
        <w:rPr>
          <w:rFonts w:ascii="宋体" w:hAnsi="宋体" w:eastAsia="宋体" w:cs="宋体"/>
          <w:color w:val="auto"/>
          <w:sz w:val="24"/>
          <w:szCs w:val="24"/>
          <w:highlight w:val="none"/>
        </w:rPr>
      </w:pPr>
    </w:p>
    <w:p w14:paraId="3152E941">
      <w:pPr>
        <w:wordWrap w:val="0"/>
        <w:spacing w:line="360" w:lineRule="auto"/>
        <w:ind w:firstLine="480"/>
        <w:rPr>
          <w:rFonts w:ascii="宋体" w:hAnsi="宋体" w:eastAsia="宋体" w:cs="宋体"/>
          <w:color w:val="auto"/>
          <w:sz w:val="24"/>
          <w:szCs w:val="24"/>
          <w:highlight w:val="none"/>
        </w:rPr>
      </w:pPr>
    </w:p>
    <w:p w14:paraId="28859562">
      <w:pPr>
        <w:wordWrap w:val="0"/>
        <w:spacing w:line="360" w:lineRule="auto"/>
        <w:ind w:firstLine="480"/>
        <w:rPr>
          <w:rFonts w:ascii="宋体" w:hAnsi="宋体" w:eastAsia="宋体" w:cs="宋体"/>
          <w:color w:val="auto"/>
          <w:sz w:val="24"/>
          <w:szCs w:val="24"/>
          <w:highlight w:val="none"/>
        </w:rPr>
      </w:pPr>
    </w:p>
    <w:p w14:paraId="27DF9507">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bookmarkStart w:id="225" w:name="page82"/>
      <w:bookmarkEnd w:id="225"/>
      <w:r>
        <w:rPr>
          <w:rFonts w:hint="eastAsia" w:ascii="宋体" w:hAnsi="宋体" w:eastAsia="宋体" w:cs="宋体"/>
          <w:color w:val="auto"/>
          <w:sz w:val="24"/>
          <w:szCs w:val="24"/>
          <w:highlight w:val="none"/>
        </w:rPr>
        <w:t>（</w:t>
      </w:r>
      <w:bookmarkStart w:id="226" w:name="_Toc14709396"/>
      <w:r>
        <w:rPr>
          <w:rFonts w:hint="eastAsia" w:ascii="宋体" w:hAnsi="宋体" w:eastAsia="宋体" w:cs="宋体"/>
          <w:color w:val="auto"/>
          <w:sz w:val="24"/>
          <w:szCs w:val="24"/>
          <w:highlight w:val="none"/>
        </w:rPr>
        <w:t>盖单位章）</w:t>
      </w:r>
    </w:p>
    <w:bookmarkEnd w:id="226"/>
    <w:p w14:paraId="1521F983">
      <w:pPr>
        <w:wordWrap w:val="0"/>
        <w:spacing w:line="360" w:lineRule="auto"/>
        <w:ind w:firstLine="5280" w:firstLineChars="2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65669F9">
      <w:pPr>
        <w:wordWrap w:val="0"/>
        <w:spacing w:line="360" w:lineRule="auto"/>
        <w:ind w:firstLine="480"/>
        <w:rPr>
          <w:rFonts w:ascii="宋体" w:hAnsi="宋体" w:eastAsia="宋体" w:cs="宋体"/>
          <w:color w:val="auto"/>
          <w:sz w:val="24"/>
          <w:szCs w:val="24"/>
          <w:highlight w:val="none"/>
        </w:rPr>
      </w:pPr>
    </w:p>
    <w:p w14:paraId="5680179B">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联合体投标的，仅须提供联合体主办方出具的法定代表人身份证明</w:t>
      </w:r>
      <w:r>
        <w:rPr>
          <w:rFonts w:hint="eastAsia" w:ascii="宋体" w:hAnsi="宋体" w:eastAsia="宋体" w:cs="宋体"/>
          <w:color w:val="auto"/>
          <w:sz w:val="24"/>
          <w:szCs w:val="24"/>
          <w:highlight w:val="none"/>
        </w:rPr>
        <w:t>。</w:t>
      </w:r>
      <w:bookmarkStart w:id="227" w:name="_Toc35513541"/>
    </w:p>
    <w:p w14:paraId="3D97252F">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32"/>
          <w:szCs w:val="24"/>
          <w:highlight w:val="none"/>
        </w:rPr>
        <w:br w:type="page"/>
      </w:r>
      <w:bookmarkStart w:id="228" w:name="_Toc82786998"/>
      <w:r>
        <w:rPr>
          <w:rFonts w:hint="eastAsia" w:ascii="宋体" w:hAnsi="宋体" w:eastAsia="宋体" w:cs="宋体"/>
          <w:b/>
          <w:color w:val="auto"/>
          <w:sz w:val="28"/>
          <w:szCs w:val="28"/>
          <w:highlight w:val="none"/>
        </w:rPr>
        <w:t>授权委托书</w:t>
      </w:r>
      <w:bookmarkEnd w:id="227"/>
      <w:bookmarkEnd w:id="228"/>
    </w:p>
    <w:p w14:paraId="5799E267">
      <w:pPr>
        <w:wordWrap w:val="0"/>
        <w:spacing w:line="360" w:lineRule="auto"/>
        <w:ind w:firstLine="480"/>
        <w:rPr>
          <w:rFonts w:ascii="宋体" w:hAnsi="宋体" w:eastAsia="宋体" w:cs="宋体"/>
          <w:color w:val="auto"/>
          <w:sz w:val="24"/>
          <w:szCs w:val="24"/>
          <w:highlight w:val="none"/>
        </w:rPr>
      </w:pPr>
    </w:p>
    <w:p w14:paraId="5C7CEF5E">
      <w:pPr>
        <w:wordWrap w:val="0"/>
        <w:topLinePunct/>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single"/>
        </w:rPr>
        <w:t xml:space="preserve">       勘察设计</w:t>
      </w:r>
      <w:r>
        <w:rPr>
          <w:rFonts w:hint="eastAsia" w:ascii="宋体" w:hAnsi="宋体" w:eastAsia="宋体" w:cs="宋体"/>
          <w:color w:val="auto"/>
          <w:sz w:val="24"/>
          <w:szCs w:val="24"/>
          <w:highlight w:val="none"/>
        </w:rPr>
        <w:t>招标项目投标文件、签订合同和处理有关事宜，其法律后果由我方承担。</w:t>
      </w:r>
    </w:p>
    <w:p w14:paraId="13BA0D8E">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C7D9EC">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08B5607">
      <w:pPr>
        <w:wordWrap w:val="0"/>
        <w:spacing w:line="360" w:lineRule="auto"/>
        <w:ind w:firstLine="480"/>
        <w:rPr>
          <w:rFonts w:ascii="宋体" w:hAnsi="宋体" w:eastAsia="宋体" w:cs="宋体"/>
          <w:color w:val="auto"/>
          <w:sz w:val="24"/>
          <w:szCs w:val="24"/>
          <w:highlight w:val="none"/>
        </w:rPr>
      </w:pPr>
    </w:p>
    <w:p w14:paraId="7C0EB730">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附：法定代表人身份证及委托代理人身份证</w:t>
      </w:r>
    </w:p>
    <w:p w14:paraId="70A3B737">
      <w:pPr>
        <w:wordWrap w:val="0"/>
        <w:spacing w:line="360" w:lineRule="auto"/>
        <w:ind w:firstLine="480"/>
        <w:rPr>
          <w:rFonts w:ascii="宋体" w:hAnsi="宋体" w:eastAsia="宋体" w:cs="宋体"/>
          <w:color w:val="auto"/>
          <w:sz w:val="24"/>
          <w:szCs w:val="24"/>
          <w:highlight w:val="none"/>
        </w:rPr>
      </w:pPr>
    </w:p>
    <w:p w14:paraId="7E7BABBC">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注：本授权委托书需由投标人加盖单位公章并由其法定代表人和委托代理人签字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402966A">
      <w:pPr>
        <w:wordWrap w:val="0"/>
        <w:spacing w:line="360" w:lineRule="auto"/>
        <w:ind w:firstLine="480"/>
        <w:rPr>
          <w:rFonts w:ascii="宋体" w:hAnsi="宋体" w:eastAsia="宋体" w:cs="宋体"/>
          <w:color w:val="auto"/>
          <w:sz w:val="24"/>
          <w:szCs w:val="24"/>
          <w:highlight w:val="none"/>
        </w:rPr>
      </w:pPr>
    </w:p>
    <w:p w14:paraId="68BC5D78">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FA67002">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5A6226F">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0E1B83F8">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3C4F97E">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7D13C344">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EBC3AB6">
      <w:pPr>
        <w:wordWrap w:val="0"/>
        <w:spacing w:line="360" w:lineRule="auto"/>
        <w:ind w:firstLine="480"/>
        <w:rPr>
          <w:rFonts w:ascii="宋体" w:hAnsi="宋体" w:eastAsia="宋体" w:cs="宋体"/>
          <w:color w:val="auto"/>
          <w:sz w:val="24"/>
          <w:szCs w:val="24"/>
          <w:highlight w:val="none"/>
        </w:rPr>
      </w:pPr>
    </w:p>
    <w:p w14:paraId="123EB0A3">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联合体投标的，仅须提供联合体主办方出具的授权委托书</w:t>
      </w:r>
      <w:r>
        <w:rPr>
          <w:rFonts w:hint="eastAsia" w:ascii="宋体" w:hAnsi="宋体" w:eastAsia="宋体" w:cs="宋体"/>
          <w:color w:val="auto"/>
          <w:sz w:val="24"/>
          <w:szCs w:val="24"/>
          <w:highlight w:val="none"/>
        </w:rPr>
        <w:t>。</w:t>
      </w:r>
    </w:p>
    <w:p w14:paraId="338F9C6F">
      <w:pPr>
        <w:pStyle w:val="5"/>
        <w:wordWrap w:val="0"/>
        <w:rPr>
          <w:color w:val="auto"/>
          <w:highlight w:val="none"/>
        </w:rPr>
      </w:pPr>
      <w:r>
        <w:rPr>
          <w:rFonts w:hint="eastAsia"/>
          <w:color w:val="auto"/>
          <w:highlight w:val="none"/>
        </w:rPr>
        <w:br w:type="page"/>
      </w:r>
      <w:bookmarkStart w:id="229" w:name="_Toc17883"/>
      <w:bookmarkStart w:id="230" w:name="_Toc111186814"/>
    </w:p>
    <w:p w14:paraId="169A00E9">
      <w:pPr>
        <w:pStyle w:val="5"/>
        <w:wordWrap w:val="0"/>
        <w:rPr>
          <w:color w:val="auto"/>
          <w:highlight w:val="none"/>
        </w:rPr>
      </w:pPr>
      <w:r>
        <w:rPr>
          <w:rFonts w:hint="eastAsia"/>
          <w:color w:val="auto"/>
          <w:highlight w:val="none"/>
        </w:rPr>
        <w:t>三</w:t>
      </w:r>
      <w:bookmarkEnd w:id="229"/>
      <w:bookmarkEnd w:id="230"/>
      <w:r>
        <w:rPr>
          <w:rFonts w:hint="eastAsia"/>
          <w:color w:val="auto"/>
          <w:highlight w:val="none"/>
        </w:rPr>
        <w:t>、联合体协议书</w:t>
      </w:r>
    </w:p>
    <w:p w14:paraId="365E936A">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联合体协议书</w:t>
      </w:r>
    </w:p>
    <w:p w14:paraId="5A996D5F">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（参考格式）</w:t>
      </w:r>
    </w:p>
    <w:p w14:paraId="4DF7127B">
      <w:pPr>
        <w:wordWrap w:val="0"/>
        <w:spacing w:line="360" w:lineRule="auto"/>
        <w:jc w:val="center"/>
        <w:rPr>
          <w:rFonts w:ascii="宋体" w:hAnsi="宋体" w:eastAsia="宋体" w:cs="宋体"/>
          <w:color w:val="auto"/>
          <w:sz w:val="24"/>
          <w:szCs w:val="24"/>
          <w:highlight w:val="none"/>
        </w:rPr>
      </w:pPr>
    </w:p>
    <w:p w14:paraId="3AA0B50C">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49D837">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（招标人）</w:t>
      </w:r>
    </w:p>
    <w:p w14:paraId="44011101">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56C04369">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5D8B2DF9">
      <w:pPr>
        <w:wordWrap w:val="0"/>
        <w:spacing w:line="360" w:lineRule="auto"/>
        <w:rPr>
          <w:rFonts w:ascii="宋体" w:hAnsi="宋体" w:eastAsia="宋体" w:cs="宋体"/>
          <w:color w:val="auto"/>
          <w:sz w:val="24"/>
          <w:szCs w:val="24"/>
          <w:highlight w:val="none"/>
          <w:lang w:val="zh-CN"/>
        </w:rPr>
      </w:pPr>
    </w:p>
    <w:p w14:paraId="07FF591B">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投标主办方：（盖章）</w:t>
      </w:r>
      <w:r>
        <w:rPr>
          <w:rFonts w:hint="eastAsia" w:ascii="宋体" w:hAnsi="宋体" w:eastAsia="宋体" w:cs="宋体"/>
          <w:color w:val="auto"/>
          <w:sz w:val="24"/>
          <w:szCs w:val="24"/>
          <w:highlight w:val="none"/>
          <w:u w:val="single"/>
          <w:lang w:val="zh-CN"/>
        </w:rPr>
        <w:t xml:space="preserve">                                         </w:t>
      </w:r>
    </w:p>
    <w:p w14:paraId="5E6A6AED">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14:paraId="70618B3C">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14:paraId="232F34C1">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14:paraId="739E484D">
      <w:pPr>
        <w:wordWrap w:val="0"/>
        <w:spacing w:line="360" w:lineRule="auto"/>
        <w:rPr>
          <w:rFonts w:ascii="宋体" w:hAnsi="宋体" w:eastAsia="宋体" w:cs="宋体"/>
          <w:color w:val="auto"/>
          <w:sz w:val="24"/>
          <w:szCs w:val="24"/>
          <w:highlight w:val="none"/>
          <w:lang w:val="zh-CN"/>
        </w:rPr>
      </w:pPr>
    </w:p>
    <w:p w14:paraId="324B8CC4">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联合体成员：（盖章）</w:t>
      </w:r>
      <w:r>
        <w:rPr>
          <w:rFonts w:hint="eastAsia" w:ascii="宋体" w:hAnsi="宋体" w:eastAsia="宋体" w:cs="宋体"/>
          <w:color w:val="auto"/>
          <w:sz w:val="24"/>
          <w:szCs w:val="24"/>
          <w:highlight w:val="none"/>
          <w:u w:val="single"/>
          <w:lang w:val="zh-CN"/>
        </w:rPr>
        <w:t xml:space="preserve">                                         </w:t>
      </w:r>
    </w:p>
    <w:p w14:paraId="43C5BBFB">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14:paraId="5B90659A">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14:paraId="2977E96B">
      <w:pPr>
        <w:wordWrap w:val="0"/>
        <w:spacing w:line="360" w:lineRule="auto"/>
        <w:rPr>
          <w:rFonts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14:paraId="11DD2137">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w:t>
      </w:r>
    </w:p>
    <w:p w14:paraId="56B64BDB">
      <w:pPr>
        <w:widowControl/>
        <w:wordWrap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注：非联合体投标的，无需提交本协议书。本联合体协议书可根据联合体成员数量自行调整相关内容。</w:t>
      </w:r>
    </w:p>
    <w:p w14:paraId="64FC8C60">
      <w:pPr>
        <w:pStyle w:val="5"/>
        <w:wordWrap w:val="0"/>
        <w:rPr>
          <w:color w:val="auto"/>
          <w:highlight w:val="none"/>
          <w:u w:val="single"/>
        </w:rPr>
      </w:pPr>
      <w:r>
        <w:rPr>
          <w:rFonts w:hint="eastAsia"/>
          <w:color w:val="auto"/>
          <w:highlight w:val="none"/>
        </w:rPr>
        <w:br w:type="page"/>
      </w:r>
      <w:bookmarkStart w:id="231" w:name="_Toc23229"/>
      <w:bookmarkStart w:id="232" w:name="_Toc111186815"/>
    </w:p>
    <w:p w14:paraId="32C782DE">
      <w:pPr>
        <w:pStyle w:val="5"/>
        <w:wordWrap w:val="0"/>
        <w:rPr>
          <w:color w:val="auto"/>
          <w:highlight w:val="none"/>
        </w:rPr>
      </w:pPr>
      <w:r>
        <w:rPr>
          <w:rFonts w:hint="eastAsia"/>
          <w:color w:val="auto"/>
          <w:highlight w:val="none"/>
        </w:rPr>
        <w:t>四、投标保证金</w:t>
      </w:r>
    </w:p>
    <w:p w14:paraId="43DF85ED">
      <w:pPr>
        <w:rPr>
          <w:rFonts w:ascii="宋体" w:hAnsi="宋体" w:eastAsia="宋体"/>
          <w:color w:val="auto"/>
          <w:sz w:val="24"/>
          <w:szCs w:val="24"/>
          <w:highlight w:val="none"/>
          <w:u w:val="single"/>
          <w:lang w:val="zh-CN"/>
        </w:rPr>
      </w:pPr>
      <w:r>
        <w:rPr>
          <w:rFonts w:hint="eastAsia" w:ascii="宋体" w:hAnsi="宋体" w:eastAsia="宋体"/>
          <w:color w:val="auto"/>
          <w:sz w:val="24"/>
          <w:szCs w:val="24"/>
          <w:highlight w:val="none"/>
          <w:u w:val="single"/>
          <w:lang w:val="zh-CN"/>
        </w:rPr>
        <w:t>本项目不要求。</w:t>
      </w:r>
    </w:p>
    <w:p w14:paraId="291F9910">
      <w:pPr>
        <w:widowControl/>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highlight w:val="none"/>
        </w:rPr>
        <w:br w:type="page"/>
      </w:r>
    </w:p>
    <w:p w14:paraId="40F758B7">
      <w:pPr>
        <w:pStyle w:val="5"/>
        <w:wordWrap w:val="0"/>
        <w:rPr>
          <w:rFonts w:hint="eastAsia" w:ascii="宋体" w:hAnsi="宋体" w:eastAsia="宋体" w:cs="宋体"/>
          <w:color w:val="auto"/>
          <w:highlight w:val="none"/>
        </w:rPr>
      </w:pPr>
      <w:r>
        <w:rPr>
          <w:rFonts w:hint="eastAsia" w:ascii="宋体" w:hAnsi="宋体" w:eastAsia="宋体" w:cs="宋体"/>
          <w:color w:val="auto"/>
          <w:highlight w:val="none"/>
        </w:rPr>
        <w:t>五、勘察设计费报价表</w:t>
      </w:r>
    </w:p>
    <w:p w14:paraId="35E5B086">
      <w:pPr>
        <w:pStyle w:val="7"/>
        <w:ind w:left="111" w:leftChars="53" w:firstLine="312" w:firstLineChars="97"/>
        <w:jc w:val="center"/>
        <w:rPr>
          <w:rFonts w:hint="eastAsia" w:ascii="宋体" w:hAnsi="宋体" w:eastAsia="宋体" w:cs="宋体"/>
          <w:color w:val="auto"/>
          <w:highlight w:val="none"/>
        </w:rPr>
      </w:pPr>
      <w:r>
        <w:rPr>
          <w:rFonts w:hint="eastAsia" w:ascii="宋体" w:hAnsi="宋体" w:eastAsia="宋体" w:cs="宋体"/>
          <w:b/>
          <w:color w:val="auto"/>
          <w:sz w:val="32"/>
          <w:highlight w:val="none"/>
          <w:lang w:bidi="ar"/>
        </w:rPr>
        <w:t>勘察设计费报价汇总表（表1）</w:t>
      </w:r>
    </w:p>
    <w:tbl>
      <w:tblPr>
        <w:tblStyle w:val="45"/>
        <w:tblW w:w="9049"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670"/>
        <w:gridCol w:w="2008"/>
        <w:gridCol w:w="1824"/>
        <w:gridCol w:w="1863"/>
      </w:tblGrid>
      <w:tr w14:paraId="6D6C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noWrap w:val="0"/>
            <w:vAlign w:val="center"/>
          </w:tcPr>
          <w:p w14:paraId="17DF702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A35563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项</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6A0DE52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报价（元）</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654E4E9">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下浮率</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35A39E9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tc>
      </w:tr>
      <w:tr w14:paraId="2D6F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noWrap w:val="0"/>
            <w:vAlign w:val="top"/>
          </w:tcPr>
          <w:p w14:paraId="108D2229">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w:t>
            </w:r>
          </w:p>
        </w:tc>
        <w:tc>
          <w:tcPr>
            <w:tcW w:w="2670" w:type="dxa"/>
            <w:tcBorders>
              <w:top w:val="single" w:color="auto" w:sz="4" w:space="0"/>
              <w:left w:val="single" w:color="auto" w:sz="4" w:space="0"/>
              <w:bottom w:val="single" w:color="auto" w:sz="4" w:space="0"/>
              <w:right w:val="single" w:color="auto" w:sz="4" w:space="0"/>
            </w:tcBorders>
            <w:noWrap w:val="0"/>
            <w:vAlign w:val="top"/>
          </w:tcPr>
          <w:p w14:paraId="79F36DA0">
            <w:pPr>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设计费</w:t>
            </w:r>
          </w:p>
        </w:tc>
        <w:tc>
          <w:tcPr>
            <w:tcW w:w="2008" w:type="dxa"/>
            <w:tcBorders>
              <w:top w:val="single" w:color="auto" w:sz="4" w:space="0"/>
              <w:left w:val="single" w:color="auto" w:sz="4" w:space="0"/>
              <w:bottom w:val="single" w:color="auto" w:sz="4" w:space="0"/>
              <w:right w:val="single" w:color="auto" w:sz="4" w:space="0"/>
            </w:tcBorders>
            <w:noWrap w:val="0"/>
            <w:vAlign w:val="top"/>
          </w:tcPr>
          <w:p w14:paraId="3425CC3E">
            <w:pPr>
              <w:spacing w:line="360" w:lineRule="auto"/>
              <w:rPr>
                <w:rFonts w:hint="eastAsia" w:ascii="宋体" w:hAnsi="宋体" w:eastAsia="宋体" w:cs="宋体"/>
                <w:color w:val="auto"/>
                <w:szCs w:val="21"/>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F3BFC6D">
            <w:pPr>
              <w:spacing w:line="360" w:lineRule="auto"/>
              <w:jc w:val="center"/>
              <w:rPr>
                <w:rFonts w:hint="eastAsia" w:ascii="宋体" w:hAnsi="宋体" w:eastAsia="宋体" w:cs="宋体"/>
                <w:color w:val="auto"/>
                <w:szCs w:val="21"/>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1FCDC4BB">
            <w:pPr>
              <w:spacing w:line="360" w:lineRule="auto"/>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取自《设计费报价表》（表2）</w:t>
            </w:r>
          </w:p>
        </w:tc>
      </w:tr>
      <w:tr w14:paraId="2535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noWrap w:val="0"/>
            <w:vAlign w:val="top"/>
          </w:tcPr>
          <w:p w14:paraId="1288AEC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bidi="ar"/>
              </w:rPr>
              <w:t>二</w:t>
            </w:r>
          </w:p>
        </w:tc>
        <w:tc>
          <w:tcPr>
            <w:tcW w:w="2670" w:type="dxa"/>
            <w:tcBorders>
              <w:top w:val="single" w:color="auto" w:sz="4" w:space="0"/>
              <w:left w:val="single" w:color="auto" w:sz="4" w:space="0"/>
              <w:bottom w:val="single" w:color="auto" w:sz="4" w:space="0"/>
              <w:right w:val="single" w:color="auto" w:sz="4" w:space="0"/>
            </w:tcBorders>
            <w:noWrap w:val="0"/>
            <w:vAlign w:val="top"/>
          </w:tcPr>
          <w:p w14:paraId="4E031B1F">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bidi="ar"/>
              </w:rPr>
              <w:t>勘察费</w:t>
            </w:r>
          </w:p>
        </w:tc>
        <w:tc>
          <w:tcPr>
            <w:tcW w:w="2008" w:type="dxa"/>
            <w:tcBorders>
              <w:top w:val="single" w:color="auto" w:sz="4" w:space="0"/>
              <w:left w:val="single" w:color="auto" w:sz="4" w:space="0"/>
              <w:bottom w:val="single" w:color="auto" w:sz="4" w:space="0"/>
              <w:right w:val="single" w:color="auto" w:sz="4" w:space="0"/>
            </w:tcBorders>
            <w:noWrap w:val="0"/>
            <w:vAlign w:val="top"/>
          </w:tcPr>
          <w:p w14:paraId="1F57097F">
            <w:pPr>
              <w:spacing w:line="360" w:lineRule="auto"/>
              <w:rPr>
                <w:rFonts w:hint="eastAsia" w:ascii="宋体" w:hAnsi="宋体" w:eastAsia="宋体" w:cs="宋体"/>
                <w:color w:val="auto"/>
                <w:szCs w:val="21"/>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4A9F2BD">
            <w:pPr>
              <w:spacing w:line="360" w:lineRule="auto"/>
              <w:jc w:val="center"/>
              <w:rPr>
                <w:rFonts w:hint="eastAsia" w:ascii="宋体" w:hAnsi="宋体" w:eastAsia="宋体" w:cs="宋体"/>
                <w:color w:val="auto"/>
                <w:szCs w:val="21"/>
                <w:highlight w:val="none"/>
                <w:lang w:val="en-US" w:eastAsia="zh-CN"/>
              </w:rPr>
            </w:pPr>
          </w:p>
        </w:tc>
        <w:tc>
          <w:tcPr>
            <w:tcW w:w="1863" w:type="dxa"/>
            <w:vMerge w:val="restart"/>
            <w:tcBorders>
              <w:top w:val="single" w:color="auto" w:sz="4" w:space="0"/>
              <w:left w:val="single" w:color="auto" w:sz="4" w:space="0"/>
              <w:right w:val="single" w:color="auto" w:sz="4" w:space="0"/>
            </w:tcBorders>
            <w:noWrap w:val="0"/>
            <w:vAlign w:val="center"/>
          </w:tcPr>
          <w:p w14:paraId="0F2B43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取自工程勘察费报价汇总表（表3）</w:t>
            </w:r>
          </w:p>
        </w:tc>
      </w:tr>
      <w:tr w14:paraId="343F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noWrap w:val="0"/>
            <w:vAlign w:val="top"/>
          </w:tcPr>
          <w:p w14:paraId="71BEEECB">
            <w:pPr>
              <w:spacing w:line="360" w:lineRule="auto"/>
              <w:jc w:val="center"/>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1</w:t>
            </w:r>
          </w:p>
        </w:tc>
        <w:tc>
          <w:tcPr>
            <w:tcW w:w="2670" w:type="dxa"/>
            <w:tcBorders>
              <w:top w:val="single" w:color="auto" w:sz="4" w:space="0"/>
              <w:left w:val="single" w:color="auto" w:sz="4" w:space="0"/>
              <w:bottom w:val="single" w:color="auto" w:sz="4" w:space="0"/>
              <w:right w:val="single" w:color="auto" w:sz="4" w:space="0"/>
            </w:tcBorders>
            <w:noWrap w:val="0"/>
            <w:vAlign w:val="top"/>
          </w:tcPr>
          <w:p w14:paraId="6D631EB6">
            <w:pPr>
              <w:spacing w:line="360" w:lineRule="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岩土工程勘察费</w:t>
            </w:r>
          </w:p>
        </w:tc>
        <w:tc>
          <w:tcPr>
            <w:tcW w:w="2008" w:type="dxa"/>
            <w:tcBorders>
              <w:top w:val="single" w:color="auto" w:sz="4" w:space="0"/>
              <w:left w:val="single" w:color="auto" w:sz="4" w:space="0"/>
              <w:bottom w:val="single" w:color="auto" w:sz="4" w:space="0"/>
              <w:right w:val="single" w:color="auto" w:sz="4" w:space="0"/>
            </w:tcBorders>
            <w:noWrap w:val="0"/>
            <w:vAlign w:val="top"/>
          </w:tcPr>
          <w:p w14:paraId="08B4DEC6">
            <w:pPr>
              <w:spacing w:line="360" w:lineRule="auto"/>
              <w:rPr>
                <w:rFonts w:hint="eastAsia" w:ascii="宋体" w:hAnsi="宋体" w:eastAsia="宋体" w:cs="宋体"/>
                <w:color w:val="auto"/>
                <w:szCs w:val="21"/>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E514D11">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863" w:type="dxa"/>
            <w:vMerge w:val="continue"/>
            <w:tcBorders>
              <w:left w:val="single" w:color="auto" w:sz="4" w:space="0"/>
              <w:right w:val="single" w:color="auto" w:sz="4" w:space="0"/>
            </w:tcBorders>
            <w:noWrap w:val="0"/>
            <w:vAlign w:val="center"/>
          </w:tcPr>
          <w:p w14:paraId="7B78C6C3">
            <w:pPr>
              <w:spacing w:line="360" w:lineRule="auto"/>
              <w:jc w:val="center"/>
              <w:rPr>
                <w:rFonts w:hint="eastAsia" w:ascii="宋体" w:hAnsi="宋体" w:eastAsia="宋体" w:cs="宋体"/>
                <w:color w:val="auto"/>
                <w:szCs w:val="21"/>
                <w:highlight w:val="none"/>
              </w:rPr>
            </w:pPr>
          </w:p>
        </w:tc>
      </w:tr>
      <w:tr w14:paraId="2C97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noWrap w:val="0"/>
            <w:vAlign w:val="top"/>
          </w:tcPr>
          <w:p w14:paraId="67C09562">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670" w:type="dxa"/>
            <w:tcBorders>
              <w:top w:val="single" w:color="auto" w:sz="4" w:space="0"/>
              <w:left w:val="single" w:color="auto" w:sz="4" w:space="0"/>
              <w:bottom w:val="single" w:color="auto" w:sz="4" w:space="0"/>
              <w:right w:val="single" w:color="auto" w:sz="4" w:space="0"/>
            </w:tcBorders>
            <w:noWrap w:val="0"/>
            <w:vAlign w:val="top"/>
          </w:tcPr>
          <w:p w14:paraId="73142CAB">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测量费</w:t>
            </w:r>
          </w:p>
        </w:tc>
        <w:tc>
          <w:tcPr>
            <w:tcW w:w="2008" w:type="dxa"/>
            <w:tcBorders>
              <w:top w:val="single" w:color="auto" w:sz="4" w:space="0"/>
              <w:left w:val="single" w:color="auto" w:sz="4" w:space="0"/>
              <w:bottom w:val="single" w:color="auto" w:sz="4" w:space="0"/>
              <w:right w:val="single" w:color="auto" w:sz="4" w:space="0"/>
            </w:tcBorders>
            <w:noWrap w:val="0"/>
            <w:vAlign w:val="top"/>
          </w:tcPr>
          <w:p w14:paraId="5E81E40E">
            <w:pPr>
              <w:spacing w:line="360" w:lineRule="auto"/>
              <w:rPr>
                <w:rFonts w:hint="eastAsia" w:ascii="宋体" w:hAnsi="宋体" w:eastAsia="宋体" w:cs="宋体"/>
                <w:color w:val="auto"/>
                <w:szCs w:val="21"/>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AB6AB63">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863" w:type="dxa"/>
            <w:vMerge w:val="continue"/>
            <w:tcBorders>
              <w:left w:val="single" w:color="auto" w:sz="4" w:space="0"/>
              <w:bottom w:val="single" w:color="auto" w:sz="4" w:space="0"/>
              <w:right w:val="single" w:color="auto" w:sz="4" w:space="0"/>
            </w:tcBorders>
            <w:noWrap w:val="0"/>
            <w:vAlign w:val="center"/>
          </w:tcPr>
          <w:p w14:paraId="04E30F2B">
            <w:pPr>
              <w:spacing w:line="360" w:lineRule="auto"/>
              <w:jc w:val="center"/>
              <w:rPr>
                <w:rFonts w:hint="eastAsia" w:ascii="宋体" w:hAnsi="宋体" w:eastAsia="宋体" w:cs="宋体"/>
                <w:color w:val="auto"/>
                <w:szCs w:val="21"/>
                <w:highlight w:val="none"/>
              </w:rPr>
            </w:pPr>
          </w:p>
        </w:tc>
      </w:tr>
      <w:tr w14:paraId="52E2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noWrap w:val="0"/>
            <w:vAlign w:val="top"/>
          </w:tcPr>
          <w:p w14:paraId="0061E4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w:t>
            </w:r>
          </w:p>
        </w:tc>
        <w:tc>
          <w:tcPr>
            <w:tcW w:w="2670" w:type="dxa"/>
            <w:tcBorders>
              <w:top w:val="single" w:color="auto" w:sz="4" w:space="0"/>
              <w:left w:val="single" w:color="auto" w:sz="4" w:space="0"/>
              <w:bottom w:val="single" w:color="auto" w:sz="4" w:space="0"/>
              <w:right w:val="single" w:color="auto" w:sz="4" w:space="0"/>
            </w:tcBorders>
            <w:noWrap w:val="0"/>
            <w:vAlign w:val="top"/>
          </w:tcPr>
          <w:p w14:paraId="074AE2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勘察设计费合计（一+二）</w:t>
            </w:r>
          </w:p>
        </w:tc>
        <w:tc>
          <w:tcPr>
            <w:tcW w:w="2008" w:type="dxa"/>
            <w:tcBorders>
              <w:top w:val="single" w:color="auto" w:sz="4" w:space="0"/>
              <w:left w:val="single" w:color="auto" w:sz="4" w:space="0"/>
              <w:bottom w:val="single" w:color="auto" w:sz="4" w:space="0"/>
              <w:right w:val="single" w:color="auto" w:sz="4" w:space="0"/>
            </w:tcBorders>
            <w:noWrap w:val="0"/>
            <w:vAlign w:val="top"/>
          </w:tcPr>
          <w:p w14:paraId="131FC144">
            <w:pPr>
              <w:spacing w:line="360" w:lineRule="auto"/>
              <w:rPr>
                <w:rFonts w:hint="eastAsia" w:ascii="宋体" w:hAnsi="宋体" w:eastAsia="宋体" w:cs="宋体"/>
                <w:color w:val="auto"/>
                <w:szCs w:val="21"/>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BDA7DD6">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75E6ABEE">
            <w:pPr>
              <w:spacing w:line="360" w:lineRule="auto"/>
              <w:jc w:val="center"/>
              <w:rPr>
                <w:rFonts w:hint="eastAsia" w:ascii="宋体" w:hAnsi="宋体" w:eastAsia="宋体" w:cs="宋体"/>
                <w:color w:val="auto"/>
                <w:szCs w:val="21"/>
                <w:highlight w:val="none"/>
              </w:rPr>
            </w:pPr>
          </w:p>
        </w:tc>
      </w:tr>
    </w:tbl>
    <w:p w14:paraId="315D7F06">
      <w:pPr>
        <w:rPr>
          <w:rFonts w:hint="eastAsia" w:ascii="宋体" w:hAnsi="宋体" w:eastAsia="宋体" w:cs="宋体"/>
          <w:color w:val="auto"/>
          <w:highlight w:val="none"/>
        </w:rPr>
      </w:pPr>
      <w:r>
        <w:rPr>
          <w:rFonts w:hint="eastAsia" w:ascii="宋体" w:hAnsi="宋体" w:eastAsia="宋体" w:cs="宋体"/>
          <w:color w:val="auto"/>
          <w:highlight w:val="none"/>
        </w:rPr>
        <w:t>注：</w:t>
      </w:r>
    </w:p>
    <w:p w14:paraId="0985383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1、投标人根据《勘察设计费报价表》的要求进行报价。投标人报价应不高于限价。本项目勘察</w:t>
      </w:r>
      <w:r>
        <w:rPr>
          <w:rFonts w:hint="eastAsia" w:ascii="宋体" w:hAnsi="宋体" w:eastAsia="宋体" w:cs="宋体"/>
          <w:color w:val="auto"/>
          <w:szCs w:val="21"/>
          <w:highlight w:val="none"/>
        </w:rPr>
        <w:t>设计费最高投标限价为</w:t>
      </w:r>
      <w:r>
        <w:rPr>
          <w:rFonts w:hint="eastAsia" w:ascii="宋体" w:hAnsi="宋体" w:eastAsia="宋体" w:cs="宋体"/>
          <w:color w:val="auto"/>
          <w:szCs w:val="21"/>
          <w:highlight w:val="none"/>
          <w:u w:val="single"/>
          <w:lang w:val="en-US" w:eastAsia="zh-CN"/>
        </w:rPr>
        <w:t>985.9315</w:t>
      </w:r>
      <w:r>
        <w:rPr>
          <w:rFonts w:hint="eastAsia" w:ascii="宋体" w:hAnsi="宋体" w:eastAsia="宋体" w:cs="宋体"/>
          <w:b w:val="0"/>
          <w:bCs w:val="0"/>
          <w:color w:val="auto"/>
          <w:kern w:val="0"/>
          <w:sz w:val="21"/>
          <w:szCs w:val="21"/>
          <w:highlight w:val="none"/>
        </w:rPr>
        <w:t>万元，其中：勘察费最高投标限价</w:t>
      </w:r>
      <w:r>
        <w:rPr>
          <w:rFonts w:hint="eastAsia" w:ascii="宋体" w:hAnsi="宋体" w:eastAsia="宋体" w:cs="宋体"/>
          <w:b w:val="0"/>
          <w:bCs w:val="0"/>
          <w:color w:val="auto"/>
          <w:kern w:val="0"/>
          <w:sz w:val="21"/>
          <w:szCs w:val="21"/>
          <w:highlight w:val="none"/>
          <w:lang w:eastAsia="zh-CN"/>
        </w:rPr>
        <w:t>为</w:t>
      </w:r>
      <w:r>
        <w:rPr>
          <w:rFonts w:hint="eastAsia" w:ascii="宋体" w:hAnsi="宋体" w:eastAsia="宋体" w:cs="宋体"/>
          <w:b w:val="0"/>
          <w:bCs w:val="0"/>
          <w:color w:val="auto"/>
          <w:kern w:val="0"/>
          <w:sz w:val="21"/>
          <w:szCs w:val="21"/>
          <w:highlight w:val="none"/>
          <w:u w:val="single"/>
          <w:lang w:val="en-US" w:eastAsia="zh-CN"/>
        </w:rPr>
        <w:t>104.3105</w:t>
      </w:r>
      <w:r>
        <w:rPr>
          <w:rFonts w:hint="eastAsia" w:ascii="宋体" w:hAnsi="宋体" w:eastAsia="宋体" w:cs="宋体"/>
          <w:b w:val="0"/>
          <w:bCs w:val="0"/>
          <w:color w:val="auto"/>
          <w:kern w:val="0"/>
          <w:sz w:val="21"/>
          <w:szCs w:val="21"/>
          <w:highlight w:val="none"/>
        </w:rPr>
        <w:t>万元</w:t>
      </w:r>
      <w:r>
        <w:rPr>
          <w:rFonts w:hint="eastAsia" w:ascii="宋体" w:hAnsi="宋体" w:eastAsia="宋体" w:cs="宋体"/>
          <w:b w:val="0"/>
          <w:bCs w:val="0"/>
          <w:color w:val="auto"/>
          <w:kern w:val="0"/>
          <w:sz w:val="21"/>
          <w:szCs w:val="21"/>
          <w:highlight w:val="none"/>
          <w:lang w:eastAsia="zh-CN"/>
        </w:rPr>
        <w:t>（其中：</w:t>
      </w:r>
      <w:r>
        <w:rPr>
          <w:rFonts w:hint="eastAsia" w:ascii="宋体" w:hAnsi="宋体" w:eastAsia="宋体" w:cs="宋体"/>
          <w:b w:val="0"/>
          <w:bCs w:val="0"/>
          <w:color w:val="auto"/>
          <w:kern w:val="0"/>
          <w:sz w:val="21"/>
          <w:szCs w:val="21"/>
          <w:highlight w:val="none"/>
          <w:lang w:val="en-US" w:eastAsia="zh-CN"/>
        </w:rPr>
        <w:t>岩土工程勘察费限价</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u w:val="single"/>
          <w:lang w:val="en-US" w:eastAsia="zh-CN"/>
        </w:rPr>
        <w:t>84.25</w:t>
      </w:r>
      <w:r>
        <w:rPr>
          <w:rFonts w:hint="eastAsia" w:ascii="宋体" w:hAnsi="宋体" w:eastAsia="宋体" w:cs="宋体"/>
          <w:b w:val="0"/>
          <w:bCs w:val="0"/>
          <w:color w:val="auto"/>
          <w:kern w:val="0"/>
          <w:sz w:val="21"/>
          <w:szCs w:val="21"/>
          <w:highlight w:val="none"/>
        </w:rPr>
        <w:t>万元</w:t>
      </w:r>
      <w:r>
        <w:rPr>
          <w:rFonts w:hint="eastAsia" w:ascii="宋体" w:hAnsi="宋体" w:eastAsia="宋体" w:cs="宋体"/>
          <w:b w:val="0"/>
          <w:bCs w:val="0"/>
          <w:color w:val="auto"/>
          <w:kern w:val="0"/>
          <w:sz w:val="21"/>
          <w:szCs w:val="21"/>
          <w:highlight w:val="none"/>
          <w:lang w:eastAsia="zh-CN"/>
        </w:rPr>
        <w:t>，测量费限价</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u w:val="single"/>
          <w:lang w:val="en-US" w:eastAsia="zh-CN"/>
        </w:rPr>
        <w:t>20.0605</w:t>
      </w:r>
      <w:r>
        <w:rPr>
          <w:rFonts w:hint="eastAsia" w:ascii="宋体" w:hAnsi="宋体" w:eastAsia="宋体" w:cs="宋体"/>
          <w:b w:val="0"/>
          <w:bCs w:val="0"/>
          <w:color w:val="auto"/>
          <w:kern w:val="0"/>
          <w:sz w:val="21"/>
          <w:szCs w:val="21"/>
          <w:highlight w:val="none"/>
        </w:rPr>
        <w:t>万元</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，设计费最高投标限价</w:t>
      </w:r>
      <w:r>
        <w:rPr>
          <w:rFonts w:hint="eastAsia" w:ascii="宋体" w:hAnsi="宋体" w:eastAsia="宋体" w:cs="宋体"/>
          <w:b w:val="0"/>
          <w:bCs w:val="0"/>
          <w:color w:val="auto"/>
          <w:kern w:val="0"/>
          <w:sz w:val="21"/>
          <w:szCs w:val="21"/>
          <w:highlight w:val="none"/>
          <w:lang w:eastAsia="zh-CN"/>
        </w:rPr>
        <w:t>为</w:t>
      </w:r>
      <w:r>
        <w:rPr>
          <w:rFonts w:hint="eastAsia" w:ascii="宋体" w:hAnsi="宋体" w:eastAsia="宋体" w:cs="宋体"/>
          <w:b w:val="0"/>
          <w:bCs w:val="0"/>
          <w:color w:val="auto"/>
          <w:kern w:val="0"/>
          <w:sz w:val="21"/>
          <w:szCs w:val="21"/>
          <w:highlight w:val="none"/>
          <w:u w:val="single"/>
          <w:lang w:val="en-US" w:eastAsia="zh-CN"/>
        </w:rPr>
        <w:t>881.621</w:t>
      </w:r>
      <w:r>
        <w:rPr>
          <w:rFonts w:hint="eastAsia" w:ascii="宋体" w:hAnsi="宋体" w:eastAsia="宋体" w:cs="宋体"/>
          <w:b w:val="0"/>
          <w:bCs w:val="0"/>
          <w:color w:val="auto"/>
          <w:kern w:val="0"/>
          <w:sz w:val="21"/>
          <w:szCs w:val="21"/>
          <w:highlight w:val="none"/>
        </w:rPr>
        <w:t>万元</w:t>
      </w:r>
      <w:r>
        <w:rPr>
          <w:rFonts w:hint="eastAsia" w:ascii="宋体" w:hAnsi="宋体" w:eastAsia="宋体" w:cs="宋体"/>
          <w:color w:val="auto"/>
          <w:szCs w:val="21"/>
          <w:highlight w:val="none"/>
        </w:rPr>
        <w:t>。</w:t>
      </w:r>
    </w:p>
    <w:p w14:paraId="2FC72F61">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2、综合单价控制价见计费表3-1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。本项目设置招标总价控制价及综合单价控制价，</w:t>
      </w:r>
      <w:r>
        <w:rPr>
          <w:rFonts w:hint="eastAsia" w:ascii="宋体" w:hAnsi="宋体" w:eastAsia="宋体" w:cs="宋体"/>
          <w:color w:val="auto"/>
          <w:highlight w:val="none"/>
        </w:rPr>
        <w:t>投标总价超过招标总控制价或投标报价中的综合单价超过相应的综合单价限价时，投标文件将做废标处理。</w:t>
      </w:r>
    </w:p>
    <w:p w14:paraId="0C77BD8A">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3、若投标人的投标报价计算错误，发包人有权作出修正，若修正后价格超过招标控制价的，投标文件将做废标处理。</w:t>
      </w:r>
    </w:p>
    <w:p w14:paraId="051B3C0E">
      <w:pPr>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highlight w:val="none"/>
        </w:rPr>
        <w:t>4、按上述修正错误的原则及方法调整或修正投标文件的投标报价，调整后的投标报价对投标人起约束作用。如果投标人不接受修正后的报价，则取消其投标资格，并且其投标担保也将被没收。</w:t>
      </w:r>
    </w:p>
    <w:p w14:paraId="1B8688EA">
      <w:pPr>
        <w:ind w:firstLine="482"/>
        <w:rPr>
          <w:rFonts w:hint="eastAsia" w:ascii="宋体" w:hAnsi="宋体" w:eastAsia="宋体" w:cs="宋体"/>
          <w:color w:val="auto"/>
          <w:sz w:val="24"/>
          <w:highlight w:val="none"/>
        </w:rPr>
      </w:pPr>
    </w:p>
    <w:p w14:paraId="1EBBC9D3">
      <w:pPr>
        <w:ind w:firstLine="482"/>
        <w:rPr>
          <w:rFonts w:hint="eastAsia" w:ascii="宋体" w:hAnsi="宋体" w:eastAsia="宋体" w:cs="宋体"/>
          <w:color w:val="auto"/>
          <w:sz w:val="24"/>
          <w:highlight w:val="none"/>
        </w:rPr>
      </w:pPr>
    </w:p>
    <w:p w14:paraId="3EED4CB2">
      <w:pPr>
        <w:ind w:firstLine="482"/>
        <w:rPr>
          <w:rFonts w:hint="eastAsia" w:ascii="宋体" w:hAnsi="宋体" w:eastAsia="宋体" w:cs="宋体"/>
          <w:color w:val="auto"/>
          <w:sz w:val="24"/>
          <w:highlight w:val="none"/>
        </w:rPr>
      </w:pPr>
    </w:p>
    <w:p w14:paraId="18930EC6">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
          <w:sz w:val="24"/>
          <w:szCs w:val="24"/>
          <w:highlight w:val="none"/>
        </w:rPr>
        <w:t>（盖章）</w:t>
      </w:r>
    </w:p>
    <w:p w14:paraId="09A82F7D">
      <w:pPr>
        <w:wordWrap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69083BDE">
      <w:pPr>
        <w:wordWrap w:val="0"/>
        <w:spacing w:line="360" w:lineRule="auto"/>
        <w:rPr>
          <w:rFonts w:hint="eastAsia" w:ascii="宋体" w:hAnsi="宋体" w:eastAsia="宋体" w:cs="宋体"/>
          <w:b/>
          <w:bCs/>
          <w:color w:val="auto"/>
          <w:sz w:val="24"/>
          <w:szCs w:val="24"/>
          <w:highlight w:val="none"/>
          <w:u w:val="single"/>
        </w:rPr>
      </w:pPr>
    </w:p>
    <w:p w14:paraId="72446AD5">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70EEC192">
      <w:pPr>
        <w:ind w:firstLine="482"/>
        <w:rPr>
          <w:rFonts w:hint="eastAsia" w:ascii="宋体" w:hAnsi="宋体" w:eastAsia="宋体" w:cs="宋体"/>
          <w:color w:val="auto"/>
          <w:sz w:val="24"/>
          <w:highlight w:val="none"/>
        </w:rPr>
      </w:pPr>
    </w:p>
    <w:p w14:paraId="4ED64D32">
      <w:pPr>
        <w:ind w:firstLine="482"/>
        <w:rPr>
          <w:rFonts w:hint="eastAsia" w:ascii="宋体" w:hAnsi="宋体" w:eastAsia="宋体" w:cs="宋体"/>
          <w:color w:val="auto"/>
          <w:sz w:val="24"/>
          <w:highlight w:val="none"/>
        </w:rPr>
      </w:pPr>
    </w:p>
    <w:p w14:paraId="749DB282">
      <w:pPr>
        <w:ind w:firstLine="482"/>
        <w:rPr>
          <w:rFonts w:hint="eastAsia" w:ascii="宋体" w:hAnsi="宋体" w:eastAsia="宋体" w:cs="宋体"/>
          <w:color w:val="auto"/>
          <w:sz w:val="24"/>
          <w:highlight w:val="none"/>
        </w:rPr>
      </w:pPr>
    </w:p>
    <w:p w14:paraId="0784B5E5">
      <w:pPr>
        <w:ind w:firstLine="482"/>
        <w:jc w:val="right"/>
        <w:rPr>
          <w:rFonts w:hint="eastAsia" w:ascii="宋体" w:hAnsi="宋体" w:eastAsia="宋体" w:cs="宋体"/>
          <w:color w:val="auto"/>
          <w:sz w:val="24"/>
          <w:highlight w:val="none"/>
        </w:rPr>
      </w:pPr>
    </w:p>
    <w:p w14:paraId="159ECCAE">
      <w:pPr>
        <w:rPr>
          <w:rFonts w:hint="eastAsia" w:ascii="宋体" w:hAnsi="宋体" w:eastAsia="宋体" w:cs="宋体"/>
          <w:color w:val="auto"/>
          <w:sz w:val="24"/>
          <w:highlight w:val="none"/>
        </w:rPr>
      </w:pPr>
    </w:p>
    <w:p w14:paraId="04B11661">
      <w:pPr>
        <w:ind w:firstLine="482"/>
        <w:rPr>
          <w:rFonts w:hint="eastAsia" w:ascii="宋体" w:hAnsi="宋体" w:eastAsia="宋体" w:cs="宋体"/>
          <w:color w:val="auto"/>
          <w:sz w:val="24"/>
          <w:highlight w:val="none"/>
        </w:rPr>
        <w:sectPr>
          <w:footerReference r:id="rId5"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14:paraId="2BBAC2B3">
      <w:pPr>
        <w:spacing w:line="360" w:lineRule="auto"/>
        <w:ind w:firstLine="643" w:firstLineChars="200"/>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设计费报价表（表2）</w:t>
      </w:r>
    </w:p>
    <w:tbl>
      <w:tblPr>
        <w:tblStyle w:val="45"/>
        <w:tblpPr w:leftFromText="180" w:rightFromText="180" w:vertAnchor="text" w:horzAnchor="page" w:tblpX="1250" w:tblpY="218"/>
        <w:tblOverlap w:val="never"/>
        <w:tblW w:w="9796" w:type="dxa"/>
        <w:tblInd w:w="0" w:type="dxa"/>
        <w:tblLayout w:type="fixed"/>
        <w:tblCellMar>
          <w:top w:w="0" w:type="dxa"/>
          <w:left w:w="108" w:type="dxa"/>
          <w:bottom w:w="0" w:type="dxa"/>
          <w:right w:w="108" w:type="dxa"/>
        </w:tblCellMar>
      </w:tblPr>
      <w:tblGrid>
        <w:gridCol w:w="523"/>
        <w:gridCol w:w="2905"/>
        <w:gridCol w:w="1215"/>
        <w:gridCol w:w="1091"/>
        <w:gridCol w:w="4062"/>
      </w:tblGrid>
      <w:tr w14:paraId="3E174A78">
        <w:tblPrEx>
          <w:tblCellMar>
            <w:top w:w="0" w:type="dxa"/>
            <w:left w:w="108" w:type="dxa"/>
            <w:bottom w:w="0" w:type="dxa"/>
            <w:right w:w="108" w:type="dxa"/>
          </w:tblCellMar>
        </w:tblPrEx>
        <w:trPr>
          <w:trHeight w:val="615"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265E1F88">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2905" w:type="dxa"/>
            <w:tcBorders>
              <w:top w:val="single" w:color="auto" w:sz="4" w:space="0"/>
              <w:left w:val="nil"/>
              <w:bottom w:val="single" w:color="auto" w:sz="4" w:space="0"/>
              <w:right w:val="single" w:color="auto" w:sz="4" w:space="0"/>
            </w:tcBorders>
            <w:noWrap w:val="0"/>
            <w:vAlign w:val="center"/>
          </w:tcPr>
          <w:p w14:paraId="430CD767">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分项名称</w:t>
            </w:r>
          </w:p>
        </w:tc>
        <w:tc>
          <w:tcPr>
            <w:tcW w:w="1215" w:type="dxa"/>
            <w:tcBorders>
              <w:top w:val="single" w:color="auto" w:sz="4" w:space="0"/>
              <w:left w:val="nil"/>
              <w:bottom w:val="nil"/>
              <w:right w:val="single" w:color="auto" w:sz="4" w:space="0"/>
            </w:tcBorders>
            <w:noWrap w:val="0"/>
            <w:vAlign w:val="center"/>
          </w:tcPr>
          <w:p w14:paraId="42F368EA">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估算价</w:t>
            </w:r>
            <w:r>
              <w:rPr>
                <w:rFonts w:hint="eastAsia" w:ascii="宋体" w:hAnsi="宋体" w:eastAsia="宋体" w:cs="宋体"/>
                <w:b/>
                <w:color w:val="auto"/>
                <w:kern w:val="0"/>
                <w:szCs w:val="21"/>
                <w:highlight w:val="none"/>
                <w:lang w:bidi="ar"/>
              </w:rPr>
              <w:br w:type="textWrapping"/>
            </w:r>
            <w:r>
              <w:rPr>
                <w:rFonts w:hint="eastAsia" w:ascii="宋体" w:hAnsi="宋体" w:eastAsia="宋体" w:cs="宋体"/>
                <w:b/>
                <w:color w:val="auto"/>
                <w:kern w:val="0"/>
                <w:szCs w:val="21"/>
                <w:highlight w:val="none"/>
                <w:lang w:bidi="ar"/>
              </w:rPr>
              <w:t xml:space="preserve">(万元) </w:t>
            </w:r>
          </w:p>
        </w:tc>
        <w:tc>
          <w:tcPr>
            <w:tcW w:w="1091" w:type="dxa"/>
            <w:tcBorders>
              <w:top w:val="single" w:color="auto" w:sz="4" w:space="0"/>
              <w:left w:val="nil"/>
              <w:bottom w:val="single" w:color="auto" w:sz="4" w:space="0"/>
              <w:right w:val="single" w:color="auto" w:sz="4" w:space="0"/>
            </w:tcBorders>
            <w:noWrap w:val="0"/>
            <w:vAlign w:val="center"/>
          </w:tcPr>
          <w:p w14:paraId="08FF9455">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设计费</w:t>
            </w:r>
            <w:r>
              <w:rPr>
                <w:rFonts w:hint="eastAsia" w:ascii="宋体" w:hAnsi="宋体" w:eastAsia="宋体" w:cs="宋体"/>
                <w:b/>
                <w:color w:val="auto"/>
                <w:kern w:val="0"/>
                <w:szCs w:val="21"/>
                <w:highlight w:val="none"/>
                <w:lang w:bidi="ar"/>
              </w:rPr>
              <w:br w:type="textWrapping"/>
            </w:r>
            <w:r>
              <w:rPr>
                <w:rFonts w:hint="eastAsia" w:ascii="宋体" w:hAnsi="宋体" w:eastAsia="宋体" w:cs="宋体"/>
                <w:b/>
                <w:color w:val="auto"/>
                <w:kern w:val="0"/>
                <w:szCs w:val="21"/>
                <w:highlight w:val="none"/>
                <w:lang w:bidi="ar"/>
              </w:rPr>
              <w:t>(元)</w:t>
            </w:r>
          </w:p>
        </w:tc>
        <w:tc>
          <w:tcPr>
            <w:tcW w:w="4062" w:type="dxa"/>
            <w:tcBorders>
              <w:top w:val="single" w:color="auto" w:sz="4" w:space="0"/>
              <w:left w:val="nil"/>
              <w:bottom w:val="single" w:color="auto" w:sz="4" w:space="0"/>
              <w:right w:val="single" w:color="auto" w:sz="4" w:space="0"/>
            </w:tcBorders>
            <w:noWrap w:val="0"/>
            <w:vAlign w:val="center"/>
          </w:tcPr>
          <w:p w14:paraId="3D3FE6BF">
            <w:pPr>
              <w:widowControl/>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4D8D37C7">
        <w:tblPrEx>
          <w:tblCellMar>
            <w:top w:w="0" w:type="dxa"/>
            <w:left w:w="108" w:type="dxa"/>
            <w:bottom w:w="0" w:type="dxa"/>
            <w:right w:w="108" w:type="dxa"/>
          </w:tblCellMar>
        </w:tblPrEx>
        <w:trPr>
          <w:trHeight w:val="480" w:hRule="atLeast"/>
        </w:trPr>
        <w:tc>
          <w:tcPr>
            <w:tcW w:w="523" w:type="dxa"/>
            <w:tcBorders>
              <w:top w:val="nil"/>
              <w:left w:val="single" w:color="auto" w:sz="4" w:space="0"/>
              <w:bottom w:val="single" w:color="auto" w:sz="4" w:space="0"/>
              <w:right w:val="single" w:color="auto" w:sz="4" w:space="0"/>
            </w:tcBorders>
            <w:noWrap w:val="0"/>
            <w:vAlign w:val="center"/>
          </w:tcPr>
          <w:p w14:paraId="099D520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w:t>
            </w:r>
          </w:p>
        </w:tc>
        <w:tc>
          <w:tcPr>
            <w:tcW w:w="2905" w:type="dxa"/>
            <w:tcBorders>
              <w:top w:val="nil"/>
              <w:left w:val="nil"/>
              <w:bottom w:val="single" w:color="auto" w:sz="4" w:space="0"/>
              <w:right w:val="single" w:color="auto" w:sz="4" w:space="0"/>
            </w:tcBorders>
            <w:noWrap w:val="0"/>
            <w:vAlign w:val="center"/>
          </w:tcPr>
          <w:p w14:paraId="516B8548">
            <w:pPr>
              <w:widowControl/>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基本设计费</w:t>
            </w:r>
          </w:p>
        </w:tc>
        <w:tc>
          <w:tcPr>
            <w:tcW w:w="1215" w:type="dxa"/>
            <w:tcBorders>
              <w:top w:val="single" w:color="auto" w:sz="4" w:space="0"/>
              <w:left w:val="nil"/>
              <w:bottom w:val="single" w:color="auto" w:sz="4" w:space="0"/>
              <w:right w:val="single" w:color="auto" w:sz="4" w:space="0"/>
            </w:tcBorders>
            <w:noWrap w:val="0"/>
            <w:vAlign w:val="center"/>
          </w:tcPr>
          <w:p w14:paraId="4B4DA622">
            <w:pPr>
              <w:widowControl/>
              <w:jc w:val="center"/>
              <w:rPr>
                <w:rFonts w:hint="eastAsia" w:ascii="宋体" w:hAnsi="宋体" w:eastAsia="宋体" w:cs="宋体"/>
                <w:color w:val="auto"/>
                <w:kern w:val="0"/>
                <w:szCs w:val="21"/>
                <w:highlight w:val="none"/>
              </w:rPr>
            </w:pPr>
          </w:p>
        </w:tc>
        <w:tc>
          <w:tcPr>
            <w:tcW w:w="1091" w:type="dxa"/>
            <w:tcBorders>
              <w:top w:val="nil"/>
              <w:left w:val="nil"/>
              <w:bottom w:val="single" w:color="auto" w:sz="4" w:space="0"/>
              <w:right w:val="single" w:color="auto" w:sz="4" w:space="0"/>
            </w:tcBorders>
            <w:noWrap w:val="0"/>
            <w:vAlign w:val="center"/>
          </w:tcPr>
          <w:p w14:paraId="7518D5AB">
            <w:pPr>
              <w:widowControl/>
              <w:jc w:val="center"/>
              <w:rPr>
                <w:rFonts w:hint="eastAsia" w:ascii="宋体" w:hAnsi="宋体" w:eastAsia="宋体" w:cs="宋体"/>
                <w:color w:val="auto"/>
                <w:kern w:val="0"/>
                <w:szCs w:val="21"/>
                <w:highlight w:val="none"/>
              </w:rPr>
            </w:pPr>
          </w:p>
        </w:tc>
        <w:tc>
          <w:tcPr>
            <w:tcW w:w="4062" w:type="dxa"/>
            <w:tcBorders>
              <w:top w:val="nil"/>
              <w:left w:val="nil"/>
              <w:bottom w:val="single" w:color="auto" w:sz="4" w:space="0"/>
              <w:right w:val="single" w:color="auto" w:sz="4" w:space="0"/>
            </w:tcBorders>
            <w:noWrap w:val="0"/>
            <w:vAlign w:val="center"/>
          </w:tcPr>
          <w:p w14:paraId="6CBFD44D">
            <w:pPr>
              <w:widowControl/>
              <w:jc w:val="center"/>
              <w:rPr>
                <w:rFonts w:hint="eastAsia" w:ascii="宋体" w:hAnsi="宋体" w:eastAsia="宋体" w:cs="宋体"/>
                <w:color w:val="auto"/>
                <w:kern w:val="0"/>
                <w:szCs w:val="21"/>
                <w:highlight w:val="none"/>
              </w:rPr>
            </w:pPr>
          </w:p>
        </w:tc>
      </w:tr>
      <w:tr w14:paraId="0E12E111">
        <w:tblPrEx>
          <w:tblCellMar>
            <w:top w:w="0" w:type="dxa"/>
            <w:left w:w="108" w:type="dxa"/>
            <w:bottom w:w="0" w:type="dxa"/>
            <w:right w:w="108" w:type="dxa"/>
          </w:tblCellMar>
        </w:tblPrEx>
        <w:trPr>
          <w:trHeight w:val="480" w:hRule="atLeast"/>
        </w:trPr>
        <w:tc>
          <w:tcPr>
            <w:tcW w:w="523" w:type="dxa"/>
            <w:tcBorders>
              <w:top w:val="nil"/>
              <w:left w:val="single" w:color="auto" w:sz="4" w:space="0"/>
              <w:bottom w:val="single" w:color="auto" w:sz="4" w:space="0"/>
              <w:right w:val="single" w:color="auto" w:sz="4" w:space="0"/>
            </w:tcBorders>
            <w:noWrap w:val="0"/>
            <w:vAlign w:val="center"/>
          </w:tcPr>
          <w:p w14:paraId="62B7E8B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2905" w:type="dxa"/>
            <w:tcBorders>
              <w:top w:val="nil"/>
              <w:left w:val="nil"/>
              <w:bottom w:val="single" w:color="auto" w:sz="4" w:space="0"/>
              <w:right w:val="single" w:color="auto" w:sz="4" w:space="0"/>
            </w:tcBorders>
            <w:noWrap w:val="0"/>
            <w:vAlign w:val="center"/>
          </w:tcPr>
          <w:p w14:paraId="491401AF">
            <w:pPr>
              <w:widowControl/>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w:t>
            </w:r>
          </w:p>
        </w:tc>
        <w:tc>
          <w:tcPr>
            <w:tcW w:w="1215" w:type="dxa"/>
            <w:tcBorders>
              <w:top w:val="single" w:color="auto" w:sz="4" w:space="0"/>
              <w:left w:val="nil"/>
              <w:bottom w:val="single" w:color="auto" w:sz="4" w:space="0"/>
              <w:right w:val="single" w:color="auto" w:sz="4" w:space="0"/>
            </w:tcBorders>
            <w:noWrap w:val="0"/>
            <w:vAlign w:val="center"/>
          </w:tcPr>
          <w:p w14:paraId="5BFB3FE6">
            <w:pPr>
              <w:widowControl/>
              <w:jc w:val="center"/>
              <w:rPr>
                <w:rFonts w:hint="eastAsia" w:ascii="宋体" w:hAnsi="宋体" w:eastAsia="宋体" w:cs="宋体"/>
                <w:color w:val="auto"/>
                <w:kern w:val="0"/>
                <w:szCs w:val="21"/>
                <w:highlight w:val="none"/>
              </w:rPr>
            </w:pPr>
          </w:p>
        </w:tc>
        <w:tc>
          <w:tcPr>
            <w:tcW w:w="1091" w:type="dxa"/>
            <w:tcBorders>
              <w:top w:val="nil"/>
              <w:left w:val="nil"/>
              <w:bottom w:val="single" w:color="auto" w:sz="4" w:space="0"/>
              <w:right w:val="single" w:color="auto" w:sz="4" w:space="0"/>
            </w:tcBorders>
            <w:noWrap w:val="0"/>
            <w:vAlign w:val="center"/>
          </w:tcPr>
          <w:p w14:paraId="0341ACDA">
            <w:pPr>
              <w:widowControl/>
              <w:jc w:val="center"/>
              <w:rPr>
                <w:rFonts w:hint="eastAsia" w:ascii="宋体" w:hAnsi="宋体" w:eastAsia="宋体" w:cs="宋体"/>
                <w:color w:val="auto"/>
                <w:kern w:val="0"/>
                <w:szCs w:val="21"/>
                <w:highlight w:val="none"/>
              </w:rPr>
            </w:pPr>
          </w:p>
        </w:tc>
        <w:tc>
          <w:tcPr>
            <w:tcW w:w="4062" w:type="dxa"/>
            <w:tcBorders>
              <w:top w:val="nil"/>
              <w:left w:val="nil"/>
              <w:bottom w:val="single" w:color="auto" w:sz="4" w:space="0"/>
              <w:right w:val="single" w:color="auto" w:sz="4" w:space="0"/>
            </w:tcBorders>
            <w:noWrap w:val="0"/>
            <w:vAlign w:val="center"/>
          </w:tcPr>
          <w:p w14:paraId="7E175E6B">
            <w:pPr>
              <w:widowControl/>
              <w:jc w:val="center"/>
              <w:rPr>
                <w:rFonts w:hint="eastAsia" w:ascii="宋体" w:hAnsi="宋体" w:eastAsia="宋体" w:cs="宋体"/>
                <w:color w:val="auto"/>
                <w:kern w:val="0"/>
                <w:szCs w:val="21"/>
                <w:highlight w:val="none"/>
              </w:rPr>
            </w:pPr>
          </w:p>
        </w:tc>
      </w:tr>
      <w:tr w14:paraId="2D03F8E6">
        <w:tblPrEx>
          <w:tblCellMar>
            <w:top w:w="0" w:type="dxa"/>
            <w:left w:w="108" w:type="dxa"/>
            <w:bottom w:w="0" w:type="dxa"/>
            <w:right w:w="108" w:type="dxa"/>
          </w:tblCellMar>
        </w:tblPrEx>
        <w:trPr>
          <w:trHeight w:val="480" w:hRule="atLeast"/>
        </w:trPr>
        <w:tc>
          <w:tcPr>
            <w:tcW w:w="523" w:type="dxa"/>
            <w:tcBorders>
              <w:top w:val="nil"/>
              <w:left w:val="single" w:color="auto" w:sz="4" w:space="0"/>
              <w:bottom w:val="single" w:color="auto" w:sz="4" w:space="0"/>
              <w:right w:val="single" w:color="auto" w:sz="4" w:space="0"/>
            </w:tcBorders>
            <w:noWrap w:val="0"/>
            <w:vAlign w:val="center"/>
          </w:tcPr>
          <w:p w14:paraId="5ABCCD7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2905" w:type="dxa"/>
            <w:tcBorders>
              <w:top w:val="nil"/>
              <w:left w:val="nil"/>
              <w:bottom w:val="single" w:color="auto" w:sz="4" w:space="0"/>
              <w:right w:val="single" w:color="auto" w:sz="4" w:space="0"/>
            </w:tcBorders>
            <w:noWrap w:val="0"/>
            <w:vAlign w:val="center"/>
          </w:tcPr>
          <w:p w14:paraId="08E9366B">
            <w:pPr>
              <w:widowControl/>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w:t>
            </w:r>
          </w:p>
        </w:tc>
        <w:tc>
          <w:tcPr>
            <w:tcW w:w="1215" w:type="dxa"/>
            <w:tcBorders>
              <w:top w:val="single" w:color="auto" w:sz="4" w:space="0"/>
              <w:left w:val="nil"/>
              <w:bottom w:val="single" w:color="auto" w:sz="4" w:space="0"/>
              <w:right w:val="single" w:color="auto" w:sz="4" w:space="0"/>
            </w:tcBorders>
            <w:noWrap w:val="0"/>
            <w:vAlign w:val="center"/>
          </w:tcPr>
          <w:p w14:paraId="52FF1380">
            <w:pPr>
              <w:widowControl/>
              <w:jc w:val="center"/>
              <w:rPr>
                <w:rFonts w:hint="eastAsia" w:ascii="宋体" w:hAnsi="宋体" w:eastAsia="宋体" w:cs="宋体"/>
                <w:color w:val="auto"/>
                <w:kern w:val="0"/>
                <w:szCs w:val="21"/>
                <w:highlight w:val="none"/>
              </w:rPr>
            </w:pPr>
          </w:p>
        </w:tc>
        <w:tc>
          <w:tcPr>
            <w:tcW w:w="1091" w:type="dxa"/>
            <w:tcBorders>
              <w:top w:val="nil"/>
              <w:left w:val="nil"/>
              <w:bottom w:val="single" w:color="auto" w:sz="4" w:space="0"/>
              <w:right w:val="single" w:color="auto" w:sz="4" w:space="0"/>
            </w:tcBorders>
            <w:noWrap w:val="0"/>
            <w:vAlign w:val="center"/>
          </w:tcPr>
          <w:p w14:paraId="73A8895E">
            <w:pPr>
              <w:widowControl/>
              <w:jc w:val="center"/>
              <w:rPr>
                <w:rFonts w:hint="eastAsia" w:ascii="宋体" w:hAnsi="宋体" w:eastAsia="宋体" w:cs="宋体"/>
                <w:color w:val="auto"/>
                <w:kern w:val="0"/>
                <w:szCs w:val="21"/>
                <w:highlight w:val="none"/>
              </w:rPr>
            </w:pPr>
          </w:p>
        </w:tc>
        <w:tc>
          <w:tcPr>
            <w:tcW w:w="4062" w:type="dxa"/>
            <w:tcBorders>
              <w:top w:val="nil"/>
              <w:left w:val="nil"/>
              <w:bottom w:val="single" w:color="auto" w:sz="4" w:space="0"/>
              <w:right w:val="single" w:color="auto" w:sz="4" w:space="0"/>
            </w:tcBorders>
            <w:noWrap w:val="0"/>
            <w:vAlign w:val="center"/>
          </w:tcPr>
          <w:p w14:paraId="057B6B51">
            <w:pPr>
              <w:widowControl/>
              <w:jc w:val="center"/>
              <w:rPr>
                <w:rFonts w:hint="eastAsia" w:ascii="宋体" w:hAnsi="宋体" w:eastAsia="宋体" w:cs="宋体"/>
                <w:color w:val="auto"/>
                <w:kern w:val="0"/>
                <w:szCs w:val="21"/>
                <w:highlight w:val="none"/>
              </w:rPr>
            </w:pPr>
          </w:p>
        </w:tc>
      </w:tr>
      <w:tr w14:paraId="5225C744">
        <w:tblPrEx>
          <w:tblCellMar>
            <w:top w:w="0" w:type="dxa"/>
            <w:left w:w="108" w:type="dxa"/>
            <w:bottom w:w="0" w:type="dxa"/>
            <w:right w:w="108" w:type="dxa"/>
          </w:tblCellMar>
        </w:tblPrEx>
        <w:trPr>
          <w:trHeight w:val="480" w:hRule="atLeast"/>
        </w:trPr>
        <w:tc>
          <w:tcPr>
            <w:tcW w:w="523" w:type="dxa"/>
            <w:tcBorders>
              <w:top w:val="nil"/>
              <w:left w:val="single" w:color="auto" w:sz="4" w:space="0"/>
              <w:bottom w:val="single" w:color="auto" w:sz="4" w:space="0"/>
              <w:right w:val="single" w:color="auto" w:sz="4" w:space="0"/>
            </w:tcBorders>
            <w:noWrap w:val="0"/>
            <w:vAlign w:val="center"/>
          </w:tcPr>
          <w:p w14:paraId="6E29CB3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2905" w:type="dxa"/>
            <w:tcBorders>
              <w:top w:val="nil"/>
              <w:left w:val="nil"/>
              <w:bottom w:val="single" w:color="auto" w:sz="4" w:space="0"/>
              <w:right w:val="single" w:color="auto" w:sz="4" w:space="0"/>
            </w:tcBorders>
            <w:noWrap w:val="0"/>
            <w:vAlign w:val="center"/>
          </w:tcPr>
          <w:p w14:paraId="28E326DC">
            <w:pPr>
              <w:widowControl/>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w:t>
            </w:r>
          </w:p>
        </w:tc>
        <w:tc>
          <w:tcPr>
            <w:tcW w:w="1215" w:type="dxa"/>
            <w:tcBorders>
              <w:top w:val="single" w:color="auto" w:sz="4" w:space="0"/>
              <w:left w:val="nil"/>
              <w:bottom w:val="single" w:color="auto" w:sz="4" w:space="0"/>
              <w:right w:val="single" w:color="auto" w:sz="4" w:space="0"/>
            </w:tcBorders>
            <w:noWrap w:val="0"/>
            <w:vAlign w:val="center"/>
          </w:tcPr>
          <w:p w14:paraId="2DF6796B">
            <w:pPr>
              <w:widowControl/>
              <w:jc w:val="center"/>
              <w:rPr>
                <w:rFonts w:hint="eastAsia" w:ascii="宋体" w:hAnsi="宋体" w:eastAsia="宋体" w:cs="宋体"/>
                <w:color w:val="auto"/>
                <w:kern w:val="0"/>
                <w:szCs w:val="21"/>
                <w:highlight w:val="none"/>
              </w:rPr>
            </w:pPr>
          </w:p>
        </w:tc>
        <w:tc>
          <w:tcPr>
            <w:tcW w:w="1091" w:type="dxa"/>
            <w:tcBorders>
              <w:top w:val="nil"/>
              <w:left w:val="nil"/>
              <w:bottom w:val="single" w:color="auto" w:sz="4" w:space="0"/>
              <w:right w:val="single" w:color="auto" w:sz="4" w:space="0"/>
            </w:tcBorders>
            <w:noWrap w:val="0"/>
            <w:vAlign w:val="center"/>
          </w:tcPr>
          <w:p w14:paraId="7F597E53">
            <w:pPr>
              <w:widowControl/>
              <w:jc w:val="center"/>
              <w:rPr>
                <w:rFonts w:hint="eastAsia" w:ascii="宋体" w:hAnsi="宋体" w:eastAsia="宋体" w:cs="宋体"/>
                <w:color w:val="auto"/>
                <w:kern w:val="0"/>
                <w:szCs w:val="21"/>
                <w:highlight w:val="none"/>
              </w:rPr>
            </w:pPr>
          </w:p>
        </w:tc>
        <w:tc>
          <w:tcPr>
            <w:tcW w:w="4062" w:type="dxa"/>
            <w:tcBorders>
              <w:top w:val="nil"/>
              <w:left w:val="nil"/>
              <w:bottom w:val="single" w:color="auto" w:sz="4" w:space="0"/>
              <w:right w:val="single" w:color="auto" w:sz="4" w:space="0"/>
            </w:tcBorders>
            <w:noWrap w:val="0"/>
            <w:vAlign w:val="center"/>
          </w:tcPr>
          <w:p w14:paraId="3C96E43A">
            <w:pPr>
              <w:widowControl/>
              <w:jc w:val="center"/>
              <w:rPr>
                <w:rFonts w:hint="eastAsia" w:ascii="宋体" w:hAnsi="宋体" w:eastAsia="宋体" w:cs="宋体"/>
                <w:color w:val="auto"/>
                <w:kern w:val="0"/>
                <w:szCs w:val="21"/>
                <w:highlight w:val="none"/>
              </w:rPr>
            </w:pPr>
          </w:p>
        </w:tc>
      </w:tr>
      <w:tr w14:paraId="60641140">
        <w:tblPrEx>
          <w:tblCellMar>
            <w:top w:w="0" w:type="dxa"/>
            <w:left w:w="108" w:type="dxa"/>
            <w:bottom w:w="0" w:type="dxa"/>
            <w:right w:w="108" w:type="dxa"/>
          </w:tblCellMar>
        </w:tblPrEx>
        <w:trPr>
          <w:trHeight w:val="480" w:hRule="atLeast"/>
        </w:trPr>
        <w:tc>
          <w:tcPr>
            <w:tcW w:w="523" w:type="dxa"/>
            <w:tcBorders>
              <w:top w:val="nil"/>
              <w:left w:val="single" w:color="auto" w:sz="4" w:space="0"/>
              <w:bottom w:val="single" w:color="auto" w:sz="4" w:space="0"/>
              <w:right w:val="single" w:color="auto" w:sz="4" w:space="0"/>
            </w:tcBorders>
            <w:noWrap w:val="0"/>
            <w:vAlign w:val="center"/>
          </w:tcPr>
          <w:p w14:paraId="47FEC9EC">
            <w:pPr>
              <w:widowControl/>
              <w:jc w:val="center"/>
              <w:rPr>
                <w:rFonts w:hint="eastAsia" w:ascii="宋体" w:hAnsi="宋体" w:eastAsia="宋体" w:cs="宋体"/>
                <w:color w:val="auto"/>
                <w:kern w:val="0"/>
                <w:szCs w:val="21"/>
                <w:highlight w:val="none"/>
                <w:lang w:eastAsia="zh-CN" w:bidi="ar"/>
              </w:rPr>
            </w:pPr>
          </w:p>
        </w:tc>
        <w:tc>
          <w:tcPr>
            <w:tcW w:w="2905" w:type="dxa"/>
            <w:tcBorders>
              <w:top w:val="nil"/>
              <w:left w:val="nil"/>
              <w:bottom w:val="single" w:color="auto" w:sz="4" w:space="0"/>
              <w:right w:val="single" w:color="auto" w:sz="4" w:space="0"/>
            </w:tcBorders>
            <w:noWrap w:val="0"/>
            <w:vAlign w:val="center"/>
          </w:tcPr>
          <w:p w14:paraId="77C10761">
            <w:pPr>
              <w:widowControl/>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w:t>
            </w:r>
          </w:p>
        </w:tc>
        <w:tc>
          <w:tcPr>
            <w:tcW w:w="1215" w:type="dxa"/>
            <w:tcBorders>
              <w:top w:val="single" w:color="auto" w:sz="4" w:space="0"/>
              <w:left w:val="nil"/>
              <w:bottom w:val="single" w:color="auto" w:sz="4" w:space="0"/>
              <w:right w:val="single" w:color="auto" w:sz="4" w:space="0"/>
            </w:tcBorders>
            <w:noWrap w:val="0"/>
            <w:vAlign w:val="center"/>
          </w:tcPr>
          <w:p w14:paraId="7F46FE83">
            <w:pPr>
              <w:widowControl/>
              <w:jc w:val="center"/>
              <w:rPr>
                <w:rFonts w:hint="eastAsia" w:ascii="宋体" w:hAnsi="宋体" w:eastAsia="宋体" w:cs="宋体"/>
                <w:color w:val="auto"/>
                <w:kern w:val="0"/>
                <w:szCs w:val="21"/>
                <w:highlight w:val="none"/>
              </w:rPr>
            </w:pPr>
          </w:p>
        </w:tc>
        <w:tc>
          <w:tcPr>
            <w:tcW w:w="1091" w:type="dxa"/>
            <w:tcBorders>
              <w:top w:val="nil"/>
              <w:left w:val="nil"/>
              <w:bottom w:val="single" w:color="auto" w:sz="4" w:space="0"/>
              <w:right w:val="single" w:color="auto" w:sz="4" w:space="0"/>
            </w:tcBorders>
            <w:noWrap w:val="0"/>
            <w:vAlign w:val="center"/>
          </w:tcPr>
          <w:p w14:paraId="349089E7">
            <w:pPr>
              <w:widowControl/>
              <w:jc w:val="center"/>
              <w:rPr>
                <w:rFonts w:hint="eastAsia" w:ascii="宋体" w:hAnsi="宋体" w:eastAsia="宋体" w:cs="宋体"/>
                <w:color w:val="auto"/>
                <w:kern w:val="0"/>
                <w:szCs w:val="21"/>
                <w:highlight w:val="none"/>
              </w:rPr>
            </w:pPr>
          </w:p>
        </w:tc>
        <w:tc>
          <w:tcPr>
            <w:tcW w:w="4062" w:type="dxa"/>
            <w:tcBorders>
              <w:top w:val="nil"/>
              <w:left w:val="nil"/>
              <w:bottom w:val="single" w:color="auto" w:sz="4" w:space="0"/>
              <w:right w:val="single" w:color="auto" w:sz="4" w:space="0"/>
            </w:tcBorders>
            <w:noWrap w:val="0"/>
            <w:vAlign w:val="center"/>
          </w:tcPr>
          <w:p w14:paraId="4D2DEFCD">
            <w:pPr>
              <w:widowControl/>
              <w:jc w:val="center"/>
              <w:rPr>
                <w:rFonts w:hint="eastAsia" w:ascii="宋体" w:hAnsi="宋体" w:eastAsia="宋体" w:cs="宋体"/>
                <w:color w:val="auto"/>
                <w:kern w:val="0"/>
                <w:szCs w:val="21"/>
                <w:highlight w:val="none"/>
              </w:rPr>
            </w:pPr>
          </w:p>
        </w:tc>
      </w:tr>
      <w:tr w14:paraId="6C7847DF">
        <w:tblPrEx>
          <w:tblCellMar>
            <w:top w:w="0" w:type="dxa"/>
            <w:left w:w="108" w:type="dxa"/>
            <w:bottom w:w="0" w:type="dxa"/>
            <w:right w:w="108" w:type="dxa"/>
          </w:tblCellMar>
        </w:tblPrEx>
        <w:trPr>
          <w:trHeight w:val="480" w:hRule="atLeast"/>
        </w:trPr>
        <w:tc>
          <w:tcPr>
            <w:tcW w:w="523" w:type="dxa"/>
            <w:tcBorders>
              <w:top w:val="nil"/>
              <w:left w:val="single" w:color="auto" w:sz="4" w:space="0"/>
              <w:bottom w:val="single" w:color="auto" w:sz="4" w:space="0"/>
              <w:right w:val="single" w:color="auto" w:sz="4" w:space="0"/>
            </w:tcBorders>
            <w:noWrap w:val="0"/>
            <w:vAlign w:val="center"/>
          </w:tcPr>
          <w:p w14:paraId="6A285ED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二</w:t>
            </w:r>
          </w:p>
        </w:tc>
        <w:tc>
          <w:tcPr>
            <w:tcW w:w="2905" w:type="dxa"/>
            <w:tcBorders>
              <w:top w:val="nil"/>
              <w:left w:val="nil"/>
              <w:bottom w:val="single" w:color="auto" w:sz="4" w:space="0"/>
              <w:right w:val="single" w:color="auto" w:sz="4" w:space="0"/>
            </w:tcBorders>
            <w:noWrap w:val="0"/>
            <w:vAlign w:val="center"/>
          </w:tcPr>
          <w:p w14:paraId="7CBE8F68">
            <w:pPr>
              <w:widowControl/>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竣工图编制费</w:t>
            </w:r>
          </w:p>
        </w:tc>
        <w:tc>
          <w:tcPr>
            <w:tcW w:w="1215" w:type="dxa"/>
            <w:tcBorders>
              <w:top w:val="single" w:color="auto" w:sz="4" w:space="0"/>
              <w:left w:val="nil"/>
              <w:bottom w:val="single" w:color="auto" w:sz="4" w:space="0"/>
              <w:right w:val="single" w:color="auto" w:sz="4" w:space="0"/>
            </w:tcBorders>
            <w:noWrap w:val="0"/>
            <w:vAlign w:val="center"/>
          </w:tcPr>
          <w:p w14:paraId="2DC69C07">
            <w:pPr>
              <w:widowControl/>
              <w:jc w:val="center"/>
              <w:rPr>
                <w:rFonts w:hint="eastAsia" w:ascii="宋体" w:hAnsi="宋体" w:eastAsia="宋体" w:cs="宋体"/>
                <w:color w:val="auto"/>
                <w:kern w:val="0"/>
                <w:szCs w:val="21"/>
                <w:highlight w:val="none"/>
              </w:rPr>
            </w:pPr>
          </w:p>
        </w:tc>
        <w:tc>
          <w:tcPr>
            <w:tcW w:w="1091" w:type="dxa"/>
            <w:tcBorders>
              <w:top w:val="nil"/>
              <w:left w:val="nil"/>
              <w:bottom w:val="single" w:color="auto" w:sz="4" w:space="0"/>
              <w:right w:val="single" w:color="auto" w:sz="4" w:space="0"/>
            </w:tcBorders>
            <w:noWrap w:val="0"/>
            <w:vAlign w:val="center"/>
          </w:tcPr>
          <w:p w14:paraId="444286D8">
            <w:pPr>
              <w:widowControl/>
              <w:jc w:val="center"/>
              <w:rPr>
                <w:rFonts w:hint="eastAsia" w:ascii="宋体" w:hAnsi="宋体" w:eastAsia="宋体" w:cs="宋体"/>
                <w:color w:val="auto"/>
                <w:kern w:val="0"/>
                <w:szCs w:val="21"/>
                <w:highlight w:val="none"/>
              </w:rPr>
            </w:pPr>
          </w:p>
        </w:tc>
        <w:tc>
          <w:tcPr>
            <w:tcW w:w="4062" w:type="dxa"/>
            <w:tcBorders>
              <w:top w:val="nil"/>
              <w:left w:val="nil"/>
              <w:bottom w:val="single" w:color="auto" w:sz="4" w:space="0"/>
              <w:right w:val="single" w:color="auto" w:sz="4" w:space="0"/>
            </w:tcBorders>
            <w:noWrap w:val="0"/>
            <w:vAlign w:val="center"/>
          </w:tcPr>
          <w:p w14:paraId="47990F05">
            <w:pPr>
              <w:widowControl/>
              <w:jc w:val="center"/>
              <w:rPr>
                <w:rFonts w:hint="eastAsia" w:ascii="宋体" w:hAnsi="宋体" w:eastAsia="宋体" w:cs="宋体"/>
                <w:color w:val="auto"/>
                <w:kern w:val="0"/>
                <w:szCs w:val="21"/>
                <w:highlight w:val="none"/>
              </w:rPr>
            </w:pPr>
          </w:p>
        </w:tc>
      </w:tr>
      <w:tr w14:paraId="13E07258">
        <w:tblPrEx>
          <w:tblCellMar>
            <w:top w:w="0" w:type="dxa"/>
            <w:left w:w="108" w:type="dxa"/>
            <w:bottom w:w="0" w:type="dxa"/>
            <w:right w:w="108" w:type="dxa"/>
          </w:tblCellMar>
        </w:tblPrEx>
        <w:trPr>
          <w:trHeight w:val="48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9A1ACA6">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三</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7C5F4576">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设计费合计</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412BFC0">
            <w:pPr>
              <w:widowControl/>
              <w:jc w:val="center"/>
              <w:rPr>
                <w:rFonts w:hint="eastAsia" w:ascii="宋体" w:hAnsi="宋体" w:eastAsia="宋体" w:cs="宋体"/>
                <w:color w:val="auto"/>
                <w:kern w:val="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9016D4">
            <w:pPr>
              <w:widowControl/>
              <w:jc w:val="center"/>
              <w:rPr>
                <w:rFonts w:hint="eastAsia" w:ascii="宋体" w:hAnsi="宋体" w:eastAsia="宋体" w:cs="宋体"/>
                <w:color w:val="auto"/>
                <w:kern w:val="0"/>
                <w:szCs w:val="21"/>
                <w:highlight w:val="none"/>
              </w:rPr>
            </w:pPr>
          </w:p>
        </w:tc>
        <w:tc>
          <w:tcPr>
            <w:tcW w:w="4062" w:type="dxa"/>
            <w:tcBorders>
              <w:top w:val="single" w:color="auto" w:sz="4" w:space="0"/>
              <w:left w:val="single" w:color="auto" w:sz="4" w:space="0"/>
              <w:bottom w:val="single" w:color="auto" w:sz="4" w:space="0"/>
              <w:right w:val="single" w:color="auto" w:sz="4" w:space="0"/>
            </w:tcBorders>
            <w:noWrap w:val="0"/>
            <w:vAlign w:val="center"/>
          </w:tcPr>
          <w:p w14:paraId="66938E00">
            <w:pPr>
              <w:widowControl/>
              <w:jc w:val="center"/>
              <w:rPr>
                <w:rFonts w:hint="eastAsia" w:ascii="宋体" w:hAnsi="宋体" w:eastAsia="宋体" w:cs="宋体"/>
                <w:color w:val="auto"/>
                <w:kern w:val="0"/>
                <w:szCs w:val="21"/>
                <w:highlight w:val="none"/>
              </w:rPr>
            </w:pPr>
          </w:p>
        </w:tc>
      </w:tr>
      <w:tr w14:paraId="4574F789">
        <w:tblPrEx>
          <w:tblCellMar>
            <w:top w:w="0" w:type="dxa"/>
            <w:left w:w="108" w:type="dxa"/>
            <w:bottom w:w="0" w:type="dxa"/>
            <w:right w:w="108" w:type="dxa"/>
          </w:tblCellMar>
        </w:tblPrEx>
        <w:trPr>
          <w:trHeight w:val="48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2CF5759D">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四</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77195D8C">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设计费下浮率</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BFE39C0">
            <w:pPr>
              <w:widowControl/>
              <w:jc w:val="center"/>
              <w:rPr>
                <w:rFonts w:hint="eastAsia" w:ascii="宋体" w:hAnsi="宋体" w:eastAsia="宋体" w:cs="宋体"/>
                <w:color w:val="auto"/>
                <w:kern w:val="0"/>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0C88993">
            <w:pPr>
              <w:widowControl/>
              <w:jc w:val="center"/>
              <w:rPr>
                <w:rFonts w:hint="eastAsia" w:ascii="宋体" w:hAnsi="宋体" w:eastAsia="宋体" w:cs="宋体"/>
                <w:color w:val="auto"/>
                <w:kern w:val="0"/>
                <w:szCs w:val="21"/>
                <w:highlight w:val="none"/>
              </w:rPr>
            </w:pPr>
          </w:p>
        </w:tc>
        <w:tc>
          <w:tcPr>
            <w:tcW w:w="4062" w:type="dxa"/>
            <w:tcBorders>
              <w:top w:val="single" w:color="auto" w:sz="4" w:space="0"/>
              <w:left w:val="single" w:color="auto" w:sz="4" w:space="0"/>
              <w:bottom w:val="single" w:color="auto" w:sz="4" w:space="0"/>
              <w:right w:val="single" w:color="auto" w:sz="4" w:space="0"/>
            </w:tcBorders>
            <w:noWrap w:val="0"/>
            <w:vAlign w:val="center"/>
          </w:tcPr>
          <w:p w14:paraId="16C2B2E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设计费下浮率=（设计费限价-设计费）/设计费限价*100%</w:t>
            </w:r>
          </w:p>
        </w:tc>
      </w:tr>
    </w:tbl>
    <w:p w14:paraId="52973084">
      <w:pPr>
        <w:rPr>
          <w:rFonts w:hint="eastAsia" w:ascii="宋体" w:hAnsi="宋体" w:eastAsia="宋体" w:cs="宋体"/>
          <w:color w:val="auto"/>
          <w:highlight w:val="none"/>
        </w:rPr>
      </w:pPr>
    </w:p>
    <w:p w14:paraId="03163DC1">
      <w:pPr>
        <w:rPr>
          <w:rFonts w:hint="eastAsia" w:ascii="宋体" w:hAnsi="宋体" w:eastAsia="宋体" w:cs="宋体"/>
          <w:color w:val="auto"/>
          <w:highlight w:val="none"/>
        </w:rPr>
      </w:pPr>
    </w:p>
    <w:p w14:paraId="03075957">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注：(1)按本项目设计范围的专业进行报价。</w:t>
      </w:r>
    </w:p>
    <w:p w14:paraId="4ACA3F58">
      <w:pPr>
        <w:widowControl/>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bCs/>
          <w:color w:val="auto"/>
          <w:highlight w:val="none"/>
          <w:lang w:bidi="ar"/>
        </w:rPr>
        <w:t>本项目设置招标总价控制价，投标总价超过招标总控制价时，投标文件将做废标处理。</w:t>
      </w:r>
      <w:r>
        <w:rPr>
          <w:rFonts w:hint="eastAsia" w:ascii="宋体" w:hAnsi="宋体" w:eastAsia="宋体" w:cs="宋体"/>
          <w:color w:val="auto"/>
          <w:kern w:val="0"/>
          <w:szCs w:val="21"/>
          <w:highlight w:val="none"/>
          <w:u w:val="single"/>
          <w:lang w:bidi="ar"/>
        </w:rPr>
        <w:t>若投标人的投标报价计算错误，发包人有权作出修正，若修正后价格超过招标控制价时，</w:t>
      </w:r>
      <w:r>
        <w:rPr>
          <w:rFonts w:hint="eastAsia" w:ascii="宋体" w:hAnsi="宋体" w:eastAsia="宋体" w:cs="宋体"/>
          <w:bCs/>
          <w:color w:val="auto"/>
          <w:highlight w:val="none"/>
          <w:u w:val="single"/>
          <w:lang w:bidi="ar"/>
        </w:rPr>
        <w:t>投标文件将做废标处理</w:t>
      </w:r>
      <w:r>
        <w:rPr>
          <w:rFonts w:hint="eastAsia" w:ascii="宋体" w:hAnsi="宋体" w:eastAsia="宋体" w:cs="宋体"/>
          <w:color w:val="auto"/>
          <w:kern w:val="0"/>
          <w:szCs w:val="21"/>
          <w:highlight w:val="none"/>
          <w:lang w:bidi="ar"/>
        </w:rPr>
        <w:t>。</w:t>
      </w:r>
    </w:p>
    <w:p w14:paraId="6E94383C">
      <w:pPr>
        <w:ind w:firstLine="42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本合同价已包括完成本项目立项批复范围内的所有设计内容及所勾选的其他服务（合同条款第1条）的费用，承包人应在报价中考虑所有相关费用，不论承包人投标报价表是否有相应报价，其费用均视为已包含在报价中，发包人不另行计量支付。</w:t>
      </w:r>
    </w:p>
    <w:p w14:paraId="4356E098">
      <w:pPr>
        <w:jc w:val="left"/>
        <w:rPr>
          <w:rFonts w:hint="eastAsia" w:ascii="宋体" w:hAnsi="宋体" w:eastAsia="宋体" w:cs="宋体"/>
          <w:color w:val="auto"/>
          <w:highlight w:val="none"/>
        </w:rPr>
        <w:sectPr>
          <w:footerReference r:id="rId6"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6"/>
        <w:gridCol w:w="2838"/>
        <w:gridCol w:w="2077"/>
        <w:gridCol w:w="2865"/>
      </w:tblGrid>
      <w:tr w14:paraId="1D1C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shd w:val="clear" w:color="auto" w:fill="auto"/>
            <w:noWrap/>
            <w:vAlign w:val="bottom"/>
          </w:tcPr>
          <w:p w14:paraId="5253BD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auto"/>
                <w:sz w:val="32"/>
                <w:szCs w:val="32"/>
                <w:highlight w:val="none"/>
                <w:u w:val="none"/>
                <w:lang w:val="en-US"/>
              </w:rPr>
            </w:pPr>
            <w:r>
              <w:rPr>
                <w:rFonts w:hint="eastAsia" w:ascii="宋体" w:hAnsi="宋体" w:eastAsia="宋体" w:cs="宋体"/>
                <w:b/>
                <w:bCs/>
                <w:i w:val="0"/>
                <w:iCs w:val="0"/>
                <w:color w:val="auto"/>
                <w:kern w:val="0"/>
                <w:sz w:val="32"/>
                <w:szCs w:val="32"/>
                <w:highlight w:val="none"/>
                <w:u w:val="none"/>
                <w:lang w:val="en-US" w:eastAsia="zh-CN" w:bidi="ar"/>
              </w:rPr>
              <w:t>工程勘察费报价汇总表（表3）</w:t>
            </w:r>
          </w:p>
        </w:tc>
      </w:tr>
      <w:tr w14:paraId="5054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9F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86" w:type="pct"/>
            <w:tcBorders>
              <w:top w:val="single" w:color="000000" w:sz="4" w:space="0"/>
              <w:left w:val="single" w:color="000000" w:sz="4" w:space="0"/>
              <w:bottom w:val="single" w:color="000000" w:sz="4" w:space="0"/>
              <w:right w:val="nil"/>
            </w:tcBorders>
            <w:shd w:val="clear" w:color="auto" w:fill="auto"/>
            <w:vAlign w:val="center"/>
          </w:tcPr>
          <w:p w14:paraId="446726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CC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投标报价（元）</w:t>
            </w: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04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1656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A2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60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岩土工程勘察费</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B8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C75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取自表</w:t>
            </w:r>
            <w:r>
              <w:rPr>
                <w:rFonts w:hint="eastAsia" w:ascii="宋体" w:hAnsi="宋体" w:eastAsia="宋体" w:cs="宋体"/>
                <w:i w:val="0"/>
                <w:iCs w:val="0"/>
                <w:color w:val="auto"/>
                <w:sz w:val="21"/>
                <w:szCs w:val="21"/>
                <w:highlight w:val="none"/>
                <w:u w:val="none"/>
                <w:lang w:val="en-US" w:eastAsia="zh-CN"/>
              </w:rPr>
              <w:t>3-1</w:t>
            </w:r>
          </w:p>
        </w:tc>
      </w:tr>
      <w:tr w14:paraId="3C69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62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CC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测量费</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F8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AF2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取自表</w:t>
            </w:r>
            <w:r>
              <w:rPr>
                <w:rFonts w:hint="eastAsia" w:ascii="宋体" w:hAnsi="宋体" w:eastAsia="宋体" w:cs="宋体"/>
                <w:i w:val="0"/>
                <w:iCs w:val="0"/>
                <w:color w:val="auto"/>
                <w:sz w:val="21"/>
                <w:szCs w:val="21"/>
                <w:highlight w:val="none"/>
                <w:u w:val="none"/>
                <w:lang w:val="en-US" w:eastAsia="zh-CN"/>
              </w:rPr>
              <w:t>3-2</w:t>
            </w:r>
          </w:p>
        </w:tc>
      </w:tr>
      <w:tr w14:paraId="7F7A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39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8C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合计（1+2）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F0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p>
        </w:tc>
        <w:tc>
          <w:tcPr>
            <w:tcW w:w="1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85A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auto"/>
                <w:sz w:val="21"/>
                <w:szCs w:val="21"/>
                <w:highlight w:val="none"/>
                <w:u w:val="none"/>
              </w:rPr>
            </w:pPr>
          </w:p>
        </w:tc>
      </w:tr>
    </w:tbl>
    <w:p w14:paraId="49DFFCE2">
      <w:pPr>
        <w:wordWrap/>
        <w:spacing w:line="240" w:lineRule="auto"/>
        <w:jc w:val="left"/>
        <w:rPr>
          <w:rFonts w:hint="eastAsia" w:ascii="宋体" w:hAnsi="宋体" w:eastAsia="宋体" w:cs="宋体"/>
          <w:b/>
          <w:bCs/>
          <w:i w:val="0"/>
          <w:iCs w:val="0"/>
          <w:color w:val="auto"/>
          <w:kern w:val="0"/>
          <w:sz w:val="28"/>
          <w:szCs w:val="28"/>
          <w:highlight w:val="none"/>
          <w:u w:val="none"/>
          <w:lang w:val="en-US" w:eastAsia="zh-CN" w:bidi="ar"/>
        </w:rPr>
      </w:pPr>
      <w:r>
        <w:rPr>
          <w:rFonts w:hint="eastAsia"/>
          <w:color w:val="auto"/>
          <w:highlight w:val="none"/>
        </w:rPr>
        <w:t>注：</w:t>
      </w:r>
      <w:r>
        <w:rPr>
          <w:rFonts w:hint="eastAsia"/>
          <w:bCs/>
          <w:color w:val="auto"/>
          <w:highlight w:val="none"/>
        </w:rPr>
        <w:t>本项目设置招标总价控制价及综合单价控制价，投标总价超过招标总控制价或投标报价中的综合单价超过相应的综合单价限价时，投标文件将做废标处理。</w:t>
      </w:r>
      <w:r>
        <w:rPr>
          <w:rFonts w:hint="eastAsia" w:ascii="宋体" w:hAnsi="宋体" w:cs="宋体"/>
          <w:color w:val="auto"/>
          <w:highlight w:val="none"/>
          <w:u w:val="single"/>
        </w:rPr>
        <w:t>若投标人的投标报价计算错误，发包人有权作出修正，若修正后价格超过招标控制价时，</w:t>
      </w:r>
      <w:r>
        <w:rPr>
          <w:rFonts w:hint="eastAsia"/>
          <w:bCs/>
          <w:color w:val="auto"/>
          <w:highlight w:val="none"/>
          <w:u w:val="single"/>
        </w:rPr>
        <w:t>投标文件将做废标处理</w:t>
      </w:r>
      <w:r>
        <w:rPr>
          <w:rFonts w:hint="eastAsia" w:ascii="宋体" w:hAnsi="宋体" w:cs="宋体"/>
          <w:color w:val="auto"/>
          <w:highlight w:val="none"/>
        </w:rPr>
        <w:t>。</w:t>
      </w:r>
    </w:p>
    <w:p w14:paraId="62AB02C0">
      <w:pPr>
        <w:wordWrap/>
        <w:spacing w:line="240" w:lineRule="auto"/>
        <w:jc w:val="left"/>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br w:type="page"/>
      </w:r>
    </w:p>
    <w:p w14:paraId="4D75C93E">
      <w:pPr>
        <w:wordWrap/>
        <w:spacing w:line="240" w:lineRule="auto"/>
        <w:jc w:val="center"/>
        <w:rPr>
          <w:rFonts w:hint="eastAsia" w:ascii="宋体" w:hAnsi="宋体" w:eastAsia="宋体" w:cs="宋体"/>
          <w:b/>
          <w:bCs/>
          <w:color w:val="auto"/>
          <w:sz w:val="24"/>
          <w:szCs w:val="24"/>
          <w:highlight w:val="none"/>
          <w:u w:val="single"/>
        </w:rPr>
      </w:pPr>
      <w:r>
        <w:rPr>
          <w:rFonts w:hint="eastAsia" w:ascii="宋体" w:hAnsi="宋体" w:eastAsia="宋体" w:cs="宋体"/>
          <w:b/>
          <w:bCs/>
          <w:i w:val="0"/>
          <w:iCs w:val="0"/>
          <w:color w:val="auto"/>
          <w:kern w:val="0"/>
          <w:sz w:val="28"/>
          <w:szCs w:val="28"/>
          <w:highlight w:val="none"/>
          <w:u w:val="none"/>
          <w:lang w:val="en-US" w:eastAsia="zh-CN" w:bidi="ar"/>
        </w:rPr>
        <w:t>表3-1岩土工程勘察投标报价表</w:t>
      </w:r>
    </w:p>
    <w:p w14:paraId="2E4A21B7">
      <w:pPr>
        <w:wordWrap/>
        <w:spacing w:line="240" w:lineRule="auto"/>
        <w:rPr>
          <w:rFonts w:hint="eastAsia" w:ascii="宋体" w:hAnsi="宋体" w:eastAsia="宋体" w:cs="宋体"/>
          <w:b/>
          <w:bCs/>
          <w:color w:val="auto"/>
          <w:sz w:val="24"/>
          <w:szCs w:val="24"/>
          <w:highlight w:val="none"/>
          <w:u w:val="single"/>
        </w:rPr>
      </w:pPr>
    </w:p>
    <w:tbl>
      <w:tblPr>
        <w:tblStyle w:val="45"/>
        <w:tblW w:w="9633"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767"/>
        <w:gridCol w:w="959"/>
        <w:gridCol w:w="1250"/>
        <w:gridCol w:w="607"/>
        <w:gridCol w:w="917"/>
        <w:gridCol w:w="933"/>
        <w:gridCol w:w="917"/>
        <w:gridCol w:w="900"/>
        <w:gridCol w:w="1733"/>
      </w:tblGrid>
      <w:tr w14:paraId="56B2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84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0290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E7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分类</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18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D5F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勘探数量（米）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DE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限价               （元/米）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21B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投标单价（元/米）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C4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小计（元）</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D2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00C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995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B0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隧道</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岩土陆上钻探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E8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一般场地、行车路面、山地、林地</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E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2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B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80FD">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5A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8CC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含工作平台措施，如利用施工单位或不设平台的扣100元/米。</w:t>
            </w:r>
          </w:p>
        </w:tc>
      </w:tr>
      <w:tr w14:paraId="550C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BBEE">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CF86">
            <w:pPr>
              <w:jc w:val="center"/>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岩土陆上钻探（利用孔）</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一般场地、行车路面、山地、林地</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8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6C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1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E2BD">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1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0C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参考《工程勘察设计收费标准》（2002年修订本），利用孔只计取技术工作费，因此利用孔单价按实钻孔单价的50%计。</w:t>
            </w:r>
          </w:p>
        </w:tc>
      </w:tr>
      <w:tr w14:paraId="67CE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8088">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3B00">
            <w:pPr>
              <w:jc w:val="center"/>
              <w:rPr>
                <w:rFonts w:hint="eastAsia" w:ascii="宋体" w:hAnsi="宋体" w:eastAsia="宋体" w:cs="宋体"/>
                <w:i w:val="0"/>
                <w:iCs w:val="0"/>
                <w:color w:val="auto"/>
                <w:sz w:val="21"/>
                <w:szCs w:val="21"/>
                <w:highlight w:val="none"/>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D0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岩土江河湖上钻探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E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一般河涌</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C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7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A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E3CC">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A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C6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含平台，如利用施工单位的平台则按一般场地计</w:t>
            </w:r>
          </w:p>
        </w:tc>
      </w:tr>
      <w:tr w14:paraId="2B47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2A411">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B0F1">
            <w:pPr>
              <w:jc w:val="center"/>
              <w:rPr>
                <w:rFonts w:hint="eastAsia" w:ascii="宋体" w:hAnsi="宋体" w:eastAsia="宋体" w:cs="宋体"/>
                <w:i w:val="0"/>
                <w:iCs w:val="0"/>
                <w:color w:val="auto"/>
                <w:sz w:val="21"/>
                <w:szCs w:val="21"/>
                <w:highlight w:val="none"/>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3E5F">
            <w:pPr>
              <w:jc w:val="center"/>
              <w:rPr>
                <w:rFonts w:hint="eastAsia" w:ascii="宋体" w:hAnsi="宋体" w:eastAsia="宋体" w:cs="宋体"/>
                <w:i w:val="0"/>
                <w:iCs w:val="0"/>
                <w:color w:val="auto"/>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B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通航河道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2B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C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71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0D4E">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DA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6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含平台，如利用施工单位的平台扣250元/米</w:t>
            </w:r>
          </w:p>
        </w:tc>
      </w:tr>
      <w:tr w14:paraId="40E6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3788">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7CBD">
            <w:pPr>
              <w:jc w:val="center"/>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2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岩土塘沼上钻探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B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水塘、沼泽地、稻田</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9C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8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DF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32CE">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9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058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含平台，如利用施工单位的平台按一般场地计</w:t>
            </w:r>
          </w:p>
        </w:tc>
      </w:tr>
      <w:tr w14:paraId="67DE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B857">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27D1">
            <w:pPr>
              <w:jc w:val="center"/>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04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特殊岩土钻探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8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岩溶地区、孤石发育地区</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45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CD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1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9050">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9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F6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含平台，如利用施工单位或不设平台的扣250元/米</w:t>
            </w:r>
          </w:p>
        </w:tc>
      </w:tr>
      <w:tr w14:paraId="081A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77A4E">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50AD">
            <w:pPr>
              <w:jc w:val="center"/>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0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特殊岩土钻探（利用孔）</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C5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岩溶地区、孤石发育地区</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2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A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8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ADB2">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7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17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参考《工程勘察设计收费标准》（2002年修订本），利用孔只计取技术工作费，因此利用孔单价按实钻孔单价的50%计。</w:t>
            </w:r>
          </w:p>
        </w:tc>
      </w:tr>
      <w:tr w14:paraId="32F4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3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DF2E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道路、排水、房建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5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岩土陆上钻探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A8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一般场地、行车路面、山地、林地</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CB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D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13C6">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9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21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含工作平台措施，如利用施工单位或不设平台的扣100元/米。</w:t>
            </w:r>
          </w:p>
        </w:tc>
      </w:tr>
      <w:tr w14:paraId="1127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EFD4">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E256">
            <w:pPr>
              <w:jc w:val="both"/>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9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岩土陆上钻探（利用孔）</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C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一般场地、行车路面、山地、林地</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C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4C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77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2DB">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01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79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参考《工程勘察设计收费标准》（2002年修订本），利用孔只计取技术工作费，因此利用孔单价按实钻孔单价的50%计。</w:t>
            </w:r>
          </w:p>
        </w:tc>
      </w:tr>
      <w:tr w14:paraId="40DD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9A54">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D800">
            <w:pPr>
              <w:jc w:val="both"/>
              <w:rPr>
                <w:rFonts w:hint="eastAsia" w:ascii="宋体" w:hAnsi="宋体" w:eastAsia="宋体" w:cs="宋体"/>
                <w:i w:val="0"/>
                <w:iCs w:val="0"/>
                <w:color w:val="auto"/>
                <w:sz w:val="21"/>
                <w:szCs w:val="21"/>
                <w:highlight w:val="none"/>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C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岩土江河湖上钻探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F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一般河涌</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2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4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56D7">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16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57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含平台，如利用施工单位的平台则按一般场地计</w:t>
            </w:r>
          </w:p>
        </w:tc>
      </w:tr>
      <w:tr w14:paraId="711D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AA28">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BB68">
            <w:pPr>
              <w:jc w:val="both"/>
              <w:rPr>
                <w:rFonts w:hint="eastAsia" w:ascii="宋体" w:hAnsi="宋体" w:eastAsia="宋体" w:cs="宋体"/>
                <w:i w:val="0"/>
                <w:iCs w:val="0"/>
                <w:color w:val="auto"/>
                <w:sz w:val="21"/>
                <w:szCs w:val="21"/>
                <w:highlight w:val="none"/>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5DD2">
            <w:pPr>
              <w:jc w:val="center"/>
              <w:rPr>
                <w:rFonts w:hint="eastAsia" w:ascii="宋体" w:hAnsi="宋体" w:eastAsia="宋体" w:cs="宋体"/>
                <w:i w:val="0"/>
                <w:iCs w:val="0"/>
                <w:color w:val="auto"/>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5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通航河道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5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1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C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499">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5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4E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含平台，如利用施工单位或不设平台的扣100元/米</w:t>
            </w:r>
          </w:p>
        </w:tc>
      </w:tr>
      <w:tr w14:paraId="4051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E6748">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C469">
            <w:pPr>
              <w:jc w:val="both"/>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2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岩土塘沼上钻探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07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水塘、沼泽地、稻田</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8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5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7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60B5">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D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5A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含平台，如利用施工单位的平台则按一般场地计</w:t>
            </w:r>
          </w:p>
        </w:tc>
      </w:tr>
      <w:tr w14:paraId="59CE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3318">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791B">
            <w:pPr>
              <w:jc w:val="both"/>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2F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特殊岩土钻探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A6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岩溶地区、孤石发育地区</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2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C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F1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6BD6">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0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B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含工作平台措施，如利用施工单位或不设平台的扣100元/米。</w:t>
            </w:r>
          </w:p>
        </w:tc>
      </w:tr>
      <w:tr w14:paraId="4FEC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25ED">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CE8A">
            <w:pPr>
              <w:jc w:val="both"/>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特殊岩土钻探（利用孔）</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岩溶地区、孤石发育地区</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E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2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2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CFBB">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59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参考《工程勘察设计收费标准》（2002年修订本），利用孔只计取技术工作费，因此利用孔单价按实钻孔单价的50%计。</w:t>
            </w:r>
          </w:p>
        </w:tc>
      </w:tr>
      <w:tr w14:paraId="1D92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350D">
            <w:pPr>
              <w:jc w:val="center"/>
              <w:rPr>
                <w:rFonts w:hint="eastAsia" w:ascii="宋体" w:hAnsi="宋体" w:eastAsia="宋体" w:cs="宋体"/>
                <w:i w:val="0"/>
                <w:iCs w:val="0"/>
                <w:color w:val="auto"/>
                <w:sz w:val="21"/>
                <w:szCs w:val="21"/>
                <w:highlight w:val="none"/>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2141B">
            <w:pPr>
              <w:jc w:val="both"/>
              <w:rPr>
                <w:rFonts w:hint="eastAsia" w:ascii="宋体" w:hAnsi="宋体" w:eastAsia="宋体" w:cs="宋体"/>
                <w:i w:val="0"/>
                <w:iCs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2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岩土陆上钻探</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98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一般场地、行车场地</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1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F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5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24D3">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E5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含工作平台措施，如利用施工单位或不设平台的扣100元/米。</w:t>
            </w:r>
          </w:p>
        </w:tc>
      </w:tr>
      <w:tr w14:paraId="7568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6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296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进退场费</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7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A4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A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91B9">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5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AC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单项合同价为5万元以下记取，合同价超5万元不计</w:t>
            </w:r>
          </w:p>
        </w:tc>
      </w:tr>
      <w:tr w14:paraId="17C6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6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FA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青苗补偿费</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AD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孔</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B7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A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246E">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34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C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单项合同价为5万元以下记取，合同价超5万元不计</w:t>
            </w:r>
          </w:p>
        </w:tc>
      </w:tr>
      <w:tr w14:paraId="6448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6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B79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6A14">
            <w:pPr>
              <w:jc w:val="center"/>
              <w:rPr>
                <w:rFonts w:hint="eastAsia" w:ascii="宋体" w:hAnsi="宋体" w:eastAsia="宋体" w:cs="宋体"/>
                <w:i w:val="0"/>
                <w:iCs w:val="0"/>
                <w:color w:val="auto"/>
                <w:sz w:val="21"/>
                <w:szCs w:val="21"/>
                <w:highlight w:val="none"/>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C4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3450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695C">
            <w:pPr>
              <w:jc w:val="center"/>
              <w:rPr>
                <w:rFonts w:hint="eastAsia" w:ascii="宋体" w:hAnsi="宋体" w:eastAsia="宋体" w:cs="宋体"/>
                <w:i w:val="0"/>
                <w:iCs w:val="0"/>
                <w:color w:val="auto"/>
                <w:sz w:val="21"/>
                <w:szCs w:val="21"/>
                <w:highlight w:val="none"/>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8BCE">
            <w:pPr>
              <w:jc w:val="center"/>
              <w:rPr>
                <w:rFonts w:hint="eastAsia" w:ascii="宋体" w:hAnsi="宋体" w:eastAsia="宋体" w:cs="宋体"/>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F7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0B48">
            <w:pPr>
              <w:rPr>
                <w:rFonts w:hint="eastAsia" w:ascii="宋体" w:hAnsi="宋体" w:eastAsia="宋体" w:cs="宋体"/>
                <w:i w:val="0"/>
                <w:iCs w:val="0"/>
                <w:color w:val="auto"/>
                <w:sz w:val="21"/>
                <w:szCs w:val="21"/>
                <w:highlight w:val="none"/>
                <w:u w:val="none"/>
              </w:rPr>
            </w:pPr>
          </w:p>
        </w:tc>
      </w:tr>
    </w:tbl>
    <w:p w14:paraId="333B3BCF">
      <w:pP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说明：</w:t>
      </w:r>
    </w:p>
    <w:p w14:paraId="25461246">
      <w:pP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1、勘察费的报价应不超单价限价，表中列项全部均需报单价。</w:t>
      </w:r>
    </w:p>
    <w:p w14:paraId="1539CD66">
      <w:pP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2、对于单项合同价为5万元以下的小型勘察钻探项目，进退场费及青苗补偿费按实际发生数量经业主审批后计取，单价分别为800元/台次、500元/孔。</w:t>
      </w:r>
    </w:p>
    <w:p w14:paraId="302ECB09">
      <w:pP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3、单项钻探合同价超过5万元的勘探项目，不计进退场费及青苗补偿费，但由于工程规划调整、建设项目方案调整或建设业主其他方面原因，造成工程钻探工作需要多次进退场的，重新进场钻探前，勘探单位预先编制补充工作方案，建设业主批准后，从再次进场开始按照800元/台次补偿。</w:t>
      </w:r>
    </w:p>
    <w:p w14:paraId="73F69F6C">
      <w:pP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3、工程勘察钻探单位必须根据工程勘察规范、工程设计技术要求、工程现场实际情况，在勘探前，编制勘探作业详细方案，说明各孔位的地形地貌情况、投入人员、机械设备数量以及各个勘探孔所属类别，报建设业主审核确定。</w:t>
      </w:r>
    </w:p>
    <w:p w14:paraId="699176F7">
      <w:pP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4、除第1、2条规定的补偿情况外，上述综合报价中已包括所有实物工作收费、岩溶地区措施费、技术工作收费、税金以及办理工程勘察相关许可、苗木、养殖物赔偿、河道行政审批、警戒水监、扫床、租船等所有一切直接或间接的费用，发包人不再另行计量支付。</w:t>
      </w:r>
    </w:p>
    <w:p w14:paraId="602C5048">
      <w:pPr>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5、在合同实施期间勘察费按实际完成工作量调整，但单价不作调整。</w:t>
      </w:r>
    </w:p>
    <w:p w14:paraId="3C120676">
      <w:pPr>
        <w:rPr>
          <w:rFonts w:hint="eastAsia" w:ascii="仿宋_GB2312" w:hAnsi="仿宋_GB2312" w:eastAsia="仿宋_GB2312" w:cs="仿宋_GB2312"/>
          <w:color w:val="auto"/>
          <w:szCs w:val="21"/>
          <w:highlight w:val="none"/>
        </w:rPr>
        <w:sectPr>
          <w:pgSz w:w="11906" w:h="16838"/>
          <w:pgMar w:top="1418" w:right="1588" w:bottom="1418" w:left="1588" w:header="851" w:footer="992" w:gutter="0"/>
          <w:cols w:space="720" w:num="1"/>
          <w:docGrid w:type="lines" w:linePitch="312" w:charSpace="0"/>
        </w:sectPr>
      </w:pPr>
      <w:r>
        <w:rPr>
          <w:rFonts w:hint="eastAsia" w:ascii="仿宋_GB2312" w:hAnsi="仿宋_GB2312" w:eastAsia="仿宋_GB2312" w:cs="仿宋_GB2312"/>
          <w:bCs/>
          <w:color w:val="auto"/>
          <w:szCs w:val="21"/>
          <w:highlight w:val="none"/>
        </w:rPr>
        <w:t>6、本项目设置最高投标限价总价及综合单价限价，投标总价超过最高投标限价总价或投标报价中的综合单价超过相应的综合单价限价时，投标文件将做废标处理。</w:t>
      </w:r>
      <w:r>
        <w:rPr>
          <w:rFonts w:hint="eastAsia" w:ascii="仿宋_GB2312" w:hAnsi="仿宋_GB2312" w:eastAsia="仿宋_GB2312" w:cs="仿宋_GB2312"/>
          <w:bCs/>
          <w:color w:val="auto"/>
          <w:szCs w:val="21"/>
          <w:highlight w:val="none"/>
          <w:u w:val="single"/>
        </w:rPr>
        <w:t xml:space="preserve"> </w:t>
      </w:r>
      <w:r>
        <w:rPr>
          <w:rFonts w:hint="eastAsia" w:ascii="仿宋_GB2312" w:hAnsi="仿宋_GB2312" w:eastAsia="仿宋_GB2312" w:cs="仿宋_GB2312"/>
          <w:color w:val="auto"/>
          <w:kern w:val="0"/>
          <w:szCs w:val="21"/>
          <w:highlight w:val="none"/>
          <w:u w:val="single"/>
        </w:rPr>
        <w:t>若投标人的投标报价计算错误，发包人有权作出修正，若修正后价格超过</w:t>
      </w:r>
      <w:r>
        <w:rPr>
          <w:rFonts w:hint="eastAsia" w:ascii="仿宋_GB2312" w:hAnsi="仿宋_GB2312" w:eastAsia="仿宋_GB2312" w:cs="仿宋_GB2312"/>
          <w:bCs/>
          <w:color w:val="auto"/>
          <w:szCs w:val="21"/>
          <w:highlight w:val="none"/>
        </w:rPr>
        <w:t>最高投标限价</w:t>
      </w:r>
      <w:r>
        <w:rPr>
          <w:rFonts w:hint="eastAsia" w:ascii="仿宋_GB2312" w:hAnsi="仿宋_GB2312" w:eastAsia="仿宋_GB2312" w:cs="仿宋_GB2312"/>
          <w:color w:val="auto"/>
          <w:kern w:val="0"/>
          <w:szCs w:val="21"/>
          <w:highlight w:val="none"/>
          <w:u w:val="single"/>
        </w:rPr>
        <w:t>时，</w:t>
      </w:r>
      <w:r>
        <w:rPr>
          <w:rFonts w:hint="eastAsia" w:ascii="仿宋_GB2312" w:hAnsi="仿宋_GB2312" w:eastAsia="仿宋_GB2312" w:cs="仿宋_GB2312"/>
          <w:bCs/>
          <w:color w:val="auto"/>
          <w:szCs w:val="21"/>
          <w:highlight w:val="none"/>
          <w:u w:val="single"/>
        </w:rPr>
        <w:t xml:space="preserve">投标文件将做废标处理 </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szCs w:val="21"/>
          <w:highlight w:val="none"/>
        </w:rPr>
        <w:t>经算术复核的投标人报价与其投标报价不一致时，按就低不就高原则确定其最终报价。）</w:t>
      </w:r>
    </w:p>
    <w:p w14:paraId="68B7245F">
      <w:pPr>
        <w:wordWrap/>
        <w:spacing w:line="240" w:lineRule="auto"/>
        <w:jc w:val="center"/>
        <w:rPr>
          <w:rFonts w:hint="eastAsia" w:ascii="宋体" w:hAnsi="宋体" w:eastAsia="宋体" w:cs="宋体"/>
          <w:b/>
          <w:bCs/>
          <w:color w:val="auto"/>
          <w:sz w:val="24"/>
          <w:szCs w:val="24"/>
          <w:highlight w:val="none"/>
          <w:u w:val="single"/>
        </w:rPr>
      </w:pPr>
      <w:r>
        <w:rPr>
          <w:rFonts w:hint="eastAsia" w:ascii="宋体" w:hAnsi="宋体" w:eastAsia="宋体" w:cs="宋体"/>
          <w:b/>
          <w:bCs/>
          <w:i w:val="0"/>
          <w:iCs w:val="0"/>
          <w:color w:val="auto"/>
          <w:kern w:val="0"/>
          <w:sz w:val="28"/>
          <w:szCs w:val="28"/>
          <w:highlight w:val="none"/>
          <w:u w:val="none"/>
          <w:lang w:val="en-US" w:eastAsia="zh-CN" w:bidi="ar"/>
        </w:rPr>
        <w:t>表3-2测量费计价表</w:t>
      </w:r>
    </w:p>
    <w:p w14:paraId="114000B2">
      <w:pPr>
        <w:wordWrap/>
        <w:spacing w:line="240" w:lineRule="auto"/>
        <w:rPr>
          <w:rFonts w:hint="eastAsia" w:ascii="宋体" w:hAnsi="宋体" w:eastAsia="宋体" w:cs="宋体"/>
          <w:b/>
          <w:bCs/>
          <w:color w:val="auto"/>
          <w:sz w:val="24"/>
          <w:szCs w:val="24"/>
          <w:highlight w:val="none"/>
          <w:u w:val="single"/>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685"/>
        <w:gridCol w:w="578"/>
        <w:gridCol w:w="1905"/>
        <w:gridCol w:w="810"/>
        <w:gridCol w:w="735"/>
        <w:gridCol w:w="1140"/>
        <w:gridCol w:w="1110"/>
        <w:gridCol w:w="1284"/>
      </w:tblGrid>
      <w:tr w14:paraId="51C7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9B3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16F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87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测量计费项目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56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计费单位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3B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数量估算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D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综合单价限价（元）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76E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投标单价（元）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6B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投标价小计（元）（投标单价*数量估算）</w:t>
            </w:r>
          </w:p>
        </w:tc>
      </w:tr>
      <w:tr w14:paraId="42BA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34F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169"/>
                <w:rFonts w:hint="eastAsia" w:ascii="宋体" w:hAnsi="宋体" w:eastAsia="宋体" w:cs="宋体"/>
                <w:color w:val="auto"/>
                <w:sz w:val="21"/>
                <w:szCs w:val="21"/>
                <w:highlight w:val="none"/>
                <w:lang w:val="en-US" w:eastAsia="zh-CN" w:bidi="ar"/>
              </w:rPr>
              <w:t>工程测量</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882D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控制测量</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E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33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E-GPS</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1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15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AC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3126.13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B1A52">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4C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070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CB8FE">
            <w:pPr>
              <w:jc w:val="center"/>
              <w:rPr>
                <w:rFonts w:hint="eastAsia" w:ascii="宋体" w:hAnsi="宋体" w:eastAsia="宋体" w:cs="宋体"/>
                <w:b/>
                <w:bCs/>
                <w:i w:val="0"/>
                <w:iCs w:val="0"/>
                <w:color w:val="auto"/>
                <w:sz w:val="21"/>
                <w:szCs w:val="21"/>
                <w:highlight w:val="none"/>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205E">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C7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D3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图根点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7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A8D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0B6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118.29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7474A">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8A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524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34F5D">
            <w:pPr>
              <w:jc w:val="center"/>
              <w:rPr>
                <w:rFonts w:hint="eastAsia" w:ascii="宋体" w:hAnsi="宋体" w:eastAsia="宋体" w:cs="宋体"/>
                <w:b/>
                <w:bCs/>
                <w:i w:val="0"/>
                <w:iCs w:val="0"/>
                <w:color w:val="auto"/>
                <w:sz w:val="21"/>
                <w:szCs w:val="21"/>
                <w:highlight w:val="none"/>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C78C">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03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A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四等水准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1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5A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BC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5CEBF">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F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E02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4307">
            <w:pPr>
              <w:jc w:val="center"/>
              <w:rPr>
                <w:rFonts w:hint="eastAsia" w:ascii="宋体" w:hAnsi="宋体" w:eastAsia="宋体" w:cs="宋体"/>
                <w:b/>
                <w:bCs/>
                <w:i w:val="0"/>
                <w:iCs w:val="0"/>
                <w:color w:val="auto"/>
                <w:sz w:val="21"/>
                <w:szCs w:val="21"/>
                <w:highlight w:val="none"/>
                <w:u w:val="none"/>
              </w:rPr>
            </w:pP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8BF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陆域地形测量</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88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B7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1:500地形图测量（建筑群区）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B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0.065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7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121636.93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EEFA8">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9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F58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906A">
            <w:pPr>
              <w:jc w:val="center"/>
              <w:rPr>
                <w:rFonts w:hint="eastAsia" w:ascii="宋体" w:hAnsi="宋体" w:eastAsia="宋体" w:cs="宋体"/>
                <w:b/>
                <w:bCs/>
                <w:i w:val="0"/>
                <w:iCs w:val="0"/>
                <w:color w:val="auto"/>
                <w:sz w:val="21"/>
                <w:szCs w:val="21"/>
                <w:highlight w:val="none"/>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D82E">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1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7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1：1000地形图测量（建筑群区）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F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17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09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55290.01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A2607">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2E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551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7CF8">
            <w:pPr>
              <w:jc w:val="center"/>
              <w:rPr>
                <w:rFonts w:hint="eastAsia" w:ascii="宋体" w:hAnsi="宋体" w:eastAsia="宋体" w:cs="宋体"/>
                <w:b/>
                <w:bCs/>
                <w:i w:val="0"/>
                <w:iCs w:val="0"/>
                <w:color w:val="auto"/>
                <w:sz w:val="21"/>
                <w:szCs w:val="21"/>
                <w:highlight w:val="none"/>
                <w:u w:val="none"/>
              </w:rPr>
            </w:pP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D6C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水下地形测量</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1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D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1:1000水域测量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E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DF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A0C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94545.71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60147">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9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404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3260">
            <w:pPr>
              <w:jc w:val="center"/>
              <w:rPr>
                <w:rFonts w:hint="eastAsia" w:ascii="宋体" w:hAnsi="宋体" w:eastAsia="宋体" w:cs="宋体"/>
                <w:b/>
                <w:bCs/>
                <w:i w:val="0"/>
                <w:iCs w:val="0"/>
                <w:color w:val="auto"/>
                <w:sz w:val="21"/>
                <w:szCs w:val="21"/>
                <w:highlight w:val="none"/>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28CE">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0A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1:1000河道断面测量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4A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4D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5B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3949.87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20878">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19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C03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8B18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169"/>
                <w:rFonts w:hint="eastAsia" w:ascii="宋体" w:hAnsi="宋体" w:eastAsia="宋体" w:cs="宋体"/>
                <w:color w:val="auto"/>
                <w:sz w:val="21"/>
                <w:szCs w:val="21"/>
                <w:highlight w:val="none"/>
                <w:lang w:val="en-US" w:eastAsia="zh-CN" w:bidi="ar"/>
              </w:rPr>
              <w:t>规划放线测量</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9E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A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RTK控制点测量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A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A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9C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2042.40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5080">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F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740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38DC">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7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64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建设用地拨地定桩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4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EB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F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18998">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ED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B6A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0BBD">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1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FC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建设工程规划放线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0C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CF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6C3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D6576">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46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672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CBEC">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B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4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地形图测量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8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A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DBF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10764.92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10443">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4E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FA7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4EB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169"/>
                <w:rFonts w:hint="eastAsia" w:ascii="宋体" w:hAnsi="宋体" w:eastAsia="宋体" w:cs="宋体"/>
                <w:color w:val="auto"/>
                <w:sz w:val="21"/>
                <w:szCs w:val="21"/>
                <w:highlight w:val="none"/>
                <w:lang w:val="en-US" w:eastAsia="zh-CN" w:bidi="ar"/>
              </w:rPr>
              <w:t>规划条件核实测量</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4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69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RTK控制点测量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4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6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12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2042.40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0A6D">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F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E03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154C">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B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F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建设用地拨地定桩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A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B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F0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49CE">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41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1AE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BAE8">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5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F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规划面积测量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8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平方米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0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52518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08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1.62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C98DC">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1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76A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A479">
            <w:pPr>
              <w:jc w:val="center"/>
              <w:rPr>
                <w:rFonts w:hint="eastAsia" w:ascii="宋体" w:hAnsi="宋体" w:eastAsia="宋体" w:cs="宋体"/>
                <w:b/>
                <w:bCs/>
                <w:i w:val="0"/>
                <w:iCs w:val="0"/>
                <w:color w:val="auto"/>
                <w:sz w:val="21"/>
                <w:szCs w:val="21"/>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8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F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地形图测量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1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EF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89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10764.92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0F050">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905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AE29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32F1">
            <w:pPr>
              <w:jc w:val="center"/>
              <w:rPr>
                <w:rFonts w:hint="eastAsia" w:ascii="宋体" w:hAnsi="宋体" w:eastAsia="宋体" w:cs="宋体"/>
                <w:i w:val="0"/>
                <w:iCs w:val="0"/>
                <w:color w:val="auto"/>
                <w:sz w:val="21"/>
                <w:szCs w:val="21"/>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DD9A">
            <w:pPr>
              <w:jc w:val="center"/>
              <w:rPr>
                <w:rFonts w:hint="eastAsia" w:ascii="宋体" w:hAnsi="宋体" w:eastAsia="宋体" w:cs="宋体"/>
                <w:i w:val="0"/>
                <w:iCs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2B8D">
            <w:pPr>
              <w:jc w:val="center"/>
              <w:rPr>
                <w:rFonts w:hint="eastAsia" w:ascii="宋体" w:hAnsi="宋体" w:eastAsia="宋体" w:cs="宋体"/>
                <w:i w:val="0"/>
                <w:iCs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92E">
            <w:pPr>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4804">
            <w:pPr>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1D10">
            <w:pPr>
              <w:jc w:val="center"/>
              <w:rPr>
                <w:rFonts w:hint="eastAsia" w:ascii="宋体" w:hAnsi="宋体" w:eastAsia="宋体" w:cs="宋体"/>
                <w:i w:val="0"/>
                <w:iCs w:val="0"/>
                <w:color w:val="auto"/>
                <w:sz w:val="21"/>
                <w:szCs w:val="21"/>
                <w:highlight w:val="none"/>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A4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r>
    </w:tbl>
    <w:p w14:paraId="00D7E7D9">
      <w:pPr>
        <w:rPr>
          <w:bCs/>
          <w:color w:val="auto"/>
          <w:highlight w:val="none"/>
        </w:rPr>
      </w:pPr>
      <w:r>
        <w:rPr>
          <w:rFonts w:hint="eastAsia"/>
          <w:bCs/>
          <w:color w:val="auto"/>
          <w:highlight w:val="none"/>
        </w:rPr>
        <w:t>注：1、在合同实施期间勘察费按实际完成工作量调整，表中列项全部均需报单价，但单价不作调整。</w:t>
      </w:r>
    </w:p>
    <w:p w14:paraId="60E37F0A">
      <w:pPr>
        <w:rPr>
          <w:bCs/>
          <w:color w:val="auto"/>
          <w:highlight w:val="none"/>
        </w:rPr>
      </w:pPr>
      <w:r>
        <w:rPr>
          <w:rFonts w:hint="eastAsia"/>
          <w:bCs/>
          <w:color w:val="auto"/>
          <w:highlight w:val="none"/>
        </w:rPr>
        <w:t xml:space="preserve">    2、本项目设置招标总价控制价及综合单价控制价，投标总价超过招标总控制价或投标报价中的综合单价超过相应的综合单价控制价时，投标文件将做废标处理。</w:t>
      </w:r>
    </w:p>
    <w:p w14:paraId="0603D6C4">
      <w:pPr>
        <w:ind w:firstLine="420"/>
        <w:rPr>
          <w:color w:val="auto"/>
          <w:highlight w:val="none"/>
        </w:rPr>
      </w:pPr>
      <w:r>
        <w:rPr>
          <w:rFonts w:hint="eastAsia" w:ascii="宋体" w:hAnsi="宋体" w:cs="宋体"/>
          <w:color w:val="auto"/>
          <w:kern w:val="0"/>
          <w:highlight w:val="none"/>
        </w:rPr>
        <w:t>3、</w:t>
      </w:r>
      <w:r>
        <w:rPr>
          <w:rFonts w:hint="eastAsia"/>
          <w:bCs/>
          <w:color w:val="auto"/>
          <w:highlight w:val="none"/>
        </w:rPr>
        <w:t>本项目设置招标总价控制价及综合单价控制价，投标总价超过招标总控制价或投标报价中的综合单价超过相应的综合单价限价时，投标文件将做废标处理。</w:t>
      </w:r>
      <w:r>
        <w:rPr>
          <w:rFonts w:hint="eastAsia" w:ascii="宋体" w:hAnsi="宋体" w:cs="宋体"/>
          <w:color w:val="auto"/>
          <w:kern w:val="0"/>
          <w:highlight w:val="none"/>
          <w:u w:val="single"/>
        </w:rPr>
        <w:t>若投标人的投标报价计算错误，发包人有权作出修正，若修正后价格超过招标控制价时，</w:t>
      </w:r>
      <w:r>
        <w:rPr>
          <w:rFonts w:hint="eastAsia"/>
          <w:bCs/>
          <w:color w:val="auto"/>
          <w:highlight w:val="none"/>
          <w:u w:val="single"/>
        </w:rPr>
        <w:t>投标文件将做废标处理</w:t>
      </w:r>
      <w:r>
        <w:rPr>
          <w:rFonts w:hint="eastAsia" w:ascii="宋体" w:hAnsi="宋体" w:cs="宋体"/>
          <w:color w:val="auto"/>
          <w:kern w:val="0"/>
          <w:highlight w:val="none"/>
        </w:rPr>
        <w:t>。（</w:t>
      </w:r>
      <w:r>
        <w:rPr>
          <w:rFonts w:hint="eastAsia" w:ascii="宋体" w:hAnsi="宋体"/>
          <w:color w:val="auto"/>
          <w:highlight w:val="none"/>
        </w:rPr>
        <w:t>经算术复核的投标人报价与其投标报价不一致时，按就低不就高原则确定其最终报价。）</w:t>
      </w:r>
    </w:p>
    <w:p w14:paraId="28F0384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231"/>
    <w:bookmarkEnd w:id="232"/>
    <w:p w14:paraId="4A340BEE">
      <w:pPr>
        <w:pStyle w:val="5"/>
        <w:wordWrap w:val="0"/>
        <w:rPr>
          <w:color w:val="auto"/>
          <w:highlight w:val="none"/>
        </w:rPr>
      </w:pPr>
      <w:r>
        <w:rPr>
          <w:rFonts w:hint="eastAsia"/>
          <w:color w:val="auto"/>
          <w:highlight w:val="none"/>
        </w:rPr>
        <w:t>六、</w:t>
      </w:r>
      <w:r>
        <w:rPr>
          <w:rFonts w:hint="eastAsia" w:cs="宋体"/>
          <w:color w:val="auto"/>
          <w:highlight w:val="none"/>
        </w:rPr>
        <w:t>资格审查资料</w:t>
      </w:r>
    </w:p>
    <w:p w14:paraId="656989EF">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（1）营业执照或事业单位登记机构核发的事业单位法人证书、资质证书；</w:t>
      </w:r>
    </w:p>
    <w:p w14:paraId="7A6E6885">
      <w:pPr>
        <w:widowControl/>
        <w:spacing w:line="360" w:lineRule="auto"/>
        <w:jc w:val="left"/>
        <w:rPr>
          <w:rFonts w:ascii="宋体" w:hAnsi="宋体" w:eastAsia="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olor w:val="auto"/>
          <w:sz w:val="24"/>
          <w:szCs w:val="24"/>
          <w:highlight w:val="none"/>
        </w:rPr>
        <w:t>项目负责人资格证明资料；</w:t>
      </w:r>
    </w:p>
    <w:p w14:paraId="15B950D1">
      <w:pPr>
        <w:widowControl/>
        <w:spacing w:line="360" w:lineRule="auto"/>
        <w:jc w:val="left"/>
        <w:rPr>
          <w:rFonts w:ascii="宋体" w:hAnsi="宋体" w:eastAsia="宋体" w:cs="宋体"/>
          <w:bCs/>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s="宋体"/>
          <w:bCs/>
          <w:color w:val="auto"/>
          <w:sz w:val="24"/>
          <w:szCs w:val="24"/>
          <w:highlight w:val="none"/>
        </w:rPr>
        <w:t>投标人声明、廉洁承诺书。</w:t>
      </w:r>
    </w:p>
    <w:p w14:paraId="5C11C929">
      <w:pPr>
        <w:widowControl/>
        <w:spacing w:line="360" w:lineRule="auto"/>
        <w:jc w:val="left"/>
        <w:rPr>
          <w:rFonts w:ascii="宋体" w:hAnsi="宋体" w:eastAsia="宋体" w:cs="宋体"/>
          <w:bCs/>
          <w:color w:val="auto"/>
          <w:sz w:val="24"/>
          <w:szCs w:val="24"/>
          <w:highlight w:val="none"/>
        </w:rPr>
      </w:pPr>
    </w:p>
    <w:p w14:paraId="24B6F180">
      <w:pPr>
        <w:widowControl/>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2CD27DF">
      <w:pPr>
        <w:wordWrap w:val="0"/>
        <w:spacing w:line="48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投标人声明</w:t>
      </w:r>
    </w:p>
    <w:p w14:paraId="5D97846A">
      <w:pPr>
        <w:wordWrap w:val="0"/>
        <w:spacing w:line="480" w:lineRule="exact"/>
        <w:ind w:firstLine="629"/>
        <w:rPr>
          <w:rFonts w:ascii="宋体" w:hAnsi="宋体" w:eastAsia="宋体" w:cs="宋体"/>
          <w:color w:val="auto"/>
          <w:kern w:val="0"/>
          <w:sz w:val="24"/>
          <w:szCs w:val="24"/>
          <w:highlight w:val="none"/>
        </w:rPr>
      </w:pPr>
    </w:p>
    <w:p w14:paraId="7D61876C">
      <w:pPr>
        <w:wordWrap w:val="0"/>
        <w:spacing w:line="480" w:lineRule="exact"/>
        <w:rPr>
          <w:rFonts w:ascii="宋体" w:hAnsi="宋体" w:eastAsia="宋体" w:cs="宋体"/>
          <w:color w:val="auto"/>
          <w:kern w:val="0"/>
          <w:sz w:val="24"/>
          <w:szCs w:val="24"/>
          <w:highlight w:val="none"/>
        </w:rPr>
      </w:pPr>
      <w:r>
        <w:rPr>
          <w:rFonts w:hint="eastAsia" w:ascii="宋体" w:hAnsi="宋体" w:eastAsia="宋体" w:cs="Times New Roman"/>
          <w:color w:val="auto"/>
          <w:sz w:val="24"/>
          <w:szCs w:val="24"/>
          <w:highlight w:val="none"/>
          <w:u w:val="single"/>
        </w:rPr>
        <w:t>广州市交通运输局建设管理处</w:t>
      </w:r>
      <w:r>
        <w:rPr>
          <w:rFonts w:hint="eastAsia" w:ascii="宋体" w:hAnsi="宋体" w:eastAsia="宋体" w:cs="宋体"/>
          <w:color w:val="auto"/>
          <w:kern w:val="0"/>
          <w:sz w:val="24"/>
          <w:szCs w:val="24"/>
          <w:highlight w:val="none"/>
        </w:rPr>
        <w:t>、本招标项目招标人及招标监管机构：</w:t>
      </w:r>
    </w:p>
    <w:p w14:paraId="4B2123BA">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项目投标工作，作出郑重声明：</w:t>
      </w:r>
    </w:p>
    <w:p w14:paraId="4880EC59">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一、本公司保证投标登记材料及其后提供的一切材料都是真实的。如我司成为本项目中标候选人，我司同意并授权招标人将我司投标文件的人员、业绩、奖项等资料进行公开。</w:t>
      </w:r>
    </w:p>
    <w:p w14:paraId="449F19A0">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不与其他单位串通投标或以行贿手段谋取中标，不出借资质、转让勘察设计业务。</w:t>
      </w:r>
    </w:p>
    <w:p w14:paraId="61294566">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三、本公司不存在招标文件第二章投标人须知第1.4.3项所规定的任何一种情形。具体如下：</w:t>
      </w:r>
    </w:p>
    <w:p w14:paraId="1EE01BEA">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（一）为招标人不具有独立法人资格的附属机构（单位）；</w:t>
      </w:r>
    </w:p>
    <w:p w14:paraId="39FF8AC8">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（二）与招标人存在利害关系且可能影响招标公正性；</w:t>
      </w:r>
    </w:p>
    <w:p w14:paraId="03739F06">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（三）与本招标项目的其他投标人为同一个单位负责人；</w:t>
      </w:r>
    </w:p>
    <w:p w14:paraId="58D1CE0C">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（四）与本招标项目的其他投标人存在控股、管理关系；</w:t>
      </w:r>
    </w:p>
    <w:p w14:paraId="0D225B7B">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（五）为本招标项目的代建人或建设管理单位；</w:t>
      </w:r>
    </w:p>
    <w:p w14:paraId="5C450AD8">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（六）为本招标项目的招标代理机构；</w:t>
      </w:r>
    </w:p>
    <w:p w14:paraId="6C0AA5EB">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（七）与本招标项目的代建人或招标代理机构同为一个法定代表人；</w:t>
      </w:r>
    </w:p>
    <w:p w14:paraId="1667692F">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（八）与本招标项目的代建人或招标代理机构存在控股或参股关系；</w:t>
      </w:r>
    </w:p>
    <w:p w14:paraId="517596C6">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7FA20990">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（十）被责令停产停业、暂扣或者吊销许可证、暂扣或者吊销执照（本项事实应当以根据《中华人民共和国行政处罚法》依法作出并已生效的行政处罚决定为认定依据。）；</w:t>
      </w:r>
    </w:p>
    <w:p w14:paraId="65328903">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（十一）进入清算程序，或被宣告破产，或其他丧失履约能力的情形；</w:t>
      </w:r>
    </w:p>
    <w:p w14:paraId="3CB38E36">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在最近三年内发生重大设计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1EF91819">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（十三）法律法规或投标人须知前附表规定的其他情形。</w:t>
      </w:r>
    </w:p>
    <w:p w14:paraId="272FEA93">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 。</w:t>
      </w:r>
    </w:p>
    <w:p w14:paraId="08243846">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五、本公司承诺，愿以承诺的投标报价方式承包本次招标所包含的工作，并承担勘察设计质量缺陷责任，中标后严格执行相关法律法规、设计规范等。</w:t>
      </w:r>
    </w:p>
    <w:p w14:paraId="7F8AC974">
      <w:pPr>
        <w:wordWrap w:val="0"/>
        <w:spacing w:line="480" w:lineRule="exact"/>
        <w:ind w:firstLine="569" w:firstLineChars="236"/>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六、与本公司单位负责人为同一人或者与本公司存在控股、管理关系的其他单位包括：</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kern w:val="0"/>
          <w:sz w:val="24"/>
          <w:szCs w:val="24"/>
          <w:highlight w:val="none"/>
          <w:u w:val="single"/>
        </w:rPr>
        <w:t>；如联合体投标，联合体各成员需单独列明</w:t>
      </w:r>
      <w:r>
        <w:rPr>
          <w:rFonts w:hint="eastAsia" w:ascii="宋体" w:hAnsi="宋体" w:eastAsia="宋体" w:cs="宋体"/>
          <w:color w:val="auto"/>
          <w:kern w:val="0"/>
          <w:sz w:val="24"/>
          <w:szCs w:val="24"/>
          <w:highlight w:val="none"/>
        </w:rPr>
        <w:t>。）</w:t>
      </w:r>
    </w:p>
    <w:p w14:paraId="318E4E13">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七、本公司承诺所提供的银行保函、保证保险、专业工程担保公司担保（如有）真实、有效。</w:t>
      </w:r>
    </w:p>
    <w:p w14:paraId="6EAAB6F0">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八、本公司积极响应广州市关于投身“百千万工程”的号召，主动参与政府投资类建设工程施工项目的建筑业结对帮扶等活动（市属国有企业投资项目参照执行）。</w:t>
      </w:r>
    </w:p>
    <w:p w14:paraId="0C5686DA">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九、本公司违反上述承诺，或本声明陈述与事实不符，经查实，本公司愿意接受公开通报，愿意按照广州市交通运输局有关信用评价管理有关规定，被记录为“不良交易行为信息”，承担由此带来的法律后果。</w:t>
      </w:r>
    </w:p>
    <w:p w14:paraId="5C46E94C">
      <w:pPr>
        <w:wordWrap w:val="0"/>
        <w:spacing w:line="480" w:lineRule="exact"/>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203990D1">
      <w:pPr>
        <w:wordWrap w:val="0"/>
        <w:spacing w:line="480" w:lineRule="exact"/>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44DDF153">
      <w:pPr>
        <w:wordWrap w:val="0"/>
        <w:spacing w:line="480" w:lineRule="exact"/>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6E293A7D">
      <w:pPr>
        <w:wordWrap w:val="0"/>
        <w:spacing w:line="480" w:lineRule="exact"/>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43847FCE">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40C918">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廉洁承诺书</w:t>
      </w:r>
    </w:p>
    <w:p w14:paraId="55D8EC7C">
      <w:pPr>
        <w:wordWrap w:val="0"/>
        <w:spacing w:line="360" w:lineRule="auto"/>
        <w:ind w:firstLine="629"/>
        <w:rPr>
          <w:rFonts w:ascii="宋体" w:hAnsi="宋体" w:eastAsia="宋体" w:cs="宋体"/>
          <w:color w:val="auto"/>
          <w:kern w:val="0"/>
          <w:sz w:val="24"/>
          <w:szCs w:val="24"/>
          <w:highlight w:val="none"/>
        </w:rPr>
      </w:pPr>
    </w:p>
    <w:p w14:paraId="6932FB73">
      <w:pPr>
        <w:wordWrap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45F7FA2E">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本公司参加了</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rPr>
        <w:t>投标，为确保招标工作的公平、公正、公开、有序进行，我们保证遵守《中华人民共和国招标投标法》、《中华人民共和国招标投标法实施条例》、《</w:t>
      </w:r>
      <w:r>
        <w:rPr>
          <w:rFonts w:hint="eastAsia" w:ascii="宋体" w:hAnsi="宋体" w:eastAsia="宋体" w:cs="宋体"/>
          <w:color w:val="auto"/>
          <w:kern w:val="0"/>
          <w:sz w:val="24"/>
          <w:szCs w:val="24"/>
          <w:highlight w:val="none"/>
          <w:lang w:eastAsia="zh-CN"/>
        </w:rPr>
        <w:t>广东省实施〈中华人民共和国招标投标法〉办法</w:t>
      </w:r>
      <w:r>
        <w:rPr>
          <w:rFonts w:hint="eastAsia" w:ascii="宋体" w:hAnsi="宋体" w:eastAsia="宋体" w:cs="宋体"/>
          <w:color w:val="auto"/>
          <w:kern w:val="0"/>
          <w:sz w:val="24"/>
          <w:szCs w:val="24"/>
          <w:highlight w:val="none"/>
        </w:rPr>
        <w:t>》等法律法规，特承诺如下事项：</w:t>
      </w:r>
    </w:p>
    <w:p w14:paraId="276D90DA">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一、自觉遵守国家有关法律法规及廉洁规定。</w:t>
      </w:r>
    </w:p>
    <w:p w14:paraId="1DE8A1AE">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二、不与招标单位工作人员串通投标，损害国家利益、企业利益以及他人的合法利益；</w:t>
      </w:r>
    </w:p>
    <w:p w14:paraId="4D58EA22">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三、不与其他单位围标、串标，不出让投标资格，不向招标人或评标委员会成员行贿。</w:t>
      </w:r>
    </w:p>
    <w:p w14:paraId="12BB3BC1">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四、不以任何名义向参与招标、评标工作的有关人员提供高消费宴请及娱乐活动和赠送回扣、红包、礼金、购物卡、有价证券、贵重物品和好处费、感谢费等； </w:t>
      </w:r>
    </w:p>
    <w:p w14:paraId="0519B0C9">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五、不以任何名义为参与招标、评标工作的有关人员装修住房、婚丧嫁娶、配偶子女的工作安排以及境内外旅游等提供方便；</w:t>
      </w:r>
    </w:p>
    <w:p w14:paraId="7E271643">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六、不以谋取非正当利益为目的，擅自与参与招标、评标工作的有关人员就业务问题进行私下商谈或者达成利益默契。</w:t>
      </w:r>
    </w:p>
    <w:p w14:paraId="787F4705">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本公司违反上述承诺，或本承诺陈述与事实不符，经查实，本公司愿意接受公开通报，被招标监管部门信用评价记录不良行为并扣分，并承担由此带来的法律后果。</w:t>
      </w:r>
    </w:p>
    <w:p w14:paraId="289DE17C">
      <w:pPr>
        <w:wordWrap w:val="0"/>
        <w:spacing w:line="360" w:lineRule="auto"/>
        <w:jc w:val="left"/>
        <w:rPr>
          <w:rFonts w:ascii="宋体" w:hAnsi="宋体" w:eastAsia="宋体" w:cs="宋体"/>
          <w:color w:val="auto"/>
          <w:kern w:val="0"/>
          <w:sz w:val="24"/>
          <w:szCs w:val="24"/>
          <w:highlight w:val="none"/>
        </w:rPr>
      </w:pPr>
    </w:p>
    <w:p w14:paraId="2D64EDF5">
      <w:pPr>
        <w:wordWrap w:val="0"/>
        <w:spacing w:line="360" w:lineRule="auto"/>
        <w:jc w:val="left"/>
        <w:rPr>
          <w:rFonts w:ascii="宋体" w:hAnsi="宋体" w:eastAsia="宋体" w:cs="宋体"/>
          <w:color w:val="auto"/>
          <w:kern w:val="0"/>
          <w:sz w:val="24"/>
          <w:szCs w:val="24"/>
          <w:highlight w:val="none"/>
        </w:rPr>
      </w:pPr>
    </w:p>
    <w:p w14:paraId="7E3B11A1">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0D13CD30">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6BA3C9AE">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61B22C2A">
      <w:pPr>
        <w:pStyle w:val="5"/>
        <w:wordWrap/>
        <w:rPr>
          <w:rFonts w:cs="宋体"/>
          <w:color w:val="auto"/>
          <w:highlight w:val="none"/>
        </w:rPr>
      </w:pPr>
      <w:r>
        <w:rPr>
          <w:rFonts w:hint="eastAsia"/>
          <w:color w:val="auto"/>
          <w:highlight w:val="none"/>
        </w:rPr>
        <w:t>七、投标人须知前附表规定的其他资料</w:t>
      </w:r>
    </w:p>
    <w:p w14:paraId="64B1FFB2">
      <w:pPr>
        <w:keepNext/>
        <w:keepLines/>
        <w:spacing w:line="360" w:lineRule="auto"/>
        <w:outlineLvl w:val="2"/>
        <w:rPr>
          <w:rFonts w:hint="eastAsia" w:ascii="宋体" w:hAnsi="宋体" w:eastAsia="宋体" w:cs="Times New Roman"/>
          <w:b/>
          <w:color w:val="auto"/>
          <w:kern w:val="0"/>
          <w:sz w:val="24"/>
          <w:szCs w:val="24"/>
          <w:highlight w:val="none"/>
          <w:lang w:val="zh-CN"/>
        </w:rPr>
      </w:pPr>
      <w:r>
        <w:rPr>
          <w:rFonts w:ascii="宋体" w:hAnsi="宋体" w:eastAsia="宋体" w:cs="Times New Roman"/>
          <w:b/>
          <w:color w:val="auto"/>
          <w:kern w:val="0"/>
          <w:sz w:val="24"/>
          <w:szCs w:val="24"/>
          <w:highlight w:val="none"/>
          <w:lang w:val="zh-CN"/>
        </w:rPr>
        <w:t>（</w:t>
      </w:r>
      <w:r>
        <w:rPr>
          <w:rFonts w:hint="eastAsia" w:ascii="宋体" w:hAnsi="宋体" w:eastAsia="宋体" w:cs="Times New Roman"/>
          <w:b/>
          <w:color w:val="auto"/>
          <w:kern w:val="0"/>
          <w:sz w:val="24"/>
          <w:szCs w:val="24"/>
          <w:highlight w:val="none"/>
          <w:lang w:val="en-US" w:eastAsia="zh-CN"/>
        </w:rPr>
        <w:t>1</w:t>
      </w:r>
      <w:r>
        <w:rPr>
          <w:rFonts w:ascii="宋体" w:hAnsi="宋体" w:eastAsia="宋体" w:cs="Times New Roman"/>
          <w:b/>
          <w:color w:val="auto"/>
          <w:kern w:val="0"/>
          <w:sz w:val="24"/>
          <w:szCs w:val="24"/>
          <w:highlight w:val="none"/>
          <w:lang w:val="zh-CN"/>
        </w:rPr>
        <w:t>）</w:t>
      </w:r>
      <w:r>
        <w:rPr>
          <w:rFonts w:hint="eastAsia" w:ascii="宋体" w:hAnsi="宋体" w:eastAsia="宋体" w:cs="Times New Roman"/>
          <w:b/>
          <w:color w:val="auto"/>
          <w:kern w:val="0"/>
          <w:sz w:val="24"/>
          <w:szCs w:val="24"/>
          <w:highlight w:val="none"/>
          <w:lang w:val="zh-CN"/>
        </w:rPr>
        <w:t>中小企业声明函（如有）</w:t>
      </w:r>
    </w:p>
    <w:p w14:paraId="57C8F782">
      <w:pPr>
        <w:kinsoku w:val="0"/>
        <w:overflowPunct w:val="0"/>
        <w:spacing w:line="360" w:lineRule="auto"/>
        <w:jc w:val="center"/>
        <w:rPr>
          <w:rFonts w:ascii="Calibri" w:hAnsi="Calibri" w:eastAsia="宋体" w:cs="Times New Roman"/>
          <w:color w:val="auto"/>
          <w:sz w:val="26"/>
          <w:szCs w:val="26"/>
          <w:highlight w:val="none"/>
        </w:rPr>
      </w:pPr>
      <w:r>
        <w:rPr>
          <w:rFonts w:hint="eastAsia" w:ascii="宋体" w:hAnsi="宋体" w:eastAsia="宋体" w:cs="Times New Roman"/>
          <w:b/>
          <w:color w:val="auto"/>
          <w:spacing w:val="2"/>
          <w:position w:val="-1"/>
          <w:sz w:val="32"/>
          <w:szCs w:val="32"/>
          <w:highlight w:val="none"/>
        </w:rPr>
        <w:t>中小企业声明函（如有）</w:t>
      </w:r>
    </w:p>
    <w:p w14:paraId="5393B585">
      <w:pPr>
        <w:kinsoku w:val="0"/>
        <w:overflowPunct w:val="0"/>
        <w:spacing w:line="360" w:lineRule="auto"/>
        <w:jc w:val="cente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（适用于投标人</w:t>
      </w:r>
      <w:r>
        <w:rPr>
          <w:rFonts w:hint="eastAsia" w:ascii="宋体" w:hAnsi="宋体" w:eastAsia="宋体" w:cs="Times New Roman"/>
          <w:b/>
          <w:bCs/>
          <w:color w:val="auto"/>
          <w:sz w:val="24"/>
          <w:szCs w:val="24"/>
          <w:highlight w:val="none"/>
          <w:lang w:val="en-US" w:eastAsia="zh-CN"/>
        </w:rPr>
        <w:t>勘察设计</w:t>
      </w:r>
      <w:r>
        <w:rPr>
          <w:rFonts w:hint="eastAsia" w:ascii="宋体" w:hAnsi="宋体" w:eastAsia="宋体" w:cs="Times New Roman"/>
          <w:b/>
          <w:bCs/>
          <w:color w:val="auto"/>
          <w:sz w:val="24"/>
          <w:szCs w:val="24"/>
          <w:highlight w:val="none"/>
        </w:rPr>
        <w:t>单位为中小企业）</w:t>
      </w:r>
    </w:p>
    <w:p w14:paraId="5ECBECB6">
      <w:pPr>
        <w:kinsoku w:val="0"/>
        <w:overflowPunct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rPr>
        <w:t>（招标人）</w:t>
      </w:r>
    </w:p>
    <w:p w14:paraId="5F75D92B">
      <w:pPr>
        <w:kinsoku w:val="0"/>
        <w:overflowPunct w:val="0"/>
        <w:spacing w:line="360" w:lineRule="auto"/>
        <w:ind w:right="216" w:firstLine="46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pacing w:val="-5"/>
          <w:sz w:val="24"/>
          <w:szCs w:val="24"/>
          <w:highlight w:val="none"/>
        </w:rPr>
        <w:t>本公司郑重声明，根据《政府采购促进中小企业发展管理办法》</w:t>
      </w:r>
      <w:r>
        <w:rPr>
          <w:rFonts w:hint="eastAsia" w:ascii="宋体" w:hAnsi="宋体" w:eastAsia="宋体" w:cs="Times New Roman"/>
          <w:color w:val="auto"/>
          <w:sz w:val="24"/>
          <w:szCs w:val="24"/>
          <w:highlight w:val="none"/>
        </w:rPr>
        <w:t>（财库﹝2020﹞46</w:t>
      </w:r>
      <w:r>
        <w:rPr>
          <w:rFonts w:hint="eastAsia" w:ascii="宋体" w:hAnsi="宋体" w:eastAsia="宋体" w:cs="Times New Roman"/>
          <w:color w:val="auto"/>
          <w:spacing w:val="-35"/>
          <w:sz w:val="24"/>
          <w:szCs w:val="24"/>
          <w:highlight w:val="none"/>
        </w:rPr>
        <w:t>号</w:t>
      </w:r>
      <w:r>
        <w:rPr>
          <w:rFonts w:hint="eastAsia" w:ascii="宋体" w:hAnsi="宋体" w:eastAsia="宋体" w:cs="Times New Roman"/>
          <w:color w:val="auto"/>
          <w:sz w:val="24"/>
          <w:szCs w:val="24"/>
          <w:highlight w:val="none"/>
        </w:rPr>
        <w:t>）的规定，本公司参加</w:t>
      </w:r>
      <w:r>
        <w:rPr>
          <w:rFonts w:hint="eastAsia" w:ascii="宋体" w:hAnsi="宋体" w:eastAsia="宋体" w:cs="Times New Roman"/>
          <w:color w:val="auto"/>
          <w:sz w:val="24"/>
          <w:szCs w:val="24"/>
          <w:highlight w:val="none"/>
          <w:u w:val="single"/>
        </w:rPr>
        <w:t>（招标人）</w:t>
      </w:r>
      <w:r>
        <w:rPr>
          <w:rFonts w:hint="eastAsia"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u w:val="single"/>
        </w:rPr>
        <w:t>（项目名称）的</w:t>
      </w:r>
      <w:r>
        <w:rPr>
          <w:rFonts w:hint="eastAsia" w:ascii="宋体" w:hAnsi="宋体" w:eastAsia="宋体" w:cs="Times New Roman"/>
          <w:color w:val="auto"/>
          <w:sz w:val="24"/>
          <w:szCs w:val="24"/>
          <w:highlight w:val="none"/>
        </w:rPr>
        <w:t>招标活动，</w:t>
      </w:r>
      <w:r>
        <w:rPr>
          <w:rFonts w:hint="eastAsia" w:ascii="宋体" w:hAnsi="宋体" w:eastAsia="宋体" w:cs="宋体"/>
          <w:color w:val="auto"/>
          <w:sz w:val="24"/>
          <w:szCs w:val="24"/>
          <w:highlight w:val="none"/>
          <w:u w:val="single"/>
          <w:lang w:bidi="ar"/>
        </w:rPr>
        <w:t>（投标人名称）</w:t>
      </w:r>
      <w:r>
        <w:rPr>
          <w:rFonts w:hint="eastAsia" w:ascii="宋体" w:hAnsi="宋体" w:eastAsia="宋体" w:cs="宋体"/>
          <w:color w:val="auto"/>
          <w:sz w:val="24"/>
          <w:szCs w:val="24"/>
          <w:highlight w:val="none"/>
          <w:lang w:bidi="ar"/>
        </w:rPr>
        <w:t>为符合政策要求的中小企业。</w:t>
      </w:r>
      <w:r>
        <w:rPr>
          <w:rFonts w:hint="eastAsia" w:ascii="宋体" w:hAnsi="宋体" w:eastAsia="宋体" w:cs="Times New Roman"/>
          <w:color w:val="auto"/>
          <w:sz w:val="24"/>
          <w:szCs w:val="24"/>
          <w:highlight w:val="none"/>
        </w:rPr>
        <w:t>具体情况如下：</w:t>
      </w:r>
    </w:p>
    <w:p w14:paraId="10947E20">
      <w:pPr>
        <w:kinsoku w:val="0"/>
        <w:overflowPunct w:val="0"/>
        <w:spacing w:line="360" w:lineRule="auto"/>
        <w:ind w:right="318"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pacing w:val="2"/>
          <w:sz w:val="24"/>
          <w:szCs w:val="24"/>
          <w:highlight w:val="none"/>
          <w:u w:val="single"/>
        </w:rPr>
        <w:t>标</w:t>
      </w:r>
      <w:r>
        <w:rPr>
          <w:rFonts w:hint="eastAsia" w:ascii="宋体" w:hAnsi="宋体" w:eastAsia="宋体" w:cs="Times New Roman"/>
          <w:color w:val="auto"/>
          <w:sz w:val="24"/>
          <w:szCs w:val="24"/>
          <w:highlight w:val="none"/>
          <w:u w:val="single"/>
        </w:rPr>
        <w:t>的名</w:t>
      </w:r>
      <w:r>
        <w:rPr>
          <w:rFonts w:hint="eastAsia" w:ascii="宋体" w:hAnsi="宋体" w:eastAsia="宋体" w:cs="Times New Roman"/>
          <w:color w:val="auto"/>
          <w:spacing w:val="2"/>
          <w:sz w:val="24"/>
          <w:szCs w:val="24"/>
          <w:highlight w:val="none"/>
          <w:u w:val="single"/>
        </w:rPr>
        <w:t>称</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r>
        <w:rPr>
          <w:rFonts w:hint="eastAsia" w:ascii="宋体" w:hAnsi="宋体" w:eastAsia="宋体" w:cs="Times New Roman"/>
          <w:color w:val="auto"/>
          <w:spacing w:val="2"/>
          <w:sz w:val="24"/>
          <w:szCs w:val="24"/>
          <w:highlight w:val="none"/>
        </w:rPr>
        <w:t>属</w:t>
      </w:r>
      <w:r>
        <w:rPr>
          <w:rFonts w:hint="eastAsia" w:ascii="宋体" w:hAnsi="宋体" w:eastAsia="宋体" w:cs="Times New Roman"/>
          <w:color w:val="auto"/>
          <w:sz w:val="24"/>
          <w:szCs w:val="24"/>
          <w:highlight w:val="none"/>
        </w:rPr>
        <w:t>于</w:t>
      </w:r>
      <w:r>
        <w:rPr>
          <w:rFonts w:hint="eastAsia" w:ascii="宋体" w:hAnsi="宋体" w:eastAsia="宋体" w:cs="Times New Roman"/>
          <w:color w:val="auto"/>
          <w:sz w:val="24"/>
          <w:szCs w:val="24"/>
          <w:highlight w:val="none"/>
          <w:u w:val="single"/>
        </w:rPr>
        <w:t>中小企业划型标准规定的</w:t>
      </w:r>
      <w:r>
        <w:rPr>
          <w:rFonts w:hint="eastAsia" w:ascii="宋体" w:hAnsi="宋体" w:eastAsia="宋体" w:cs="Times New Roman"/>
          <w:b/>
          <w:color w:val="auto"/>
          <w:sz w:val="24"/>
          <w:szCs w:val="24"/>
          <w:highlight w:val="none"/>
          <w:u w:val="single"/>
        </w:rPr>
        <w:t>其他未列明行业</w:t>
      </w:r>
      <w:r>
        <w:rPr>
          <w:rFonts w:hint="eastAsia" w:ascii="宋体" w:hAnsi="宋体" w:eastAsia="宋体" w:cs="Times New Roman"/>
          <w:color w:val="auto"/>
          <w:sz w:val="24"/>
          <w:szCs w:val="24"/>
          <w:highlight w:val="none"/>
        </w:rPr>
        <w:t>；承</w:t>
      </w:r>
      <w:r>
        <w:rPr>
          <w:rFonts w:hint="eastAsia" w:ascii="宋体" w:hAnsi="宋体" w:eastAsia="宋体" w:cs="Times New Roman"/>
          <w:color w:val="auto"/>
          <w:spacing w:val="2"/>
          <w:sz w:val="24"/>
          <w:szCs w:val="24"/>
          <w:highlight w:val="none"/>
        </w:rPr>
        <w:t>接</w:t>
      </w:r>
      <w:r>
        <w:rPr>
          <w:rFonts w:hint="eastAsia" w:ascii="宋体" w:hAnsi="宋体" w:eastAsia="宋体" w:cs="Times New Roman"/>
          <w:color w:val="auto"/>
          <w:sz w:val="24"/>
          <w:szCs w:val="24"/>
          <w:highlight w:val="none"/>
        </w:rPr>
        <w:t>企</w:t>
      </w:r>
      <w:r>
        <w:rPr>
          <w:rFonts w:hint="eastAsia" w:ascii="宋体" w:hAnsi="宋体" w:eastAsia="宋体" w:cs="Times New Roman"/>
          <w:color w:val="auto"/>
          <w:spacing w:val="2"/>
          <w:sz w:val="24"/>
          <w:szCs w:val="24"/>
          <w:highlight w:val="none"/>
        </w:rPr>
        <w:t>业</w:t>
      </w:r>
      <w:r>
        <w:rPr>
          <w:rFonts w:hint="eastAsia" w:ascii="宋体" w:hAnsi="宋体" w:eastAsia="宋体" w:cs="Times New Roman"/>
          <w:color w:val="auto"/>
          <w:sz w:val="24"/>
          <w:szCs w:val="24"/>
          <w:highlight w:val="none"/>
        </w:rPr>
        <w:t>为</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pacing w:val="2"/>
          <w:sz w:val="24"/>
          <w:szCs w:val="24"/>
          <w:highlight w:val="none"/>
          <w:u w:val="single"/>
        </w:rPr>
        <w:t>企</w:t>
      </w:r>
      <w:r>
        <w:rPr>
          <w:rFonts w:hint="eastAsia" w:ascii="宋体" w:hAnsi="宋体" w:eastAsia="宋体" w:cs="Times New Roman"/>
          <w:color w:val="auto"/>
          <w:sz w:val="24"/>
          <w:szCs w:val="24"/>
          <w:highlight w:val="none"/>
          <w:u w:val="single"/>
        </w:rPr>
        <w:t>业名</w:t>
      </w:r>
      <w:r>
        <w:rPr>
          <w:rFonts w:hint="eastAsia" w:ascii="宋体" w:hAnsi="宋体" w:eastAsia="宋体" w:cs="Times New Roman"/>
          <w:color w:val="auto"/>
          <w:spacing w:val="2"/>
          <w:sz w:val="24"/>
          <w:szCs w:val="24"/>
          <w:highlight w:val="none"/>
          <w:u w:val="single"/>
        </w:rPr>
        <w:t>称</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r>
        <w:rPr>
          <w:rFonts w:hint="eastAsia" w:ascii="宋体" w:hAnsi="宋体" w:eastAsia="宋体" w:cs="Times New Roman"/>
          <w:color w:val="auto"/>
          <w:spacing w:val="2"/>
          <w:sz w:val="24"/>
          <w:szCs w:val="24"/>
          <w:highlight w:val="none"/>
        </w:rPr>
        <w:t>从</w:t>
      </w:r>
      <w:r>
        <w:rPr>
          <w:rFonts w:hint="eastAsia" w:ascii="宋体" w:hAnsi="宋体" w:eastAsia="宋体" w:cs="Times New Roman"/>
          <w:color w:val="auto"/>
          <w:sz w:val="24"/>
          <w:szCs w:val="24"/>
          <w:highlight w:val="none"/>
        </w:rPr>
        <w:t>业人员</w:t>
      </w:r>
      <w:r>
        <w:rPr>
          <w:rFonts w:hint="eastAsia"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w:t>
      </w:r>
      <w:r>
        <w:rPr>
          <w:rFonts w:hint="eastAsia" w:ascii="宋体" w:hAnsi="宋体" w:eastAsia="宋体" w:cs="Times New Roman"/>
          <w:color w:val="auto"/>
          <w:spacing w:val="-1"/>
          <w:sz w:val="24"/>
          <w:szCs w:val="24"/>
          <w:highlight w:val="none"/>
        </w:rPr>
        <w:t>，</w:t>
      </w:r>
      <w:r>
        <w:rPr>
          <w:rFonts w:hint="eastAsia" w:ascii="宋体" w:hAnsi="宋体" w:eastAsia="宋体" w:cs="Times New Roman"/>
          <w:color w:val="auto"/>
          <w:sz w:val="24"/>
          <w:szCs w:val="24"/>
          <w:highlight w:val="none"/>
        </w:rPr>
        <w:t>属于</w:t>
      </w:r>
      <w:r>
        <w:rPr>
          <w:rFonts w:hint="eastAsia" w:ascii="宋体" w:hAnsi="宋体" w:eastAsia="宋体" w:cs="Times New Roman"/>
          <w:color w:val="auto"/>
          <w:sz w:val="24"/>
          <w:szCs w:val="24"/>
          <w:highlight w:val="none"/>
          <w:u w:val="single"/>
        </w:rPr>
        <w:t>（小型企业、微型企业）</w:t>
      </w:r>
      <w:r>
        <w:rPr>
          <w:rFonts w:hint="eastAsia" w:ascii="宋体" w:hAnsi="宋体" w:eastAsia="宋体" w:cs="Times New Roman"/>
          <w:color w:val="auto"/>
          <w:sz w:val="24"/>
          <w:szCs w:val="24"/>
          <w:highlight w:val="none"/>
        </w:rPr>
        <w:t>。</w:t>
      </w:r>
    </w:p>
    <w:p w14:paraId="1D20C045">
      <w:pPr>
        <w:kinsoku w:val="0"/>
        <w:overflowPunct w:val="0"/>
        <w:spacing w:line="360" w:lineRule="auto"/>
        <w:ind w:right="321"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以上企业，不属于大企业的分支机构，不存在控股股东为大企业的情形，也不存在与大企业的负责人为同一人的情形。</w:t>
      </w:r>
    </w:p>
    <w:p w14:paraId="4873379E">
      <w:pPr>
        <w:kinsoku w:val="0"/>
        <w:overflowPunct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本企业对上述声明内容的真实性负责。如有虚假，将依法承担相应责任。</w:t>
      </w:r>
    </w:p>
    <w:p w14:paraId="06D6F9E7">
      <w:pPr>
        <w:widowControl/>
        <w:shd w:val="clear" w:color="auto" w:fill="FFFFFF"/>
        <w:spacing w:line="360" w:lineRule="auto"/>
        <w:ind w:firstLine="378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157E3A3">
      <w:pPr>
        <w:topLinePunct/>
        <w:adjustRightInd w:val="0"/>
        <w:snapToGrid w:val="0"/>
        <w:spacing w:line="360" w:lineRule="auto"/>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投</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标</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人：（盖章）</w:t>
      </w:r>
    </w:p>
    <w:p w14:paraId="3DEF5774">
      <w:pPr>
        <w:spacing w:line="360" w:lineRule="auto"/>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日</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期：</w:t>
      </w:r>
    </w:p>
    <w:p w14:paraId="7E7B0F64">
      <w:pPr>
        <w:spacing w:line="360" w:lineRule="auto"/>
        <w:jc w:val="left"/>
        <w:rPr>
          <w:rFonts w:hint="eastAsia" w:ascii="宋体" w:hAnsi="宋体" w:eastAsia="宋体" w:cs="Times New Roman"/>
          <w:color w:val="auto"/>
          <w:sz w:val="24"/>
          <w:szCs w:val="24"/>
          <w:highlight w:val="none"/>
        </w:rPr>
      </w:pPr>
    </w:p>
    <w:p w14:paraId="42465473">
      <w:pPr>
        <w:ind w:firstLine="440" w:firstLineChars="200"/>
        <w:rPr>
          <w:rFonts w:ascii="Calibri" w:hAnsi="Calibri" w:eastAsia="等线" w:cs="Times New Roman"/>
          <w:color w:val="auto"/>
          <w:sz w:val="22"/>
          <w:highlight w:val="none"/>
        </w:rPr>
      </w:pPr>
    </w:p>
    <w:p w14:paraId="76E62928">
      <w:pPr>
        <w:ind w:firstLine="440" w:firstLineChars="200"/>
        <w:rPr>
          <w:rFonts w:ascii="Calibri" w:hAnsi="Calibri" w:eastAsia="等线" w:cs="Times New Roman"/>
          <w:color w:val="auto"/>
          <w:sz w:val="22"/>
          <w:highlight w:val="none"/>
        </w:rPr>
      </w:pPr>
    </w:p>
    <w:p w14:paraId="22B8F58E">
      <w:pPr>
        <w:wordWrap w:val="0"/>
        <w:topLinePunct/>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注：</w:t>
      </w:r>
    </w:p>
    <w:p w14:paraId="091A044F">
      <w:pPr>
        <w:wordWrap w:val="0"/>
        <w:topLinePunct/>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1.从业人员填报上一年度数据，无上一年度数据的新成立企业可不填报。</w:t>
      </w:r>
    </w:p>
    <w:p w14:paraId="623EF7D1">
      <w:pPr>
        <w:wordWrap w:val="0"/>
        <w:topLinePunct/>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2.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w:t>
      </w:r>
      <w:r>
        <w:rPr>
          <w:rFonts w:hint="eastAsia" w:ascii="宋体" w:hAnsi="宋体" w:eastAsia="宋体" w:cs="Times New Roman"/>
          <w:b/>
          <w:color w:val="auto"/>
          <w:szCs w:val="21"/>
          <w:highlight w:val="none"/>
          <w:u w:val="single"/>
        </w:rPr>
        <w:t>投标人</w:t>
      </w:r>
      <w:r>
        <w:rPr>
          <w:rFonts w:hint="eastAsia" w:ascii="宋体" w:hAnsi="宋体" w:eastAsia="宋体" w:cs="Times New Roman"/>
          <w:color w:val="auto"/>
          <w:szCs w:val="21"/>
          <w:highlight w:val="none"/>
          <w:u w:val="single"/>
        </w:rPr>
        <w:t>出具。</w:t>
      </w:r>
    </w:p>
    <w:p w14:paraId="0B23A67A">
      <w:pPr>
        <w:widowControl/>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3.投标人应当自行核实是否属于小微企业，并认真填写中小企业声明函，若有虚假将追究其责任。</w:t>
      </w:r>
    </w:p>
    <w:p w14:paraId="29CE4B23">
      <w:pPr>
        <w:widowControl/>
        <w:spacing w:line="276" w:lineRule="auto"/>
        <w:jc w:val="left"/>
        <w:rPr>
          <w:rFonts w:ascii="Calibri" w:hAnsi="Calibri" w:eastAsia="宋体" w:cs="Times New Roman"/>
          <w:color w:val="auto"/>
          <w:szCs w:val="21"/>
          <w:highlight w:val="none"/>
          <w:u w:val="single"/>
          <w:lang w:val="zh-CN"/>
        </w:rPr>
      </w:pPr>
      <w:r>
        <w:rPr>
          <w:rFonts w:ascii="宋体" w:hAnsi="宋体" w:eastAsia="宋体" w:cs="Times New Roman"/>
          <w:color w:val="auto"/>
          <w:szCs w:val="21"/>
          <w:highlight w:val="none"/>
          <w:u w:val="single"/>
        </w:rPr>
        <w:t>4</w:t>
      </w:r>
      <w:r>
        <w:rPr>
          <w:rFonts w:hint="eastAsia" w:ascii="宋体" w:hAnsi="宋体" w:eastAsia="宋体" w:cs="Times New Roman"/>
          <w:color w:val="auto"/>
          <w:szCs w:val="21"/>
          <w:highlight w:val="none"/>
          <w:u w:val="single"/>
        </w:rPr>
        <w:t>.《中小企业声明函》，只作为报价评审优惠依据，不作为否决投标条款。</w:t>
      </w:r>
    </w:p>
    <w:p w14:paraId="043EA3B7">
      <w:pPr>
        <w:wordWrap w:val="0"/>
        <w:rPr>
          <w:rFonts w:hint="eastAsia"/>
          <w:color w:val="auto"/>
          <w:highlight w:val="none"/>
          <w:lang w:val="en-US" w:eastAsia="zh-CN"/>
        </w:rPr>
      </w:pPr>
      <w:r>
        <w:rPr>
          <w:rFonts w:hint="eastAsia" w:asciiTheme="minorHAnsi" w:eastAsiaTheme="minorEastAsia"/>
          <w:color w:val="auto"/>
          <w:highlight w:val="none"/>
          <w:lang w:val="en-US" w:eastAsia="zh-CN"/>
        </w:rPr>
        <w:br w:type="page"/>
      </w:r>
    </w:p>
    <w:p w14:paraId="3F89BB65">
      <w:pPr>
        <w:keepNext/>
        <w:keepLines/>
        <w:spacing w:line="360" w:lineRule="auto"/>
        <w:outlineLvl w:val="2"/>
        <w:rPr>
          <w:rFonts w:hint="eastAsia" w:ascii="宋体" w:hAnsi="宋体" w:eastAsia="宋体" w:cs="Times New Roman"/>
          <w:b/>
          <w:color w:val="auto"/>
          <w:kern w:val="0"/>
          <w:sz w:val="24"/>
          <w:szCs w:val="24"/>
          <w:highlight w:val="none"/>
          <w:lang w:val="zh-CN"/>
        </w:rPr>
      </w:pPr>
      <w:r>
        <w:rPr>
          <w:rFonts w:ascii="宋体" w:hAnsi="宋体" w:eastAsia="宋体" w:cs="Times New Roman"/>
          <w:b/>
          <w:color w:val="auto"/>
          <w:kern w:val="0"/>
          <w:sz w:val="24"/>
          <w:szCs w:val="24"/>
          <w:highlight w:val="none"/>
          <w:lang w:val="zh-CN"/>
        </w:rPr>
        <w:t>（</w:t>
      </w:r>
      <w:r>
        <w:rPr>
          <w:rFonts w:hint="eastAsia" w:ascii="宋体" w:hAnsi="宋体" w:eastAsia="宋体" w:cs="Times New Roman"/>
          <w:b/>
          <w:color w:val="auto"/>
          <w:kern w:val="0"/>
          <w:sz w:val="24"/>
          <w:szCs w:val="24"/>
          <w:highlight w:val="none"/>
          <w:lang w:val="en-US" w:eastAsia="zh-CN"/>
        </w:rPr>
        <w:t>2</w:t>
      </w:r>
      <w:r>
        <w:rPr>
          <w:rFonts w:ascii="宋体" w:hAnsi="宋体" w:eastAsia="宋体" w:cs="Times New Roman"/>
          <w:b/>
          <w:color w:val="auto"/>
          <w:kern w:val="0"/>
          <w:sz w:val="24"/>
          <w:szCs w:val="24"/>
          <w:highlight w:val="none"/>
          <w:lang w:val="zh-CN"/>
        </w:rPr>
        <w:t>）</w:t>
      </w:r>
      <w:r>
        <w:rPr>
          <w:rFonts w:hint="eastAsia" w:ascii="宋体" w:hAnsi="宋体" w:eastAsia="宋体" w:cs="Times New Roman"/>
          <w:b/>
          <w:color w:val="auto"/>
          <w:kern w:val="0"/>
          <w:sz w:val="24"/>
          <w:szCs w:val="24"/>
          <w:highlight w:val="none"/>
          <w:lang w:val="zh-CN"/>
        </w:rPr>
        <w:t>分包意向协议（如有）</w:t>
      </w:r>
    </w:p>
    <w:p w14:paraId="6F48B9A5">
      <w:pPr>
        <w:tabs>
          <w:tab w:val="left" w:pos="720"/>
        </w:tabs>
        <w:snapToGrid w:val="0"/>
        <w:spacing w:line="360" w:lineRule="auto"/>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分包意向协议</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0411F60D">
      <w:pPr>
        <w:widowControl w:val="0"/>
        <w:spacing w:line="360" w:lineRule="auto"/>
        <w:jc w:val="both"/>
        <w:rPr>
          <w:rFonts w:hint="eastAsia" w:ascii="宋体" w:hAnsi="宋体" w:eastAsia="宋体" w:cs="宋体"/>
          <w:color w:val="auto"/>
          <w:kern w:val="2"/>
          <w:sz w:val="24"/>
          <w:szCs w:val="24"/>
          <w:highlight w:val="none"/>
          <w:lang w:val="zh-CN" w:eastAsia="zh-CN" w:bidi="ar-SA"/>
        </w:rPr>
      </w:pPr>
    </w:p>
    <w:p w14:paraId="4D6EE1D3">
      <w:pPr>
        <w:snapToGrid/>
        <w:spacing w:line="360" w:lineRule="auto"/>
        <w:ind w:firstLine="0" w:firstLineChars="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立约方：</w:t>
      </w:r>
      <w:r>
        <w:rPr>
          <w:rFonts w:hint="eastAsia" w:ascii="宋体" w:hAnsi="宋体" w:eastAsia="宋体" w:cs="宋体"/>
          <w:color w:val="auto"/>
          <w:sz w:val="24"/>
          <w:szCs w:val="24"/>
          <w:highlight w:val="none"/>
          <w:u w:val="single"/>
        </w:rPr>
        <w:t>（甲公司全称）</w:t>
      </w:r>
    </w:p>
    <w:p w14:paraId="5306F861">
      <w:pPr>
        <w:snapToGrid/>
        <w:spacing w:line="360" w:lineRule="auto"/>
        <w:ind w:firstLine="960" w:firstLineChars="4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（乙公司全称）</w:t>
      </w:r>
    </w:p>
    <w:p w14:paraId="58BE02A4">
      <w:pPr>
        <w:snapToGrid/>
        <w:spacing w:line="360" w:lineRule="auto"/>
        <w:ind w:firstLine="960" w:firstLineChars="4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（……公司全称）</w:t>
      </w:r>
    </w:p>
    <w:p w14:paraId="29DDBE83">
      <w:pPr>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（甲公司全称）、（乙公司全称）、（……公司全称）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自愿达成分包意向，参加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的投标活动。经各方充分协商一致，就项目的投标和合同实施阶段的有关事务协商一致订立意向如下：</w:t>
      </w:r>
    </w:p>
    <w:p w14:paraId="3DBCDBBA">
      <w:pPr>
        <w:snapToGrid/>
        <w:spacing w:line="36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一、分包意向各方关系</w:t>
      </w:r>
      <w:r>
        <w:rPr>
          <w:rFonts w:hint="eastAsia" w:ascii="宋体" w:hAnsi="宋体" w:eastAsia="宋体" w:cs="宋体"/>
          <w:b w:val="0"/>
          <w:bCs w:val="0"/>
          <w:color w:val="auto"/>
          <w:sz w:val="24"/>
          <w:szCs w:val="24"/>
          <w:highlight w:val="none"/>
          <w:lang w:eastAsia="zh-CN"/>
        </w:rPr>
        <w:t>：</w:t>
      </w:r>
    </w:p>
    <w:p w14:paraId="72D32085">
      <w:pPr>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为投标人，</w:t>
      </w:r>
      <w:r>
        <w:rPr>
          <w:rFonts w:hint="eastAsia" w:ascii="宋体" w:hAnsi="宋体" w:eastAsia="宋体" w:cs="宋体"/>
          <w:color w:val="auto"/>
          <w:sz w:val="24"/>
          <w:szCs w:val="24"/>
          <w:highlight w:val="none"/>
          <w:u w:val="single"/>
        </w:rPr>
        <w:t>（乙公司全称）、（……公司全称）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为分包意向单位，</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以投标人的身份参加本项目的投标。若中标，</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与招标人签订合同。承接分包意向的各单位与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签订分包合同。</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就招标项目和分包项目向招标人负责，分包单位就分包项目承担责任。</w:t>
      </w:r>
    </w:p>
    <w:p w14:paraId="0F6DA707">
      <w:pPr>
        <w:snapToGrid/>
        <w:spacing w:line="36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二、有关事项约定如下：</w:t>
      </w:r>
    </w:p>
    <w:p w14:paraId="6C80913E">
      <w:pPr>
        <w:snapToGrid/>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1.如中标，分包单位分别与</w:t>
      </w:r>
      <w:r>
        <w:rPr>
          <w:rFonts w:hint="eastAsia" w:ascii="宋体" w:hAnsi="宋体" w:eastAsia="宋体" w:cs="宋体"/>
          <w:color w:val="auto"/>
          <w:sz w:val="24"/>
          <w:szCs w:val="24"/>
          <w:highlight w:val="none"/>
          <w:u w:val="single"/>
        </w:rPr>
        <w:t>（甲公司全称）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签订合同书，并就中标项目分包部分承担法律责任</w:t>
      </w:r>
      <w:r>
        <w:rPr>
          <w:rFonts w:hint="eastAsia" w:ascii="宋体" w:hAnsi="宋体" w:eastAsia="宋体" w:cs="宋体"/>
          <w:color w:val="auto"/>
          <w:sz w:val="24"/>
          <w:szCs w:val="24"/>
          <w:highlight w:val="none"/>
          <w:lang w:eastAsia="zh-CN"/>
        </w:rPr>
        <w:t>。</w:t>
      </w:r>
    </w:p>
    <w:p w14:paraId="36FF0492">
      <w:pPr>
        <w:snapToGrid/>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2.分包意向单位1：</w:t>
      </w:r>
      <w:r>
        <w:rPr>
          <w:rFonts w:hint="eastAsia" w:ascii="宋体" w:hAnsi="宋体" w:eastAsia="宋体" w:cs="宋体"/>
          <w:color w:val="auto"/>
          <w:sz w:val="24"/>
          <w:szCs w:val="24"/>
          <w:highlight w:val="none"/>
          <w:u w:val="single"/>
          <w:lang w:val="en-US" w:eastAsia="zh-CN"/>
        </w:rPr>
        <w:t xml:space="preserve">（乙公司全称）     </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（请填写：大型、中型、小型、微型）</w:t>
      </w:r>
      <w:r>
        <w:rPr>
          <w:rFonts w:hint="eastAsia" w:ascii="宋体" w:hAnsi="宋体" w:eastAsia="宋体" w:cs="宋体"/>
          <w:color w:val="auto"/>
          <w:sz w:val="24"/>
          <w:szCs w:val="24"/>
          <w:highlight w:val="none"/>
          <w:lang w:val="en-US" w:eastAsia="zh-CN"/>
        </w:rPr>
        <w:t>企业，将承担适宜分包部分</w:t>
      </w:r>
      <w:r>
        <w:rPr>
          <w:rFonts w:hint="eastAsia" w:ascii="宋体" w:hAnsi="宋体" w:eastAsia="宋体" w:cs="宋体"/>
          <w:color w:val="auto"/>
          <w:sz w:val="24"/>
          <w:szCs w:val="24"/>
          <w:highlight w:val="none"/>
          <w:u w:val="single"/>
          <w:lang w:val="en-US" w:eastAsia="zh-CN"/>
        </w:rPr>
        <w:t xml:space="preserve">   （具体分包内容）   </w:t>
      </w:r>
      <w:r>
        <w:rPr>
          <w:rFonts w:hint="eastAsia" w:ascii="宋体" w:hAnsi="宋体" w:eastAsia="宋体" w:cs="宋体"/>
          <w:color w:val="auto"/>
          <w:sz w:val="24"/>
          <w:szCs w:val="24"/>
          <w:highlight w:val="none"/>
          <w:lang w:val="en-US" w:eastAsia="zh-CN"/>
        </w:rPr>
        <w:t>占</w:t>
      </w:r>
      <w:r>
        <w:rPr>
          <w:rFonts w:hint="eastAsia" w:ascii="宋体" w:hAnsi="宋体" w:eastAsia="宋体" w:cs="宋体"/>
          <w:color w:val="auto"/>
          <w:sz w:val="24"/>
          <w:szCs w:val="24"/>
          <w:highlight w:val="none"/>
          <w:u w:val="single"/>
          <w:lang w:val="en-US" w:eastAsia="zh-CN"/>
        </w:rPr>
        <w:t xml:space="preserve">合同部分总金额     </w:t>
      </w:r>
      <w:r>
        <w:rPr>
          <w:rFonts w:hint="eastAsia" w:ascii="宋体" w:hAnsi="宋体" w:eastAsia="宋体" w:cs="宋体"/>
          <w:color w:val="auto"/>
          <w:sz w:val="24"/>
          <w:szCs w:val="24"/>
          <w:highlight w:val="none"/>
          <w:lang w:val="en-US" w:eastAsia="zh-CN"/>
        </w:rPr>
        <w:t>%的工作内容。</w:t>
      </w:r>
    </w:p>
    <w:p w14:paraId="36A682FC">
      <w:pPr>
        <w:snapToGrid/>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3.分包意向单位2：</w:t>
      </w:r>
      <w:r>
        <w:rPr>
          <w:rFonts w:hint="eastAsia" w:ascii="宋体" w:hAnsi="宋体" w:eastAsia="宋体" w:cs="宋体"/>
          <w:color w:val="auto"/>
          <w:sz w:val="24"/>
          <w:szCs w:val="24"/>
          <w:highlight w:val="none"/>
          <w:u w:val="single"/>
          <w:lang w:val="en-US" w:eastAsia="zh-CN"/>
        </w:rPr>
        <w:t xml:space="preserve">（……公司全称）   </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（请填写：大型、中型、小型、微型）</w:t>
      </w:r>
      <w:r>
        <w:rPr>
          <w:rFonts w:hint="eastAsia" w:ascii="宋体" w:hAnsi="宋体" w:eastAsia="宋体" w:cs="宋体"/>
          <w:color w:val="auto"/>
          <w:sz w:val="24"/>
          <w:szCs w:val="24"/>
          <w:highlight w:val="none"/>
          <w:lang w:val="en-US" w:eastAsia="zh-CN"/>
        </w:rPr>
        <w:t>企业，将承担适宜分包部分</w:t>
      </w:r>
      <w:r>
        <w:rPr>
          <w:rFonts w:hint="eastAsia" w:ascii="宋体" w:hAnsi="宋体" w:eastAsia="宋体" w:cs="宋体"/>
          <w:color w:val="auto"/>
          <w:sz w:val="24"/>
          <w:szCs w:val="24"/>
          <w:highlight w:val="none"/>
          <w:u w:val="single"/>
          <w:lang w:val="en-US" w:eastAsia="zh-CN"/>
        </w:rPr>
        <w:t xml:space="preserve">   （具体分包内容）   </w:t>
      </w:r>
      <w:r>
        <w:rPr>
          <w:rFonts w:hint="eastAsia" w:ascii="宋体" w:hAnsi="宋体" w:eastAsia="宋体" w:cs="宋体"/>
          <w:color w:val="auto"/>
          <w:sz w:val="24"/>
          <w:szCs w:val="24"/>
          <w:highlight w:val="none"/>
          <w:lang w:val="en-US" w:eastAsia="zh-CN"/>
        </w:rPr>
        <w:t>占</w:t>
      </w:r>
      <w:r>
        <w:rPr>
          <w:rFonts w:hint="eastAsia" w:ascii="宋体" w:hAnsi="宋体" w:eastAsia="宋体" w:cs="宋体"/>
          <w:color w:val="auto"/>
          <w:sz w:val="24"/>
          <w:szCs w:val="24"/>
          <w:highlight w:val="none"/>
          <w:u w:val="single"/>
          <w:lang w:val="en-US" w:eastAsia="zh-CN"/>
        </w:rPr>
        <w:t xml:space="preserve">合同部分总金额     </w:t>
      </w:r>
      <w:r>
        <w:rPr>
          <w:rFonts w:hint="eastAsia" w:ascii="宋体" w:hAnsi="宋体" w:eastAsia="宋体" w:cs="宋体"/>
          <w:color w:val="auto"/>
          <w:sz w:val="24"/>
          <w:szCs w:val="24"/>
          <w:highlight w:val="none"/>
          <w:lang w:val="en-US" w:eastAsia="zh-CN"/>
        </w:rPr>
        <w:t>%的工作内容。</w:t>
      </w:r>
    </w:p>
    <w:p w14:paraId="44BA308F">
      <w:pPr>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5CFABC6">
      <w:pPr>
        <w:snapToGrid/>
        <w:spacing w:line="360" w:lineRule="auto"/>
        <w:ind w:firstLine="482" w:firstLineChars="200"/>
        <w:jc w:val="both"/>
        <w:rPr>
          <w:rFonts w:hint="eastAsia" w:ascii="宋体" w:hAnsi="宋体" w:eastAsia="宋体" w:cs="宋体"/>
          <w:b/>
          <w:bCs/>
          <w:color w:val="auto"/>
          <w:sz w:val="24"/>
          <w:szCs w:val="24"/>
          <w:highlight w:val="none"/>
        </w:rPr>
      </w:pPr>
    </w:p>
    <w:p w14:paraId="79BA0A97">
      <w:pPr>
        <w:snapToGrid/>
        <w:spacing w:line="36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三、接受分包的企业与投标人之间的关系：</w:t>
      </w:r>
    </w:p>
    <w:p w14:paraId="26F66F4D">
      <w:pPr>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1.分包意向单位1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与投标人之间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直接控股、管理关系的情形。</w:t>
      </w:r>
    </w:p>
    <w:p w14:paraId="4419FE08">
      <w:pPr>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2.分包意向单位2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（公司全称）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与投标人之间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（请填写：是否存在）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直接控股、管理关系的情形。</w:t>
      </w:r>
    </w:p>
    <w:p w14:paraId="23B03E1F">
      <w:pPr>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A43E255">
      <w:pPr>
        <w:snapToGrid/>
        <w:spacing w:line="360" w:lineRule="auto"/>
        <w:ind w:firstLine="480" w:firstLineChars="200"/>
        <w:jc w:val="both"/>
        <w:rPr>
          <w:rFonts w:hint="eastAsia" w:ascii="宋体" w:hAnsi="宋体" w:eastAsia="宋体" w:cs="宋体"/>
          <w:color w:val="auto"/>
          <w:sz w:val="24"/>
          <w:szCs w:val="24"/>
          <w:highlight w:val="none"/>
        </w:rPr>
      </w:pPr>
    </w:p>
    <w:p w14:paraId="4C9B0054">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四、如因违约过失责任而导致招标人经济损失或被索赔时，</w:t>
      </w:r>
      <w:r>
        <w:rPr>
          <w:rFonts w:hint="eastAsia" w:ascii="宋体" w:hAnsi="宋体" w:eastAsia="宋体" w:cs="宋体"/>
          <w:b w:val="0"/>
          <w:bCs w:val="0"/>
          <w:color w:val="auto"/>
          <w:kern w:val="2"/>
          <w:sz w:val="24"/>
          <w:szCs w:val="24"/>
          <w:highlight w:val="none"/>
          <w:u w:val="single"/>
          <w:lang w:val="en-US" w:eastAsia="zh-CN" w:bidi="ar-SA"/>
        </w:rPr>
        <w:t xml:space="preserve">（甲公司全称）      </w:t>
      </w:r>
      <w:r>
        <w:rPr>
          <w:rFonts w:hint="eastAsia" w:ascii="宋体" w:hAnsi="宋体" w:eastAsia="宋体" w:cs="宋体"/>
          <w:b w:val="0"/>
          <w:bCs w:val="0"/>
          <w:color w:val="auto"/>
          <w:kern w:val="2"/>
          <w:sz w:val="24"/>
          <w:szCs w:val="24"/>
          <w:highlight w:val="none"/>
          <w:u w:val="none"/>
          <w:lang w:val="en-US" w:eastAsia="zh-CN" w:bidi="ar-SA"/>
        </w:rPr>
        <w:t>同意无条件优先清偿招标人的一切债务和经济赔偿。</w:t>
      </w:r>
    </w:p>
    <w:p w14:paraId="00A33C23">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五、如中标，分包意向单位不得以任何理由提出终止本意向协议。</w:t>
      </w:r>
    </w:p>
    <w:p w14:paraId="28A984F4">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六、如中标，分包意向单位确定后，不得擅自变更。</w:t>
      </w:r>
    </w:p>
    <w:p w14:paraId="024EC597">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七、本分包意向协议在自签署之日起生效，有效期内有效，如获中标资格，有效期延续至合同履行完毕之日。</w:t>
      </w:r>
    </w:p>
    <w:p w14:paraId="10C529BB">
      <w:pPr>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本企业对上述内容的真实性负责。如有虚假，将依法承担相应责任。以上</w:t>
      </w:r>
      <w:r>
        <w:rPr>
          <w:rFonts w:hint="eastAsia" w:ascii="宋体" w:hAnsi="宋体" w:eastAsia="宋体" w:cs="宋体"/>
          <w:color w:val="auto"/>
          <w:sz w:val="24"/>
          <w:szCs w:val="24"/>
          <w:highlight w:val="none"/>
          <w:lang w:val="en-US" w:eastAsia="zh-CN"/>
        </w:rPr>
        <w:t>分包意向单位</w:t>
      </w:r>
      <w:r>
        <w:rPr>
          <w:rFonts w:hint="eastAsia" w:ascii="宋体" w:hAnsi="宋体" w:eastAsia="宋体" w:cs="宋体"/>
          <w:color w:val="auto"/>
          <w:sz w:val="24"/>
          <w:szCs w:val="24"/>
          <w:highlight w:val="none"/>
        </w:rPr>
        <w:t>，不属于大企业的分支机构，不存在控股股东为大企业的情形，也不存在与大企业的负责人为同一人的情形。</w:t>
      </w:r>
    </w:p>
    <w:p w14:paraId="078C087F">
      <w:pPr>
        <w:snapToGrid/>
        <w:spacing w:line="360" w:lineRule="auto"/>
        <w:ind w:firstLine="0" w:firstLineChars="0"/>
        <w:jc w:val="both"/>
        <w:rPr>
          <w:rFonts w:hint="eastAsia" w:ascii="宋体" w:hAnsi="宋体" w:eastAsia="宋体" w:cs="宋体"/>
          <w:color w:val="auto"/>
          <w:sz w:val="24"/>
          <w:szCs w:val="24"/>
          <w:highlight w:val="none"/>
        </w:rPr>
      </w:pPr>
    </w:p>
    <w:p w14:paraId="62AAF464">
      <w:pPr>
        <w:snapToGrid/>
        <w:spacing w:line="360" w:lineRule="auto"/>
        <w:ind w:firstLine="0" w:firstLineChars="0"/>
        <w:jc w:val="both"/>
        <w:rPr>
          <w:rFonts w:hint="eastAsia" w:ascii="宋体" w:hAnsi="宋体" w:eastAsia="宋体" w:cs="宋体"/>
          <w:color w:val="auto"/>
          <w:sz w:val="24"/>
          <w:szCs w:val="24"/>
          <w:highlight w:val="none"/>
        </w:rPr>
      </w:pPr>
    </w:p>
    <w:p w14:paraId="46EA5EBC">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甲公司全称：（盖章）</w:t>
      </w:r>
    </w:p>
    <w:p w14:paraId="6746F2C5">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6FD00813">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81E1297">
      <w:pPr>
        <w:snapToGrid/>
        <w:spacing w:line="360" w:lineRule="auto"/>
        <w:ind w:firstLine="0" w:firstLineChars="0"/>
        <w:jc w:val="both"/>
        <w:rPr>
          <w:rFonts w:hint="eastAsia" w:ascii="宋体" w:hAnsi="宋体" w:eastAsia="宋体" w:cs="宋体"/>
          <w:color w:val="auto"/>
          <w:sz w:val="24"/>
          <w:szCs w:val="24"/>
          <w:highlight w:val="none"/>
        </w:rPr>
      </w:pPr>
    </w:p>
    <w:p w14:paraId="005A4AAA">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乙公司全称：（盖章）</w:t>
      </w:r>
    </w:p>
    <w:p w14:paraId="509F5496">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17646F8A">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3494F372">
      <w:pPr>
        <w:snapToGrid/>
        <w:spacing w:line="360" w:lineRule="auto"/>
        <w:ind w:firstLine="0" w:firstLineChars="0"/>
        <w:jc w:val="both"/>
        <w:rPr>
          <w:rFonts w:hint="eastAsia" w:ascii="宋体" w:hAnsi="宋体" w:eastAsia="宋体" w:cs="宋体"/>
          <w:color w:val="auto"/>
          <w:sz w:val="24"/>
          <w:szCs w:val="24"/>
          <w:highlight w:val="none"/>
        </w:rPr>
      </w:pPr>
    </w:p>
    <w:p w14:paraId="3A7DA231">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……公司全称（盖章）</w:t>
      </w:r>
    </w:p>
    <w:p w14:paraId="5980FAAE">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26200144">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04ECF67">
      <w:pPr>
        <w:snapToGrid/>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2C2F527">
      <w:pPr>
        <w:snapToGrid/>
        <w:spacing w:line="360" w:lineRule="auto"/>
        <w:ind w:firstLine="0" w:firstLineChars="0"/>
        <w:jc w:val="both"/>
        <w:rPr>
          <w:rFonts w:hint="eastAsia" w:ascii="宋体" w:hAnsi="宋体" w:eastAsia="宋体" w:cs="宋体"/>
          <w:b/>
          <w:bCs/>
          <w:color w:val="auto"/>
          <w:sz w:val="24"/>
          <w:szCs w:val="24"/>
          <w:highlight w:val="none"/>
        </w:rPr>
      </w:pPr>
    </w:p>
    <w:p w14:paraId="4904D3F0">
      <w:pPr>
        <w:snapToGrid/>
        <w:spacing w:line="276" w:lineRule="auto"/>
        <w:ind w:firstLine="422" w:firstLineChars="200"/>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注：1．各方应在本分包意向协议上共同盖章确认。</w:t>
      </w:r>
    </w:p>
    <w:p w14:paraId="68B6DFD6">
      <w:pPr>
        <w:snapToGrid/>
        <w:spacing w:line="276" w:lineRule="auto"/>
        <w:ind w:firstLine="422" w:firstLineChars="200"/>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2．本分包意向协议内容将作为签订合同的附件之一。</w:t>
      </w:r>
    </w:p>
    <w:p w14:paraId="292B287C">
      <w:pPr>
        <w:snapToGrid/>
        <w:spacing w:line="276" w:lineRule="auto"/>
        <w:ind w:firstLine="422" w:firstLineChars="200"/>
        <w:jc w:val="both"/>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分包意向协议</w:t>
      </w:r>
      <w:r>
        <w:rPr>
          <w:rFonts w:hint="eastAsia" w:ascii="宋体" w:hAnsi="宋体" w:eastAsia="宋体" w:cs="宋体"/>
          <w:b/>
          <w:bCs/>
          <w:color w:val="auto"/>
          <w:sz w:val="21"/>
          <w:szCs w:val="21"/>
          <w:highlight w:val="none"/>
          <w:u w:val="single"/>
          <w:lang w:val="en-US" w:eastAsia="zh-CN"/>
        </w:rPr>
        <w:t>适用于大中型企业向一家或者多家小微企业分包且分包承诺小微企业的合同份额占到合同总金额30%以上的，允许大中型企业向一家或者多家小微企业分包的，不得违反《中华人民共和国建筑法》、《建设工程质量管理条例》等法律法规关于违法分包和转包的有关管理规定。</w:t>
      </w:r>
    </w:p>
    <w:p w14:paraId="439EACEB">
      <w:pPr>
        <w:wordWrap w:val="0"/>
        <w:rPr>
          <w:rFonts w:hint="eastAsia"/>
          <w:color w:val="auto"/>
          <w:highlight w:val="none"/>
          <w:lang w:val="en-US" w:eastAsia="zh-CN"/>
        </w:rPr>
      </w:pPr>
      <w:r>
        <w:rPr>
          <w:rFonts w:hint="eastAsia" w:asciiTheme="minorHAnsi" w:eastAsiaTheme="minorEastAsia"/>
          <w:color w:val="auto"/>
          <w:highlight w:val="none"/>
          <w:lang w:val="en-US" w:eastAsia="zh-CN"/>
        </w:rPr>
        <w:br w:type="page"/>
      </w:r>
    </w:p>
    <w:p w14:paraId="3A9C6C50">
      <w:pPr>
        <w:kinsoku w:val="0"/>
        <w:overflowPunct w:val="0"/>
        <w:spacing w:line="360" w:lineRule="auto"/>
        <w:jc w:val="center"/>
        <w:rPr>
          <w:rFonts w:ascii="Calibri" w:hAnsi="Calibri" w:eastAsia="宋体" w:cs="Times New Roman"/>
          <w:color w:val="auto"/>
          <w:sz w:val="26"/>
          <w:szCs w:val="26"/>
          <w:highlight w:val="none"/>
        </w:rPr>
      </w:pPr>
      <w:r>
        <w:rPr>
          <w:rFonts w:hint="eastAsia" w:ascii="宋体" w:hAnsi="宋体" w:eastAsia="宋体" w:cs="Times New Roman"/>
          <w:b/>
          <w:color w:val="auto"/>
          <w:spacing w:val="2"/>
          <w:position w:val="-1"/>
          <w:sz w:val="32"/>
          <w:szCs w:val="32"/>
          <w:highlight w:val="none"/>
        </w:rPr>
        <w:t>中小企业声明函（如有）</w:t>
      </w:r>
    </w:p>
    <w:p w14:paraId="46594E74">
      <w:pPr>
        <w:kinsoku w:val="0"/>
        <w:overflowPunct w:val="0"/>
        <w:spacing w:line="360" w:lineRule="auto"/>
        <w:jc w:val="cente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（适用含签订分包意向协议的中小企业）</w:t>
      </w:r>
    </w:p>
    <w:p w14:paraId="7D73BA8C">
      <w:pPr>
        <w:kinsoku w:val="0"/>
        <w:overflowPunct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rPr>
        <w:t>（招标人）</w:t>
      </w:r>
    </w:p>
    <w:p w14:paraId="65EB8DB3">
      <w:pPr>
        <w:kinsoku w:val="0"/>
        <w:overflowPunct w:val="0"/>
        <w:spacing w:line="360" w:lineRule="auto"/>
        <w:ind w:right="216" w:firstLine="46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pacing w:val="-5"/>
          <w:sz w:val="24"/>
          <w:szCs w:val="24"/>
          <w:highlight w:val="none"/>
        </w:rPr>
        <w:t>本公司郑重声明，根据《政府采购促进中小企业发展管理办法》</w:t>
      </w:r>
      <w:r>
        <w:rPr>
          <w:rFonts w:hint="eastAsia" w:ascii="宋体" w:hAnsi="宋体" w:eastAsia="宋体" w:cs="Times New Roman"/>
          <w:color w:val="auto"/>
          <w:sz w:val="24"/>
          <w:szCs w:val="24"/>
          <w:highlight w:val="none"/>
        </w:rPr>
        <w:t>（财库﹝2020﹞46</w:t>
      </w:r>
      <w:r>
        <w:rPr>
          <w:rFonts w:hint="eastAsia" w:ascii="宋体" w:hAnsi="宋体" w:eastAsia="宋体" w:cs="Times New Roman"/>
          <w:color w:val="auto"/>
          <w:spacing w:val="-35"/>
          <w:sz w:val="24"/>
          <w:szCs w:val="24"/>
          <w:highlight w:val="none"/>
        </w:rPr>
        <w:t>号</w:t>
      </w:r>
      <w:r>
        <w:rPr>
          <w:rFonts w:hint="eastAsia" w:ascii="宋体" w:hAnsi="宋体" w:eastAsia="宋体" w:cs="Times New Roman"/>
          <w:color w:val="auto"/>
          <w:sz w:val="24"/>
          <w:szCs w:val="24"/>
          <w:highlight w:val="none"/>
        </w:rPr>
        <w:t>）的规定，本公司参加</w:t>
      </w:r>
      <w:r>
        <w:rPr>
          <w:rFonts w:hint="eastAsia" w:ascii="宋体" w:hAnsi="宋体" w:eastAsia="宋体" w:cs="Times New Roman"/>
          <w:color w:val="auto"/>
          <w:sz w:val="24"/>
          <w:szCs w:val="24"/>
          <w:highlight w:val="none"/>
          <w:u w:val="single"/>
        </w:rPr>
        <w:t>（招标人）</w:t>
      </w:r>
      <w:r>
        <w:rPr>
          <w:rFonts w:hint="eastAsia"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u w:val="single"/>
        </w:rPr>
        <w:t>（项目名称）的</w:t>
      </w:r>
      <w:r>
        <w:rPr>
          <w:rFonts w:hint="eastAsia" w:ascii="宋体" w:hAnsi="宋体" w:eastAsia="宋体" w:cs="Times New Roman"/>
          <w:color w:val="auto"/>
          <w:sz w:val="24"/>
          <w:szCs w:val="24"/>
          <w:highlight w:val="none"/>
        </w:rPr>
        <w:t>招标活动，</w:t>
      </w:r>
      <w:r>
        <w:rPr>
          <w:rFonts w:hint="eastAsia" w:ascii="宋体" w:hAnsi="宋体" w:eastAsia="宋体" w:cs="宋体"/>
          <w:color w:val="auto"/>
          <w:sz w:val="24"/>
          <w:szCs w:val="24"/>
          <w:highlight w:val="none"/>
          <w:u w:val="single"/>
          <w:lang w:bidi="ar"/>
        </w:rPr>
        <w:t>（投标人名称）</w:t>
      </w:r>
      <w:r>
        <w:rPr>
          <w:rFonts w:hint="eastAsia" w:ascii="宋体" w:hAnsi="宋体" w:eastAsia="宋体" w:cs="宋体"/>
          <w:color w:val="auto"/>
          <w:sz w:val="24"/>
          <w:szCs w:val="24"/>
          <w:highlight w:val="none"/>
          <w:lang w:bidi="ar"/>
        </w:rPr>
        <w:t>为符合政策要求的中小企业。</w:t>
      </w:r>
      <w:r>
        <w:rPr>
          <w:rFonts w:hint="eastAsia" w:ascii="宋体" w:hAnsi="宋体" w:eastAsia="宋体" w:cs="Times New Roman"/>
          <w:color w:val="auto"/>
          <w:sz w:val="24"/>
          <w:szCs w:val="24"/>
          <w:highlight w:val="none"/>
        </w:rPr>
        <w:t>具体情况如下：</w:t>
      </w:r>
    </w:p>
    <w:p w14:paraId="27E8DF25">
      <w:pPr>
        <w:kinsoku w:val="0"/>
        <w:overflowPunct w:val="0"/>
        <w:spacing w:line="360" w:lineRule="auto"/>
        <w:ind w:right="318"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pacing w:val="2"/>
          <w:sz w:val="24"/>
          <w:szCs w:val="24"/>
          <w:highlight w:val="none"/>
          <w:u w:val="single"/>
        </w:rPr>
        <w:t>标</w:t>
      </w:r>
      <w:r>
        <w:rPr>
          <w:rFonts w:hint="eastAsia" w:ascii="宋体" w:hAnsi="宋体" w:eastAsia="宋体" w:cs="Times New Roman"/>
          <w:color w:val="auto"/>
          <w:sz w:val="24"/>
          <w:szCs w:val="24"/>
          <w:highlight w:val="none"/>
          <w:u w:val="single"/>
        </w:rPr>
        <w:t>的名</w:t>
      </w:r>
      <w:r>
        <w:rPr>
          <w:rFonts w:hint="eastAsia" w:ascii="宋体" w:hAnsi="宋体" w:eastAsia="宋体" w:cs="Times New Roman"/>
          <w:color w:val="auto"/>
          <w:spacing w:val="2"/>
          <w:sz w:val="24"/>
          <w:szCs w:val="24"/>
          <w:highlight w:val="none"/>
          <w:u w:val="single"/>
        </w:rPr>
        <w:t>称</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r>
        <w:rPr>
          <w:rFonts w:hint="eastAsia" w:ascii="宋体" w:hAnsi="宋体" w:eastAsia="宋体" w:cs="Times New Roman"/>
          <w:color w:val="auto"/>
          <w:spacing w:val="2"/>
          <w:sz w:val="24"/>
          <w:szCs w:val="24"/>
          <w:highlight w:val="none"/>
        </w:rPr>
        <w:t>属</w:t>
      </w:r>
      <w:r>
        <w:rPr>
          <w:rFonts w:hint="eastAsia" w:ascii="宋体" w:hAnsi="宋体" w:eastAsia="宋体" w:cs="Times New Roman"/>
          <w:color w:val="auto"/>
          <w:sz w:val="24"/>
          <w:szCs w:val="24"/>
          <w:highlight w:val="none"/>
        </w:rPr>
        <w:t>于</w:t>
      </w:r>
      <w:r>
        <w:rPr>
          <w:rFonts w:hint="eastAsia" w:ascii="宋体" w:hAnsi="宋体" w:eastAsia="宋体" w:cs="Times New Roman"/>
          <w:color w:val="auto"/>
          <w:sz w:val="24"/>
          <w:szCs w:val="24"/>
          <w:highlight w:val="none"/>
          <w:u w:val="single"/>
        </w:rPr>
        <w:t>中小企业划型标准规定的</w:t>
      </w:r>
      <w:r>
        <w:rPr>
          <w:rFonts w:hint="eastAsia" w:ascii="宋体" w:hAnsi="宋体" w:eastAsia="宋体" w:cs="Times New Roman"/>
          <w:b/>
          <w:color w:val="auto"/>
          <w:sz w:val="24"/>
          <w:szCs w:val="24"/>
          <w:highlight w:val="none"/>
          <w:u w:val="single"/>
        </w:rPr>
        <w:t>其他未列明行业</w:t>
      </w:r>
      <w:r>
        <w:rPr>
          <w:rFonts w:hint="eastAsia" w:ascii="宋体" w:hAnsi="宋体" w:eastAsia="宋体" w:cs="Times New Roman"/>
          <w:color w:val="auto"/>
          <w:sz w:val="24"/>
          <w:szCs w:val="24"/>
          <w:highlight w:val="none"/>
        </w:rPr>
        <w:t>；承</w:t>
      </w:r>
      <w:r>
        <w:rPr>
          <w:rFonts w:hint="eastAsia" w:ascii="宋体" w:hAnsi="宋体" w:eastAsia="宋体" w:cs="Times New Roman"/>
          <w:color w:val="auto"/>
          <w:spacing w:val="2"/>
          <w:sz w:val="24"/>
          <w:szCs w:val="24"/>
          <w:highlight w:val="none"/>
        </w:rPr>
        <w:t>接</w:t>
      </w:r>
      <w:r>
        <w:rPr>
          <w:rFonts w:hint="eastAsia" w:ascii="宋体" w:hAnsi="宋体" w:eastAsia="宋体" w:cs="Times New Roman"/>
          <w:color w:val="auto"/>
          <w:sz w:val="24"/>
          <w:szCs w:val="24"/>
          <w:highlight w:val="none"/>
        </w:rPr>
        <w:t>企</w:t>
      </w:r>
      <w:r>
        <w:rPr>
          <w:rFonts w:hint="eastAsia" w:ascii="宋体" w:hAnsi="宋体" w:eastAsia="宋体" w:cs="Times New Roman"/>
          <w:color w:val="auto"/>
          <w:spacing w:val="2"/>
          <w:sz w:val="24"/>
          <w:szCs w:val="24"/>
          <w:highlight w:val="none"/>
        </w:rPr>
        <w:t>业</w:t>
      </w:r>
      <w:r>
        <w:rPr>
          <w:rFonts w:hint="eastAsia" w:ascii="宋体" w:hAnsi="宋体" w:eastAsia="宋体" w:cs="Times New Roman"/>
          <w:color w:val="auto"/>
          <w:sz w:val="24"/>
          <w:szCs w:val="24"/>
          <w:highlight w:val="none"/>
        </w:rPr>
        <w:t>为</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pacing w:val="2"/>
          <w:sz w:val="24"/>
          <w:szCs w:val="24"/>
          <w:highlight w:val="none"/>
          <w:u w:val="single"/>
        </w:rPr>
        <w:t>企</w:t>
      </w:r>
      <w:r>
        <w:rPr>
          <w:rFonts w:hint="eastAsia" w:ascii="宋体" w:hAnsi="宋体" w:eastAsia="宋体" w:cs="Times New Roman"/>
          <w:color w:val="auto"/>
          <w:sz w:val="24"/>
          <w:szCs w:val="24"/>
          <w:highlight w:val="none"/>
          <w:u w:val="single"/>
        </w:rPr>
        <w:t>业名</w:t>
      </w:r>
      <w:r>
        <w:rPr>
          <w:rFonts w:hint="eastAsia" w:ascii="宋体" w:hAnsi="宋体" w:eastAsia="宋体" w:cs="Times New Roman"/>
          <w:color w:val="auto"/>
          <w:spacing w:val="2"/>
          <w:sz w:val="24"/>
          <w:szCs w:val="24"/>
          <w:highlight w:val="none"/>
          <w:u w:val="single"/>
        </w:rPr>
        <w:t>称</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r>
        <w:rPr>
          <w:rFonts w:hint="eastAsia" w:ascii="宋体" w:hAnsi="宋体" w:eastAsia="宋体" w:cs="Times New Roman"/>
          <w:color w:val="auto"/>
          <w:spacing w:val="2"/>
          <w:sz w:val="24"/>
          <w:szCs w:val="24"/>
          <w:highlight w:val="none"/>
        </w:rPr>
        <w:t>从</w:t>
      </w:r>
      <w:r>
        <w:rPr>
          <w:rFonts w:hint="eastAsia" w:ascii="宋体" w:hAnsi="宋体" w:eastAsia="宋体" w:cs="Times New Roman"/>
          <w:color w:val="auto"/>
          <w:sz w:val="24"/>
          <w:szCs w:val="24"/>
          <w:highlight w:val="none"/>
        </w:rPr>
        <w:t>业人员</w:t>
      </w:r>
      <w:r>
        <w:rPr>
          <w:rFonts w:hint="eastAsia" w:ascii="宋体" w:hAnsi="宋体" w:eastAsia="宋体" w:cs="Times New Roman"/>
          <w:color w:val="auto"/>
          <w:sz w:val="24"/>
          <w:szCs w:val="24"/>
          <w:highlight w:val="none"/>
          <w:u w:val="single"/>
        </w:rPr>
        <w:tab/>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w:t>
      </w:r>
      <w:r>
        <w:rPr>
          <w:rFonts w:hint="eastAsia" w:ascii="宋体" w:hAnsi="宋体" w:eastAsia="宋体" w:cs="Times New Roman"/>
          <w:color w:val="auto"/>
          <w:spacing w:val="-1"/>
          <w:sz w:val="24"/>
          <w:szCs w:val="24"/>
          <w:highlight w:val="none"/>
        </w:rPr>
        <w:t>，</w:t>
      </w:r>
      <w:r>
        <w:rPr>
          <w:rFonts w:hint="eastAsia" w:ascii="宋体" w:hAnsi="宋体" w:eastAsia="宋体" w:cs="Times New Roman"/>
          <w:color w:val="auto"/>
          <w:sz w:val="24"/>
          <w:szCs w:val="24"/>
          <w:highlight w:val="none"/>
        </w:rPr>
        <w:t>属于</w:t>
      </w:r>
      <w:r>
        <w:rPr>
          <w:rFonts w:hint="eastAsia" w:ascii="宋体" w:hAnsi="宋体" w:eastAsia="宋体" w:cs="Times New Roman"/>
          <w:color w:val="auto"/>
          <w:sz w:val="24"/>
          <w:szCs w:val="24"/>
          <w:highlight w:val="none"/>
          <w:u w:val="single"/>
        </w:rPr>
        <w:t>（小型企业、微型企业）</w:t>
      </w:r>
      <w:r>
        <w:rPr>
          <w:rFonts w:hint="eastAsia" w:ascii="宋体" w:hAnsi="宋体" w:eastAsia="宋体" w:cs="Times New Roman"/>
          <w:color w:val="auto"/>
          <w:sz w:val="24"/>
          <w:szCs w:val="24"/>
          <w:highlight w:val="none"/>
        </w:rPr>
        <w:t>。</w:t>
      </w:r>
    </w:p>
    <w:p w14:paraId="6DA3F9E9">
      <w:pPr>
        <w:kinsoku w:val="0"/>
        <w:overflowPunct w:val="0"/>
        <w:spacing w:line="360" w:lineRule="auto"/>
        <w:ind w:right="321"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以上企业，不属于大企业的分支机构，不存在控股股东为大企业的情形，也不存在与大企业的负责人为同一人的情形。</w:t>
      </w:r>
    </w:p>
    <w:p w14:paraId="7DDDB3B7">
      <w:pPr>
        <w:kinsoku w:val="0"/>
        <w:overflowPunct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本企业对上述声明内容的真实性负责。如有虚假，将依法承担相应责任。</w:t>
      </w:r>
    </w:p>
    <w:p w14:paraId="4D0207E8">
      <w:pPr>
        <w:widowControl/>
        <w:shd w:val="clear" w:color="auto" w:fill="FFFFFF"/>
        <w:spacing w:line="360" w:lineRule="auto"/>
        <w:ind w:firstLine="378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00C1B0A5">
      <w:pPr>
        <w:topLinePunct/>
        <w:adjustRightInd w:val="0"/>
        <w:snapToGrid w:val="0"/>
        <w:spacing w:line="360" w:lineRule="auto"/>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投</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标</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人：（盖章）</w:t>
      </w:r>
    </w:p>
    <w:p w14:paraId="568F4942">
      <w:pPr>
        <w:spacing w:line="360" w:lineRule="auto"/>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日</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期：</w:t>
      </w:r>
    </w:p>
    <w:p w14:paraId="5242F903">
      <w:pPr>
        <w:spacing w:line="360" w:lineRule="auto"/>
        <w:jc w:val="left"/>
        <w:rPr>
          <w:rFonts w:hint="eastAsia" w:ascii="宋体" w:hAnsi="宋体" w:eastAsia="宋体" w:cs="Times New Roman"/>
          <w:color w:val="auto"/>
          <w:sz w:val="24"/>
          <w:szCs w:val="24"/>
          <w:highlight w:val="none"/>
        </w:rPr>
      </w:pPr>
    </w:p>
    <w:p w14:paraId="029C476B">
      <w:pPr>
        <w:ind w:firstLine="440" w:firstLineChars="200"/>
        <w:rPr>
          <w:rFonts w:ascii="Calibri" w:hAnsi="Calibri" w:eastAsia="等线" w:cs="Times New Roman"/>
          <w:color w:val="auto"/>
          <w:sz w:val="22"/>
          <w:highlight w:val="none"/>
        </w:rPr>
      </w:pPr>
    </w:p>
    <w:p w14:paraId="046132A6">
      <w:pPr>
        <w:ind w:firstLine="440" w:firstLineChars="200"/>
        <w:rPr>
          <w:rFonts w:ascii="Calibri" w:hAnsi="Calibri" w:eastAsia="等线" w:cs="Times New Roman"/>
          <w:color w:val="auto"/>
          <w:sz w:val="22"/>
          <w:highlight w:val="none"/>
        </w:rPr>
      </w:pPr>
    </w:p>
    <w:p w14:paraId="73A04BFD">
      <w:pPr>
        <w:wordWrap w:val="0"/>
        <w:topLinePunct/>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注：</w:t>
      </w:r>
    </w:p>
    <w:p w14:paraId="1DCE6B62">
      <w:pPr>
        <w:wordWrap w:val="0"/>
        <w:topLinePunct/>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1.从业人员填报上一年度数据，无上一年度数据的新成立企业可不填报。</w:t>
      </w:r>
    </w:p>
    <w:p w14:paraId="7002FA01">
      <w:pPr>
        <w:wordWrap w:val="0"/>
        <w:topLinePunct/>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2.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w:t>
      </w:r>
      <w:r>
        <w:rPr>
          <w:rFonts w:hint="eastAsia" w:ascii="宋体" w:hAnsi="宋体" w:eastAsia="宋体" w:cs="Times New Roman"/>
          <w:b/>
          <w:color w:val="auto"/>
          <w:szCs w:val="21"/>
          <w:highlight w:val="none"/>
          <w:u w:val="single"/>
        </w:rPr>
        <w:t>投标人</w:t>
      </w:r>
      <w:r>
        <w:rPr>
          <w:rFonts w:hint="eastAsia" w:ascii="宋体" w:hAnsi="宋体" w:eastAsia="宋体" w:cs="Times New Roman"/>
          <w:color w:val="auto"/>
          <w:szCs w:val="21"/>
          <w:highlight w:val="none"/>
          <w:u w:val="single"/>
        </w:rPr>
        <w:t>出具。</w:t>
      </w:r>
    </w:p>
    <w:p w14:paraId="7F7D2976">
      <w:pPr>
        <w:widowControl/>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3.投标人应当自行核实是否属于小微企业，并认真填写中小企业声明函，若有虚假将追究其责任。</w:t>
      </w:r>
    </w:p>
    <w:p w14:paraId="4DDBEEFE">
      <w:pPr>
        <w:widowControl/>
        <w:spacing w:line="276" w:lineRule="auto"/>
        <w:jc w:val="left"/>
        <w:rPr>
          <w:rFonts w:ascii="Calibri" w:hAnsi="Calibri" w:eastAsia="宋体" w:cs="Times New Roman"/>
          <w:color w:val="auto"/>
          <w:szCs w:val="21"/>
          <w:highlight w:val="none"/>
          <w:u w:val="single"/>
          <w:lang w:val="zh-CN"/>
        </w:rPr>
      </w:pPr>
      <w:r>
        <w:rPr>
          <w:rFonts w:ascii="宋体" w:hAnsi="宋体" w:eastAsia="宋体" w:cs="Times New Roman"/>
          <w:color w:val="auto"/>
          <w:szCs w:val="21"/>
          <w:highlight w:val="none"/>
          <w:u w:val="single"/>
        </w:rPr>
        <w:t>4</w:t>
      </w:r>
      <w:r>
        <w:rPr>
          <w:rFonts w:hint="eastAsia" w:ascii="宋体" w:hAnsi="宋体" w:eastAsia="宋体" w:cs="Times New Roman"/>
          <w:color w:val="auto"/>
          <w:szCs w:val="21"/>
          <w:highlight w:val="none"/>
          <w:u w:val="single"/>
        </w:rPr>
        <w:t>.《中小企业声明函》，只作为报价评审优惠依据，不作为否决投标条款。</w:t>
      </w:r>
    </w:p>
    <w:p w14:paraId="2045C85E">
      <w:pPr>
        <w:wordWrap w:val="0"/>
        <w:rPr>
          <w:rFonts w:hint="eastAsia"/>
          <w:color w:val="auto"/>
          <w:highlight w:val="none"/>
          <w:lang w:val="en-US" w:eastAsia="zh-CN"/>
        </w:rPr>
      </w:pPr>
      <w:r>
        <w:rPr>
          <w:rFonts w:hint="eastAsia" w:asciiTheme="minorHAnsi" w:eastAsiaTheme="minorEastAsia"/>
          <w:color w:val="auto"/>
          <w:highlight w:val="none"/>
          <w:lang w:val="en-US" w:eastAsia="zh-CN"/>
        </w:rPr>
        <w:br w:type="page"/>
      </w:r>
    </w:p>
    <w:p w14:paraId="095E0FA4">
      <w:pPr>
        <w:keepNext/>
        <w:keepLines/>
        <w:spacing w:line="360" w:lineRule="auto"/>
        <w:outlineLvl w:val="2"/>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w:t>
      </w:r>
      <w:r>
        <w:rPr>
          <w:rFonts w:hint="eastAsia" w:ascii="宋体" w:hAnsi="宋体" w:eastAsia="宋体" w:cs="Times New Roman"/>
          <w:b/>
          <w:color w:val="auto"/>
          <w:kern w:val="0"/>
          <w:sz w:val="24"/>
          <w:szCs w:val="24"/>
          <w:highlight w:val="none"/>
          <w:lang w:val="en-US" w:eastAsia="zh-CN"/>
        </w:rPr>
        <w:t>3</w:t>
      </w:r>
      <w:r>
        <w:rPr>
          <w:rFonts w:hint="eastAsia" w:ascii="宋体" w:hAnsi="宋体" w:eastAsia="宋体" w:cs="Times New Roman"/>
          <w:b/>
          <w:color w:val="auto"/>
          <w:kern w:val="0"/>
          <w:sz w:val="24"/>
          <w:szCs w:val="24"/>
          <w:highlight w:val="none"/>
          <w:lang w:val="zh-CN"/>
        </w:rPr>
        <w:t>）监狱企业证明文件（如有）</w:t>
      </w:r>
    </w:p>
    <w:p w14:paraId="09FA1837">
      <w:pPr>
        <w:widowControl/>
        <w:jc w:val="left"/>
        <w:rPr>
          <w:rFonts w:hint="eastAsia" w:ascii="宋体" w:hAnsi="宋体" w:eastAsia="宋体" w:cs="Times New Roman"/>
          <w:color w:val="auto"/>
          <w:szCs w:val="24"/>
          <w:highlight w:val="none"/>
        </w:rPr>
      </w:pPr>
    </w:p>
    <w:p w14:paraId="725081B3">
      <w:pPr>
        <w:widowControl/>
        <w:jc w:val="left"/>
        <w:rPr>
          <w:rFonts w:hint="eastAsia" w:ascii="宋体" w:hAnsi="宋体" w:eastAsia="宋体" w:cs="Times New Roman"/>
          <w:color w:val="auto"/>
          <w:szCs w:val="24"/>
          <w:highlight w:val="none"/>
        </w:rPr>
      </w:pPr>
    </w:p>
    <w:p w14:paraId="443C3DEB">
      <w:pPr>
        <w:widowControl/>
        <w:jc w:val="left"/>
        <w:rPr>
          <w:rFonts w:hint="eastAsia" w:ascii="宋体" w:hAnsi="宋体" w:eastAsia="宋体" w:cs="Times New Roman"/>
          <w:color w:val="auto"/>
          <w:szCs w:val="24"/>
          <w:highlight w:val="none"/>
        </w:rPr>
      </w:pPr>
    </w:p>
    <w:p w14:paraId="5607FE29">
      <w:pPr>
        <w:widowControl/>
        <w:jc w:val="left"/>
        <w:rPr>
          <w:rFonts w:hint="eastAsia" w:ascii="宋体" w:hAnsi="宋体" w:eastAsia="宋体" w:cs="Times New Roman"/>
          <w:color w:val="auto"/>
          <w:szCs w:val="24"/>
          <w:highlight w:val="none"/>
        </w:rPr>
      </w:pPr>
    </w:p>
    <w:p w14:paraId="62D84708">
      <w:pPr>
        <w:widowControl/>
        <w:jc w:val="left"/>
        <w:rPr>
          <w:rFonts w:hint="eastAsia" w:ascii="宋体" w:hAnsi="宋体" w:eastAsia="宋体" w:cs="Times New Roman"/>
          <w:color w:val="auto"/>
          <w:szCs w:val="24"/>
          <w:highlight w:val="none"/>
        </w:rPr>
      </w:pPr>
    </w:p>
    <w:p w14:paraId="07E179E2">
      <w:pPr>
        <w:widowControl/>
        <w:jc w:val="left"/>
        <w:rPr>
          <w:rFonts w:hint="eastAsia" w:ascii="宋体" w:hAnsi="宋体" w:eastAsia="宋体" w:cs="Times New Roman"/>
          <w:color w:val="auto"/>
          <w:szCs w:val="24"/>
          <w:highlight w:val="none"/>
        </w:rPr>
      </w:pPr>
    </w:p>
    <w:p w14:paraId="4FE3BDB6">
      <w:pPr>
        <w:widowControl/>
        <w:jc w:val="left"/>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250FE1">
      <w:pPr>
        <w:widowControl/>
        <w:jc w:val="left"/>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2、监狱企业参与投标的，需提供由省级以上监狱管理局、戒毒管理局（含新疆生产建设兵团）出具的属于监狱企业的证明文件。监狱企业视同小微企业，无需再提供《中小企业声明函》。</w:t>
      </w:r>
    </w:p>
    <w:p w14:paraId="61EAE3D1">
      <w:pPr>
        <w:widowControl/>
        <w:jc w:val="left"/>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3、如非监狱企业，不需要提供证明文件。</w:t>
      </w:r>
    </w:p>
    <w:p w14:paraId="422E64E5">
      <w:pPr>
        <w:widowControl/>
        <w:jc w:val="left"/>
        <w:rPr>
          <w:rFonts w:hint="eastAsia" w:ascii="宋体" w:hAnsi="宋体" w:eastAsia="宋体" w:cs="Times New Roman"/>
          <w:b/>
          <w:color w:val="auto"/>
          <w:kern w:val="0"/>
          <w:sz w:val="24"/>
          <w:szCs w:val="24"/>
          <w:highlight w:val="none"/>
          <w:lang w:val="zh-CN"/>
        </w:rPr>
      </w:pPr>
      <w:r>
        <w:rPr>
          <w:rFonts w:ascii="宋体" w:hAnsi="宋体" w:eastAsia="宋体" w:cs="Times New Roman"/>
          <w:color w:val="auto"/>
          <w:szCs w:val="24"/>
          <w:highlight w:val="none"/>
        </w:rPr>
        <w:br w:type="page"/>
      </w:r>
    </w:p>
    <w:p w14:paraId="79E10BE4">
      <w:pPr>
        <w:keepNext/>
        <w:keepLines/>
        <w:spacing w:line="360" w:lineRule="auto"/>
        <w:outlineLvl w:val="2"/>
        <w:rPr>
          <w:rFonts w:hint="eastAsia" w:ascii="宋体" w:hAnsi="宋体" w:eastAsia="宋体" w:cs="Times New Roman"/>
          <w:b/>
          <w:color w:val="auto"/>
          <w:kern w:val="0"/>
          <w:sz w:val="24"/>
          <w:szCs w:val="24"/>
          <w:highlight w:val="none"/>
          <w:lang w:val="zh-CN"/>
        </w:rPr>
      </w:pPr>
      <w:r>
        <w:rPr>
          <w:rFonts w:ascii="宋体" w:hAnsi="宋体" w:eastAsia="宋体" w:cs="Times New Roman"/>
          <w:b/>
          <w:color w:val="auto"/>
          <w:kern w:val="0"/>
          <w:sz w:val="24"/>
          <w:szCs w:val="24"/>
          <w:highlight w:val="none"/>
          <w:lang w:val="zh-CN"/>
        </w:rPr>
        <w:t>（</w:t>
      </w:r>
      <w:r>
        <w:rPr>
          <w:rFonts w:hint="eastAsia" w:ascii="宋体" w:hAnsi="宋体" w:eastAsia="宋体" w:cs="Times New Roman"/>
          <w:b/>
          <w:color w:val="auto"/>
          <w:kern w:val="0"/>
          <w:sz w:val="24"/>
          <w:szCs w:val="24"/>
          <w:highlight w:val="none"/>
          <w:lang w:val="en-US" w:eastAsia="zh-CN"/>
        </w:rPr>
        <w:t>4</w:t>
      </w:r>
      <w:r>
        <w:rPr>
          <w:rFonts w:ascii="宋体" w:hAnsi="宋体" w:eastAsia="宋体" w:cs="Times New Roman"/>
          <w:b/>
          <w:color w:val="auto"/>
          <w:kern w:val="0"/>
          <w:sz w:val="24"/>
          <w:szCs w:val="24"/>
          <w:highlight w:val="none"/>
          <w:lang w:val="zh-CN"/>
        </w:rPr>
        <w:t>）</w:t>
      </w:r>
      <w:r>
        <w:rPr>
          <w:rFonts w:hint="eastAsia" w:ascii="宋体" w:hAnsi="宋体" w:eastAsia="宋体" w:cs="Times New Roman"/>
          <w:b/>
          <w:color w:val="auto"/>
          <w:kern w:val="0"/>
          <w:sz w:val="24"/>
          <w:szCs w:val="24"/>
          <w:highlight w:val="none"/>
          <w:lang w:val="zh-CN"/>
        </w:rPr>
        <w:t>残疾人福利性单位声明函（如有）</w:t>
      </w:r>
    </w:p>
    <w:p w14:paraId="32AA676D">
      <w:pPr>
        <w:widowControl/>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残疾人福利性单位声明函（如有）</w:t>
      </w:r>
    </w:p>
    <w:p w14:paraId="19FB7946">
      <w:pPr>
        <w:widowControl/>
        <w:spacing w:line="360" w:lineRule="auto"/>
        <w:jc w:val="left"/>
        <w:rPr>
          <w:rFonts w:hint="eastAsia" w:ascii="宋体" w:hAnsi="宋体" w:eastAsia="宋体" w:cs="宋体"/>
          <w:color w:val="auto"/>
          <w:kern w:val="0"/>
          <w:sz w:val="20"/>
          <w:szCs w:val="20"/>
          <w:highlight w:val="none"/>
          <w:lang w:eastAsia="zh-Hans"/>
        </w:rPr>
      </w:pPr>
      <w:r>
        <w:rPr>
          <w:rFonts w:hint="eastAsia" w:ascii="宋体" w:hAnsi="宋体" w:eastAsia="宋体" w:cs="宋体"/>
          <w:color w:val="auto"/>
          <w:kern w:val="0"/>
          <w:sz w:val="24"/>
          <w:szCs w:val="20"/>
          <w:highlight w:val="none"/>
          <w:lang w:eastAsia="zh-Hans"/>
        </w:rPr>
        <w:t>致：</w:t>
      </w:r>
      <w:r>
        <w:rPr>
          <w:rFonts w:hint="eastAsia" w:ascii="宋体" w:hAnsi="宋体" w:eastAsia="宋体" w:cs="宋体"/>
          <w:color w:val="auto"/>
          <w:kern w:val="0"/>
          <w:sz w:val="24"/>
          <w:szCs w:val="20"/>
          <w:highlight w:val="none"/>
          <w:u w:val="single"/>
          <w:lang w:eastAsia="zh-Hans"/>
        </w:rPr>
        <w:t>（招标人）</w:t>
      </w:r>
    </w:p>
    <w:p w14:paraId="7AF3931B">
      <w:pPr>
        <w:widowControl/>
        <w:spacing w:line="360" w:lineRule="auto"/>
        <w:ind w:firstLine="480" w:firstLineChars="200"/>
        <w:jc w:val="left"/>
        <w:rPr>
          <w:rFonts w:hint="eastAsia" w:ascii="宋体" w:hAnsi="宋体" w:eastAsia="宋体" w:cs="宋体"/>
          <w:color w:val="auto"/>
          <w:kern w:val="0"/>
          <w:sz w:val="24"/>
          <w:szCs w:val="24"/>
          <w:highlight w:val="none"/>
          <w:lang w:eastAsia="zh-Hans"/>
        </w:rPr>
      </w:pPr>
      <w:r>
        <w:rPr>
          <w:rFonts w:ascii="宋体" w:hAnsi="宋体" w:eastAsia="宋体" w:cs="宋体"/>
          <w:color w:val="auto"/>
          <w:kern w:val="0"/>
          <w:sz w:val="24"/>
          <w:szCs w:val="24"/>
          <w:highlight w:val="none"/>
          <w:lang w:eastAsia="zh-Hans"/>
        </w:rPr>
        <w:t>本单位郑重声明，根据《财政部 民政部 中国残疾人联合会关于促进残疾人就业政府采购政策的通知》</w:t>
      </w:r>
      <w:r>
        <w:rPr>
          <w:rFonts w:hint="eastAsia" w:ascii="宋体" w:hAnsi="宋体" w:eastAsia="宋体" w:cs="宋体"/>
          <w:color w:val="auto"/>
          <w:kern w:val="0"/>
          <w:sz w:val="24"/>
          <w:szCs w:val="24"/>
          <w:highlight w:val="none"/>
          <w:lang w:eastAsia="zh-Hans"/>
        </w:rPr>
        <w:t>（财库〔2017〕141号）</w:t>
      </w:r>
      <w:r>
        <w:rPr>
          <w:rFonts w:ascii="宋体" w:hAnsi="宋体" w:eastAsia="宋体" w:cs="宋体"/>
          <w:color w:val="auto"/>
          <w:kern w:val="0"/>
          <w:sz w:val="24"/>
          <w:szCs w:val="24"/>
          <w:highlight w:val="none"/>
          <w:lang w:eastAsia="zh-Hans"/>
        </w:rPr>
        <w:t>的规定，本单位为符合条件的残疾人福利性单位，且本单位参加</w:t>
      </w:r>
      <w:r>
        <w:rPr>
          <w:rFonts w:hint="eastAsia" w:ascii="宋体" w:hAnsi="宋体" w:eastAsia="宋体" w:cs="宋体"/>
          <w:color w:val="auto"/>
          <w:kern w:val="0"/>
          <w:sz w:val="24"/>
          <w:szCs w:val="20"/>
          <w:highlight w:val="none"/>
          <w:u w:val="single"/>
          <w:lang w:eastAsia="zh-Hans"/>
        </w:rPr>
        <w:t xml:space="preserve">        （招标人）</w:t>
      </w:r>
      <w:r>
        <w:rPr>
          <w:rFonts w:hint="eastAsia" w:ascii="宋体" w:hAnsi="宋体" w:eastAsia="宋体" w:cs="宋体"/>
          <w:color w:val="auto"/>
          <w:kern w:val="0"/>
          <w:sz w:val="24"/>
          <w:szCs w:val="20"/>
          <w:highlight w:val="none"/>
          <w:u w:val="single"/>
        </w:rPr>
        <w:t xml:space="preserve">         </w:t>
      </w:r>
      <w:r>
        <w:rPr>
          <w:rFonts w:ascii="宋体" w:hAnsi="宋体" w:eastAsia="宋体" w:cs="宋体"/>
          <w:color w:val="auto"/>
          <w:kern w:val="0"/>
          <w:sz w:val="24"/>
          <w:szCs w:val="24"/>
          <w:highlight w:val="none"/>
          <w:lang w:eastAsia="zh-Hans"/>
        </w:rPr>
        <w:t>单位的</w:t>
      </w:r>
      <w:r>
        <w:rPr>
          <w:rFonts w:hint="eastAsia" w:ascii="宋体" w:hAnsi="宋体" w:eastAsia="宋体" w:cs="宋体"/>
          <w:color w:val="auto"/>
          <w:kern w:val="0"/>
          <w:sz w:val="24"/>
          <w:szCs w:val="20"/>
          <w:highlight w:val="none"/>
          <w:u w:val="single"/>
          <w:lang w:eastAsia="zh-Hans"/>
        </w:rPr>
        <w:t xml:space="preserve">        （</w:t>
      </w:r>
      <w:r>
        <w:rPr>
          <w:rFonts w:hint="eastAsia" w:ascii="宋体" w:hAnsi="宋体" w:eastAsia="宋体" w:cs="宋体"/>
          <w:color w:val="auto"/>
          <w:kern w:val="0"/>
          <w:sz w:val="24"/>
          <w:szCs w:val="20"/>
          <w:highlight w:val="none"/>
          <w:u w:val="single"/>
        </w:rPr>
        <w:t>项目名称</w:t>
      </w:r>
      <w:r>
        <w:rPr>
          <w:rFonts w:hint="eastAsia" w:ascii="宋体" w:hAnsi="宋体" w:eastAsia="宋体" w:cs="宋体"/>
          <w:color w:val="auto"/>
          <w:kern w:val="0"/>
          <w:sz w:val="24"/>
          <w:szCs w:val="20"/>
          <w:highlight w:val="none"/>
          <w:u w:val="single"/>
          <w:lang w:eastAsia="zh-Hans"/>
        </w:rPr>
        <w:t>）</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项目</w:t>
      </w:r>
      <w:r>
        <w:rPr>
          <w:rFonts w:hint="eastAsia" w:ascii="宋体" w:hAnsi="宋体" w:eastAsia="宋体" w:cs="宋体"/>
          <w:color w:val="auto"/>
          <w:kern w:val="0"/>
          <w:sz w:val="24"/>
          <w:szCs w:val="24"/>
          <w:highlight w:val="none"/>
        </w:rPr>
        <w:t>招标</w:t>
      </w:r>
      <w:r>
        <w:rPr>
          <w:rFonts w:ascii="宋体" w:hAnsi="宋体" w:eastAsia="宋体" w:cs="宋体"/>
          <w:color w:val="auto"/>
          <w:kern w:val="0"/>
          <w:sz w:val="24"/>
          <w:szCs w:val="24"/>
          <w:highlight w:val="none"/>
          <w:lang w:eastAsia="zh-Hans"/>
        </w:rPr>
        <w:t>活动</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lang w:eastAsia="zh-Hans"/>
        </w:rPr>
        <w:t>由本单位承</w:t>
      </w:r>
      <w:r>
        <w:rPr>
          <w:rFonts w:hint="eastAsia" w:ascii="宋体" w:hAnsi="宋体" w:eastAsia="宋体" w:cs="宋体"/>
          <w:color w:val="auto"/>
          <w:kern w:val="0"/>
          <w:sz w:val="24"/>
          <w:szCs w:val="24"/>
          <w:highlight w:val="none"/>
        </w:rPr>
        <w:t>接本项目</w:t>
      </w:r>
      <w:r>
        <w:rPr>
          <w:rFonts w:ascii="宋体" w:hAnsi="宋体" w:eastAsia="宋体" w:cs="宋体"/>
          <w:color w:val="auto"/>
          <w:kern w:val="0"/>
          <w:sz w:val="24"/>
          <w:szCs w:val="24"/>
          <w:highlight w:val="none"/>
          <w:lang w:eastAsia="zh-Hans"/>
        </w:rPr>
        <w:t>。</w:t>
      </w:r>
    </w:p>
    <w:p w14:paraId="32790727">
      <w:pPr>
        <w:widowControl/>
        <w:spacing w:line="360" w:lineRule="auto"/>
        <w:ind w:firstLine="480" w:firstLineChars="200"/>
        <w:jc w:val="left"/>
        <w:rPr>
          <w:rFonts w:hint="eastAsia" w:ascii="宋体" w:hAnsi="宋体" w:eastAsia="宋体" w:cs="宋体"/>
          <w:color w:val="auto"/>
          <w:kern w:val="0"/>
          <w:sz w:val="20"/>
          <w:szCs w:val="20"/>
          <w:highlight w:val="none"/>
          <w:lang w:eastAsia="zh-Hans"/>
        </w:rPr>
      </w:pPr>
      <w:r>
        <w:rPr>
          <w:rFonts w:ascii="宋体" w:hAnsi="宋体" w:eastAsia="宋体" w:cs="宋体"/>
          <w:color w:val="auto"/>
          <w:sz w:val="24"/>
          <w:szCs w:val="24"/>
          <w:highlight w:val="none"/>
        </w:rPr>
        <w:t>本单位对上述声明的真实性负责。如有虚假，将依法承担相应责任。</w:t>
      </w:r>
    </w:p>
    <w:p w14:paraId="3A0C9CD3">
      <w:pPr>
        <w:spacing w:line="360" w:lineRule="auto"/>
        <w:ind w:firstLine="5040" w:firstLineChars="2100"/>
        <w:rPr>
          <w:rFonts w:hint="eastAsia" w:ascii="宋体" w:hAnsi="宋体" w:eastAsia="宋体" w:cs="宋体"/>
          <w:color w:val="auto"/>
          <w:sz w:val="24"/>
          <w:szCs w:val="20"/>
          <w:highlight w:val="none"/>
        </w:rPr>
      </w:pPr>
    </w:p>
    <w:p w14:paraId="19E939D0">
      <w:pPr>
        <w:spacing w:line="360" w:lineRule="auto"/>
        <w:ind w:firstLine="5040" w:firstLineChars="2100"/>
        <w:rPr>
          <w:rFonts w:hint="eastAsia" w:ascii="宋体" w:hAnsi="宋体" w:eastAsia="宋体" w:cs="宋体"/>
          <w:color w:val="auto"/>
          <w:sz w:val="24"/>
          <w:szCs w:val="20"/>
          <w:highlight w:val="none"/>
        </w:rPr>
      </w:pPr>
    </w:p>
    <w:p w14:paraId="5A59A3EF">
      <w:pPr>
        <w:spacing w:line="360" w:lineRule="auto"/>
        <w:rPr>
          <w:rFonts w:hint="eastAsia" w:ascii="宋体" w:hAnsi="宋体" w:eastAsia="宋体" w:cs="宋体"/>
          <w:color w:val="auto"/>
          <w:kern w:val="0"/>
          <w:sz w:val="24"/>
          <w:szCs w:val="20"/>
          <w:highlight w:val="none"/>
        </w:rPr>
      </w:pPr>
    </w:p>
    <w:p w14:paraId="387F5726">
      <w:pPr>
        <w:spacing w:line="360" w:lineRule="auto"/>
        <w:rPr>
          <w:rFonts w:hint="eastAsia" w:ascii="宋体" w:hAnsi="宋体" w:eastAsia="宋体" w:cs="宋体"/>
          <w:color w:val="auto"/>
          <w:kern w:val="0"/>
          <w:sz w:val="24"/>
          <w:szCs w:val="20"/>
          <w:highlight w:val="none"/>
        </w:rPr>
      </w:pPr>
    </w:p>
    <w:p w14:paraId="0F85B9FE">
      <w:pPr>
        <w:topLinePunct/>
        <w:adjustRightInd w:val="0"/>
        <w:snapToGrid w:val="0"/>
        <w:spacing w:line="360" w:lineRule="auto"/>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投</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标</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人：（盖章）</w:t>
      </w:r>
    </w:p>
    <w:p w14:paraId="3E56C53C">
      <w:pPr>
        <w:spacing w:line="360" w:lineRule="auto"/>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日</w:t>
      </w:r>
      <w:r>
        <w:rPr>
          <w:rFonts w:ascii="宋体" w:hAnsi="宋体" w:eastAsia="宋体" w:cs="宋体"/>
          <w:snapToGrid w:val="0"/>
          <w:color w:val="auto"/>
          <w:spacing w:val="4"/>
          <w:kern w:val="0"/>
          <w:sz w:val="24"/>
          <w:szCs w:val="24"/>
          <w:highlight w:val="none"/>
        </w:rPr>
        <w:t xml:space="preserve">    </w:t>
      </w:r>
      <w:r>
        <w:rPr>
          <w:rFonts w:hint="eastAsia" w:ascii="宋体" w:hAnsi="宋体" w:eastAsia="宋体" w:cs="宋体"/>
          <w:snapToGrid w:val="0"/>
          <w:color w:val="auto"/>
          <w:spacing w:val="4"/>
          <w:kern w:val="0"/>
          <w:sz w:val="24"/>
          <w:szCs w:val="24"/>
          <w:highlight w:val="none"/>
        </w:rPr>
        <w:t>期：</w:t>
      </w:r>
    </w:p>
    <w:p w14:paraId="37BEA93D">
      <w:pPr>
        <w:spacing w:line="360" w:lineRule="auto"/>
        <w:jc w:val="center"/>
        <w:rPr>
          <w:rFonts w:hint="eastAsia" w:ascii="宋体" w:hAnsi="宋体" w:eastAsia="宋体" w:cs="宋体"/>
          <w:b/>
          <w:bCs/>
          <w:color w:val="auto"/>
          <w:szCs w:val="24"/>
          <w:highlight w:val="none"/>
        </w:rPr>
      </w:pPr>
    </w:p>
    <w:p w14:paraId="16F6C894">
      <w:pPr>
        <w:spacing w:line="360" w:lineRule="auto"/>
        <w:jc w:val="center"/>
        <w:rPr>
          <w:rFonts w:hint="eastAsia" w:ascii="宋体" w:hAnsi="宋体" w:eastAsia="宋体" w:cs="宋体"/>
          <w:b/>
          <w:bCs/>
          <w:color w:val="auto"/>
          <w:szCs w:val="24"/>
          <w:highlight w:val="none"/>
        </w:rPr>
      </w:pPr>
    </w:p>
    <w:p w14:paraId="24E211AD">
      <w:pPr>
        <w:spacing w:line="360" w:lineRule="auto"/>
        <w:jc w:val="center"/>
        <w:rPr>
          <w:rFonts w:hint="eastAsia" w:ascii="宋体" w:hAnsi="宋体" w:eastAsia="宋体" w:cs="宋体"/>
          <w:b/>
          <w:bCs/>
          <w:color w:val="auto"/>
          <w:szCs w:val="24"/>
          <w:highlight w:val="none"/>
        </w:rPr>
      </w:pPr>
    </w:p>
    <w:p w14:paraId="547FB9B0">
      <w:pPr>
        <w:spacing w:line="360" w:lineRule="auto"/>
        <w:jc w:val="center"/>
        <w:rPr>
          <w:rFonts w:hint="eastAsia" w:ascii="宋体" w:hAnsi="宋体" w:eastAsia="宋体" w:cs="宋体"/>
          <w:b/>
          <w:bCs/>
          <w:color w:val="auto"/>
          <w:szCs w:val="24"/>
          <w:highlight w:val="none"/>
        </w:rPr>
      </w:pPr>
    </w:p>
    <w:p w14:paraId="43DFC285">
      <w:pPr>
        <w:spacing w:line="360" w:lineRule="auto"/>
        <w:jc w:val="center"/>
        <w:rPr>
          <w:rFonts w:hint="eastAsia" w:ascii="宋体" w:hAnsi="宋体" w:eastAsia="宋体" w:cs="宋体"/>
          <w:b/>
          <w:bCs/>
          <w:color w:val="auto"/>
          <w:szCs w:val="24"/>
          <w:highlight w:val="none"/>
        </w:rPr>
      </w:pPr>
    </w:p>
    <w:p w14:paraId="03FC70B2">
      <w:pPr>
        <w:spacing w:line="276"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w:t>
      </w:r>
      <w:r>
        <w:rPr>
          <w:rFonts w:ascii="宋体" w:hAnsi="宋体" w:eastAsia="宋体" w:cs="宋体"/>
          <w:bCs/>
          <w:color w:val="auto"/>
          <w:szCs w:val="21"/>
          <w:highlight w:val="none"/>
          <w:u w:val="single"/>
        </w:rPr>
        <w:t>1、残疾人福利性单位声明函（如有）适用于残疾人福利性单位参加招投标活动的。本函未填写的视作未做声明。如不适用，本格式不需要提供。</w:t>
      </w:r>
    </w:p>
    <w:p w14:paraId="6B024C4E">
      <w:pPr>
        <w:widowControl/>
        <w:spacing w:line="276" w:lineRule="auto"/>
        <w:jc w:val="left"/>
        <w:rPr>
          <w:rFonts w:hint="eastAsia" w:ascii="宋体" w:hAnsi="宋体" w:eastAsia="宋体" w:cs="宋体"/>
          <w:color w:val="auto"/>
          <w:sz w:val="32"/>
          <w:szCs w:val="32"/>
          <w:highlight w:val="none"/>
          <w:u w:val="single"/>
        </w:rPr>
      </w:pPr>
      <w:r>
        <w:rPr>
          <w:rFonts w:ascii="宋体" w:hAnsi="宋体" w:eastAsia="宋体" w:cs="宋体"/>
          <w:bCs/>
          <w:color w:val="auto"/>
          <w:szCs w:val="21"/>
          <w:highlight w:val="none"/>
          <w:u w:val="single"/>
        </w:rPr>
        <w:t>2、残疾人福利性单位视同小微企业，无需再提供《中小企业声明函》。</w:t>
      </w:r>
    </w:p>
    <w:p w14:paraId="743C8682">
      <w:pPr>
        <w:wordWrap w:val="0"/>
        <w:spacing w:line="360" w:lineRule="auto"/>
        <w:ind w:firstLine="424" w:firstLineChars="202"/>
        <w:rPr>
          <w:rFonts w:hint="eastAsia" w:ascii="宋体" w:hAnsi="宋体" w:eastAsia="宋体" w:cs="Times New Roman"/>
          <w:color w:val="auto"/>
          <w:highlight w:val="none"/>
        </w:rPr>
      </w:pPr>
    </w:p>
    <w:p w14:paraId="4AEFE7A9">
      <w:pPr>
        <w:wordWrap w:val="0"/>
        <w:spacing w:line="360" w:lineRule="auto"/>
        <w:ind w:firstLine="424" w:firstLineChars="202"/>
        <w:rPr>
          <w:rFonts w:hint="eastAsia" w:ascii="宋体" w:hAnsi="宋体" w:eastAsia="宋体"/>
          <w:color w:val="auto"/>
          <w:highlight w:val="none"/>
        </w:rPr>
      </w:pPr>
    </w:p>
    <w:p w14:paraId="335B3AC5">
      <w:pPr>
        <w:wordWrap/>
        <w:spacing w:line="24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br w:type="page"/>
      </w:r>
    </w:p>
    <w:p w14:paraId="28DA2216">
      <w:pPr>
        <w:keepNext/>
        <w:keepLines/>
        <w:wordWrap/>
        <w:spacing w:line="360" w:lineRule="auto"/>
        <w:outlineLvl w:val="2"/>
        <w:rPr>
          <w:rFonts w:ascii="宋体" w:hAnsi="宋体" w:eastAsia="宋体" w:cs="Times New Roman"/>
          <w:b/>
          <w:color w:val="auto"/>
          <w:kern w:val="0"/>
          <w:sz w:val="24"/>
          <w:szCs w:val="24"/>
          <w:highlight w:val="none"/>
          <w:u w:val="none"/>
          <w:lang w:val="zh-CN"/>
        </w:rPr>
      </w:pPr>
      <w:r>
        <w:rPr>
          <w:rFonts w:hint="default" w:ascii="宋体" w:hAnsi="宋体" w:eastAsia="宋体" w:cs="Times New Roman"/>
          <w:b/>
          <w:color w:val="auto"/>
          <w:kern w:val="0"/>
          <w:sz w:val="24"/>
          <w:szCs w:val="24"/>
          <w:highlight w:val="none"/>
          <w:u w:val="none"/>
          <w:lang w:val="zh-CN" w:eastAsia="zh-CN"/>
        </w:rPr>
        <w:t>（5）</w:t>
      </w:r>
      <w:r>
        <w:rPr>
          <w:rFonts w:hint="default" w:ascii="宋体" w:hAnsi="宋体" w:eastAsia="宋体" w:cs="Times New Roman"/>
          <w:b/>
          <w:color w:val="auto"/>
          <w:kern w:val="0"/>
          <w:sz w:val="24"/>
          <w:szCs w:val="24"/>
          <w:highlight w:val="none"/>
          <w:u w:val="none"/>
          <w:lang w:val="zh-CN"/>
        </w:rPr>
        <w:t>投标人认为有必要提供的其他资料，格式自定。</w:t>
      </w:r>
    </w:p>
    <w:p w14:paraId="7857E027">
      <w:pPr>
        <w:pStyle w:val="5"/>
        <w:wordWrap w:val="0"/>
        <w:rPr>
          <w:rFonts w:cs="宋体"/>
          <w:color w:val="auto"/>
          <w:highlight w:val="none"/>
        </w:rPr>
      </w:pPr>
      <w:r>
        <w:rPr>
          <w:rFonts w:hint="eastAsia"/>
          <w:color w:val="auto"/>
          <w:highlight w:val="none"/>
        </w:rPr>
        <w:br w:type="page"/>
      </w:r>
    </w:p>
    <w:p w14:paraId="1AFEB36D">
      <w:pPr>
        <w:pStyle w:val="4"/>
        <w:wordWrap w:val="0"/>
        <w:rPr>
          <w:color w:val="auto"/>
          <w:highlight w:val="none"/>
        </w:rPr>
      </w:pPr>
      <w:r>
        <w:rPr>
          <w:rFonts w:hint="eastAsia"/>
          <w:color w:val="auto"/>
          <w:highlight w:val="none"/>
        </w:rPr>
        <w:t>2. 技术文件编制</w:t>
      </w:r>
    </w:p>
    <w:p w14:paraId="1E29D76C">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2.1技术文件暗标，由下列资料组成：（总页码不超过</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00页）</w:t>
      </w:r>
    </w:p>
    <w:p w14:paraId="25DBEBC4">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（1）设计方案文本文件：</w:t>
      </w:r>
    </w:p>
    <w:p w14:paraId="61122E6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 首页：写明项目名称、设计作品主题（不宜超过20个字）、编制年月； </w:t>
      </w:r>
    </w:p>
    <w:p w14:paraId="7C76C09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 目录。</w:t>
      </w:r>
    </w:p>
    <w:p w14:paraId="3ED10CE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 设计说明书（含本项目的难点、建议和工程创新）。</w:t>
      </w:r>
    </w:p>
    <w:p w14:paraId="7EEE291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 设计文本。</w:t>
      </w:r>
    </w:p>
    <w:p w14:paraId="74696BF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 《工期计划表》（方案修改、初步设计、施工图设计）。</w:t>
      </w:r>
    </w:p>
    <w:p w14:paraId="5FA3C58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(f) 投标人认为有必要提供的其他资料。</w:t>
      </w:r>
    </w:p>
    <w:p w14:paraId="762160C3">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勘察方案文本文件</w:t>
      </w:r>
      <w:r>
        <w:rPr>
          <w:rFonts w:hint="eastAsia" w:ascii="宋体" w:hAnsi="宋体" w:eastAsia="宋体" w:cs="宋体"/>
          <w:b/>
          <w:color w:val="auto"/>
          <w:sz w:val="24"/>
          <w:szCs w:val="24"/>
          <w:highlight w:val="none"/>
        </w:rPr>
        <w:t>：</w:t>
      </w:r>
    </w:p>
    <w:p w14:paraId="2A6D05B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(a) 针对项目场地及工程性质采用的勘察方案及建议，本次勘察的重点、难点及建议。</w:t>
      </w:r>
    </w:p>
    <w:p w14:paraId="5374764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 勘察工作流程和相应的工期进度计划。</w:t>
      </w:r>
    </w:p>
    <w:p w14:paraId="196FB8C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 勘察报告综合评价深度，勘察成果文件内容目录。</w:t>
      </w:r>
    </w:p>
    <w:p w14:paraId="14339FE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 投标人掌握的勘察工作有关的法律法规、标准、规范一览表。</w:t>
      </w:r>
    </w:p>
    <w:p w14:paraId="514A1B8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 需要建设单位配合的事项。</w:t>
      </w:r>
    </w:p>
    <w:p w14:paraId="5B49A7A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(f) 投标人参与施工验槽，解决工程设计和施工中与勘察工作有关问题的服务承诺、响应时间。</w:t>
      </w:r>
    </w:p>
    <w:p w14:paraId="3AD20972">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保密要求</w:t>
      </w:r>
    </w:p>
    <w:p w14:paraId="3D9C979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r>
        <w:rPr>
          <w:rFonts w:hint="eastAsia" w:ascii="宋体" w:hAnsi="宋体" w:eastAsia="宋体" w:cs="宋体"/>
          <w:b/>
          <w:color w:val="auto"/>
          <w:sz w:val="24"/>
          <w:szCs w:val="24"/>
          <w:highlight w:val="none"/>
        </w:rPr>
        <w:t>不得显示投标报价信息</w:t>
      </w:r>
      <w:r>
        <w:rPr>
          <w:rFonts w:hint="eastAsia" w:ascii="宋体" w:hAnsi="宋体" w:eastAsia="宋体" w:cs="宋体"/>
          <w:color w:val="auto"/>
          <w:sz w:val="24"/>
          <w:szCs w:val="24"/>
          <w:highlight w:val="none"/>
        </w:rPr>
        <w:t>。</w:t>
      </w:r>
    </w:p>
    <w:p w14:paraId="76E68555">
      <w:pPr>
        <w:wordWrap w:val="0"/>
        <w:rPr>
          <w:color w:val="auto"/>
          <w:highlight w:val="none"/>
        </w:rPr>
      </w:pPr>
    </w:p>
    <w:p w14:paraId="6ADCF49F">
      <w:pPr>
        <w:rPr>
          <w:color w:val="auto"/>
          <w:highlight w:val="none"/>
        </w:rPr>
      </w:pPr>
    </w:p>
    <w:sectPr>
      <w:footerReference r:id="rId7" w:type="default"/>
      <w:footerReference r:id="rId8" w:type="even"/>
      <w:pgSz w:w="11905" w:h="16838"/>
      <w:pgMar w:top="1474" w:right="1701" w:bottom="1474" w:left="1701"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210166"/>
      <w:docPartObj>
        <w:docPartGallery w:val="autotext"/>
      </w:docPartObj>
    </w:sdtPr>
    <w:sdtContent>
      <w:p w14:paraId="274925CF">
        <w:pPr>
          <w:pStyle w:val="30"/>
          <w:jc w:val="center"/>
        </w:pPr>
        <w:r>
          <w:fldChar w:fldCharType="begin"/>
        </w:r>
        <w:r>
          <w:instrText xml:space="preserve">PAGE   \* MERGEFORMAT</w:instrText>
        </w:r>
        <w:r>
          <w:fldChar w:fldCharType="separate"/>
        </w:r>
        <w:r>
          <w:rPr>
            <w:lang w:val="zh-CN"/>
          </w:rPr>
          <w:t>1</w:t>
        </w:r>
        <w:r>
          <w:fldChar w:fldCharType="end"/>
        </w:r>
      </w:p>
    </w:sdtContent>
  </w:sdt>
  <w:p w14:paraId="1E7018E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B362">
    <w:pPr>
      <w:pStyle w:val="30"/>
      <w:jc w:val="center"/>
    </w:pPr>
    <w:r>
      <w:fldChar w:fldCharType="begin"/>
    </w:r>
    <w:r>
      <w:instrText xml:space="preserve"> PAGE   \* MERGEFORMAT </w:instrText>
    </w:r>
    <w:r>
      <w:fldChar w:fldCharType="separate"/>
    </w:r>
    <w:r>
      <w:rPr>
        <w:lang w:val="zh-CN"/>
      </w:rPr>
      <w:t>44</w:t>
    </w:r>
    <w:r>
      <w:fldChar w:fldCharType="end"/>
    </w:r>
  </w:p>
  <w:p w14:paraId="4F855563">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DBDDD">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33913B">
                          <w:pPr>
                            <w:pStyle w:val="30"/>
                            <w:rPr>
                              <w:rStyle w:val="49"/>
                            </w:rPr>
                          </w:pPr>
                          <w:r>
                            <w:fldChar w:fldCharType="begin"/>
                          </w:r>
                          <w:r>
                            <w:rPr>
                              <w:rStyle w:val="49"/>
                            </w:rPr>
                            <w:instrText xml:space="preserve">PAGE  </w:instrText>
                          </w:r>
                          <w:r>
                            <w:fldChar w:fldCharType="separate"/>
                          </w:r>
                          <w:r>
                            <w:rPr>
                              <w:rStyle w:val="4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33913B">
                    <w:pPr>
                      <w:pStyle w:val="30"/>
                      <w:rPr>
                        <w:rStyle w:val="49"/>
                      </w:rPr>
                    </w:pPr>
                    <w:r>
                      <w:fldChar w:fldCharType="begin"/>
                    </w:r>
                    <w:r>
                      <w:rPr>
                        <w:rStyle w:val="49"/>
                      </w:rPr>
                      <w:instrText xml:space="preserve">PAGE  </w:instrText>
                    </w:r>
                    <w:r>
                      <w:fldChar w:fldCharType="separate"/>
                    </w:r>
                    <w:r>
                      <w:rPr>
                        <w:rStyle w:val="49"/>
                      </w:rP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8D98">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42920">
                          <w:pPr>
                            <w:pStyle w:val="30"/>
                            <w:rPr>
                              <w:rStyle w:val="49"/>
                            </w:rPr>
                          </w:pPr>
                          <w:r>
                            <w:fldChar w:fldCharType="begin"/>
                          </w:r>
                          <w:r>
                            <w:rPr>
                              <w:rStyle w:val="49"/>
                            </w:rPr>
                            <w:instrText xml:space="preserve">PAGE  </w:instrText>
                          </w:r>
                          <w:r>
                            <w:fldChar w:fldCharType="separate"/>
                          </w:r>
                          <w:r>
                            <w:rPr>
                              <w:rStyle w:val="49"/>
                            </w:rP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D042920">
                    <w:pPr>
                      <w:pStyle w:val="30"/>
                      <w:rPr>
                        <w:rStyle w:val="49"/>
                      </w:rPr>
                    </w:pPr>
                    <w:r>
                      <w:fldChar w:fldCharType="begin"/>
                    </w:r>
                    <w:r>
                      <w:rPr>
                        <w:rStyle w:val="49"/>
                      </w:rPr>
                      <w:instrText xml:space="preserve">PAGE  </w:instrText>
                    </w:r>
                    <w:r>
                      <w:fldChar w:fldCharType="separate"/>
                    </w:r>
                    <w:r>
                      <w:rPr>
                        <w:rStyle w:val="49"/>
                      </w:rP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745838"/>
      <w:docPartObj>
        <w:docPartGallery w:val="autotext"/>
      </w:docPartObj>
    </w:sdtPr>
    <w:sdtContent>
      <w:p w14:paraId="594F4DD4">
        <w:pPr>
          <w:pStyle w:val="30"/>
          <w:jc w:val="center"/>
        </w:pPr>
        <w:r>
          <w:fldChar w:fldCharType="begin"/>
        </w:r>
        <w:r>
          <w:instrText xml:space="preserve">PAGE   \* MERGEFORMAT</w:instrText>
        </w:r>
        <w:r>
          <w:fldChar w:fldCharType="separate"/>
        </w:r>
        <w:r>
          <w:rPr>
            <w:lang w:val="zh-CN"/>
          </w:rPr>
          <w:t>45</w:t>
        </w:r>
        <w:r>
          <w:fldChar w:fldCharType="end"/>
        </w:r>
      </w:p>
    </w:sdtContent>
  </w:sdt>
  <w:p w14:paraId="61D5C59E">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9805">
    <w:pPr>
      <w:pStyle w:val="30"/>
      <w:framePr w:wrap="around" w:vAnchor="text" w:hAnchor="margin" w:xAlign="center" w:y="1"/>
      <w:rPr>
        <w:rStyle w:val="49"/>
      </w:rPr>
    </w:pPr>
    <w:r>
      <w:fldChar w:fldCharType="begin"/>
    </w:r>
    <w:r>
      <w:rPr>
        <w:rStyle w:val="49"/>
      </w:rPr>
      <w:instrText xml:space="preserve">PAGE  </w:instrText>
    </w:r>
    <w:r>
      <w:fldChar w:fldCharType="end"/>
    </w:r>
  </w:p>
  <w:p w14:paraId="4DC6B1C6">
    <w:pPr>
      <w:pStyle w:val="3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ZjBmODBmMDBmNDM1MTM3MjA2ZWQ4ZjY1YjlhMDQifQ=="/>
  </w:docVars>
  <w:rsids>
    <w:rsidRoot w:val="00237017"/>
    <w:rsid w:val="000179C6"/>
    <w:rsid w:val="00033F07"/>
    <w:rsid w:val="0003797C"/>
    <w:rsid w:val="00065327"/>
    <w:rsid w:val="000723FD"/>
    <w:rsid w:val="0009472D"/>
    <w:rsid w:val="000B3F7A"/>
    <w:rsid w:val="000D3491"/>
    <w:rsid w:val="000E3E93"/>
    <w:rsid w:val="000E3F61"/>
    <w:rsid w:val="000E4830"/>
    <w:rsid w:val="000F777B"/>
    <w:rsid w:val="00111695"/>
    <w:rsid w:val="001133F7"/>
    <w:rsid w:val="00117D81"/>
    <w:rsid w:val="00125CC6"/>
    <w:rsid w:val="00136C66"/>
    <w:rsid w:val="00144AF1"/>
    <w:rsid w:val="00150776"/>
    <w:rsid w:val="0015125E"/>
    <w:rsid w:val="00151A27"/>
    <w:rsid w:val="00165682"/>
    <w:rsid w:val="00173865"/>
    <w:rsid w:val="00173CF7"/>
    <w:rsid w:val="00181DEC"/>
    <w:rsid w:val="00192AF9"/>
    <w:rsid w:val="00194AD4"/>
    <w:rsid w:val="001950BF"/>
    <w:rsid w:val="0019544D"/>
    <w:rsid w:val="001A0D43"/>
    <w:rsid w:val="001B068D"/>
    <w:rsid w:val="001B6471"/>
    <w:rsid w:val="001C245A"/>
    <w:rsid w:val="001C2CA6"/>
    <w:rsid w:val="001E5C63"/>
    <w:rsid w:val="001E5FCA"/>
    <w:rsid w:val="001F6132"/>
    <w:rsid w:val="00202FBA"/>
    <w:rsid w:val="002155F9"/>
    <w:rsid w:val="00220ED3"/>
    <w:rsid w:val="00222217"/>
    <w:rsid w:val="00224046"/>
    <w:rsid w:val="00232C1B"/>
    <w:rsid w:val="00237017"/>
    <w:rsid w:val="00240083"/>
    <w:rsid w:val="00244564"/>
    <w:rsid w:val="002507A7"/>
    <w:rsid w:val="002605C9"/>
    <w:rsid w:val="002610AA"/>
    <w:rsid w:val="00263AEA"/>
    <w:rsid w:val="0028421B"/>
    <w:rsid w:val="002B2FBE"/>
    <w:rsid w:val="002C555B"/>
    <w:rsid w:val="002F1C20"/>
    <w:rsid w:val="002F34C1"/>
    <w:rsid w:val="00306782"/>
    <w:rsid w:val="003141EC"/>
    <w:rsid w:val="00317808"/>
    <w:rsid w:val="003217D3"/>
    <w:rsid w:val="00322D37"/>
    <w:rsid w:val="0032790E"/>
    <w:rsid w:val="00331AE1"/>
    <w:rsid w:val="003476D9"/>
    <w:rsid w:val="003578AF"/>
    <w:rsid w:val="00357EEF"/>
    <w:rsid w:val="00362F4F"/>
    <w:rsid w:val="00363A04"/>
    <w:rsid w:val="00372A70"/>
    <w:rsid w:val="0037316F"/>
    <w:rsid w:val="003739FC"/>
    <w:rsid w:val="00375D70"/>
    <w:rsid w:val="00377872"/>
    <w:rsid w:val="00380B83"/>
    <w:rsid w:val="003906DC"/>
    <w:rsid w:val="00393CDC"/>
    <w:rsid w:val="003A03A3"/>
    <w:rsid w:val="003B0260"/>
    <w:rsid w:val="003B6D0C"/>
    <w:rsid w:val="003C543B"/>
    <w:rsid w:val="003D1752"/>
    <w:rsid w:val="003D33BC"/>
    <w:rsid w:val="003F3DDC"/>
    <w:rsid w:val="003F702A"/>
    <w:rsid w:val="004026ED"/>
    <w:rsid w:val="00416A5A"/>
    <w:rsid w:val="00420F62"/>
    <w:rsid w:val="00421F68"/>
    <w:rsid w:val="0042261D"/>
    <w:rsid w:val="00430F9E"/>
    <w:rsid w:val="004339A3"/>
    <w:rsid w:val="004549E3"/>
    <w:rsid w:val="00455814"/>
    <w:rsid w:val="004741C6"/>
    <w:rsid w:val="004765E6"/>
    <w:rsid w:val="00491344"/>
    <w:rsid w:val="004A2D6A"/>
    <w:rsid w:val="004A40C2"/>
    <w:rsid w:val="004A428F"/>
    <w:rsid w:val="004A45B4"/>
    <w:rsid w:val="004B3655"/>
    <w:rsid w:val="004B4FAE"/>
    <w:rsid w:val="004C3DF6"/>
    <w:rsid w:val="004D3BC4"/>
    <w:rsid w:val="004E167F"/>
    <w:rsid w:val="004E3382"/>
    <w:rsid w:val="004E4967"/>
    <w:rsid w:val="004F5E90"/>
    <w:rsid w:val="004F6AB2"/>
    <w:rsid w:val="00510996"/>
    <w:rsid w:val="005137AC"/>
    <w:rsid w:val="005310CF"/>
    <w:rsid w:val="00544656"/>
    <w:rsid w:val="00547C26"/>
    <w:rsid w:val="00547D15"/>
    <w:rsid w:val="00557AD7"/>
    <w:rsid w:val="005600C0"/>
    <w:rsid w:val="005817EE"/>
    <w:rsid w:val="00587C9A"/>
    <w:rsid w:val="00590D2E"/>
    <w:rsid w:val="005969A5"/>
    <w:rsid w:val="00597D19"/>
    <w:rsid w:val="005A1186"/>
    <w:rsid w:val="005A3666"/>
    <w:rsid w:val="005B48EF"/>
    <w:rsid w:val="005D3FA6"/>
    <w:rsid w:val="005D5FB7"/>
    <w:rsid w:val="005E0B4F"/>
    <w:rsid w:val="005E50CE"/>
    <w:rsid w:val="005E58CF"/>
    <w:rsid w:val="005F247C"/>
    <w:rsid w:val="005F4280"/>
    <w:rsid w:val="00601528"/>
    <w:rsid w:val="006071A5"/>
    <w:rsid w:val="0061085A"/>
    <w:rsid w:val="00617F31"/>
    <w:rsid w:val="0062205C"/>
    <w:rsid w:val="006255D7"/>
    <w:rsid w:val="00634E70"/>
    <w:rsid w:val="00644CDC"/>
    <w:rsid w:val="006626A3"/>
    <w:rsid w:val="00663D15"/>
    <w:rsid w:val="00673877"/>
    <w:rsid w:val="00682A9F"/>
    <w:rsid w:val="00684BA3"/>
    <w:rsid w:val="006864E5"/>
    <w:rsid w:val="006870A2"/>
    <w:rsid w:val="0068713D"/>
    <w:rsid w:val="00694C28"/>
    <w:rsid w:val="006A0291"/>
    <w:rsid w:val="006A0935"/>
    <w:rsid w:val="006C5CF8"/>
    <w:rsid w:val="006C5D28"/>
    <w:rsid w:val="006C6AF0"/>
    <w:rsid w:val="006D0A15"/>
    <w:rsid w:val="006D27BE"/>
    <w:rsid w:val="006E749F"/>
    <w:rsid w:val="007065FB"/>
    <w:rsid w:val="00716D38"/>
    <w:rsid w:val="0072138A"/>
    <w:rsid w:val="00746064"/>
    <w:rsid w:val="0076314A"/>
    <w:rsid w:val="007669D8"/>
    <w:rsid w:val="00770D94"/>
    <w:rsid w:val="0078062C"/>
    <w:rsid w:val="00787542"/>
    <w:rsid w:val="007911A5"/>
    <w:rsid w:val="0079675A"/>
    <w:rsid w:val="007A562A"/>
    <w:rsid w:val="007A72B1"/>
    <w:rsid w:val="007B22AF"/>
    <w:rsid w:val="007B32F7"/>
    <w:rsid w:val="007B77EB"/>
    <w:rsid w:val="007C2EFE"/>
    <w:rsid w:val="007C3A39"/>
    <w:rsid w:val="007C7DF1"/>
    <w:rsid w:val="007D399A"/>
    <w:rsid w:val="007E308A"/>
    <w:rsid w:val="007E7B1B"/>
    <w:rsid w:val="007F2D90"/>
    <w:rsid w:val="00805D7F"/>
    <w:rsid w:val="008102E0"/>
    <w:rsid w:val="00810609"/>
    <w:rsid w:val="00811613"/>
    <w:rsid w:val="008219DE"/>
    <w:rsid w:val="008248F5"/>
    <w:rsid w:val="00831A33"/>
    <w:rsid w:val="00831B1A"/>
    <w:rsid w:val="0083550A"/>
    <w:rsid w:val="00837D56"/>
    <w:rsid w:val="00852281"/>
    <w:rsid w:val="0088305A"/>
    <w:rsid w:val="008B340E"/>
    <w:rsid w:val="008B4A25"/>
    <w:rsid w:val="008B4C9B"/>
    <w:rsid w:val="008C7BCD"/>
    <w:rsid w:val="008D3190"/>
    <w:rsid w:val="008F40AC"/>
    <w:rsid w:val="008F5BC7"/>
    <w:rsid w:val="009018AB"/>
    <w:rsid w:val="00902A11"/>
    <w:rsid w:val="00905DBE"/>
    <w:rsid w:val="009139E3"/>
    <w:rsid w:val="00922DD8"/>
    <w:rsid w:val="0093248A"/>
    <w:rsid w:val="0094680B"/>
    <w:rsid w:val="00947739"/>
    <w:rsid w:val="00951015"/>
    <w:rsid w:val="00957F45"/>
    <w:rsid w:val="00961919"/>
    <w:rsid w:val="00973485"/>
    <w:rsid w:val="00973C00"/>
    <w:rsid w:val="00977B04"/>
    <w:rsid w:val="00983169"/>
    <w:rsid w:val="00985B09"/>
    <w:rsid w:val="009979FD"/>
    <w:rsid w:val="009B5946"/>
    <w:rsid w:val="009B64F5"/>
    <w:rsid w:val="009C30E8"/>
    <w:rsid w:val="009C5AC5"/>
    <w:rsid w:val="009D2D2F"/>
    <w:rsid w:val="00A105A5"/>
    <w:rsid w:val="00A13532"/>
    <w:rsid w:val="00A26EBD"/>
    <w:rsid w:val="00A3621E"/>
    <w:rsid w:val="00A45D31"/>
    <w:rsid w:val="00A461F0"/>
    <w:rsid w:val="00A63E1B"/>
    <w:rsid w:val="00A66FDB"/>
    <w:rsid w:val="00A73C47"/>
    <w:rsid w:val="00A752F6"/>
    <w:rsid w:val="00A81AC4"/>
    <w:rsid w:val="00A947D3"/>
    <w:rsid w:val="00A956B2"/>
    <w:rsid w:val="00A964FE"/>
    <w:rsid w:val="00A97CF9"/>
    <w:rsid w:val="00AA1E93"/>
    <w:rsid w:val="00AA72C4"/>
    <w:rsid w:val="00AB4E0C"/>
    <w:rsid w:val="00AD67A9"/>
    <w:rsid w:val="00AE57CA"/>
    <w:rsid w:val="00B141EE"/>
    <w:rsid w:val="00B2042F"/>
    <w:rsid w:val="00B41C87"/>
    <w:rsid w:val="00B46DA9"/>
    <w:rsid w:val="00B63632"/>
    <w:rsid w:val="00B72A5C"/>
    <w:rsid w:val="00B82D9C"/>
    <w:rsid w:val="00B8387F"/>
    <w:rsid w:val="00B86BEF"/>
    <w:rsid w:val="00B95C84"/>
    <w:rsid w:val="00BA21DC"/>
    <w:rsid w:val="00BA2A31"/>
    <w:rsid w:val="00BA2BBE"/>
    <w:rsid w:val="00BA35C2"/>
    <w:rsid w:val="00BE1068"/>
    <w:rsid w:val="00BF477D"/>
    <w:rsid w:val="00BF62B1"/>
    <w:rsid w:val="00C078A6"/>
    <w:rsid w:val="00C15C17"/>
    <w:rsid w:val="00C1700E"/>
    <w:rsid w:val="00C53534"/>
    <w:rsid w:val="00C623A3"/>
    <w:rsid w:val="00C7352B"/>
    <w:rsid w:val="00C73B12"/>
    <w:rsid w:val="00C82445"/>
    <w:rsid w:val="00C84F8B"/>
    <w:rsid w:val="00CA5AC4"/>
    <w:rsid w:val="00CB1724"/>
    <w:rsid w:val="00CB1B6A"/>
    <w:rsid w:val="00CB3E72"/>
    <w:rsid w:val="00CB7485"/>
    <w:rsid w:val="00CC1634"/>
    <w:rsid w:val="00CF76B9"/>
    <w:rsid w:val="00D07AF2"/>
    <w:rsid w:val="00D111FE"/>
    <w:rsid w:val="00D13D82"/>
    <w:rsid w:val="00D27AED"/>
    <w:rsid w:val="00D731B9"/>
    <w:rsid w:val="00D77D70"/>
    <w:rsid w:val="00D82277"/>
    <w:rsid w:val="00D8355E"/>
    <w:rsid w:val="00DA0AC1"/>
    <w:rsid w:val="00DB118E"/>
    <w:rsid w:val="00DB4051"/>
    <w:rsid w:val="00DB49A9"/>
    <w:rsid w:val="00DC15E9"/>
    <w:rsid w:val="00DC52D0"/>
    <w:rsid w:val="00DC6556"/>
    <w:rsid w:val="00DD0F1E"/>
    <w:rsid w:val="00DE0151"/>
    <w:rsid w:val="00DE4712"/>
    <w:rsid w:val="00DE6C93"/>
    <w:rsid w:val="00DF249B"/>
    <w:rsid w:val="00E02C60"/>
    <w:rsid w:val="00E16421"/>
    <w:rsid w:val="00E41BA1"/>
    <w:rsid w:val="00E56EEB"/>
    <w:rsid w:val="00E64D9C"/>
    <w:rsid w:val="00E94537"/>
    <w:rsid w:val="00EA2124"/>
    <w:rsid w:val="00EA5A13"/>
    <w:rsid w:val="00EA6AE2"/>
    <w:rsid w:val="00EB7358"/>
    <w:rsid w:val="00ED28E5"/>
    <w:rsid w:val="00ED7EEA"/>
    <w:rsid w:val="00EE22C4"/>
    <w:rsid w:val="00EF4C70"/>
    <w:rsid w:val="00F067AF"/>
    <w:rsid w:val="00F27633"/>
    <w:rsid w:val="00F5006D"/>
    <w:rsid w:val="00F52892"/>
    <w:rsid w:val="00F6097F"/>
    <w:rsid w:val="00F6138F"/>
    <w:rsid w:val="00F616E7"/>
    <w:rsid w:val="00F630D0"/>
    <w:rsid w:val="00F65C01"/>
    <w:rsid w:val="00F72222"/>
    <w:rsid w:val="00F7313A"/>
    <w:rsid w:val="00F750FF"/>
    <w:rsid w:val="00F76B60"/>
    <w:rsid w:val="00F8369D"/>
    <w:rsid w:val="00FB1615"/>
    <w:rsid w:val="00FB78FA"/>
    <w:rsid w:val="00FC546C"/>
    <w:rsid w:val="00FD72CC"/>
    <w:rsid w:val="00FE0890"/>
    <w:rsid w:val="00FE4FAE"/>
    <w:rsid w:val="00FF54C4"/>
    <w:rsid w:val="00FF7286"/>
    <w:rsid w:val="058337B0"/>
    <w:rsid w:val="06A04737"/>
    <w:rsid w:val="06CA16CC"/>
    <w:rsid w:val="06DC5B84"/>
    <w:rsid w:val="07580EDC"/>
    <w:rsid w:val="09977F8C"/>
    <w:rsid w:val="0B023DE2"/>
    <w:rsid w:val="0C356E97"/>
    <w:rsid w:val="0C3B44AD"/>
    <w:rsid w:val="0CE96972"/>
    <w:rsid w:val="0F866018"/>
    <w:rsid w:val="123C2EC0"/>
    <w:rsid w:val="12BA2502"/>
    <w:rsid w:val="16BA2E55"/>
    <w:rsid w:val="199E022E"/>
    <w:rsid w:val="1A9A0F56"/>
    <w:rsid w:val="1BA800D7"/>
    <w:rsid w:val="1C76292D"/>
    <w:rsid w:val="1DF431E1"/>
    <w:rsid w:val="1E9062B3"/>
    <w:rsid w:val="1EE2244B"/>
    <w:rsid w:val="206C2961"/>
    <w:rsid w:val="208F215E"/>
    <w:rsid w:val="219A50BB"/>
    <w:rsid w:val="27F02C3D"/>
    <w:rsid w:val="28815C4F"/>
    <w:rsid w:val="2BD144D0"/>
    <w:rsid w:val="2CCE3259"/>
    <w:rsid w:val="2CF0497C"/>
    <w:rsid w:val="2E4B0335"/>
    <w:rsid w:val="2F10450B"/>
    <w:rsid w:val="30052D61"/>
    <w:rsid w:val="32FC5A1D"/>
    <w:rsid w:val="33F11300"/>
    <w:rsid w:val="357A605E"/>
    <w:rsid w:val="35830629"/>
    <w:rsid w:val="35B9016C"/>
    <w:rsid w:val="36A302BA"/>
    <w:rsid w:val="37BDBCB3"/>
    <w:rsid w:val="389417F2"/>
    <w:rsid w:val="397273BD"/>
    <w:rsid w:val="39CF4C38"/>
    <w:rsid w:val="3B153332"/>
    <w:rsid w:val="3B1C3279"/>
    <w:rsid w:val="3BB70029"/>
    <w:rsid w:val="3D7F342A"/>
    <w:rsid w:val="3E7A4080"/>
    <w:rsid w:val="401F2924"/>
    <w:rsid w:val="40322C70"/>
    <w:rsid w:val="40326280"/>
    <w:rsid w:val="43FE5909"/>
    <w:rsid w:val="4620160D"/>
    <w:rsid w:val="47F26A53"/>
    <w:rsid w:val="49FFFAE4"/>
    <w:rsid w:val="4A2D7499"/>
    <w:rsid w:val="4A90145A"/>
    <w:rsid w:val="4A921E38"/>
    <w:rsid w:val="4C996E6C"/>
    <w:rsid w:val="4CBD57DA"/>
    <w:rsid w:val="4E182646"/>
    <w:rsid w:val="4E8679D9"/>
    <w:rsid w:val="50F551C4"/>
    <w:rsid w:val="51537E65"/>
    <w:rsid w:val="5221177E"/>
    <w:rsid w:val="52705604"/>
    <w:rsid w:val="53A5346C"/>
    <w:rsid w:val="53EC679A"/>
    <w:rsid w:val="550638CD"/>
    <w:rsid w:val="56050FD0"/>
    <w:rsid w:val="57E97DB9"/>
    <w:rsid w:val="5806714F"/>
    <w:rsid w:val="5AA72785"/>
    <w:rsid w:val="5AC404C6"/>
    <w:rsid w:val="5D515130"/>
    <w:rsid w:val="5E6F253C"/>
    <w:rsid w:val="5EF534F9"/>
    <w:rsid w:val="5EF64A83"/>
    <w:rsid w:val="5F158D06"/>
    <w:rsid w:val="5F461374"/>
    <w:rsid w:val="6106379C"/>
    <w:rsid w:val="61120392"/>
    <w:rsid w:val="62114D9A"/>
    <w:rsid w:val="659457D0"/>
    <w:rsid w:val="68B55C13"/>
    <w:rsid w:val="69866B2D"/>
    <w:rsid w:val="6E8A6B81"/>
    <w:rsid w:val="6EBD6817"/>
    <w:rsid w:val="702E0175"/>
    <w:rsid w:val="70F67FBA"/>
    <w:rsid w:val="71061F64"/>
    <w:rsid w:val="711861AC"/>
    <w:rsid w:val="736827E7"/>
    <w:rsid w:val="74E221F2"/>
    <w:rsid w:val="752B58B2"/>
    <w:rsid w:val="758A7AB2"/>
    <w:rsid w:val="7A4318A4"/>
    <w:rsid w:val="7AE109F2"/>
    <w:rsid w:val="7B741218"/>
    <w:rsid w:val="7BAC5B0E"/>
    <w:rsid w:val="7BFFCB77"/>
    <w:rsid w:val="7DB5284A"/>
    <w:rsid w:val="7E0230E5"/>
    <w:rsid w:val="7FEE6389"/>
    <w:rsid w:val="7FFB6ACE"/>
    <w:rsid w:val="95BF6919"/>
    <w:rsid w:val="BBBAD237"/>
    <w:rsid w:val="CF2BB9BF"/>
    <w:rsid w:val="D6C358EF"/>
    <w:rsid w:val="DEB750FD"/>
    <w:rsid w:val="E3EF248B"/>
    <w:rsid w:val="EEB9A1D9"/>
    <w:rsid w:val="F6E77499"/>
    <w:rsid w:val="F77F391E"/>
    <w:rsid w:val="F9FBC9CA"/>
    <w:rsid w:val="FBFFB456"/>
    <w:rsid w:val="FFB35770"/>
    <w:rsid w:val="FFFCF9D6"/>
    <w:rsid w:val="FFFD9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wordWrap w:val="0"/>
      <w:spacing w:line="360" w:lineRule="auto"/>
      <w:jc w:val="center"/>
      <w:outlineLvl w:val="0"/>
    </w:pPr>
    <w:rPr>
      <w:rFonts w:ascii="Times New Roman" w:hAnsi="Times New Roman" w:eastAsia="宋体" w:cs="Times New Roman"/>
      <w:b/>
      <w:bCs/>
      <w:kern w:val="44"/>
      <w:sz w:val="32"/>
      <w:szCs w:val="32"/>
      <w:lang w:val="zh-CN"/>
    </w:rPr>
  </w:style>
  <w:style w:type="paragraph" w:styleId="3">
    <w:name w:val="heading 2"/>
    <w:basedOn w:val="1"/>
    <w:next w:val="1"/>
    <w:link w:val="60"/>
    <w:qFormat/>
    <w:uiPriority w:val="0"/>
    <w:pPr>
      <w:keepNext/>
      <w:keepLines/>
      <w:spacing w:line="360" w:lineRule="auto"/>
      <w:jc w:val="center"/>
      <w:outlineLvl w:val="1"/>
    </w:pPr>
    <w:rPr>
      <w:rFonts w:ascii="Cambria" w:hAnsi="Cambria" w:eastAsia="宋体" w:cs="Times New Roman"/>
      <w:b/>
      <w:bCs/>
      <w:kern w:val="0"/>
      <w:sz w:val="30"/>
      <w:szCs w:val="30"/>
      <w:lang w:val="zh-CN"/>
    </w:rPr>
  </w:style>
  <w:style w:type="paragraph" w:styleId="4">
    <w:name w:val="heading 3"/>
    <w:basedOn w:val="1"/>
    <w:next w:val="1"/>
    <w:link w:val="68"/>
    <w:unhideWhenUsed/>
    <w:qFormat/>
    <w:uiPriority w:val="0"/>
    <w:pPr>
      <w:keepNext/>
      <w:keepLines/>
      <w:spacing w:line="360" w:lineRule="auto"/>
      <w:outlineLvl w:val="2"/>
    </w:pPr>
    <w:rPr>
      <w:rFonts w:ascii="宋体" w:hAnsi="宋体" w:eastAsia="宋体"/>
      <w:b/>
      <w:bCs/>
      <w:spacing w:val="1"/>
      <w:sz w:val="28"/>
      <w:szCs w:val="32"/>
      <w:lang w:val="zh-CN"/>
    </w:rPr>
  </w:style>
  <w:style w:type="paragraph" w:styleId="5">
    <w:name w:val="heading 4"/>
    <w:basedOn w:val="1"/>
    <w:next w:val="1"/>
    <w:link w:val="62"/>
    <w:qFormat/>
    <w:uiPriority w:val="0"/>
    <w:pPr>
      <w:autoSpaceDE w:val="0"/>
      <w:autoSpaceDN w:val="0"/>
      <w:adjustRightInd w:val="0"/>
      <w:spacing w:line="360" w:lineRule="auto"/>
      <w:jc w:val="left"/>
      <w:outlineLvl w:val="3"/>
    </w:pPr>
    <w:rPr>
      <w:rFonts w:ascii="宋体" w:hAnsi="宋体" w:eastAsia="宋体" w:cs="Times New Roman"/>
      <w:b/>
      <w:kern w:val="0"/>
      <w:sz w:val="24"/>
      <w:szCs w:val="24"/>
      <w:lang w:val="zh-CN"/>
    </w:rPr>
  </w:style>
  <w:style w:type="paragraph" w:styleId="6">
    <w:name w:val="heading 5"/>
    <w:basedOn w:val="5"/>
    <w:next w:val="7"/>
    <w:link w:val="63"/>
    <w:qFormat/>
    <w:uiPriority w:val="0"/>
    <w:pPr>
      <w:spacing w:line="240" w:lineRule="exact"/>
      <w:ind w:left="284" w:hanging="284"/>
      <w:outlineLvl w:val="4"/>
    </w:pPr>
    <w:rPr>
      <w:rFonts w:ascii="Arial" w:hAnsi="Arial"/>
      <w:kern w:val="2"/>
      <w:lang w:val="en-US"/>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7"/>
    <w:link w:val="6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66"/>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67"/>
    <w:qFormat/>
    <w:uiPriority w:val="0"/>
    <w:pPr>
      <w:keepNext/>
      <w:keepLines/>
      <w:spacing w:before="240" w:after="64" w:line="320" w:lineRule="auto"/>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7"/>
    <w:unhideWhenUsed/>
    <w:qFormat/>
    <w:uiPriority w:val="0"/>
    <w:pPr>
      <w:ind w:firstLine="420" w:firstLineChars="200"/>
    </w:pPr>
    <w:rPr>
      <w:rFonts w:ascii="Times New Roman" w:hAnsi="Times New Roman" w:eastAsia="宋体" w:cs="Times New Roman"/>
      <w:szCs w:val="24"/>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9"/>
    <w:qFormat/>
    <w:uiPriority w:val="0"/>
    <w:rPr>
      <w:rFonts w:ascii="宋体" w:hAnsi="Times New Roman" w:eastAsia="宋体" w:cs="Times New Roman"/>
      <w:kern w:val="0"/>
      <w:sz w:val="18"/>
      <w:szCs w:val="18"/>
      <w:lang w:val="zh-CN"/>
    </w:rPr>
  </w:style>
  <w:style w:type="paragraph" w:styleId="16">
    <w:name w:val="annotation text"/>
    <w:basedOn w:val="1"/>
    <w:link w:val="70"/>
    <w:qFormat/>
    <w:uiPriority w:val="0"/>
    <w:pPr>
      <w:jc w:val="left"/>
    </w:pPr>
    <w:rPr>
      <w:rFonts w:ascii="Times New Roman" w:hAnsi="Times New Roman" w:eastAsia="宋体" w:cs="Times New Roman"/>
      <w:szCs w:val="24"/>
      <w:lang w:val="zh-CN"/>
    </w:rPr>
  </w:style>
  <w:style w:type="paragraph" w:styleId="17">
    <w:name w:val="Salutation"/>
    <w:basedOn w:val="1"/>
    <w:next w:val="1"/>
    <w:link w:val="71"/>
    <w:qFormat/>
    <w:uiPriority w:val="0"/>
    <w:rPr>
      <w:rFonts w:ascii="Calibri" w:hAnsi="Calibri" w:eastAsia="宋体" w:cs="Times New Roman"/>
      <w:kern w:val="0"/>
      <w:sz w:val="32"/>
      <w:szCs w:val="24"/>
    </w:rPr>
  </w:style>
  <w:style w:type="paragraph" w:styleId="18">
    <w:name w:val="Body Text 3"/>
    <w:basedOn w:val="1"/>
    <w:link w:val="72"/>
    <w:qFormat/>
    <w:uiPriority w:val="0"/>
    <w:pPr>
      <w:spacing w:after="120"/>
    </w:pPr>
    <w:rPr>
      <w:rFonts w:ascii="Times New Roman" w:hAnsi="Times New Roman" w:eastAsia="宋体" w:cs="Times New Roman"/>
      <w:kern w:val="0"/>
      <w:sz w:val="16"/>
      <w:szCs w:val="16"/>
      <w:lang w:val="zh-CN"/>
    </w:rPr>
  </w:style>
  <w:style w:type="paragraph" w:styleId="19">
    <w:name w:val="Body Text"/>
    <w:basedOn w:val="1"/>
    <w:link w:val="73"/>
    <w:qFormat/>
    <w:uiPriority w:val="99"/>
    <w:pPr>
      <w:pBdr>
        <w:top w:val="single" w:color="auto" w:sz="4" w:space="1"/>
      </w:pBdr>
    </w:pPr>
    <w:rPr>
      <w:rFonts w:ascii="Times New Roman" w:hAnsi="Times New Roman" w:eastAsia="宋体" w:cs="Times New Roman"/>
      <w:b/>
      <w:bCs/>
      <w:szCs w:val="24"/>
    </w:rPr>
  </w:style>
  <w:style w:type="paragraph" w:styleId="20">
    <w:name w:val="Body Text Indent"/>
    <w:basedOn w:val="1"/>
    <w:next w:val="21"/>
    <w:link w:val="74"/>
    <w:qFormat/>
    <w:uiPriority w:val="0"/>
    <w:pPr>
      <w:ind w:firstLine="600" w:firstLineChars="200"/>
    </w:pPr>
    <w:rPr>
      <w:rFonts w:ascii="宋体" w:hAnsi="Times New Roman" w:eastAsia="宋体" w:cs="Times New Roman"/>
      <w:sz w:val="30"/>
      <w:szCs w:val="20"/>
      <w:lang w:val="zh-CN"/>
    </w:rPr>
  </w:style>
  <w:style w:type="paragraph" w:styleId="21">
    <w:name w:val="envelope return"/>
    <w:basedOn w:val="1"/>
    <w:qFormat/>
    <w:uiPriority w:val="0"/>
    <w:pPr>
      <w:snapToGrid w:val="0"/>
    </w:pPr>
    <w:rPr>
      <w:rFonts w:ascii="Arial" w:hAnsi="Arial" w:eastAsia="宋体" w:cs="Times New Roman"/>
      <w:szCs w:val="24"/>
    </w:rPr>
  </w:style>
  <w:style w:type="paragraph" w:styleId="22">
    <w:name w:val="index 4"/>
    <w:basedOn w:val="1"/>
    <w:next w:val="1"/>
    <w:unhideWhenUsed/>
    <w:qFormat/>
    <w:uiPriority w:val="99"/>
    <w:pPr>
      <w:ind w:left="600" w:leftChars="600"/>
    </w:pPr>
    <w:rPr>
      <w:rFonts w:ascii="Times New Roman" w:hAnsi="Times New Roman" w:eastAsia="宋体" w:cs="Times New Roman"/>
      <w:szCs w:val="24"/>
    </w:rPr>
  </w:style>
  <w:style w:type="paragraph" w:styleId="23">
    <w:name w:val="toc 5"/>
    <w:basedOn w:val="1"/>
    <w:next w:val="1"/>
    <w:qFormat/>
    <w:uiPriority w:val="39"/>
    <w:pPr>
      <w:ind w:left="840"/>
      <w:jc w:val="left"/>
    </w:pPr>
    <w:rPr>
      <w:rFonts w:ascii="Calibri" w:hAnsi="Calibri" w:eastAsia="宋体" w:cs="Calibri"/>
      <w:sz w:val="18"/>
      <w:szCs w:val="18"/>
    </w:rPr>
  </w:style>
  <w:style w:type="paragraph" w:styleId="24">
    <w:name w:val="toc 3"/>
    <w:basedOn w:val="1"/>
    <w:next w:val="1"/>
    <w:qFormat/>
    <w:uiPriority w:val="39"/>
    <w:pPr>
      <w:ind w:left="840" w:leftChars="400"/>
    </w:pPr>
    <w:rPr>
      <w:rFonts w:ascii="Times New Roman" w:hAnsi="Times New Roman" w:eastAsia="宋体" w:cs="Times New Roman"/>
      <w:szCs w:val="24"/>
    </w:rPr>
  </w:style>
  <w:style w:type="paragraph" w:styleId="25">
    <w:name w:val="Plain Text"/>
    <w:basedOn w:val="1"/>
    <w:next w:val="1"/>
    <w:link w:val="75"/>
    <w:qFormat/>
    <w:uiPriority w:val="0"/>
    <w:rPr>
      <w:rFonts w:ascii="宋体" w:hAnsi="Courier New" w:eastAsia="宋体" w:cs="Times New Roman"/>
      <w:szCs w:val="20"/>
      <w:lang w:val="zh-CN"/>
    </w:rPr>
  </w:style>
  <w:style w:type="paragraph" w:styleId="26">
    <w:name w:val="toc 8"/>
    <w:basedOn w:val="1"/>
    <w:next w:val="1"/>
    <w:qFormat/>
    <w:uiPriority w:val="39"/>
    <w:pPr>
      <w:ind w:left="1470"/>
      <w:jc w:val="left"/>
    </w:pPr>
    <w:rPr>
      <w:rFonts w:ascii="Calibri" w:hAnsi="Calibri" w:eastAsia="宋体" w:cs="Calibri"/>
      <w:sz w:val="18"/>
      <w:szCs w:val="18"/>
    </w:rPr>
  </w:style>
  <w:style w:type="paragraph" w:styleId="27">
    <w:name w:val="Date"/>
    <w:basedOn w:val="1"/>
    <w:next w:val="1"/>
    <w:link w:val="76"/>
    <w:qFormat/>
    <w:uiPriority w:val="0"/>
    <w:pPr>
      <w:ind w:left="100" w:leftChars="2500"/>
    </w:pPr>
    <w:rPr>
      <w:rFonts w:ascii="Calibri" w:hAnsi="Calibri" w:eastAsia="宋体" w:cs="Times New Roman"/>
      <w:kern w:val="0"/>
      <w:sz w:val="20"/>
      <w:szCs w:val="24"/>
    </w:rPr>
  </w:style>
  <w:style w:type="paragraph" w:styleId="28">
    <w:name w:val="Body Text Indent 2"/>
    <w:basedOn w:val="1"/>
    <w:link w:val="77"/>
    <w:qFormat/>
    <w:uiPriority w:val="0"/>
    <w:pPr>
      <w:spacing w:after="120" w:line="480" w:lineRule="auto"/>
      <w:ind w:left="420" w:leftChars="200"/>
    </w:pPr>
    <w:rPr>
      <w:rFonts w:ascii="Times New Roman" w:hAnsi="Times New Roman" w:eastAsia="Courier New" w:cs="Times New Roman"/>
      <w:kern w:val="0"/>
      <w:sz w:val="20"/>
      <w:szCs w:val="20"/>
      <w:lang w:val="zh-CN"/>
    </w:rPr>
  </w:style>
  <w:style w:type="paragraph" w:styleId="29">
    <w:name w:val="Balloon Text"/>
    <w:basedOn w:val="1"/>
    <w:link w:val="78"/>
    <w:qFormat/>
    <w:uiPriority w:val="0"/>
    <w:rPr>
      <w:rFonts w:ascii="Times New Roman" w:hAnsi="Times New Roman" w:eastAsia="宋体" w:cs="Times New Roman"/>
      <w:sz w:val="18"/>
      <w:szCs w:val="18"/>
      <w:lang w:val="zh-CN"/>
    </w:rPr>
  </w:style>
  <w:style w:type="paragraph" w:styleId="30">
    <w:name w:val="footer"/>
    <w:basedOn w:val="1"/>
    <w:link w:val="58"/>
    <w:unhideWhenUsed/>
    <w:qFormat/>
    <w:uiPriority w:val="99"/>
    <w:pPr>
      <w:tabs>
        <w:tab w:val="center" w:pos="4153"/>
        <w:tab w:val="right" w:pos="8306"/>
      </w:tabs>
      <w:snapToGrid w:val="0"/>
      <w:jc w:val="left"/>
    </w:pPr>
    <w:rPr>
      <w:sz w:val="18"/>
      <w:szCs w:val="18"/>
    </w:rPr>
  </w:style>
  <w:style w:type="paragraph" w:styleId="3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eastAsia="宋体" w:cs="Calibri"/>
      <w:b/>
      <w:bCs/>
      <w:caps/>
      <w:sz w:val="20"/>
      <w:szCs w:val="20"/>
    </w:rPr>
  </w:style>
  <w:style w:type="paragraph" w:styleId="33">
    <w:name w:val="toc 4"/>
    <w:basedOn w:val="1"/>
    <w:next w:val="1"/>
    <w:qFormat/>
    <w:uiPriority w:val="39"/>
    <w:pPr>
      <w:ind w:left="630"/>
      <w:jc w:val="left"/>
    </w:pPr>
    <w:rPr>
      <w:rFonts w:ascii="Calibri" w:hAnsi="Calibri" w:eastAsia="宋体" w:cs="Calibri"/>
      <w:sz w:val="18"/>
      <w:szCs w:val="18"/>
    </w:rPr>
  </w:style>
  <w:style w:type="paragraph" w:styleId="34">
    <w:name w:val="toc 6"/>
    <w:basedOn w:val="1"/>
    <w:next w:val="1"/>
    <w:qFormat/>
    <w:uiPriority w:val="39"/>
    <w:pPr>
      <w:ind w:left="1050"/>
      <w:jc w:val="left"/>
    </w:pPr>
    <w:rPr>
      <w:rFonts w:ascii="Calibri" w:hAnsi="Calibri" w:eastAsia="宋体" w:cs="Calibri"/>
      <w:sz w:val="18"/>
      <w:szCs w:val="18"/>
    </w:rPr>
  </w:style>
  <w:style w:type="paragraph" w:styleId="35">
    <w:name w:val="Body Text Indent 3"/>
    <w:basedOn w:val="1"/>
    <w:link w:val="79"/>
    <w:qFormat/>
    <w:uiPriority w:val="0"/>
    <w:pPr>
      <w:spacing w:after="120"/>
      <w:ind w:left="420" w:leftChars="200"/>
    </w:pPr>
    <w:rPr>
      <w:rFonts w:ascii="Calibri" w:hAnsi="Calibri" w:eastAsia="宋体" w:cs="Times New Roman"/>
      <w:kern w:val="0"/>
      <w:sz w:val="16"/>
      <w:szCs w:val="20"/>
    </w:rPr>
  </w:style>
  <w:style w:type="paragraph" w:styleId="36">
    <w:name w:val="toc 2"/>
    <w:basedOn w:val="1"/>
    <w:next w:val="1"/>
    <w:unhideWhenUsed/>
    <w:qFormat/>
    <w:uiPriority w:val="39"/>
    <w:pPr>
      <w:ind w:left="420" w:leftChars="200"/>
    </w:pPr>
    <w:rPr>
      <w:rFonts w:ascii="Times New Roman" w:hAnsi="Times New Roman" w:eastAsia="宋体" w:cs="Times New Roman"/>
      <w:szCs w:val="24"/>
    </w:rPr>
  </w:style>
  <w:style w:type="paragraph" w:styleId="37">
    <w:name w:val="toc 9"/>
    <w:basedOn w:val="1"/>
    <w:next w:val="1"/>
    <w:qFormat/>
    <w:uiPriority w:val="39"/>
    <w:pPr>
      <w:ind w:left="1680"/>
      <w:jc w:val="left"/>
    </w:pPr>
    <w:rPr>
      <w:rFonts w:ascii="Calibri" w:hAnsi="Calibri" w:eastAsia="宋体" w:cs="Calibri"/>
      <w:sz w:val="18"/>
      <w:szCs w:val="18"/>
    </w:rPr>
  </w:style>
  <w:style w:type="paragraph" w:styleId="38">
    <w:name w:val="Body Text 2"/>
    <w:basedOn w:val="1"/>
    <w:link w:val="80"/>
    <w:qFormat/>
    <w:uiPriority w:val="0"/>
    <w:pPr>
      <w:spacing w:after="120" w:line="480" w:lineRule="auto"/>
    </w:pPr>
    <w:rPr>
      <w:rFonts w:ascii="Times New Roman" w:hAnsi="Times New Roman" w:eastAsia="宋体" w:cs="Times New Roman"/>
      <w:kern w:val="0"/>
      <w:sz w:val="20"/>
      <w:szCs w:val="24"/>
      <w:lang w:val="zh-CN"/>
    </w:r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hAnsi="Calibri" w:eastAsia="宋体" w:cs="Times New Roman"/>
      <w:kern w:val="0"/>
      <w:sz w:val="20"/>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1">
    <w:name w:val="Title"/>
    <w:basedOn w:val="1"/>
    <w:link w:val="82"/>
    <w:qFormat/>
    <w:uiPriority w:val="0"/>
    <w:pPr>
      <w:spacing w:before="240" w:after="60"/>
      <w:jc w:val="center"/>
      <w:outlineLvl w:val="0"/>
    </w:pPr>
    <w:rPr>
      <w:rFonts w:ascii="Arial" w:hAnsi="Arial" w:eastAsia="宋体" w:cs="Times New Roman"/>
      <w:b/>
      <w:bCs/>
      <w:kern w:val="0"/>
      <w:sz w:val="32"/>
      <w:szCs w:val="32"/>
      <w:lang w:val="zh-CN"/>
    </w:rPr>
  </w:style>
  <w:style w:type="paragraph" w:styleId="42">
    <w:name w:val="annotation subject"/>
    <w:basedOn w:val="16"/>
    <w:next w:val="16"/>
    <w:link w:val="83"/>
    <w:qFormat/>
    <w:uiPriority w:val="0"/>
    <w:rPr>
      <w:b/>
      <w:bCs/>
    </w:rPr>
  </w:style>
  <w:style w:type="paragraph" w:styleId="43">
    <w:name w:val="Body Text First Indent"/>
    <w:basedOn w:val="19"/>
    <w:link w:val="84"/>
    <w:qFormat/>
    <w:uiPriority w:val="0"/>
    <w:pPr>
      <w:pBdr>
        <w:top w:val="none" w:color="auto" w:sz="0" w:space="0"/>
      </w:pBdr>
      <w:spacing w:after="120"/>
      <w:ind w:firstLine="420" w:firstLineChars="100"/>
    </w:pPr>
    <w:rPr>
      <w:b w:val="0"/>
      <w:bCs w:val="0"/>
      <w:kern w:val="0"/>
      <w:sz w:val="20"/>
      <w:szCs w:val="20"/>
    </w:rPr>
  </w:style>
  <w:style w:type="paragraph" w:styleId="44">
    <w:name w:val="Body Text First Indent 2"/>
    <w:basedOn w:val="20"/>
    <w:link w:val="85"/>
    <w:qFormat/>
    <w:uiPriority w:val="0"/>
    <w:pPr>
      <w:spacing w:after="120"/>
      <w:ind w:left="420" w:leftChars="200" w:firstLine="420"/>
    </w:pPr>
    <w:rPr>
      <w:rFonts w:ascii="Times New Roman"/>
      <w:kern w:val="0"/>
      <w:sz w:val="20"/>
      <w:szCs w:val="24"/>
    </w:rPr>
  </w:style>
  <w:style w:type="table" w:styleId="46">
    <w:name w:val="Table Grid"/>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1">
    <w:name w:val="HTML Definition"/>
    <w:basedOn w:val="47"/>
    <w:semiHidden/>
    <w:unhideWhenUsed/>
    <w:qFormat/>
    <w:uiPriority w:val="99"/>
    <w:rPr>
      <w:i/>
      <w:iCs/>
    </w:rPr>
  </w:style>
  <w:style w:type="character" w:styleId="52">
    <w:name w:val="Hyperlink"/>
    <w:qFormat/>
    <w:uiPriority w:val="99"/>
    <w:rPr>
      <w:color w:val="0000FF"/>
      <w:u w:val="single"/>
    </w:rPr>
  </w:style>
  <w:style w:type="character" w:styleId="53">
    <w:name w:val="HTML Code"/>
    <w:basedOn w:val="47"/>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54">
    <w:name w:val="annotation reference"/>
    <w:qFormat/>
    <w:uiPriority w:val="0"/>
    <w:rPr>
      <w:sz w:val="21"/>
      <w:szCs w:val="21"/>
    </w:rPr>
  </w:style>
  <w:style w:type="character" w:styleId="55">
    <w:name w:val="HTML Keyboard"/>
    <w:basedOn w:val="47"/>
    <w:semiHidden/>
    <w:unhideWhenUsed/>
    <w:qFormat/>
    <w:uiPriority w:val="99"/>
    <w:rPr>
      <w:rFonts w:hint="default" w:ascii="Consolas" w:hAnsi="Consolas" w:eastAsia="Consolas" w:cs="Consolas"/>
      <w:color w:val="FFFFFF"/>
      <w:sz w:val="21"/>
      <w:szCs w:val="21"/>
      <w:shd w:val="clear" w:color="auto" w:fill="333333"/>
    </w:rPr>
  </w:style>
  <w:style w:type="character" w:styleId="56">
    <w:name w:val="HTML Sample"/>
    <w:basedOn w:val="47"/>
    <w:semiHidden/>
    <w:unhideWhenUsed/>
    <w:qFormat/>
    <w:uiPriority w:val="99"/>
    <w:rPr>
      <w:rFonts w:hint="default" w:ascii="Consolas" w:hAnsi="Consolas" w:eastAsia="Consolas" w:cs="Consolas"/>
      <w:sz w:val="21"/>
      <w:szCs w:val="21"/>
    </w:rPr>
  </w:style>
  <w:style w:type="character" w:customStyle="1" w:styleId="57">
    <w:name w:val="页眉 字符"/>
    <w:basedOn w:val="47"/>
    <w:link w:val="31"/>
    <w:qFormat/>
    <w:uiPriority w:val="0"/>
    <w:rPr>
      <w:sz w:val="18"/>
      <w:szCs w:val="18"/>
    </w:rPr>
  </w:style>
  <w:style w:type="character" w:customStyle="1" w:styleId="58">
    <w:name w:val="页脚 字符"/>
    <w:basedOn w:val="47"/>
    <w:link w:val="30"/>
    <w:qFormat/>
    <w:uiPriority w:val="99"/>
    <w:rPr>
      <w:sz w:val="18"/>
      <w:szCs w:val="18"/>
    </w:rPr>
  </w:style>
  <w:style w:type="character" w:customStyle="1" w:styleId="59">
    <w:name w:val="标题 1 字符"/>
    <w:basedOn w:val="47"/>
    <w:link w:val="2"/>
    <w:qFormat/>
    <w:uiPriority w:val="0"/>
    <w:rPr>
      <w:rFonts w:ascii="Times New Roman" w:hAnsi="Times New Roman" w:eastAsia="宋体" w:cs="Times New Roman"/>
      <w:b/>
      <w:bCs/>
      <w:kern w:val="44"/>
      <w:sz w:val="32"/>
      <w:szCs w:val="32"/>
      <w:lang w:val="zh-CN"/>
    </w:rPr>
  </w:style>
  <w:style w:type="character" w:customStyle="1" w:styleId="60">
    <w:name w:val="标题 2 字符"/>
    <w:basedOn w:val="47"/>
    <w:link w:val="3"/>
    <w:qFormat/>
    <w:uiPriority w:val="0"/>
    <w:rPr>
      <w:rFonts w:ascii="Cambria" w:hAnsi="Cambria" w:eastAsia="宋体" w:cs="Times New Roman"/>
      <w:b/>
      <w:bCs/>
      <w:kern w:val="0"/>
      <w:sz w:val="30"/>
      <w:szCs w:val="30"/>
      <w:lang w:val="zh-CN"/>
    </w:rPr>
  </w:style>
  <w:style w:type="paragraph" w:customStyle="1" w:styleId="61">
    <w:name w:val="标题 31"/>
    <w:basedOn w:val="1"/>
    <w:next w:val="7"/>
    <w:qFormat/>
    <w:uiPriority w:val="0"/>
    <w:pPr>
      <w:keepNext/>
      <w:keepLines/>
      <w:spacing w:before="260" w:line="416" w:lineRule="auto"/>
      <w:outlineLvl w:val="2"/>
    </w:pPr>
    <w:rPr>
      <w:rFonts w:ascii="宋体" w:hAnsi="宋体" w:cs="Times New Roman"/>
      <w:b/>
      <w:bCs/>
      <w:spacing w:val="1"/>
      <w:sz w:val="28"/>
      <w:szCs w:val="32"/>
      <w:lang w:val="zh-CN"/>
    </w:rPr>
  </w:style>
  <w:style w:type="character" w:customStyle="1" w:styleId="62">
    <w:name w:val="标题 4 字符"/>
    <w:basedOn w:val="47"/>
    <w:link w:val="5"/>
    <w:qFormat/>
    <w:uiPriority w:val="0"/>
    <w:rPr>
      <w:rFonts w:ascii="宋体" w:hAnsi="宋体" w:eastAsia="宋体" w:cs="Times New Roman"/>
      <w:b/>
      <w:kern w:val="0"/>
      <w:sz w:val="24"/>
      <w:szCs w:val="24"/>
      <w:lang w:val="zh-CN"/>
    </w:rPr>
  </w:style>
  <w:style w:type="character" w:customStyle="1" w:styleId="63">
    <w:name w:val="标题 5 字符"/>
    <w:basedOn w:val="47"/>
    <w:link w:val="6"/>
    <w:qFormat/>
    <w:uiPriority w:val="0"/>
    <w:rPr>
      <w:rFonts w:ascii="Arial" w:hAnsi="Arial" w:eastAsia="宋体" w:cs="Times New Roman"/>
      <w:sz w:val="24"/>
      <w:szCs w:val="24"/>
    </w:rPr>
  </w:style>
  <w:style w:type="character" w:customStyle="1" w:styleId="64">
    <w:name w:val="标题 6 字符"/>
    <w:basedOn w:val="47"/>
    <w:link w:val="8"/>
    <w:qFormat/>
    <w:uiPriority w:val="0"/>
    <w:rPr>
      <w:rFonts w:ascii="Arial" w:hAnsi="Arial" w:eastAsia="黑体" w:cs="Times New Roman"/>
      <w:b/>
      <w:bCs/>
      <w:sz w:val="24"/>
      <w:szCs w:val="24"/>
    </w:rPr>
  </w:style>
  <w:style w:type="character" w:customStyle="1" w:styleId="65">
    <w:name w:val="标题 7 字符"/>
    <w:basedOn w:val="47"/>
    <w:link w:val="9"/>
    <w:qFormat/>
    <w:uiPriority w:val="0"/>
    <w:rPr>
      <w:rFonts w:ascii="Times New Roman" w:hAnsi="Times New Roman" w:eastAsia="宋体" w:cs="Times New Roman"/>
      <w:b/>
      <w:sz w:val="24"/>
      <w:szCs w:val="20"/>
    </w:rPr>
  </w:style>
  <w:style w:type="character" w:customStyle="1" w:styleId="66">
    <w:name w:val="标题 8 字符"/>
    <w:basedOn w:val="47"/>
    <w:link w:val="10"/>
    <w:qFormat/>
    <w:uiPriority w:val="0"/>
    <w:rPr>
      <w:rFonts w:ascii="Arial" w:hAnsi="Arial" w:eastAsia="黑体" w:cs="Times New Roman"/>
      <w:sz w:val="24"/>
      <w:szCs w:val="20"/>
    </w:rPr>
  </w:style>
  <w:style w:type="character" w:customStyle="1" w:styleId="67">
    <w:name w:val="标题 9 字符"/>
    <w:basedOn w:val="47"/>
    <w:link w:val="11"/>
    <w:qFormat/>
    <w:uiPriority w:val="0"/>
    <w:rPr>
      <w:rFonts w:ascii="Arial" w:hAnsi="Arial" w:eastAsia="黑体" w:cs="Times New Roman"/>
      <w:szCs w:val="20"/>
    </w:rPr>
  </w:style>
  <w:style w:type="character" w:customStyle="1" w:styleId="68">
    <w:name w:val="标题 3 字符"/>
    <w:basedOn w:val="47"/>
    <w:link w:val="4"/>
    <w:qFormat/>
    <w:uiPriority w:val="0"/>
    <w:rPr>
      <w:rFonts w:ascii="宋体" w:hAnsi="宋体" w:eastAsia="宋体"/>
      <w:b/>
      <w:bCs/>
      <w:spacing w:val="1"/>
      <w:sz w:val="28"/>
      <w:szCs w:val="32"/>
      <w:lang w:val="zh-CN"/>
    </w:rPr>
  </w:style>
  <w:style w:type="character" w:customStyle="1" w:styleId="69">
    <w:name w:val="文档结构图 字符"/>
    <w:basedOn w:val="47"/>
    <w:link w:val="15"/>
    <w:qFormat/>
    <w:uiPriority w:val="0"/>
    <w:rPr>
      <w:rFonts w:ascii="宋体" w:hAnsi="Times New Roman" w:eastAsia="宋体" w:cs="Times New Roman"/>
      <w:kern w:val="0"/>
      <w:sz w:val="18"/>
      <w:szCs w:val="18"/>
      <w:lang w:val="zh-CN"/>
    </w:rPr>
  </w:style>
  <w:style w:type="character" w:customStyle="1" w:styleId="70">
    <w:name w:val="批注文字 字符"/>
    <w:basedOn w:val="47"/>
    <w:link w:val="16"/>
    <w:qFormat/>
    <w:uiPriority w:val="0"/>
    <w:rPr>
      <w:rFonts w:ascii="Times New Roman" w:hAnsi="Times New Roman" w:eastAsia="宋体" w:cs="Times New Roman"/>
      <w:szCs w:val="24"/>
      <w:lang w:val="zh-CN"/>
    </w:rPr>
  </w:style>
  <w:style w:type="character" w:customStyle="1" w:styleId="71">
    <w:name w:val="称呼 字符"/>
    <w:basedOn w:val="47"/>
    <w:link w:val="17"/>
    <w:qFormat/>
    <w:uiPriority w:val="0"/>
    <w:rPr>
      <w:rFonts w:ascii="Calibri" w:hAnsi="Calibri" w:eastAsia="宋体" w:cs="Times New Roman"/>
      <w:kern w:val="0"/>
      <w:sz w:val="32"/>
      <w:szCs w:val="24"/>
    </w:rPr>
  </w:style>
  <w:style w:type="character" w:customStyle="1" w:styleId="72">
    <w:name w:val="正文文本 3 字符"/>
    <w:basedOn w:val="47"/>
    <w:link w:val="18"/>
    <w:qFormat/>
    <w:uiPriority w:val="0"/>
    <w:rPr>
      <w:rFonts w:ascii="Times New Roman" w:hAnsi="Times New Roman" w:eastAsia="宋体" w:cs="Times New Roman"/>
      <w:kern w:val="0"/>
      <w:sz w:val="16"/>
      <w:szCs w:val="16"/>
      <w:lang w:val="zh-CN"/>
    </w:rPr>
  </w:style>
  <w:style w:type="character" w:customStyle="1" w:styleId="73">
    <w:name w:val="正文文本 字符"/>
    <w:basedOn w:val="47"/>
    <w:link w:val="19"/>
    <w:qFormat/>
    <w:uiPriority w:val="99"/>
    <w:rPr>
      <w:rFonts w:ascii="Times New Roman" w:hAnsi="Times New Roman" w:eastAsia="宋体" w:cs="Times New Roman"/>
      <w:b/>
      <w:bCs/>
      <w:szCs w:val="24"/>
    </w:rPr>
  </w:style>
  <w:style w:type="character" w:customStyle="1" w:styleId="74">
    <w:name w:val="正文文本缩进 字符"/>
    <w:basedOn w:val="47"/>
    <w:link w:val="20"/>
    <w:qFormat/>
    <w:uiPriority w:val="0"/>
    <w:rPr>
      <w:rFonts w:ascii="宋体" w:hAnsi="Times New Roman" w:eastAsia="宋体" w:cs="Times New Roman"/>
      <w:sz w:val="30"/>
      <w:szCs w:val="20"/>
      <w:lang w:val="zh-CN"/>
    </w:rPr>
  </w:style>
  <w:style w:type="character" w:customStyle="1" w:styleId="75">
    <w:name w:val="纯文本 字符"/>
    <w:basedOn w:val="47"/>
    <w:link w:val="25"/>
    <w:qFormat/>
    <w:uiPriority w:val="0"/>
    <w:rPr>
      <w:rFonts w:ascii="宋体" w:hAnsi="Courier New" w:eastAsia="宋体" w:cs="Times New Roman"/>
      <w:szCs w:val="20"/>
      <w:lang w:val="zh-CN"/>
    </w:rPr>
  </w:style>
  <w:style w:type="character" w:customStyle="1" w:styleId="76">
    <w:name w:val="日期 字符"/>
    <w:basedOn w:val="47"/>
    <w:link w:val="27"/>
    <w:qFormat/>
    <w:uiPriority w:val="0"/>
    <w:rPr>
      <w:rFonts w:ascii="Calibri" w:hAnsi="Calibri" w:eastAsia="宋体" w:cs="Times New Roman"/>
      <w:kern w:val="0"/>
      <w:sz w:val="20"/>
      <w:szCs w:val="24"/>
    </w:rPr>
  </w:style>
  <w:style w:type="character" w:customStyle="1" w:styleId="77">
    <w:name w:val="正文文本缩进 2 字符"/>
    <w:basedOn w:val="47"/>
    <w:link w:val="28"/>
    <w:qFormat/>
    <w:uiPriority w:val="0"/>
    <w:rPr>
      <w:rFonts w:ascii="Times New Roman" w:hAnsi="Times New Roman" w:eastAsia="Courier New" w:cs="Times New Roman"/>
      <w:kern w:val="0"/>
      <w:sz w:val="20"/>
      <w:szCs w:val="20"/>
      <w:lang w:val="zh-CN"/>
    </w:rPr>
  </w:style>
  <w:style w:type="character" w:customStyle="1" w:styleId="78">
    <w:name w:val="批注框文本 字符"/>
    <w:basedOn w:val="47"/>
    <w:link w:val="29"/>
    <w:qFormat/>
    <w:uiPriority w:val="0"/>
    <w:rPr>
      <w:rFonts w:ascii="Times New Roman" w:hAnsi="Times New Roman" w:eastAsia="宋体" w:cs="Times New Roman"/>
      <w:sz w:val="18"/>
      <w:szCs w:val="18"/>
      <w:lang w:val="zh-CN"/>
    </w:rPr>
  </w:style>
  <w:style w:type="character" w:customStyle="1" w:styleId="79">
    <w:name w:val="正文文本缩进 3 字符"/>
    <w:basedOn w:val="47"/>
    <w:link w:val="35"/>
    <w:qFormat/>
    <w:uiPriority w:val="0"/>
    <w:rPr>
      <w:rFonts w:ascii="Calibri" w:hAnsi="Calibri" w:eastAsia="宋体" w:cs="Times New Roman"/>
      <w:kern w:val="0"/>
      <w:sz w:val="16"/>
      <w:szCs w:val="20"/>
    </w:rPr>
  </w:style>
  <w:style w:type="character" w:customStyle="1" w:styleId="80">
    <w:name w:val="正文文本 2 字符"/>
    <w:basedOn w:val="47"/>
    <w:link w:val="38"/>
    <w:qFormat/>
    <w:uiPriority w:val="0"/>
    <w:rPr>
      <w:rFonts w:ascii="Times New Roman" w:hAnsi="Times New Roman" w:eastAsia="宋体" w:cs="Times New Roman"/>
      <w:kern w:val="0"/>
      <w:sz w:val="20"/>
      <w:szCs w:val="24"/>
      <w:lang w:val="zh-CN"/>
    </w:rPr>
  </w:style>
  <w:style w:type="character" w:customStyle="1" w:styleId="81">
    <w:name w:val="HTML 预设格式 字符"/>
    <w:basedOn w:val="47"/>
    <w:link w:val="39"/>
    <w:qFormat/>
    <w:uiPriority w:val="0"/>
    <w:rPr>
      <w:rFonts w:ascii="Calibri" w:hAnsi="Calibri" w:eastAsia="宋体" w:cs="Times New Roman"/>
      <w:kern w:val="0"/>
      <w:sz w:val="20"/>
      <w:szCs w:val="21"/>
    </w:rPr>
  </w:style>
  <w:style w:type="character" w:customStyle="1" w:styleId="82">
    <w:name w:val="标题 字符"/>
    <w:basedOn w:val="47"/>
    <w:link w:val="41"/>
    <w:qFormat/>
    <w:uiPriority w:val="0"/>
    <w:rPr>
      <w:rFonts w:ascii="Arial" w:hAnsi="Arial" w:eastAsia="宋体" w:cs="Times New Roman"/>
      <w:b/>
      <w:bCs/>
      <w:kern w:val="0"/>
      <w:sz w:val="32"/>
      <w:szCs w:val="32"/>
      <w:lang w:val="zh-CN"/>
    </w:rPr>
  </w:style>
  <w:style w:type="character" w:customStyle="1" w:styleId="83">
    <w:name w:val="批注主题 字符"/>
    <w:basedOn w:val="70"/>
    <w:link w:val="42"/>
    <w:qFormat/>
    <w:uiPriority w:val="0"/>
    <w:rPr>
      <w:rFonts w:ascii="Times New Roman" w:hAnsi="Times New Roman" w:eastAsia="宋体" w:cs="Times New Roman"/>
      <w:b/>
      <w:bCs/>
      <w:szCs w:val="24"/>
      <w:lang w:val="zh-CN"/>
    </w:rPr>
  </w:style>
  <w:style w:type="character" w:customStyle="1" w:styleId="84">
    <w:name w:val="正文首行缩进 字符"/>
    <w:basedOn w:val="73"/>
    <w:link w:val="43"/>
    <w:qFormat/>
    <w:uiPriority w:val="0"/>
    <w:rPr>
      <w:rFonts w:ascii="Times New Roman" w:hAnsi="Times New Roman" w:eastAsia="宋体" w:cs="Times New Roman"/>
      <w:b w:val="0"/>
      <w:bCs w:val="0"/>
      <w:kern w:val="0"/>
      <w:sz w:val="20"/>
      <w:szCs w:val="20"/>
    </w:rPr>
  </w:style>
  <w:style w:type="character" w:customStyle="1" w:styleId="85">
    <w:name w:val="正文首行缩进 2 字符"/>
    <w:basedOn w:val="74"/>
    <w:link w:val="44"/>
    <w:qFormat/>
    <w:uiPriority w:val="0"/>
    <w:rPr>
      <w:rFonts w:ascii="Times New Roman" w:hAnsi="Times New Roman" w:eastAsia="宋体" w:cs="Times New Roman"/>
      <w:kern w:val="0"/>
      <w:sz w:val="20"/>
      <w:szCs w:val="24"/>
      <w:lang w:val="zh-CN"/>
    </w:rPr>
  </w:style>
  <w:style w:type="character" w:customStyle="1" w:styleId="86">
    <w:name w:val="访问过的超链接1"/>
    <w:basedOn w:val="47"/>
    <w:semiHidden/>
    <w:unhideWhenUsed/>
    <w:qFormat/>
    <w:uiPriority w:val="99"/>
    <w:rPr>
      <w:color w:val="800080"/>
      <w:u w:val="single"/>
    </w:rPr>
  </w:style>
  <w:style w:type="character" w:customStyle="1" w:styleId="87">
    <w:name w:val="正文缩进 字符"/>
    <w:link w:val="7"/>
    <w:qFormat/>
    <w:uiPriority w:val="0"/>
    <w:rPr>
      <w:rFonts w:ascii="Times New Roman" w:hAnsi="Times New Roman" w:eastAsia="宋体" w:cs="Times New Roman"/>
      <w:szCs w:val="24"/>
    </w:rPr>
  </w:style>
  <w:style w:type="paragraph" w:customStyle="1" w:styleId="88">
    <w:name w:val="_Style 7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插图名称 Char Char"/>
    <w:link w:val="90"/>
    <w:qFormat/>
    <w:uiPriority w:val="0"/>
    <w:rPr>
      <w:rFonts w:eastAsia="Times New Roman"/>
      <w:szCs w:val="24"/>
    </w:rPr>
  </w:style>
  <w:style w:type="paragraph" w:customStyle="1" w:styleId="90">
    <w:name w:val="插图名称"/>
    <w:link w:val="89"/>
    <w:qFormat/>
    <w:uiPriority w:val="0"/>
    <w:pPr>
      <w:jc w:val="center"/>
      <w:outlineLvl w:val="8"/>
    </w:pPr>
    <w:rPr>
      <w:rFonts w:eastAsia="Times New Roman" w:asciiTheme="minorHAnsi" w:hAnsiTheme="minorHAnsi" w:cstheme="minorBidi"/>
      <w:kern w:val="2"/>
      <w:sz w:val="21"/>
      <w:szCs w:val="24"/>
      <w:lang w:val="en-US" w:eastAsia="zh-CN" w:bidi="ar-SA"/>
    </w:rPr>
  </w:style>
  <w:style w:type="character" w:customStyle="1" w:styleId="91">
    <w:name w:val="表格文字 Char"/>
    <w:qFormat/>
    <w:uiPriority w:val="0"/>
    <w:rPr>
      <w:rFonts w:ascii="宋体" w:hAnsi="Courier New"/>
    </w:rPr>
  </w:style>
  <w:style w:type="character" w:customStyle="1" w:styleId="92">
    <w:name w:val="19"/>
    <w:qFormat/>
    <w:uiPriority w:val="0"/>
    <w:rPr>
      <w:rFonts w:hint="default" w:ascii="Calibri" w:hAnsi="Calibri" w:cs="Calibri"/>
      <w:b/>
      <w:bCs/>
      <w:kern w:val="44"/>
      <w:sz w:val="44"/>
      <w:szCs w:val="44"/>
    </w:rPr>
  </w:style>
  <w:style w:type="character" w:customStyle="1" w:styleId="93">
    <w:name w:val="17"/>
    <w:qFormat/>
    <w:uiPriority w:val="0"/>
    <w:rPr>
      <w:rFonts w:hint="default" w:ascii="Calibri" w:hAnsi="Calibri" w:cs="Calibri"/>
    </w:rPr>
  </w:style>
  <w:style w:type="character" w:customStyle="1" w:styleId="94">
    <w:name w:val="Char Char10"/>
    <w:qFormat/>
    <w:uiPriority w:val="0"/>
    <w:rPr>
      <w:rFonts w:ascii="宋体" w:hAnsi="Courier New" w:eastAsia="宋体" w:cs="Times New Roman"/>
      <w:szCs w:val="20"/>
    </w:rPr>
  </w:style>
  <w:style w:type="character" w:customStyle="1" w:styleId="95">
    <w:name w:val="3eee Char Char"/>
    <w:link w:val="96"/>
    <w:qFormat/>
    <w:uiPriority w:val="0"/>
    <w:rPr>
      <w:rFonts w:ascii="Courier New" w:hAnsi="Courier New" w:eastAsia="Courier New"/>
      <w:sz w:val="24"/>
      <w:szCs w:val="24"/>
    </w:rPr>
  </w:style>
  <w:style w:type="paragraph" w:customStyle="1" w:styleId="96">
    <w:name w:val="3eee"/>
    <w:basedOn w:val="1"/>
    <w:link w:val="95"/>
    <w:qFormat/>
    <w:uiPriority w:val="0"/>
    <w:pPr>
      <w:spacing w:line="440" w:lineRule="exact"/>
      <w:ind w:firstLine="480" w:firstLineChars="200"/>
    </w:pPr>
    <w:rPr>
      <w:rFonts w:ascii="Courier New" w:hAnsi="Courier New" w:eastAsia="Courier New"/>
      <w:sz w:val="24"/>
      <w:szCs w:val="24"/>
    </w:rPr>
  </w:style>
  <w:style w:type="character" w:customStyle="1" w:styleId="97">
    <w:name w:val="样式 宋体 小四 Char Char"/>
    <w:link w:val="98"/>
    <w:qFormat/>
    <w:uiPriority w:val="0"/>
    <w:rPr>
      <w:rFonts w:ascii="Courier New" w:hAnsi="Courier New" w:eastAsia="Courier New"/>
      <w:sz w:val="24"/>
    </w:rPr>
  </w:style>
  <w:style w:type="paragraph" w:customStyle="1" w:styleId="98">
    <w:name w:val="样式 宋体 小四"/>
    <w:basedOn w:val="1"/>
    <w:link w:val="97"/>
    <w:qFormat/>
    <w:uiPriority w:val="0"/>
    <w:pPr>
      <w:adjustRightInd w:val="0"/>
      <w:snapToGrid w:val="0"/>
      <w:spacing w:line="480" w:lineRule="exact"/>
      <w:ind w:firstLine="200" w:firstLineChars="200"/>
    </w:pPr>
    <w:rPr>
      <w:rFonts w:ascii="Courier New" w:hAnsi="Courier New" w:eastAsia="Courier New"/>
      <w:sz w:val="24"/>
    </w:rPr>
  </w:style>
  <w:style w:type="character" w:customStyle="1" w:styleId="99">
    <w:name w:val="Default Paragraph Font New"/>
    <w:qFormat/>
    <w:uiPriority w:val="0"/>
    <w:rPr>
      <w:rFonts w:hint="default"/>
    </w:rPr>
  </w:style>
  <w:style w:type="character" w:customStyle="1" w:styleId="100">
    <w:name w:val="文一 Char Char"/>
    <w:link w:val="101"/>
    <w:qFormat/>
    <w:uiPriority w:val="0"/>
    <w:rPr>
      <w:spacing w:val="4"/>
      <w:sz w:val="24"/>
      <w:szCs w:val="24"/>
    </w:rPr>
  </w:style>
  <w:style w:type="paragraph" w:customStyle="1" w:styleId="101">
    <w:name w:val="文一"/>
    <w:basedOn w:val="1"/>
    <w:link w:val="100"/>
    <w:qFormat/>
    <w:uiPriority w:val="0"/>
    <w:pPr>
      <w:topLinePunct/>
      <w:adjustRightInd w:val="0"/>
      <w:snapToGrid w:val="0"/>
      <w:spacing w:line="360" w:lineRule="auto"/>
      <w:ind w:firstLine="200" w:firstLineChars="200"/>
    </w:pPr>
    <w:rPr>
      <w:spacing w:val="4"/>
      <w:sz w:val="24"/>
      <w:szCs w:val="24"/>
    </w:rPr>
  </w:style>
  <w:style w:type="character" w:customStyle="1" w:styleId="102">
    <w:name w:val="无间隔 Char Char"/>
    <w:link w:val="103"/>
    <w:qFormat/>
    <w:uiPriority w:val="0"/>
    <w:rPr>
      <w:szCs w:val="24"/>
    </w:rPr>
  </w:style>
  <w:style w:type="paragraph" w:customStyle="1" w:styleId="103">
    <w:name w:val="无间隔1"/>
    <w:link w:val="10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04">
    <w:name w:val="18"/>
    <w:qFormat/>
    <w:uiPriority w:val="0"/>
    <w:rPr>
      <w:rFonts w:hint="default" w:ascii="Calibri" w:hAnsi="Calibri" w:cs="Calibri"/>
      <w:b/>
      <w:bCs/>
      <w:sz w:val="30"/>
      <w:szCs w:val="30"/>
    </w:rPr>
  </w:style>
  <w:style w:type="character" w:customStyle="1" w:styleId="105">
    <w:name w:val="16"/>
    <w:qFormat/>
    <w:uiPriority w:val="0"/>
    <w:rPr>
      <w:rFonts w:hint="default" w:ascii="Calibri" w:hAnsi="Calibri" w:cs="Calibri"/>
      <w:color w:val="0000FF"/>
      <w:u w:val="single"/>
    </w:rPr>
  </w:style>
  <w:style w:type="character" w:customStyle="1" w:styleId="106">
    <w:name w:val="样式3 Char Char"/>
    <w:link w:val="107"/>
    <w:qFormat/>
    <w:uiPriority w:val="0"/>
    <w:rPr>
      <w:rFonts w:eastAsia="Times New Roman"/>
      <w:b/>
      <w:sz w:val="24"/>
    </w:rPr>
  </w:style>
  <w:style w:type="paragraph" w:customStyle="1" w:styleId="107">
    <w:name w:val="样式3"/>
    <w:link w:val="106"/>
    <w:qFormat/>
    <w:uiPriority w:val="0"/>
    <w:pPr>
      <w:tabs>
        <w:tab w:val="left" w:pos="1140"/>
      </w:tabs>
      <w:spacing w:line="480" w:lineRule="exact"/>
      <w:ind w:left="1140" w:hanging="720"/>
    </w:pPr>
    <w:rPr>
      <w:rFonts w:eastAsia="Times New Roman" w:asciiTheme="minorHAnsi" w:hAnsiTheme="minorHAnsi" w:cstheme="minorBidi"/>
      <w:b/>
      <w:kern w:val="2"/>
      <w:sz w:val="24"/>
      <w:szCs w:val="22"/>
      <w:lang w:val="en-US" w:eastAsia="zh-CN" w:bidi="ar-SA"/>
    </w:rPr>
  </w:style>
  <w:style w:type="character" w:customStyle="1" w:styleId="108">
    <w:name w:val="一级标题 Char Char"/>
    <w:link w:val="109"/>
    <w:qFormat/>
    <w:uiPriority w:val="0"/>
    <w:rPr>
      <w:b/>
      <w:sz w:val="30"/>
      <w:szCs w:val="30"/>
    </w:rPr>
  </w:style>
  <w:style w:type="paragraph" w:customStyle="1" w:styleId="109">
    <w:name w:val="一级标题"/>
    <w:basedOn w:val="1"/>
    <w:link w:val="108"/>
    <w:qFormat/>
    <w:uiPriority w:val="0"/>
    <w:pPr>
      <w:spacing w:line="360" w:lineRule="auto"/>
      <w:outlineLvl w:val="0"/>
    </w:pPr>
    <w:rPr>
      <w:b/>
      <w:sz w:val="30"/>
      <w:szCs w:val="30"/>
    </w:rPr>
  </w:style>
  <w:style w:type="character" w:customStyle="1" w:styleId="110">
    <w:name w:val="Default Paragraph Font New New New"/>
    <w:qFormat/>
    <w:uiPriority w:val="0"/>
    <w:rPr>
      <w:rFonts w:hint="default"/>
    </w:rPr>
  </w:style>
  <w:style w:type="character" w:customStyle="1" w:styleId="111">
    <w:name w:val="默认段落字体1"/>
    <w:qFormat/>
    <w:uiPriority w:val="0"/>
    <w:rPr>
      <w:rFonts w:hint="default"/>
    </w:rPr>
  </w:style>
  <w:style w:type="character" w:customStyle="1" w:styleId="112">
    <w:name w:val="正文(仿)首缩 Char"/>
    <w:link w:val="113"/>
    <w:qFormat/>
    <w:uiPriority w:val="0"/>
    <w:rPr>
      <w:rFonts w:ascii="仿宋_GB2312" w:eastAsia="仿宋_GB2312"/>
      <w:sz w:val="28"/>
    </w:rPr>
  </w:style>
  <w:style w:type="paragraph" w:customStyle="1" w:styleId="113">
    <w:name w:val="正文(仿)首缩"/>
    <w:basedOn w:val="1"/>
    <w:link w:val="112"/>
    <w:qFormat/>
    <w:uiPriority w:val="0"/>
    <w:pPr>
      <w:ind w:firstLine="554" w:firstLineChars="200"/>
    </w:pPr>
    <w:rPr>
      <w:rFonts w:ascii="仿宋_GB2312" w:eastAsia="仿宋_GB2312"/>
      <w:sz w:val="28"/>
    </w:rPr>
  </w:style>
  <w:style w:type="character" w:customStyle="1" w:styleId="114">
    <w:name w:val="表格00 Char1"/>
    <w:link w:val="115"/>
    <w:qFormat/>
    <w:uiPriority w:val="0"/>
    <w:rPr>
      <w:rFonts w:eastAsia="Times New Roman"/>
      <w:szCs w:val="21"/>
    </w:rPr>
  </w:style>
  <w:style w:type="paragraph" w:customStyle="1" w:styleId="115">
    <w:name w:val="表格00"/>
    <w:link w:val="114"/>
    <w:qFormat/>
    <w:uiPriority w:val="0"/>
    <w:pPr>
      <w:widowControl w:val="0"/>
      <w:adjustRightInd w:val="0"/>
      <w:spacing w:line="140" w:lineRule="atLeast"/>
      <w:jc w:val="center"/>
      <w:outlineLvl w:val="8"/>
    </w:pPr>
    <w:rPr>
      <w:rFonts w:eastAsia="Times New Roman" w:asciiTheme="minorHAnsi" w:hAnsiTheme="minorHAnsi" w:cstheme="minorBidi"/>
      <w:kern w:val="2"/>
      <w:sz w:val="21"/>
      <w:szCs w:val="21"/>
      <w:lang w:val="en-US" w:eastAsia="zh-CN" w:bidi="ar-SA"/>
    </w:rPr>
  </w:style>
  <w:style w:type="character" w:customStyle="1" w:styleId="116">
    <w:name w:val="样式 小四 首行缩进:  0.85 厘米 行距: 1.5 倍行距 Char1"/>
    <w:link w:val="117"/>
    <w:qFormat/>
    <w:uiPriority w:val="0"/>
    <w:rPr>
      <w:rFonts w:ascii="Courier New" w:hAnsi="Courier New" w:eastAsia="Courier New"/>
      <w:bCs/>
      <w:sz w:val="24"/>
      <w:szCs w:val="28"/>
    </w:rPr>
  </w:style>
  <w:style w:type="paragraph" w:customStyle="1" w:styleId="117">
    <w:name w:val="样式 小四 首行缩进:  0.85 厘米 行距: 1.5 倍行距"/>
    <w:basedOn w:val="1"/>
    <w:next w:val="1"/>
    <w:link w:val="116"/>
    <w:qFormat/>
    <w:uiPriority w:val="0"/>
    <w:pPr>
      <w:spacing w:line="360" w:lineRule="auto"/>
      <w:ind w:firstLine="480"/>
    </w:pPr>
    <w:rPr>
      <w:rFonts w:ascii="Courier New" w:hAnsi="Courier New" w:eastAsia="Courier New"/>
      <w:bCs/>
      <w:sz w:val="24"/>
      <w:szCs w:val="28"/>
    </w:rPr>
  </w:style>
  <w:style w:type="character" w:customStyle="1" w:styleId="118">
    <w:name w:val="Default Paragraph Font New New"/>
    <w:qFormat/>
    <w:uiPriority w:val="0"/>
    <w:rPr>
      <w:rFonts w:hint="default"/>
    </w:rPr>
  </w:style>
  <w:style w:type="character" w:customStyle="1" w:styleId="119">
    <w:name w:val="泉州师院正文 Char Char"/>
    <w:link w:val="120"/>
    <w:qFormat/>
    <w:uiPriority w:val="0"/>
    <w:rPr>
      <w:sz w:val="24"/>
      <w:szCs w:val="24"/>
    </w:rPr>
  </w:style>
  <w:style w:type="paragraph" w:customStyle="1" w:styleId="120">
    <w:name w:val="泉州师院正文"/>
    <w:basedOn w:val="1"/>
    <w:link w:val="119"/>
    <w:qFormat/>
    <w:uiPriority w:val="0"/>
    <w:pPr>
      <w:spacing w:line="360" w:lineRule="auto"/>
      <w:ind w:firstLine="480" w:firstLineChars="200"/>
    </w:pPr>
    <w:rPr>
      <w:sz w:val="24"/>
      <w:szCs w:val="24"/>
    </w:rPr>
  </w:style>
  <w:style w:type="character" w:customStyle="1" w:styleId="121">
    <w:name w:val="10"/>
    <w:qFormat/>
    <w:uiPriority w:val="0"/>
    <w:rPr>
      <w:rFonts w:hint="default" w:ascii="Calibri" w:hAnsi="Calibri" w:cs="Calibri"/>
    </w:rPr>
  </w:style>
  <w:style w:type="character" w:customStyle="1" w:styleId="122">
    <w:name w:val="15"/>
    <w:qFormat/>
    <w:uiPriority w:val="0"/>
    <w:rPr>
      <w:rFonts w:hint="default" w:ascii="Calibri" w:hAnsi="Calibri" w:cs="Calibri"/>
      <w:color w:val="0000FF"/>
      <w:u w:val="single"/>
    </w:rPr>
  </w:style>
  <w:style w:type="paragraph" w:customStyle="1" w:styleId="123">
    <w:name w:val="Normal New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24">
    <w:name w:val="正题"/>
    <w:basedOn w:val="101"/>
    <w:next w:val="101"/>
    <w:qFormat/>
    <w:uiPriority w:val="0"/>
    <w:pPr>
      <w:ind w:firstLine="0" w:firstLineChars="0"/>
      <w:jc w:val="center"/>
    </w:pPr>
    <w:rPr>
      <w:rFonts w:ascii="等线" w:hAnsi="等线" w:eastAsia="黑体"/>
      <w:b/>
      <w:snapToGrid w:val="0"/>
      <w:sz w:val="36"/>
      <w:szCs w:val="36"/>
    </w:rPr>
  </w:style>
  <w:style w:type="paragraph" w:customStyle="1" w:styleId="125">
    <w:name w:val="列出段落1"/>
    <w:basedOn w:val="1"/>
    <w:qFormat/>
    <w:uiPriority w:val="0"/>
    <w:pPr>
      <w:ind w:firstLine="420" w:firstLineChars="200"/>
    </w:pPr>
    <w:rPr>
      <w:rFonts w:ascii="Calibri" w:hAnsi="Calibri" w:eastAsia="宋体" w:cs="Times New Roman"/>
    </w:rPr>
  </w:style>
  <w:style w:type="paragraph" w:customStyle="1" w:styleId="12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27">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styleId="128">
    <w:name w:val="List Paragraph"/>
    <w:basedOn w:val="1"/>
    <w:qFormat/>
    <w:uiPriority w:val="0"/>
    <w:pPr>
      <w:ind w:firstLine="420" w:firstLineChars="200"/>
    </w:pPr>
    <w:rPr>
      <w:rFonts w:ascii="Times New Roman" w:hAnsi="Times New Roman" w:eastAsia="宋体" w:cs="Times New Roman"/>
      <w:szCs w:val="24"/>
    </w:rPr>
  </w:style>
  <w:style w:type="paragraph" w:customStyle="1" w:styleId="129">
    <w:name w:val="1eee"/>
    <w:basedOn w:val="2"/>
    <w:qFormat/>
    <w:uiPriority w:val="0"/>
    <w:rPr>
      <w:rFonts w:eastAsia="黑体" w:cs="宋体"/>
      <w:b w:val="0"/>
      <w:sz w:val="30"/>
    </w:rPr>
  </w:style>
  <w:style w:type="paragraph" w:customStyle="1" w:styleId="130">
    <w:name w:val="正文图标题"/>
    <w:next w:val="1"/>
    <w:qFormat/>
    <w:uiPriority w:val="0"/>
    <w:pPr>
      <w:tabs>
        <w:tab w:val="left" w:pos="420"/>
      </w:tabs>
      <w:ind w:left="567" w:hanging="279"/>
      <w:jc w:val="center"/>
    </w:pPr>
    <w:rPr>
      <w:rFonts w:ascii="黑体" w:hAnsi="Times New Roman" w:eastAsia="黑体" w:cs="Times New Roman"/>
      <w:kern w:val="0"/>
      <w:sz w:val="21"/>
      <w:szCs w:val="20"/>
      <w:lang w:val="en-US" w:eastAsia="zh-CN" w:bidi="ar-SA"/>
    </w:rPr>
  </w:style>
  <w:style w:type="paragraph" w:customStyle="1" w:styleId="131">
    <w:name w:val="文二"/>
    <w:basedOn w:val="1"/>
    <w:qFormat/>
    <w:uiPriority w:val="0"/>
    <w:pPr>
      <w:jc w:val="left"/>
    </w:pPr>
    <w:rPr>
      <w:rFonts w:ascii="宋体" w:hAnsi="宋体" w:eastAsia="宋体" w:cs="Times New Roman"/>
      <w:szCs w:val="21"/>
    </w:rPr>
  </w:style>
  <w:style w:type="paragraph" w:customStyle="1" w:styleId="132">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33">
    <w:name w:val="Normal New New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4">
    <w:name w:val="发文落款"/>
    <w:basedOn w:val="132"/>
    <w:qFormat/>
    <w:uiPriority w:val="0"/>
    <w:pPr>
      <w:ind w:left="4094" w:right="607" w:firstLine="0"/>
      <w:jc w:val="center"/>
    </w:pPr>
  </w:style>
  <w:style w:type="paragraph" w:customStyle="1" w:styleId="135">
    <w:name w:val="封一"/>
    <w:basedOn w:val="101"/>
    <w:next w:val="101"/>
    <w:qFormat/>
    <w:uiPriority w:val="0"/>
    <w:pPr>
      <w:ind w:firstLine="0" w:firstLineChars="0"/>
      <w:jc w:val="center"/>
    </w:pPr>
    <w:rPr>
      <w:rFonts w:ascii="等线" w:hAnsi="等线" w:eastAsia="黑体"/>
      <w:b/>
      <w:snapToGrid w:val="0"/>
      <w:sz w:val="84"/>
      <w:szCs w:val="84"/>
    </w:rPr>
  </w:style>
  <w:style w:type="paragraph" w:customStyle="1" w:styleId="136">
    <w:name w:val="_Style 59"/>
    <w:qFormat/>
    <w:uiPriority w:val="0"/>
    <w:pPr>
      <w:spacing w:after="160" w:line="240" w:lineRule="exact"/>
    </w:pPr>
    <w:rPr>
      <w:rFonts w:ascii="Times New Roman" w:hAnsi="Times New Roman" w:eastAsia="宋体" w:cs="Times New Roman"/>
      <w:kern w:val="0"/>
      <w:sz w:val="20"/>
      <w:szCs w:val="20"/>
      <w:lang w:val="en-US" w:eastAsia="zh-CN" w:bidi="ar-SA"/>
    </w:rPr>
  </w:style>
  <w:style w:type="paragraph" w:customStyle="1" w:styleId="137">
    <w:name w:val="封四"/>
    <w:basedOn w:val="101"/>
    <w:next w:val="101"/>
    <w:qFormat/>
    <w:uiPriority w:val="0"/>
    <w:pPr>
      <w:jc w:val="left"/>
    </w:pPr>
    <w:rPr>
      <w:rFonts w:ascii="等线" w:hAnsi="等线" w:eastAsia="等线"/>
      <w:snapToGrid w:val="0"/>
      <w:sz w:val="30"/>
      <w:szCs w:val="30"/>
    </w:rPr>
  </w:style>
  <w:style w:type="paragraph" w:customStyle="1" w:styleId="138">
    <w:name w:val="正文1"/>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9">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40">
    <w:name w:val="Normal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41">
    <w:name w:val="Char Char Char Char Char Char Char1"/>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42">
    <w:name w:val="修订1"/>
    <w:qFormat/>
    <w:uiPriority w:val="0"/>
    <w:rPr>
      <w:rFonts w:ascii="Times New Roman" w:hAnsi="Times New Roman" w:eastAsia="宋体" w:cs="Times New Roman"/>
      <w:kern w:val="2"/>
      <w:sz w:val="21"/>
      <w:szCs w:val="24"/>
      <w:lang w:val="en-US" w:eastAsia="zh-CN" w:bidi="ar-SA"/>
    </w:rPr>
  </w:style>
  <w:style w:type="paragraph" w:customStyle="1" w:styleId="143">
    <w:name w:val="封二"/>
    <w:basedOn w:val="101"/>
    <w:next w:val="101"/>
    <w:qFormat/>
    <w:uiPriority w:val="0"/>
    <w:pPr>
      <w:ind w:firstLine="0" w:firstLineChars="0"/>
      <w:jc w:val="center"/>
    </w:pPr>
    <w:rPr>
      <w:rFonts w:ascii="等线" w:hAnsi="等线" w:eastAsia="黑体"/>
      <w:b/>
      <w:snapToGrid w:val="0"/>
      <w:sz w:val="36"/>
      <w:szCs w:val="36"/>
    </w:rPr>
  </w:style>
  <w:style w:type="paragraph" w:customStyle="1" w:styleId="144">
    <w:name w:val="样式 标题 3 + 首行缩进:  1.06 厘米"/>
    <w:basedOn w:val="4"/>
    <w:qFormat/>
    <w:uiPriority w:val="0"/>
  </w:style>
  <w:style w:type="paragraph" w:styleId="145">
    <w:name w:val="No Spacing"/>
    <w:qFormat/>
    <w:uiPriority w:val="0"/>
    <w:pPr>
      <w:widowControl w:val="0"/>
      <w:jc w:val="both"/>
    </w:pPr>
    <w:rPr>
      <w:rFonts w:ascii="Times New Roman" w:hAnsi="Times New Roman" w:eastAsia="Times New Roman" w:cs="Times New Roman"/>
      <w:kern w:val="2"/>
      <w:sz w:val="24"/>
      <w:szCs w:val="24"/>
      <w:lang w:val="en-US" w:eastAsia="zh-CN" w:bidi="ar-SA"/>
    </w:rPr>
  </w:style>
  <w:style w:type="paragraph" w:customStyle="1" w:styleId="1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CM15"/>
    <w:basedOn w:val="1"/>
    <w:next w:val="1"/>
    <w:qFormat/>
    <w:uiPriority w:val="0"/>
    <w:pPr>
      <w:autoSpaceDE w:val="0"/>
      <w:autoSpaceDN w:val="0"/>
      <w:adjustRightInd w:val="0"/>
      <w:spacing w:line="468" w:lineRule="atLeast"/>
      <w:jc w:val="left"/>
    </w:pPr>
    <w:rPr>
      <w:rFonts w:ascii="黑体" w:hAnsi="Calibri" w:eastAsia="黑体" w:cs="Times New Roman"/>
      <w:kern w:val="0"/>
      <w:sz w:val="24"/>
      <w:szCs w:val="24"/>
    </w:rPr>
  </w:style>
  <w:style w:type="paragraph" w:customStyle="1" w:styleId="148">
    <w:name w:val="TOC 标题1"/>
    <w:basedOn w:val="2"/>
    <w:next w:val="1"/>
    <w:qFormat/>
    <w:uiPriority w:val="0"/>
    <w:pPr>
      <w:widowControl/>
      <w:spacing w:before="480" w:line="276" w:lineRule="auto"/>
      <w:jc w:val="left"/>
      <w:outlineLvl w:val="9"/>
    </w:pPr>
    <w:rPr>
      <w:rFonts w:ascii="Cambria" w:hAnsi="Cambria"/>
      <w:color w:val="365F91"/>
      <w:kern w:val="0"/>
      <w:sz w:val="28"/>
      <w:szCs w:val="28"/>
      <w:lang w:val="en-US"/>
    </w:rPr>
  </w:style>
  <w:style w:type="paragraph" w:customStyle="1" w:styleId="149">
    <w:name w:val="表格内容"/>
    <w:basedOn w:val="1"/>
    <w:qFormat/>
    <w:uiPriority w:val="0"/>
    <w:pPr>
      <w:adjustRightInd w:val="0"/>
      <w:snapToGrid w:val="0"/>
      <w:spacing w:line="288" w:lineRule="auto"/>
      <w:jc w:val="center"/>
    </w:pPr>
    <w:rPr>
      <w:rFonts w:ascii="Times New Roman" w:hAnsi="Times New Roman" w:eastAsia="宋体" w:cs="Times New Roman"/>
      <w:szCs w:val="24"/>
    </w:rPr>
  </w:style>
  <w:style w:type="paragraph" w:customStyle="1" w:styleId="150">
    <w:name w:val="Plain Text1"/>
    <w:basedOn w:val="1"/>
    <w:qFormat/>
    <w:uiPriority w:val="99"/>
    <w:rPr>
      <w:rFonts w:ascii="宋体" w:hAnsi="Courier New" w:eastAsia="宋体" w:cs="Times New Roman"/>
      <w:kern w:val="0"/>
      <w:sz w:val="20"/>
      <w:szCs w:val="20"/>
    </w:rPr>
  </w:style>
  <w:style w:type="character" w:styleId="151">
    <w:name w:val="Placeholder Text"/>
    <w:basedOn w:val="47"/>
    <w:semiHidden/>
    <w:qFormat/>
    <w:uiPriority w:val="99"/>
    <w:rPr>
      <w:color w:val="808080"/>
    </w:rPr>
  </w:style>
  <w:style w:type="paragraph" w:customStyle="1" w:styleId="152">
    <w:name w:val="p16"/>
    <w:basedOn w:val="1"/>
    <w:qFormat/>
    <w:uiPriority w:val="0"/>
    <w:pPr>
      <w:widowControl/>
    </w:pPr>
    <w:rPr>
      <w:rFonts w:ascii="Times New Roman" w:hAnsi="Times New Roman" w:eastAsia="宋体" w:cs="Times New Roman"/>
      <w:kern w:val="0"/>
      <w:sz w:val="32"/>
      <w:szCs w:val="32"/>
    </w:rPr>
  </w:style>
  <w:style w:type="character" w:customStyle="1" w:styleId="153">
    <w:name w:val="username"/>
    <w:basedOn w:val="47"/>
    <w:qFormat/>
    <w:uiPriority w:val="0"/>
  </w:style>
  <w:style w:type="character" w:customStyle="1" w:styleId="154">
    <w:name w:val="title26"/>
    <w:basedOn w:val="47"/>
    <w:qFormat/>
    <w:uiPriority w:val="0"/>
  </w:style>
  <w:style w:type="character" w:customStyle="1" w:styleId="155">
    <w:name w:val="font01"/>
    <w:qFormat/>
    <w:uiPriority w:val="0"/>
    <w:rPr>
      <w:rFonts w:hint="eastAsia" w:ascii="宋体" w:hAnsi="宋体" w:eastAsia="宋体" w:cs="宋体"/>
      <w:color w:val="000000"/>
      <w:sz w:val="21"/>
      <w:szCs w:val="21"/>
      <w:u w:val="none"/>
    </w:rPr>
  </w:style>
  <w:style w:type="paragraph" w:customStyle="1" w:styleId="15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title24"/>
    <w:basedOn w:val="47"/>
    <w:qFormat/>
    <w:uiPriority w:val="0"/>
  </w:style>
  <w:style w:type="paragraph" w:customStyle="1" w:styleId="158">
    <w:name w:val="正文 New New"/>
    <w:qFormat/>
    <w:uiPriority w:val="0"/>
    <w:pPr>
      <w:widowControl w:val="0"/>
      <w:jc w:val="both"/>
    </w:pPr>
    <w:rPr>
      <w:rFonts w:ascii="Times New Roman" w:hAnsi="Times New Roman" w:eastAsia="楷体_GB2312" w:cs="Times New Roman"/>
      <w:kern w:val="2"/>
      <w:sz w:val="21"/>
      <w:szCs w:val="20"/>
      <w:lang w:val="en-US" w:eastAsia="zh-CN" w:bidi="ar-SA"/>
    </w:rPr>
  </w:style>
  <w:style w:type="character" w:customStyle="1" w:styleId="159">
    <w:name w:val="标题 3 字符1"/>
    <w:basedOn w:val="47"/>
    <w:semiHidden/>
    <w:qFormat/>
    <w:uiPriority w:val="9"/>
    <w:rPr>
      <w:b/>
      <w:bCs/>
      <w:sz w:val="32"/>
      <w:szCs w:val="32"/>
    </w:rPr>
  </w:style>
  <w:style w:type="character" w:customStyle="1" w:styleId="160">
    <w:name w:val="NormalCharacter"/>
    <w:qFormat/>
    <w:uiPriority w:val="0"/>
  </w:style>
  <w:style w:type="character" w:customStyle="1" w:styleId="161">
    <w:name w:val="font41"/>
    <w:basedOn w:val="47"/>
    <w:qFormat/>
    <w:uiPriority w:val="0"/>
    <w:rPr>
      <w:rFonts w:hint="default" w:ascii="Times New Roman" w:hAnsi="Times New Roman" w:cs="Times New Roman"/>
      <w:color w:val="000000"/>
      <w:sz w:val="24"/>
      <w:szCs w:val="24"/>
      <w:u w:val="none"/>
    </w:rPr>
  </w:style>
  <w:style w:type="character" w:customStyle="1" w:styleId="162">
    <w:name w:val="font71"/>
    <w:basedOn w:val="47"/>
    <w:qFormat/>
    <w:uiPriority w:val="0"/>
    <w:rPr>
      <w:rFonts w:hint="default" w:ascii="Times New Roman" w:hAnsi="Times New Roman" w:cs="Times New Roman"/>
      <w:color w:val="000000"/>
      <w:sz w:val="24"/>
      <w:szCs w:val="24"/>
      <w:u w:val="none"/>
      <w:vertAlign w:val="superscript"/>
    </w:rPr>
  </w:style>
  <w:style w:type="character" w:customStyle="1" w:styleId="163">
    <w:name w:val="font81"/>
    <w:basedOn w:val="47"/>
    <w:qFormat/>
    <w:uiPriority w:val="0"/>
    <w:rPr>
      <w:rFonts w:hint="eastAsia" w:ascii="宋体" w:hAnsi="宋体" w:eastAsia="宋体" w:cs="宋体"/>
      <w:b/>
      <w:bCs/>
      <w:color w:val="000000"/>
      <w:sz w:val="24"/>
      <w:szCs w:val="24"/>
      <w:u w:val="none"/>
    </w:rPr>
  </w:style>
  <w:style w:type="character" w:customStyle="1" w:styleId="164">
    <w:name w:val="font21"/>
    <w:basedOn w:val="47"/>
    <w:qFormat/>
    <w:uiPriority w:val="0"/>
    <w:rPr>
      <w:rFonts w:hint="eastAsia" w:ascii="宋体" w:hAnsi="宋体" w:eastAsia="宋体" w:cs="宋体"/>
      <w:b/>
      <w:bCs/>
      <w:color w:val="000000"/>
      <w:sz w:val="24"/>
      <w:szCs w:val="24"/>
      <w:u w:val="none"/>
    </w:rPr>
  </w:style>
  <w:style w:type="character" w:customStyle="1" w:styleId="165">
    <w:name w:val="font31"/>
    <w:basedOn w:val="47"/>
    <w:qFormat/>
    <w:uiPriority w:val="0"/>
    <w:rPr>
      <w:rFonts w:hint="eastAsia" w:ascii="宋体" w:hAnsi="宋体" w:eastAsia="宋体" w:cs="宋体"/>
      <w:color w:val="000000"/>
      <w:sz w:val="24"/>
      <w:szCs w:val="24"/>
      <w:u w:val="none"/>
    </w:rPr>
  </w:style>
  <w:style w:type="character" w:customStyle="1" w:styleId="166">
    <w:name w:val="font51"/>
    <w:basedOn w:val="47"/>
    <w:qFormat/>
    <w:uiPriority w:val="0"/>
    <w:rPr>
      <w:rFonts w:hint="default" w:ascii="Times New Roman" w:hAnsi="Times New Roman" w:cs="Times New Roman"/>
      <w:color w:val="000000"/>
      <w:sz w:val="24"/>
      <w:szCs w:val="24"/>
      <w:u w:val="none"/>
    </w:rPr>
  </w:style>
  <w:style w:type="character" w:customStyle="1" w:styleId="167">
    <w:name w:val="font11"/>
    <w:basedOn w:val="47"/>
    <w:qFormat/>
    <w:uiPriority w:val="0"/>
    <w:rPr>
      <w:rFonts w:hint="eastAsia" w:ascii="宋体" w:hAnsi="宋体" w:eastAsia="宋体" w:cs="宋体"/>
      <w:color w:val="000000"/>
      <w:sz w:val="24"/>
      <w:szCs w:val="24"/>
      <w:u w:val="none"/>
    </w:rPr>
  </w:style>
  <w:style w:type="character" w:customStyle="1" w:styleId="168">
    <w:name w:val="font61"/>
    <w:basedOn w:val="47"/>
    <w:qFormat/>
    <w:uiPriority w:val="0"/>
    <w:rPr>
      <w:rFonts w:hint="eastAsia" w:ascii="宋体" w:hAnsi="宋体" w:eastAsia="宋体" w:cs="宋体"/>
      <w:color w:val="FF0000"/>
      <w:sz w:val="24"/>
      <w:szCs w:val="24"/>
      <w:u w:val="none"/>
    </w:rPr>
  </w:style>
  <w:style w:type="character" w:customStyle="1" w:styleId="169">
    <w:name w:val="font91"/>
    <w:basedOn w:val="4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3369</Words>
  <Characters>3651</Characters>
  <Lines>232</Lines>
  <Paragraphs>65</Paragraphs>
  <TotalTime>41</TotalTime>
  <ScaleCrop>false</ScaleCrop>
  <LinksUpToDate>false</LinksUpToDate>
  <CharactersWithSpaces>3727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2025-03-24T20:34:00Z</dcterms:created>
  <dc:creator>Admin</dc:creator>
  <cp:lastModifiedBy>罗海庆</cp:lastModifiedBy>
  <cp:lastPrinted>2025-08-05T00:58:00Z</cp:lastPrinted>
  <dcterms:modified xsi:type="dcterms:W3CDTF">2025-08-18T06:35:04Z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eyJoZGlkIjoiOTEyZTVkZjNhMWZiZjE2MGZjYWM5M2Y3NTMxMWJkYTkiLCJ1c2VySWQiOiIxNjAxMzk4MzY1In0=</vt:lpwstr>
  </property>
  <property fmtid="{D5CDD505-2E9C-101B-9397-08002B2CF9AE}" pid="3" name="KSOProductBuildVer">
    <vt:lpwstr>2052-12.1.0.22215</vt:lpwstr>
  </property>
  <property fmtid="{D5CDD505-2E9C-101B-9397-08002B2CF9AE}" pid="4" name="ICV">
    <vt:lpwstr>106BF32E0C6C441FA8B99C6632E27789_13</vt:lpwstr>
  </property>
</Properties>
</file>