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6E0A4">
      <w:pPr>
        <w:spacing w:line="360" w:lineRule="auto"/>
        <w:ind w:left="359" w:leftChars="171"/>
        <w:jc w:val="center"/>
        <w:rPr>
          <w:rFonts w:hint="eastAsia"/>
          <w:b/>
          <w:bCs/>
          <w:spacing w:val="40"/>
          <w:sz w:val="44"/>
          <w:szCs w:val="44"/>
          <w:highlight w:val="none"/>
        </w:rPr>
      </w:pPr>
      <w:bookmarkStart w:id="0" w:name="_GoBack"/>
      <w:bookmarkEnd w:id="0"/>
    </w:p>
    <w:p w14:paraId="4B13C5D0">
      <w:pPr>
        <w:spacing w:line="360" w:lineRule="auto"/>
        <w:ind w:left="359" w:leftChars="171"/>
        <w:jc w:val="center"/>
        <w:rPr>
          <w:rFonts w:hint="eastAsia"/>
          <w:w w:val="95"/>
          <w:sz w:val="44"/>
          <w:szCs w:val="44"/>
          <w:highlight w:val="none"/>
        </w:rPr>
      </w:pPr>
      <w:r>
        <w:rPr>
          <w:rFonts w:hint="eastAsia" w:ascii="Times New Roman" w:hAnsi="Times New Roman" w:cs="Times New Roman"/>
          <w:b/>
          <w:bCs/>
          <w:spacing w:val="40"/>
          <w:w w:val="95"/>
          <w:sz w:val="44"/>
          <w:szCs w:val="44"/>
          <w:highlight w:val="none"/>
          <w:lang w:eastAsia="zh-CN"/>
        </w:rPr>
        <w:t>2025年黄埔区景观照明设施日常维护和零星维修项目</w:t>
      </w:r>
    </w:p>
    <w:p w14:paraId="43079FD2">
      <w:pPr>
        <w:spacing w:line="360" w:lineRule="auto"/>
        <w:ind w:left="359" w:leftChars="171"/>
        <w:jc w:val="center"/>
        <w:rPr>
          <w:b/>
          <w:bCs/>
          <w:spacing w:val="40"/>
          <w:sz w:val="44"/>
          <w:szCs w:val="44"/>
          <w:highlight w:val="none"/>
        </w:rPr>
      </w:pPr>
    </w:p>
    <w:p w14:paraId="2720D8A3">
      <w:pPr>
        <w:spacing w:line="360" w:lineRule="auto"/>
        <w:jc w:val="center"/>
        <w:rPr>
          <w:sz w:val="36"/>
          <w:highlight w:val="none"/>
          <w:u w:val="single"/>
        </w:rPr>
      </w:pPr>
    </w:p>
    <w:p w14:paraId="0ED354A0">
      <w:pPr>
        <w:spacing w:line="360" w:lineRule="auto"/>
        <w:jc w:val="center"/>
        <w:rPr>
          <w:sz w:val="36"/>
          <w:highlight w:val="none"/>
          <w:u w:val="single"/>
        </w:rPr>
      </w:pPr>
    </w:p>
    <w:p w14:paraId="65DB47F0">
      <w:pPr>
        <w:spacing w:line="360" w:lineRule="auto"/>
        <w:jc w:val="center"/>
        <w:rPr>
          <w:sz w:val="36"/>
          <w:highlight w:val="none"/>
          <w:u w:val="single"/>
        </w:rPr>
      </w:pPr>
    </w:p>
    <w:p w14:paraId="6ECD3194">
      <w:pPr>
        <w:pStyle w:val="2"/>
        <w:rPr>
          <w:highlight w:val="none"/>
        </w:rPr>
      </w:pPr>
    </w:p>
    <w:p w14:paraId="00243F15">
      <w:pPr>
        <w:spacing w:line="360" w:lineRule="auto"/>
        <w:jc w:val="center"/>
        <w:rPr>
          <w:b/>
          <w:bCs/>
          <w:spacing w:val="26"/>
          <w:sz w:val="110"/>
          <w:szCs w:val="110"/>
          <w:highlight w:val="none"/>
          <w14:shadow w14:blurRad="50800" w14:dist="38100" w14:dir="2700000" w14:sx="100000" w14:sy="100000" w14:kx="0" w14:ky="0" w14:algn="tl">
            <w14:srgbClr w14:val="000000">
              <w14:alpha w14:val="60000"/>
            </w14:srgbClr>
          </w14:shadow>
        </w:rPr>
      </w:pPr>
      <w:r>
        <w:rPr>
          <w:rFonts w:hint="eastAsia"/>
          <w:b/>
          <w:bCs/>
          <w:spacing w:val="26"/>
          <w:sz w:val="110"/>
          <w:szCs w:val="110"/>
          <w:highlight w:val="none"/>
          <w14:shadow w14:blurRad="50800" w14:dist="38100" w14:dir="2700000" w14:sx="100000" w14:sy="100000" w14:kx="0" w14:ky="0" w14:algn="tl">
            <w14:srgbClr w14:val="000000">
              <w14:alpha w14:val="60000"/>
            </w14:srgbClr>
          </w14:shadow>
        </w:rPr>
        <w:t>招标公告</w:t>
      </w:r>
    </w:p>
    <w:p w14:paraId="1DA727D4">
      <w:pPr>
        <w:spacing w:line="360" w:lineRule="auto"/>
        <w:jc w:val="center"/>
        <w:rPr>
          <w:sz w:val="32"/>
          <w:highlight w:val="none"/>
        </w:rPr>
      </w:pPr>
    </w:p>
    <w:p w14:paraId="6732A2C0">
      <w:pPr>
        <w:spacing w:line="360" w:lineRule="auto"/>
        <w:rPr>
          <w:rFonts w:hint="eastAsia"/>
          <w:sz w:val="52"/>
          <w:highlight w:val="none"/>
        </w:rPr>
      </w:pPr>
    </w:p>
    <w:p w14:paraId="4709DCB5">
      <w:pPr>
        <w:spacing w:line="360" w:lineRule="auto"/>
        <w:rPr>
          <w:sz w:val="52"/>
          <w:highlight w:val="none"/>
        </w:rPr>
      </w:pPr>
    </w:p>
    <w:p w14:paraId="6197A293">
      <w:pPr>
        <w:spacing w:line="360" w:lineRule="auto"/>
        <w:rPr>
          <w:sz w:val="52"/>
          <w:highlight w:val="none"/>
        </w:rPr>
      </w:pPr>
    </w:p>
    <w:p w14:paraId="7F7464DA">
      <w:pPr>
        <w:spacing w:line="360" w:lineRule="auto"/>
        <w:ind w:left="2735" w:leftChars="588" w:hanging="1500" w:hangingChars="500"/>
        <w:rPr>
          <w:rFonts w:hint="eastAsia" w:eastAsia="宋体"/>
          <w:sz w:val="30"/>
          <w:szCs w:val="30"/>
          <w:highlight w:val="none"/>
          <w:u w:val="single"/>
          <w:lang w:eastAsia="zh-CN"/>
        </w:rPr>
      </w:pPr>
      <w:r>
        <w:rPr>
          <w:rFonts w:hint="eastAsia"/>
          <w:sz w:val="30"/>
          <w:szCs w:val="30"/>
          <w:highlight w:val="none"/>
        </w:rPr>
        <w:t>招标单位：</w:t>
      </w:r>
      <w:r>
        <w:rPr>
          <w:rFonts w:hint="eastAsia"/>
          <w:sz w:val="30"/>
          <w:szCs w:val="30"/>
          <w:highlight w:val="none"/>
          <w:u w:val="single"/>
          <w:lang w:eastAsia="zh-CN"/>
        </w:rPr>
        <w:t>广州开发区市政设施管理中心</w:t>
      </w:r>
    </w:p>
    <w:p w14:paraId="0D210B06">
      <w:pPr>
        <w:spacing w:line="360" w:lineRule="auto"/>
        <w:ind w:left="638" w:leftChars="304" w:firstLine="600" w:firstLineChars="200"/>
        <w:rPr>
          <w:rFonts w:hint="eastAsia" w:eastAsia="宋体"/>
          <w:sz w:val="30"/>
          <w:szCs w:val="30"/>
          <w:highlight w:val="none"/>
          <w:u w:val="single"/>
          <w:lang w:eastAsia="zh-CN"/>
        </w:rPr>
      </w:pPr>
      <w:r>
        <w:rPr>
          <w:rFonts w:hint="eastAsia"/>
          <w:sz w:val="30"/>
          <w:szCs w:val="30"/>
          <w:highlight w:val="none"/>
        </w:rPr>
        <w:t>招标代理机构：</w:t>
      </w:r>
      <w:r>
        <w:rPr>
          <w:rFonts w:hint="eastAsia"/>
          <w:sz w:val="30"/>
          <w:szCs w:val="30"/>
          <w:highlight w:val="none"/>
          <w:u w:val="single"/>
          <w:lang w:eastAsia="zh-CN"/>
        </w:rPr>
        <w:t>广州天行咨询服务有限公司</w:t>
      </w:r>
    </w:p>
    <w:p w14:paraId="6DF68EF3">
      <w:pPr>
        <w:spacing w:line="360" w:lineRule="auto"/>
        <w:ind w:left="638" w:leftChars="304" w:firstLine="640" w:firstLineChars="200"/>
        <w:rPr>
          <w:rFonts w:hint="eastAsia" w:ascii="宋体" w:hAnsi="宋体" w:cs="宋体"/>
          <w:sz w:val="32"/>
          <w:highlight w:val="none"/>
        </w:rPr>
      </w:pPr>
      <w:r>
        <w:rPr>
          <w:rFonts w:hint="eastAsia" w:ascii="宋体" w:hAnsi="宋体" w:cs="宋体"/>
          <w:sz w:val="32"/>
          <w:highlight w:val="none"/>
        </w:rPr>
        <w:t>日期：</w:t>
      </w:r>
      <w:r>
        <w:rPr>
          <w:rFonts w:hint="eastAsia" w:ascii="宋体" w:hAnsi="宋体" w:cs="宋体"/>
          <w:sz w:val="32"/>
          <w:highlight w:val="none"/>
          <w:u w:val="single"/>
          <w:lang w:val="en-US" w:eastAsia="zh-CN"/>
        </w:rPr>
        <w:t>2025</w:t>
      </w:r>
      <w:r>
        <w:rPr>
          <w:rFonts w:hint="eastAsia" w:ascii="宋体" w:hAnsi="宋体" w:cs="宋体"/>
          <w:sz w:val="32"/>
          <w:highlight w:val="none"/>
        </w:rPr>
        <w:t>年</w:t>
      </w:r>
      <w:r>
        <w:rPr>
          <w:rFonts w:hint="eastAsia" w:ascii="宋体" w:hAnsi="宋体" w:cs="宋体"/>
          <w:sz w:val="32"/>
          <w:highlight w:val="none"/>
          <w:u w:val="single"/>
          <w:lang w:val="en-US" w:eastAsia="zh-CN"/>
        </w:rPr>
        <w:t>8</w:t>
      </w:r>
      <w:r>
        <w:rPr>
          <w:rFonts w:hint="eastAsia" w:ascii="宋体" w:hAnsi="宋体" w:cs="宋体"/>
          <w:sz w:val="32"/>
          <w:highlight w:val="none"/>
        </w:rPr>
        <w:t>月</w:t>
      </w:r>
    </w:p>
    <w:p w14:paraId="484FFC02">
      <w:pPr>
        <w:spacing w:line="360" w:lineRule="auto"/>
        <w:jc w:val="center"/>
        <w:rPr>
          <w:color w:val="000000"/>
          <w:sz w:val="24"/>
          <w:highlight w:val="none"/>
        </w:rPr>
      </w:pPr>
      <w:r>
        <w:rPr>
          <w:rFonts w:hint="eastAsia"/>
          <w:color w:val="000000"/>
          <w:sz w:val="24"/>
          <w:highlight w:val="none"/>
        </w:rPr>
        <w:br w:type="page"/>
      </w:r>
      <w:r>
        <w:rPr>
          <w:rFonts w:hint="eastAsia"/>
          <w:b/>
          <w:bCs/>
          <w:color w:val="000000"/>
          <w:sz w:val="40"/>
          <w:szCs w:val="36"/>
          <w:highlight w:val="none"/>
          <w:lang w:eastAsia="zh-CN"/>
        </w:rPr>
        <w:t>2025年黄埔区景观照明设施日常维护和零星维修项目</w:t>
      </w:r>
      <w:r>
        <w:rPr>
          <w:rFonts w:hint="eastAsia"/>
          <w:b/>
          <w:bCs/>
          <w:color w:val="000000"/>
          <w:sz w:val="40"/>
          <w:szCs w:val="36"/>
          <w:highlight w:val="none"/>
        </w:rPr>
        <w:t>招标公告</w:t>
      </w:r>
    </w:p>
    <w:p w14:paraId="5D84F2B5">
      <w:pPr>
        <w:spacing w:line="480" w:lineRule="auto"/>
        <w:ind w:firstLine="537" w:firstLineChars="224"/>
        <w:jc w:val="center"/>
        <w:rPr>
          <w:color w:val="000000"/>
          <w:sz w:val="24"/>
          <w:highlight w:val="none"/>
        </w:rPr>
      </w:pPr>
    </w:p>
    <w:p w14:paraId="45A7A393">
      <w:pPr>
        <w:spacing w:line="360" w:lineRule="auto"/>
        <w:ind w:firstLine="537" w:firstLineChars="224"/>
        <w:contextualSpacing/>
        <w:rPr>
          <w:rFonts w:ascii="宋体" w:hAnsi="宋体"/>
          <w:color w:val="000000"/>
          <w:sz w:val="24"/>
          <w:highlight w:val="none"/>
        </w:rPr>
      </w:pPr>
      <w:r>
        <w:rPr>
          <w:rFonts w:hint="eastAsia" w:ascii="宋体" w:hAnsi="宋体"/>
          <w:color w:val="000000"/>
          <w:sz w:val="24"/>
          <w:highlight w:val="none"/>
        </w:rPr>
        <w:t>根据</w:t>
      </w:r>
      <w:r>
        <w:rPr>
          <w:rFonts w:hint="eastAsia" w:ascii="宋体" w:hAnsi="宋体"/>
          <w:color w:val="000000"/>
          <w:sz w:val="24"/>
          <w:highlight w:val="none"/>
          <w:u w:val="single"/>
          <w:lang w:val="en-US" w:eastAsia="zh-CN"/>
        </w:rPr>
        <w:t xml:space="preserve"> 穗开建函〔2025〕646号 </w:t>
      </w:r>
      <w:r>
        <w:rPr>
          <w:rFonts w:hint="eastAsia" w:ascii="宋体" w:hAnsi="宋体"/>
          <w:color w:val="000000"/>
          <w:sz w:val="24"/>
          <w:highlight w:val="none"/>
        </w:rPr>
        <w:t>批准，</w:t>
      </w:r>
      <w:r>
        <w:rPr>
          <w:rFonts w:hint="eastAsia" w:ascii="宋体" w:hAnsi="宋体"/>
          <w:color w:val="000000"/>
          <w:sz w:val="24"/>
          <w:highlight w:val="none"/>
          <w:u w:val="single"/>
          <w:lang w:eastAsia="zh-CN"/>
        </w:rPr>
        <w:t>广州开发区市政设施管理中心</w:t>
      </w:r>
      <w:r>
        <w:rPr>
          <w:rFonts w:hint="eastAsia" w:ascii="宋体" w:hAnsi="宋体"/>
          <w:color w:val="000000"/>
          <w:sz w:val="24"/>
          <w:highlight w:val="none"/>
        </w:rPr>
        <w:t>现对</w:t>
      </w:r>
      <w:r>
        <w:rPr>
          <w:rFonts w:hint="eastAsia" w:ascii="宋体" w:hAnsi="宋体"/>
          <w:color w:val="000000"/>
          <w:sz w:val="24"/>
          <w:highlight w:val="none"/>
          <w:u w:val="single"/>
          <w:lang w:eastAsia="zh-CN"/>
        </w:rPr>
        <w:t>2025年黄埔区景观照明设施日常维护和零星维修项目</w:t>
      </w:r>
      <w:r>
        <w:rPr>
          <w:rFonts w:hint="eastAsia" w:ascii="宋体" w:hAnsi="宋体"/>
          <w:color w:val="000000"/>
          <w:sz w:val="24"/>
          <w:highlight w:val="none"/>
        </w:rPr>
        <w:t>进行</w:t>
      </w:r>
      <w:r>
        <w:rPr>
          <w:rFonts w:hint="eastAsia" w:ascii="宋体" w:hAnsi="宋体"/>
          <w:color w:val="000000"/>
          <w:sz w:val="24"/>
          <w:highlight w:val="none"/>
          <w:u w:val="single"/>
        </w:rPr>
        <w:t>施工</w:t>
      </w:r>
      <w:r>
        <w:rPr>
          <w:rFonts w:hint="eastAsia" w:ascii="宋体" w:hAnsi="宋体"/>
          <w:color w:val="000000"/>
          <w:sz w:val="24"/>
          <w:highlight w:val="none"/>
        </w:rPr>
        <w:t>公开招标，选定承包人。</w:t>
      </w:r>
    </w:p>
    <w:p w14:paraId="6F4054F4">
      <w:pPr>
        <w:tabs>
          <w:tab w:val="center" w:pos="4415"/>
        </w:tabs>
        <w:spacing w:line="360" w:lineRule="auto"/>
        <w:ind w:firstLine="537" w:firstLineChars="224"/>
        <w:contextualSpacing/>
        <w:rPr>
          <w:rFonts w:hint="eastAsia" w:ascii="宋体" w:hAnsi="宋体"/>
          <w:color w:val="000000"/>
          <w:sz w:val="24"/>
          <w:highlight w:val="none"/>
          <w:u w:val="single"/>
        </w:rPr>
      </w:pPr>
      <w:r>
        <w:rPr>
          <w:rFonts w:hint="eastAsia" w:ascii="宋体" w:hAnsi="宋体"/>
          <w:color w:val="000000"/>
          <w:sz w:val="24"/>
          <w:highlight w:val="none"/>
        </w:rPr>
        <w:t>一、工程名称：</w:t>
      </w:r>
      <w:r>
        <w:rPr>
          <w:rFonts w:hint="eastAsia" w:ascii="宋体" w:hAnsi="宋体"/>
          <w:color w:val="000000"/>
          <w:sz w:val="24"/>
          <w:highlight w:val="none"/>
          <w:u w:val="single"/>
          <w:lang w:eastAsia="zh-CN"/>
        </w:rPr>
        <w:t>2025年黄埔区景观照明设施日常维护和零星维修项目</w:t>
      </w:r>
    </w:p>
    <w:p w14:paraId="4834F307">
      <w:pPr>
        <w:tabs>
          <w:tab w:val="center" w:pos="4415"/>
        </w:tabs>
        <w:spacing w:line="360" w:lineRule="auto"/>
        <w:ind w:firstLine="1017" w:firstLineChars="424"/>
        <w:contextualSpacing/>
        <w:rPr>
          <w:rFonts w:hint="eastAsia" w:ascii="宋体" w:hAnsi="宋体" w:eastAsia="宋体"/>
          <w:color w:val="000000"/>
          <w:sz w:val="24"/>
          <w:highlight w:val="none"/>
          <w:u w:val="single"/>
          <w:lang w:eastAsia="zh-CN"/>
        </w:rPr>
      </w:pPr>
      <w:r>
        <w:rPr>
          <w:rFonts w:hint="eastAsia" w:ascii="宋体"/>
          <w:color w:val="000000"/>
          <w:sz w:val="24"/>
          <w:highlight w:val="none"/>
        </w:rPr>
        <w:t>项目代码：</w:t>
      </w:r>
      <w:r>
        <w:rPr>
          <w:rFonts w:hint="eastAsia" w:ascii="宋体"/>
          <w:color w:val="000000"/>
          <w:sz w:val="24"/>
          <w:highlight w:val="none"/>
          <w:u w:val="single"/>
          <w:lang w:eastAsia="zh-CN"/>
        </w:rPr>
        <w:t>2412-440112-04-05-234216</w:t>
      </w:r>
    </w:p>
    <w:p w14:paraId="1A9EE7D1">
      <w:pPr>
        <w:spacing w:line="360" w:lineRule="auto"/>
        <w:ind w:firstLine="537" w:firstLineChars="224"/>
        <w:contextualSpacing/>
        <w:rPr>
          <w:rFonts w:hint="eastAsia" w:ascii="宋体" w:eastAsia="宋体"/>
          <w:color w:val="000000"/>
          <w:sz w:val="24"/>
          <w:highlight w:val="none"/>
          <w:u w:val="single"/>
          <w:lang w:eastAsia="zh-CN"/>
        </w:rPr>
      </w:pPr>
      <w:r>
        <w:rPr>
          <w:rFonts w:hint="eastAsia" w:ascii="宋体" w:hAnsi="宋体"/>
          <w:color w:val="000000"/>
          <w:sz w:val="24"/>
          <w:highlight w:val="none"/>
        </w:rPr>
        <w:t>二、招标单位：</w:t>
      </w:r>
      <w:r>
        <w:rPr>
          <w:rFonts w:hint="eastAsia" w:ascii="宋体" w:hAnsi="宋体"/>
          <w:color w:val="000000"/>
          <w:sz w:val="24"/>
          <w:highlight w:val="none"/>
          <w:u w:val="single"/>
          <w:lang w:eastAsia="zh-CN"/>
        </w:rPr>
        <w:t>广州开发区市政设施管理中心</w:t>
      </w:r>
    </w:p>
    <w:p w14:paraId="53B78245">
      <w:pPr>
        <w:spacing w:line="360" w:lineRule="auto"/>
        <w:ind w:firstLine="960" w:firstLineChars="400"/>
        <w:contextualSpacing/>
        <w:rPr>
          <w:rFonts w:ascii="宋体" w:hAnsi="宋体" w:cs="宋体"/>
          <w:color w:val="000000"/>
          <w:sz w:val="24"/>
          <w:szCs w:val="24"/>
          <w:highlight w:val="none"/>
          <w:u w:val="single"/>
        </w:rPr>
      </w:pPr>
      <w:r>
        <w:rPr>
          <w:rFonts w:hint="eastAsia" w:ascii="宋体" w:hAnsi="宋体" w:cs="宋体"/>
          <w:color w:val="000000"/>
          <w:sz w:val="24"/>
          <w:szCs w:val="24"/>
          <w:highlight w:val="none"/>
          <w:u w:val="none"/>
        </w:rPr>
        <w:t>联系人：</w:t>
      </w:r>
      <w:r>
        <w:rPr>
          <w:rFonts w:hint="eastAsia" w:ascii="宋体" w:hAnsi="宋体" w:cs="宋体"/>
          <w:color w:val="000000"/>
          <w:sz w:val="24"/>
          <w:szCs w:val="24"/>
          <w:highlight w:val="none"/>
          <w:u w:val="single"/>
        </w:rPr>
        <w:t xml:space="preserve">张工 </w:t>
      </w:r>
      <w:r>
        <w:rPr>
          <w:rFonts w:hint="eastAsia" w:ascii="宋体" w:hAnsi="宋体" w:cs="宋体"/>
          <w:color w:val="000000"/>
          <w:sz w:val="24"/>
          <w:szCs w:val="24"/>
          <w:highlight w:val="none"/>
          <w:u w:val="none"/>
        </w:rPr>
        <w:t xml:space="preserve">     联系电话：</w:t>
      </w:r>
      <w:r>
        <w:rPr>
          <w:rFonts w:hint="eastAsia" w:ascii="宋体" w:hAnsi="宋体" w:cs="宋体"/>
          <w:color w:val="000000"/>
          <w:sz w:val="24"/>
          <w:szCs w:val="24"/>
          <w:highlight w:val="none"/>
          <w:u w:val="single"/>
        </w:rPr>
        <w:t>020-32038365</w:t>
      </w:r>
    </w:p>
    <w:p w14:paraId="141CDF3A">
      <w:pPr>
        <w:spacing w:line="360" w:lineRule="auto"/>
        <w:ind w:firstLine="960" w:firstLineChars="400"/>
        <w:contextualSpacing/>
        <w:rPr>
          <w:rFonts w:hint="eastAsia" w:ascii="宋体" w:hAnsi="宋体" w:cs="宋体"/>
          <w:color w:val="000000"/>
          <w:sz w:val="24"/>
          <w:szCs w:val="24"/>
          <w:highlight w:val="none"/>
          <w:u w:val="single"/>
        </w:rPr>
      </w:pPr>
      <w:r>
        <w:rPr>
          <w:rFonts w:hint="eastAsia" w:ascii="宋体" w:hAnsi="宋体" w:cs="宋体"/>
          <w:color w:val="000000"/>
          <w:sz w:val="24"/>
          <w:szCs w:val="24"/>
          <w:highlight w:val="none"/>
          <w:u w:val="none"/>
        </w:rPr>
        <w:t>联系地址：</w:t>
      </w:r>
      <w:r>
        <w:rPr>
          <w:rFonts w:hint="eastAsia" w:ascii="宋体" w:hAnsi="宋体" w:cs="宋体"/>
          <w:color w:val="000000"/>
          <w:sz w:val="24"/>
          <w:szCs w:val="24"/>
          <w:highlight w:val="none"/>
          <w:u w:val="single"/>
        </w:rPr>
        <w:t>广州市黄埔区建业一路7号</w:t>
      </w:r>
    </w:p>
    <w:p w14:paraId="63479763">
      <w:pPr>
        <w:spacing w:line="360" w:lineRule="auto"/>
        <w:ind w:firstLine="960" w:firstLineChars="400"/>
        <w:contextualSpacing/>
        <w:rPr>
          <w:rFonts w:hint="eastAsia" w:ascii="宋体" w:eastAsia="宋体"/>
          <w:color w:val="000000"/>
          <w:sz w:val="24"/>
          <w:highlight w:val="none"/>
          <w:u w:val="single"/>
          <w:lang w:eastAsia="zh-CN"/>
        </w:rPr>
      </w:pPr>
      <w:r>
        <w:rPr>
          <w:rFonts w:hint="eastAsia" w:ascii="宋体" w:hAnsi="宋体"/>
          <w:color w:val="000000"/>
          <w:sz w:val="24"/>
          <w:highlight w:val="none"/>
        </w:rPr>
        <w:t>招标代理机构：</w:t>
      </w:r>
      <w:r>
        <w:rPr>
          <w:rFonts w:hint="eastAsia" w:ascii="宋体" w:hAnsi="宋体" w:cs="宋体"/>
          <w:color w:val="000000"/>
          <w:sz w:val="24"/>
          <w:szCs w:val="24"/>
          <w:highlight w:val="none"/>
          <w:u w:val="single"/>
          <w:lang w:eastAsia="zh-CN"/>
        </w:rPr>
        <w:t>广州天行咨询服务有限公司</w:t>
      </w:r>
    </w:p>
    <w:p w14:paraId="4163271E">
      <w:pPr>
        <w:spacing w:line="360" w:lineRule="auto"/>
        <w:ind w:firstLine="1017" w:firstLineChars="424"/>
        <w:contextualSpacing/>
        <w:rPr>
          <w:rFonts w:hint="default" w:ascii="宋体" w:hAnsi="宋体" w:eastAsia="宋体" w:cs="宋体"/>
          <w:color w:val="000000"/>
          <w:sz w:val="24"/>
          <w:szCs w:val="24"/>
          <w:highlight w:val="none"/>
          <w:u w:val="single"/>
          <w:lang w:val="en-US" w:eastAsia="zh-CN"/>
        </w:rPr>
      </w:pPr>
      <w:r>
        <w:rPr>
          <w:rFonts w:hint="eastAsia" w:ascii="宋体" w:hAnsi="宋体" w:cs="宋体"/>
          <w:color w:val="000000"/>
          <w:sz w:val="24"/>
          <w:szCs w:val="24"/>
          <w:highlight w:val="none"/>
        </w:rPr>
        <w:t>联系人：</w:t>
      </w:r>
      <w:r>
        <w:rPr>
          <w:rFonts w:hint="eastAsia" w:ascii="宋体" w:hAnsi="宋体" w:cs="宋体"/>
          <w:color w:val="000000"/>
          <w:sz w:val="24"/>
          <w:szCs w:val="24"/>
          <w:highlight w:val="none"/>
          <w:u w:val="single"/>
          <w:lang w:val="en-US" w:eastAsia="zh-CN"/>
        </w:rPr>
        <w:t>车工</w:t>
      </w:r>
      <w:r>
        <w:rPr>
          <w:rFonts w:hint="eastAsia" w:ascii="宋体" w:hAnsi="宋体" w:cs="宋体"/>
          <w:color w:val="000000"/>
          <w:sz w:val="24"/>
          <w:szCs w:val="24"/>
          <w:highlight w:val="none"/>
        </w:rPr>
        <w:t xml:space="preserve">    　联系电话：</w:t>
      </w:r>
      <w:r>
        <w:rPr>
          <w:rFonts w:hint="eastAsia" w:ascii="宋体" w:hAnsi="宋体" w:cs="宋体"/>
          <w:color w:val="000000"/>
          <w:sz w:val="24"/>
          <w:szCs w:val="24"/>
          <w:highlight w:val="none"/>
          <w:u w:val="single"/>
          <w:lang w:val="en-US" w:eastAsia="zh-CN"/>
        </w:rPr>
        <w:t>020-31604261</w:t>
      </w:r>
    </w:p>
    <w:p w14:paraId="42599465">
      <w:pPr>
        <w:spacing w:line="360" w:lineRule="auto"/>
        <w:ind w:firstLine="1017" w:firstLineChars="424"/>
        <w:contextualSpacing/>
        <w:rPr>
          <w:rFonts w:hint="eastAsia" w:ascii="宋体" w:hAnsi="宋体" w:eastAsia="宋体"/>
          <w:color w:val="000000"/>
          <w:sz w:val="24"/>
          <w:highlight w:val="none"/>
          <w:lang w:val="en-US" w:eastAsia="zh-CN"/>
        </w:rPr>
      </w:pPr>
      <w:r>
        <w:rPr>
          <w:rFonts w:hint="eastAsia" w:ascii="宋体" w:hAnsi="宋体"/>
          <w:color w:val="000000"/>
          <w:sz w:val="24"/>
          <w:highlight w:val="none"/>
        </w:rPr>
        <w:t>联系地址：</w:t>
      </w:r>
      <w:r>
        <w:rPr>
          <w:rFonts w:hint="eastAsia" w:ascii="宋体" w:hAnsi="宋体"/>
          <w:color w:val="000000"/>
          <w:sz w:val="24"/>
          <w:highlight w:val="none"/>
          <w:u w:val="single"/>
          <w:lang w:eastAsia="zh-CN"/>
        </w:rPr>
        <w:t>广州市黄埔区科学城科学大道162号创意大厦B2栋1201</w:t>
      </w:r>
    </w:p>
    <w:p w14:paraId="0755C5CE">
      <w:pPr>
        <w:spacing w:line="360" w:lineRule="auto"/>
        <w:ind w:firstLine="1017" w:firstLineChars="424"/>
        <w:contextualSpacing/>
        <w:rPr>
          <w:rFonts w:ascii="宋体"/>
          <w:color w:val="000000"/>
          <w:sz w:val="24"/>
          <w:highlight w:val="none"/>
        </w:rPr>
      </w:pPr>
      <w:r>
        <w:rPr>
          <w:rFonts w:hint="eastAsia" w:ascii="宋体" w:hAnsi="宋体"/>
          <w:color w:val="000000"/>
          <w:sz w:val="24"/>
          <w:highlight w:val="none"/>
        </w:rPr>
        <w:t>招标监督机构：</w:t>
      </w:r>
      <w:r>
        <w:rPr>
          <w:rFonts w:hint="eastAsia" w:ascii="宋体" w:hAnsi="宋体" w:cs="宋体"/>
          <w:color w:val="000000"/>
          <w:sz w:val="24"/>
          <w:szCs w:val="24"/>
          <w:highlight w:val="none"/>
          <w:u w:val="single"/>
        </w:rPr>
        <w:t>广州开发区建设工程招投标管理办公室（广州市黄埔区建设工程招投标管理办公室）</w:t>
      </w:r>
    </w:p>
    <w:p w14:paraId="4371D882">
      <w:pPr>
        <w:spacing w:line="360" w:lineRule="auto"/>
        <w:ind w:firstLine="1017" w:firstLineChars="424"/>
        <w:contextualSpacing/>
        <w:rPr>
          <w:rFonts w:hint="eastAsia" w:ascii="宋体" w:hAnsi="宋体" w:cs="宋体"/>
          <w:color w:val="000000"/>
          <w:sz w:val="24"/>
          <w:szCs w:val="24"/>
          <w:highlight w:val="none"/>
          <w:u w:val="single"/>
        </w:rPr>
      </w:pPr>
      <w:r>
        <w:rPr>
          <w:rFonts w:hint="eastAsia" w:ascii="宋体" w:hAnsi="宋体"/>
          <w:color w:val="000000"/>
          <w:sz w:val="24"/>
          <w:highlight w:val="none"/>
        </w:rPr>
        <w:t>监督电话：</w:t>
      </w:r>
      <w:r>
        <w:rPr>
          <w:rFonts w:hint="eastAsia" w:ascii="宋体" w:hAnsi="宋体" w:cs="宋体"/>
          <w:color w:val="000000"/>
          <w:sz w:val="24"/>
          <w:szCs w:val="24"/>
          <w:highlight w:val="none"/>
          <w:u w:val="single"/>
        </w:rPr>
        <w:t>020-82112206</w:t>
      </w:r>
    </w:p>
    <w:p w14:paraId="31A45FDE">
      <w:pPr>
        <w:spacing w:line="360" w:lineRule="auto"/>
        <w:ind w:firstLine="1017" w:firstLineChars="424"/>
        <w:contextualSpacing/>
        <w:rPr>
          <w:rFonts w:ascii="宋体"/>
          <w:color w:val="000000"/>
          <w:sz w:val="24"/>
          <w:highlight w:val="none"/>
        </w:rPr>
      </w:pPr>
      <w:r>
        <w:rPr>
          <w:rFonts w:hint="eastAsia" w:ascii="宋体" w:hAnsi="宋体"/>
          <w:color w:val="000000"/>
          <w:sz w:val="24"/>
          <w:highlight w:val="none"/>
        </w:rPr>
        <w:t>联系地址：</w:t>
      </w:r>
      <w:r>
        <w:rPr>
          <w:rFonts w:hint="eastAsia" w:ascii="宋体" w:hAnsi="宋体"/>
          <w:color w:val="000000"/>
          <w:sz w:val="24"/>
          <w:highlight w:val="none"/>
          <w:u w:val="single"/>
        </w:rPr>
        <w:t>广州市黄埔区水西路30号汇丽写字楼4楼</w:t>
      </w:r>
    </w:p>
    <w:p w14:paraId="054FBA06">
      <w:pPr>
        <w:numPr>
          <w:ilvl w:val="0"/>
          <w:numId w:val="3"/>
        </w:numPr>
        <w:spacing w:line="360" w:lineRule="auto"/>
        <w:ind w:firstLine="538"/>
        <w:contextualSpacing/>
        <w:rPr>
          <w:rFonts w:hint="eastAsia" w:ascii="宋体" w:hAnsi="宋体"/>
          <w:color w:val="000000"/>
          <w:sz w:val="24"/>
          <w:highlight w:val="none"/>
        </w:rPr>
      </w:pPr>
      <w:r>
        <w:rPr>
          <w:rFonts w:hint="eastAsia" w:ascii="宋体" w:hAnsi="宋体"/>
          <w:color w:val="000000"/>
          <w:sz w:val="24"/>
          <w:highlight w:val="none"/>
        </w:rPr>
        <w:t>建设地点：</w:t>
      </w:r>
      <w:r>
        <w:rPr>
          <w:rFonts w:hint="eastAsia" w:ascii="宋体" w:hAnsi="宋体"/>
          <w:color w:val="000000"/>
          <w:sz w:val="24"/>
          <w:highlight w:val="none"/>
          <w:u w:val="single"/>
        </w:rPr>
        <w:t>广州市黄埔区全区</w:t>
      </w:r>
    </w:p>
    <w:p w14:paraId="2D9A71D9">
      <w:pPr>
        <w:numPr>
          <w:ilvl w:val="0"/>
          <w:numId w:val="3"/>
        </w:numPr>
        <w:spacing w:line="360" w:lineRule="auto"/>
        <w:ind w:firstLine="538"/>
        <w:contextualSpacing/>
        <w:rPr>
          <w:rFonts w:hint="eastAsia" w:ascii="宋体"/>
          <w:color w:val="000000"/>
          <w:sz w:val="24"/>
          <w:highlight w:val="none"/>
          <w:u w:val="single"/>
        </w:rPr>
      </w:pPr>
      <w:r>
        <w:rPr>
          <w:rFonts w:hint="eastAsia" w:ascii="宋体" w:hAnsi="宋体"/>
          <w:color w:val="000000"/>
          <w:sz w:val="24"/>
          <w:highlight w:val="none"/>
        </w:rPr>
        <w:t>项目概况：</w:t>
      </w:r>
      <w:r>
        <w:rPr>
          <w:rFonts w:hint="eastAsia" w:ascii="宋体" w:hAnsi="宋体"/>
          <w:color w:val="000000"/>
          <w:sz w:val="24"/>
          <w:highlight w:val="none"/>
          <w:u w:val="single"/>
        </w:rPr>
        <w:t>本次招标工程内容对黄埔区城市景观照明（含楼宇亮化）及其附属照明设施，世界钟、城市地名导向标识杆、发光宣传标语和隧道发光字体及其配套配电箱等附属设施进行运行巡查维修；开展黄埔区人行天桥电梯的日常保养维修、清洁、年审等</w:t>
      </w:r>
      <w:r>
        <w:rPr>
          <w:rFonts w:hint="eastAsia" w:ascii="宋体" w:hAnsi="宋体" w:eastAsia="宋体" w:cs="Times New Roman"/>
          <w:color w:val="000000"/>
          <w:sz w:val="24"/>
          <w:szCs w:val="22"/>
          <w:highlight w:val="none"/>
          <w:u w:val="single"/>
          <w:lang w:val="en-US" w:eastAsia="zh-CN"/>
        </w:rPr>
        <w:t>，</w:t>
      </w:r>
      <w:r>
        <w:rPr>
          <w:rFonts w:hint="eastAsia" w:ascii="宋体" w:hAnsi="宋体" w:eastAsia="宋体" w:cs="Times New Roman"/>
          <w:color w:val="000000"/>
          <w:spacing w:val="0"/>
          <w:sz w:val="24"/>
          <w:szCs w:val="22"/>
          <w:highlight w:val="none"/>
          <w:u w:val="single"/>
          <w:lang w:val="en-US" w:eastAsia="zh-CN"/>
        </w:rPr>
        <w:t>购买特种设备第三者责任保险</w:t>
      </w:r>
      <w:r>
        <w:rPr>
          <w:rFonts w:hint="eastAsia" w:ascii="宋体" w:hAnsi="宋体"/>
          <w:color w:val="000000"/>
          <w:sz w:val="24"/>
          <w:highlight w:val="none"/>
          <w:u w:val="single"/>
        </w:rPr>
        <w:t>；按区内要求的景观灯素材（片源）制作、上传与维护服务；灯光控制系统总控室的日常值班、维护管理服务等内容</w:t>
      </w:r>
      <w:r>
        <w:rPr>
          <w:rFonts w:hint="eastAsia" w:ascii="宋体" w:hAnsi="宋体"/>
          <w:color w:val="000000"/>
          <w:sz w:val="24"/>
          <w:highlight w:val="none"/>
          <w:u w:val="single"/>
          <w:lang w:eastAsia="zh-CN"/>
        </w:rPr>
        <w:t>；</w:t>
      </w:r>
      <w:r>
        <w:rPr>
          <w:rFonts w:hint="eastAsia" w:ascii="宋体" w:hAnsi="宋体"/>
          <w:color w:val="000000"/>
          <w:sz w:val="24"/>
          <w:highlight w:val="none"/>
          <w:u w:val="single"/>
          <w:lang w:val="en-US" w:eastAsia="zh-CN"/>
        </w:rPr>
        <w:t>对招标人</w:t>
      </w:r>
      <w:r>
        <w:rPr>
          <w:rFonts w:hint="eastAsia" w:ascii="宋体" w:hAnsi="宋体"/>
          <w:color w:val="000000"/>
          <w:sz w:val="24"/>
          <w:highlight w:val="none"/>
          <w:u w:val="single"/>
        </w:rPr>
        <w:t>根据工作需要下达的其他</w:t>
      </w:r>
      <w:r>
        <w:rPr>
          <w:rFonts w:hint="eastAsia" w:ascii="宋体" w:hAnsi="宋体"/>
          <w:color w:val="000000"/>
          <w:sz w:val="24"/>
          <w:highlight w:val="none"/>
          <w:u w:val="single"/>
          <w:lang w:eastAsia="zh-CN"/>
        </w:rPr>
        <w:t>市政设施进行维护、应急抢修以及小、中型维修。</w:t>
      </w:r>
      <w:r>
        <w:rPr>
          <w:rFonts w:hint="eastAsia" w:ascii="宋体" w:hAnsi="宋体"/>
          <w:color w:val="000000"/>
          <w:sz w:val="24"/>
          <w:highlight w:val="none"/>
          <w:u w:val="single"/>
        </w:rPr>
        <w:t>具体任务由</w:t>
      </w:r>
      <w:r>
        <w:rPr>
          <w:rFonts w:hint="eastAsia" w:ascii="宋体" w:hAnsi="宋体"/>
          <w:color w:val="000000"/>
          <w:sz w:val="24"/>
          <w:highlight w:val="none"/>
          <w:u w:val="single"/>
          <w:lang w:val="en-US" w:eastAsia="zh-CN"/>
        </w:rPr>
        <w:t>招标人</w:t>
      </w:r>
      <w:r>
        <w:rPr>
          <w:rFonts w:hint="eastAsia" w:ascii="宋体" w:hAnsi="宋体"/>
          <w:color w:val="000000"/>
          <w:sz w:val="24"/>
          <w:highlight w:val="none"/>
          <w:u w:val="single"/>
        </w:rPr>
        <w:t>指定，并以下达的《市政公用维修工程项目审批申请表》为准。</w:t>
      </w:r>
    </w:p>
    <w:p w14:paraId="077FEE5B">
      <w:pPr>
        <w:numPr>
          <w:ilvl w:val="-1"/>
          <w:numId w:val="0"/>
        </w:numPr>
        <w:spacing w:line="360" w:lineRule="auto"/>
        <w:ind w:firstLine="960" w:firstLineChars="400"/>
        <w:contextualSpacing/>
        <w:rPr>
          <w:rFonts w:hint="eastAsia" w:ascii="宋体"/>
          <w:color w:val="000000"/>
          <w:sz w:val="24"/>
          <w:highlight w:val="none"/>
          <w:u w:val="single"/>
        </w:rPr>
      </w:pPr>
      <w:r>
        <w:rPr>
          <w:rFonts w:hint="eastAsia" w:ascii="宋体" w:hAnsi="宋体"/>
          <w:color w:val="000000"/>
          <w:sz w:val="24"/>
          <w:highlight w:val="none"/>
          <w:u w:val="single"/>
          <w:lang w:val="en-US" w:eastAsia="zh-CN"/>
        </w:rPr>
        <w:t>工期：</w:t>
      </w:r>
      <w:r>
        <w:rPr>
          <w:rFonts w:hint="eastAsia" w:ascii="宋体" w:hAnsi="宋体"/>
          <w:color w:val="000000"/>
          <w:sz w:val="24"/>
          <w:highlight w:val="none"/>
          <w:u w:val="single"/>
        </w:rPr>
        <w:t>自</w:t>
      </w:r>
      <w:r>
        <w:rPr>
          <w:rFonts w:hint="eastAsia" w:ascii="宋体" w:hAnsi="宋体"/>
          <w:color w:val="000000"/>
          <w:sz w:val="24"/>
          <w:highlight w:val="none"/>
          <w:u w:val="single"/>
          <w:lang w:eastAsia="zh-CN"/>
        </w:rPr>
        <w:t>招标人</w:t>
      </w:r>
      <w:r>
        <w:rPr>
          <w:rFonts w:hint="eastAsia" w:ascii="宋体" w:hAnsi="宋体"/>
          <w:color w:val="000000"/>
          <w:sz w:val="24"/>
          <w:highlight w:val="none"/>
          <w:u w:val="single"/>
        </w:rPr>
        <w:t>下达进场通知书后满1年或项目累计结算金额达到</w:t>
      </w:r>
      <w:r>
        <w:rPr>
          <w:rFonts w:hint="eastAsia" w:ascii="宋体" w:hAnsi="宋体" w:eastAsia="宋体" w:cs="宋体"/>
          <w:color w:val="auto"/>
          <w:kern w:val="2"/>
          <w:sz w:val="24"/>
          <w:szCs w:val="24"/>
          <w:u w:val="single"/>
          <w:lang w:val="en-US" w:eastAsia="zh-CN" w:bidi="ar"/>
        </w:rPr>
        <w:t>999.93461</w:t>
      </w:r>
      <w:r>
        <w:rPr>
          <w:rFonts w:hint="eastAsia" w:ascii="宋体" w:hAnsi="宋体"/>
          <w:color w:val="000000"/>
          <w:sz w:val="24"/>
          <w:highlight w:val="none"/>
          <w:u w:val="single"/>
        </w:rPr>
        <w:t>万元，即为服务期满。（最终工程量以竣工图或维修任务单工程量为准，最后造价以广州市黄埔区财政评审结果为准）</w:t>
      </w:r>
    </w:p>
    <w:p w14:paraId="379653B2">
      <w:pPr>
        <w:spacing w:line="360" w:lineRule="auto"/>
        <w:ind w:firstLine="480" w:firstLineChars="200"/>
        <w:contextualSpacing/>
        <w:rPr>
          <w:rFonts w:ascii="宋体"/>
          <w:color w:val="000000"/>
          <w:sz w:val="24"/>
          <w:highlight w:val="none"/>
          <w:u w:val="single"/>
        </w:rPr>
      </w:pPr>
      <w:r>
        <w:rPr>
          <w:rFonts w:hint="eastAsia" w:ascii="宋体" w:hAnsi="宋体"/>
          <w:color w:val="000000"/>
          <w:sz w:val="24"/>
          <w:highlight w:val="none"/>
        </w:rPr>
        <w:t>五、标段划分及各标段招标内容、规模和最高投标限价：</w:t>
      </w:r>
    </w:p>
    <w:p w14:paraId="1EB4158D">
      <w:pPr>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1、本工程划分为</w:t>
      </w:r>
      <w:r>
        <w:rPr>
          <w:rFonts w:hint="eastAsia" w:ascii="宋体" w:hAnsi="宋体" w:cs="宋体"/>
          <w:color w:val="000000"/>
          <w:sz w:val="24"/>
          <w:szCs w:val="24"/>
          <w:highlight w:val="none"/>
          <w:u w:val="single"/>
        </w:rPr>
        <w:t>1</w:t>
      </w:r>
      <w:r>
        <w:rPr>
          <w:rFonts w:hint="eastAsia" w:ascii="宋体" w:hAnsi="宋体" w:cs="宋体"/>
          <w:color w:val="000000"/>
          <w:sz w:val="24"/>
          <w:szCs w:val="24"/>
          <w:highlight w:val="none"/>
        </w:rPr>
        <w:t>个标段。</w:t>
      </w:r>
    </w:p>
    <w:p w14:paraId="6ECC398A">
      <w:pPr>
        <w:numPr>
          <w:ilvl w:val="-1"/>
          <w:numId w:val="0"/>
        </w:numPr>
        <w:spacing w:line="360" w:lineRule="auto"/>
        <w:ind w:firstLine="480" w:firstLineChars="200"/>
        <w:contextualSpacing/>
        <w:rPr>
          <w:rFonts w:hint="eastAsia" w:ascii="宋体" w:hAnsi="宋体" w:cs="Times New Roman"/>
          <w:color w:val="000000"/>
          <w:sz w:val="24"/>
          <w:szCs w:val="22"/>
          <w:highlight w:val="none"/>
          <w:u w:val="none"/>
        </w:rPr>
      </w:pPr>
      <w:r>
        <w:rPr>
          <w:rFonts w:hint="eastAsia" w:ascii="宋体" w:hAnsi="宋体" w:cs="Times New Roman"/>
          <w:color w:val="000000"/>
          <w:sz w:val="24"/>
          <w:szCs w:val="22"/>
          <w:highlight w:val="none"/>
          <w:u w:val="none"/>
        </w:rPr>
        <w:t>2、招标内容、规模：分为总价包干和按实结算两部分服务内容</w:t>
      </w:r>
    </w:p>
    <w:p w14:paraId="7989AB7F">
      <w:pPr>
        <w:numPr>
          <w:ilvl w:val="-1"/>
          <w:numId w:val="0"/>
        </w:numPr>
        <w:spacing w:line="360" w:lineRule="auto"/>
        <w:ind w:firstLine="480" w:firstLineChars="200"/>
        <w:contextualSpacing/>
        <w:rPr>
          <w:rFonts w:hint="eastAsia" w:ascii="宋体" w:hAnsi="宋体" w:cs="Times New Roman"/>
          <w:color w:val="000000"/>
          <w:sz w:val="24"/>
          <w:szCs w:val="22"/>
          <w:highlight w:val="none"/>
          <w:u w:val="none"/>
          <w:lang w:val="en-US" w:eastAsia="zh-CN"/>
        </w:rPr>
      </w:pPr>
      <w:r>
        <w:rPr>
          <w:rFonts w:hint="eastAsia" w:ascii="宋体" w:hAnsi="宋体" w:cs="Times New Roman"/>
          <w:color w:val="000000"/>
          <w:sz w:val="24"/>
          <w:szCs w:val="22"/>
          <w:highlight w:val="none"/>
          <w:u w:val="none"/>
          <w:lang w:val="en-US" w:eastAsia="zh-CN"/>
        </w:rPr>
        <w:t>总价包干部分：</w:t>
      </w:r>
    </w:p>
    <w:p w14:paraId="12F88190">
      <w:pPr>
        <w:numPr>
          <w:ilvl w:val="-1"/>
          <w:numId w:val="0"/>
        </w:numPr>
        <w:spacing w:line="360" w:lineRule="auto"/>
        <w:ind w:firstLine="480" w:firstLineChars="200"/>
        <w:contextualSpacing/>
        <w:rPr>
          <w:rFonts w:hint="eastAsia" w:ascii="宋体" w:hAnsi="宋体" w:cs="Times New Roman"/>
          <w:color w:val="000000"/>
          <w:sz w:val="24"/>
          <w:szCs w:val="22"/>
          <w:highlight w:val="none"/>
          <w:u w:val="none"/>
          <w:lang w:val="en-US" w:eastAsia="zh-CN"/>
        </w:rPr>
      </w:pPr>
      <w:r>
        <w:rPr>
          <w:rFonts w:hint="eastAsia" w:ascii="宋体" w:hAnsi="宋体" w:cs="Times New Roman"/>
          <w:color w:val="000000"/>
          <w:sz w:val="24"/>
          <w:szCs w:val="22"/>
          <w:highlight w:val="none"/>
          <w:u w:val="none"/>
          <w:lang w:val="en-US" w:eastAsia="zh-CN"/>
        </w:rPr>
        <w:t>①景观照明和楼宇亮化巡检保养：景观照明包含世界钟、城市地名导向标识杆、发光宣传标语及隧道发光字体；</w:t>
      </w:r>
    </w:p>
    <w:p w14:paraId="56289A46">
      <w:pPr>
        <w:numPr>
          <w:ilvl w:val="-1"/>
          <w:numId w:val="0"/>
        </w:numPr>
        <w:spacing w:line="360" w:lineRule="auto"/>
        <w:ind w:firstLine="480" w:firstLineChars="200"/>
        <w:contextualSpacing/>
        <w:rPr>
          <w:rFonts w:hint="eastAsia" w:ascii="宋体" w:hAnsi="宋体" w:cs="Times New Roman"/>
          <w:color w:val="000000"/>
          <w:sz w:val="24"/>
          <w:szCs w:val="22"/>
          <w:highlight w:val="none"/>
          <w:u w:val="none"/>
          <w:lang w:val="en-US" w:eastAsia="zh-CN"/>
        </w:rPr>
      </w:pPr>
      <w:r>
        <w:rPr>
          <w:rFonts w:hint="eastAsia" w:ascii="宋体" w:hAnsi="宋体" w:cs="Times New Roman"/>
          <w:color w:val="000000"/>
          <w:sz w:val="24"/>
          <w:szCs w:val="22"/>
          <w:highlight w:val="none"/>
          <w:u w:val="none"/>
          <w:lang w:val="en-US" w:eastAsia="zh-CN"/>
        </w:rPr>
        <w:t>②开展黄埔区人行天桥电梯的日常巡检保养、清洁、年审等，</w:t>
      </w:r>
      <w:r>
        <w:rPr>
          <w:rFonts w:hint="eastAsia" w:ascii="宋体" w:hAnsi="宋体" w:eastAsia="宋体" w:cs="Times New Roman"/>
          <w:color w:val="000000"/>
          <w:spacing w:val="0"/>
          <w:sz w:val="24"/>
          <w:szCs w:val="22"/>
          <w:highlight w:val="none"/>
          <w:u w:val="none"/>
          <w:lang w:val="en-US" w:eastAsia="zh-CN"/>
        </w:rPr>
        <w:t>购买特种设备第三者责任保险</w:t>
      </w:r>
      <w:r>
        <w:rPr>
          <w:rFonts w:hint="eastAsia" w:ascii="宋体" w:hAnsi="宋体" w:cs="Times New Roman"/>
          <w:color w:val="000000"/>
          <w:sz w:val="24"/>
          <w:szCs w:val="22"/>
          <w:highlight w:val="none"/>
          <w:u w:val="none"/>
          <w:lang w:val="en-US" w:eastAsia="zh-CN"/>
        </w:rPr>
        <w:t>（详见合同文件）。</w:t>
      </w:r>
      <w:r>
        <w:rPr>
          <w:rFonts w:hint="eastAsia" w:ascii="宋体" w:hAnsi="宋体" w:eastAsia="宋体" w:cs="Times New Roman"/>
          <w:color w:val="000000"/>
          <w:spacing w:val="0"/>
          <w:kern w:val="2"/>
          <w:sz w:val="24"/>
          <w:szCs w:val="22"/>
          <w:highlight w:val="none"/>
          <w:u w:val="none"/>
          <w:lang w:val="en-US" w:eastAsia="zh-CN"/>
        </w:rPr>
        <w:t>严格按照TSG T5002-2017《电梯维护保养规则》相关要求与电梯安装使用维护说明书规定，并且根据所保养电梯使用的特点，制定合理的维保计划与方案，开展半月、季度、半年、年度等四类电梯维保项目</w:t>
      </w:r>
      <w:r>
        <w:rPr>
          <w:rFonts w:hint="eastAsia" w:ascii="宋体" w:hAnsi="宋体" w:cs="Times New Roman"/>
          <w:color w:val="000000"/>
          <w:sz w:val="24"/>
          <w:szCs w:val="22"/>
          <w:highlight w:val="none"/>
          <w:u w:val="none"/>
          <w:lang w:val="en-US" w:eastAsia="zh-CN"/>
        </w:rPr>
        <w:t>；</w:t>
      </w:r>
    </w:p>
    <w:p w14:paraId="0285104F">
      <w:pPr>
        <w:numPr>
          <w:ilvl w:val="-1"/>
          <w:numId w:val="0"/>
        </w:numPr>
        <w:spacing w:line="360" w:lineRule="auto"/>
        <w:ind w:firstLine="480" w:firstLineChars="200"/>
        <w:contextualSpacing/>
        <w:rPr>
          <w:rFonts w:hint="eastAsia" w:ascii="宋体" w:hAnsi="宋体" w:cs="Times New Roman"/>
          <w:color w:val="000000"/>
          <w:sz w:val="24"/>
          <w:szCs w:val="22"/>
          <w:highlight w:val="none"/>
          <w:u w:val="single"/>
        </w:rPr>
      </w:pPr>
      <w:r>
        <w:rPr>
          <w:rFonts w:hint="eastAsia" w:ascii="宋体" w:hAnsi="宋体" w:cs="Times New Roman"/>
          <w:color w:val="000000"/>
          <w:sz w:val="24"/>
          <w:szCs w:val="22"/>
          <w:highlight w:val="none"/>
          <w:u w:val="none"/>
          <w:lang w:val="en-US" w:eastAsia="zh-CN"/>
        </w:rPr>
        <w:t>③</w:t>
      </w:r>
      <w:r>
        <w:rPr>
          <w:rFonts w:hint="eastAsia" w:ascii="宋体" w:hAnsi="宋体" w:cs="Times New Roman"/>
          <w:color w:val="000000"/>
          <w:sz w:val="24"/>
          <w:szCs w:val="22"/>
          <w:highlight w:val="none"/>
          <w:u w:val="none"/>
        </w:rPr>
        <w:t>具体任务由</w:t>
      </w:r>
      <w:r>
        <w:rPr>
          <w:rFonts w:hint="eastAsia" w:ascii="宋体" w:hAnsi="宋体"/>
          <w:color w:val="000000"/>
          <w:sz w:val="24"/>
          <w:highlight w:val="none"/>
          <w:u w:val="single"/>
          <w:lang w:val="en-US" w:eastAsia="zh-CN"/>
        </w:rPr>
        <w:t>招标人</w:t>
      </w:r>
      <w:r>
        <w:rPr>
          <w:rFonts w:hint="eastAsia" w:ascii="宋体" w:hAnsi="宋体" w:cs="Times New Roman"/>
          <w:color w:val="000000"/>
          <w:sz w:val="24"/>
          <w:szCs w:val="22"/>
          <w:highlight w:val="none"/>
          <w:u w:val="none"/>
        </w:rPr>
        <w:t>指定，并以下达的《市政公用维修工程项目审批申请表》为准。</w:t>
      </w:r>
    </w:p>
    <w:p w14:paraId="75FA88C0">
      <w:pPr>
        <w:spacing w:line="360" w:lineRule="auto"/>
        <w:ind w:firstLine="537" w:firstLineChars="224"/>
        <w:contextualSpacing/>
        <w:rPr>
          <w:rFonts w:hint="eastAsia" w:ascii="宋体" w:hAnsi="宋体" w:cs="Times New Roman"/>
          <w:color w:val="000000"/>
          <w:sz w:val="24"/>
          <w:szCs w:val="22"/>
          <w:highlight w:val="none"/>
          <w:u w:val="none"/>
          <w:lang w:val="en-US" w:eastAsia="zh-CN"/>
        </w:rPr>
      </w:pPr>
      <w:r>
        <w:rPr>
          <w:rFonts w:hint="eastAsia" w:ascii="宋体" w:hAnsi="宋体" w:cs="Times New Roman"/>
          <w:color w:val="000000"/>
          <w:sz w:val="24"/>
          <w:szCs w:val="22"/>
          <w:highlight w:val="none"/>
          <w:u w:val="none"/>
        </w:rPr>
        <w:t>按实结算</w:t>
      </w:r>
      <w:r>
        <w:rPr>
          <w:rFonts w:hint="eastAsia" w:ascii="宋体" w:hAnsi="宋体" w:cs="Times New Roman"/>
          <w:color w:val="000000"/>
          <w:sz w:val="24"/>
          <w:szCs w:val="22"/>
          <w:highlight w:val="none"/>
          <w:u w:val="none"/>
          <w:lang w:val="en-US" w:eastAsia="zh-CN"/>
        </w:rPr>
        <w:t>部分：</w:t>
      </w:r>
    </w:p>
    <w:p w14:paraId="79D6AE4F">
      <w:pPr>
        <w:spacing w:line="360" w:lineRule="auto"/>
        <w:ind w:firstLine="537" w:firstLineChars="224"/>
        <w:contextualSpacing/>
        <w:rPr>
          <w:rFonts w:hint="eastAsia" w:ascii="宋体" w:hAnsi="宋体" w:cs="Times New Roman"/>
          <w:color w:val="000000"/>
          <w:sz w:val="24"/>
          <w:szCs w:val="22"/>
          <w:highlight w:val="none"/>
          <w:u w:val="none"/>
          <w:lang w:val="en-US" w:eastAsia="zh-CN"/>
        </w:rPr>
      </w:pPr>
      <w:r>
        <w:rPr>
          <w:rFonts w:hint="eastAsia" w:ascii="宋体" w:hAnsi="宋体" w:cs="Times New Roman"/>
          <w:color w:val="000000"/>
          <w:sz w:val="24"/>
          <w:szCs w:val="22"/>
          <w:highlight w:val="none"/>
          <w:u w:val="none"/>
          <w:lang w:val="en-US" w:eastAsia="zh-CN"/>
        </w:rPr>
        <w:t xml:space="preserve">①景观照明与楼宇亮化设施维修更换：景观照明包含世界钟、城市地名导向标识杆、发光宣传标语及隧道发光字体；更换损坏的景观灯灯具、驱动电源、引下线、灯架、灯壁、灯座及附属安装灯具的金具；维修处理线路、表箱、手孔井、控制及配电设备等零星隐患。控制室故障维修；清洁楼宇外立面或高处污损的灯具； </w:t>
      </w:r>
    </w:p>
    <w:p w14:paraId="31E93268">
      <w:pPr>
        <w:spacing w:line="360" w:lineRule="auto"/>
        <w:ind w:firstLine="537" w:firstLineChars="224"/>
        <w:contextualSpacing/>
        <w:rPr>
          <w:rFonts w:hint="eastAsia" w:ascii="宋体" w:hAnsi="宋体" w:cs="Times New Roman"/>
          <w:color w:val="000000"/>
          <w:sz w:val="24"/>
          <w:szCs w:val="22"/>
          <w:highlight w:val="none"/>
          <w:u w:val="none"/>
          <w:lang w:val="en-US" w:eastAsia="zh-CN"/>
        </w:rPr>
      </w:pPr>
      <w:r>
        <w:rPr>
          <w:rFonts w:hint="eastAsia" w:ascii="宋体" w:hAnsi="宋体" w:cs="Times New Roman"/>
          <w:color w:val="000000"/>
          <w:sz w:val="24"/>
          <w:szCs w:val="22"/>
          <w:highlight w:val="none"/>
          <w:u w:val="none"/>
          <w:lang w:val="en-US" w:eastAsia="zh-CN"/>
        </w:rPr>
        <w:t>②黄埔区人行天桥电梯维修更换；</w:t>
      </w:r>
    </w:p>
    <w:p w14:paraId="2F73579C">
      <w:pPr>
        <w:spacing w:line="360" w:lineRule="auto"/>
        <w:ind w:firstLine="537" w:firstLineChars="224"/>
        <w:contextualSpacing/>
        <w:rPr>
          <w:rFonts w:hint="eastAsia" w:ascii="宋体" w:hAnsi="宋体" w:cs="Times New Roman"/>
          <w:color w:val="000000"/>
          <w:sz w:val="24"/>
          <w:szCs w:val="22"/>
          <w:highlight w:val="none"/>
          <w:u w:val="none"/>
          <w:lang w:val="en-US" w:eastAsia="zh-CN"/>
        </w:rPr>
      </w:pPr>
      <w:r>
        <w:rPr>
          <w:rFonts w:hint="eastAsia" w:ascii="宋体" w:hAnsi="宋体" w:cs="Times New Roman"/>
          <w:color w:val="000000"/>
          <w:sz w:val="24"/>
          <w:szCs w:val="22"/>
          <w:highlight w:val="none"/>
          <w:u w:val="none"/>
          <w:lang w:val="en-US" w:eastAsia="zh-CN"/>
        </w:rPr>
        <w:t>③按区内要求的景观灯素材（片源）制作、上传；</w:t>
      </w:r>
    </w:p>
    <w:p w14:paraId="7CD05DA6">
      <w:pPr>
        <w:spacing w:line="360" w:lineRule="auto"/>
        <w:ind w:firstLine="537" w:firstLineChars="224"/>
        <w:contextualSpacing/>
        <w:rPr>
          <w:rFonts w:hint="eastAsia" w:ascii="宋体" w:hAnsi="宋体" w:cs="Times New Roman"/>
          <w:color w:val="000000"/>
          <w:sz w:val="24"/>
          <w:szCs w:val="22"/>
          <w:highlight w:val="none"/>
          <w:u w:val="none"/>
          <w:lang w:val="en-US" w:eastAsia="zh-CN"/>
        </w:rPr>
      </w:pPr>
      <w:r>
        <w:rPr>
          <w:rFonts w:hint="eastAsia" w:ascii="宋体" w:hAnsi="宋体" w:cs="Times New Roman"/>
          <w:color w:val="000000"/>
          <w:sz w:val="24"/>
          <w:szCs w:val="22"/>
          <w:highlight w:val="none"/>
          <w:u w:val="none"/>
          <w:lang w:val="en-US" w:eastAsia="zh-CN"/>
        </w:rPr>
        <w:t>④对黄埔区范围内景观照明设施（包含世界钟、城市地名导向标识杆、发光宣传标语及隧道发光字体）、楼宇亮化设施、人行天桥电梯等进行完善改造、零星维修及应急抢险等；</w:t>
      </w:r>
    </w:p>
    <w:p w14:paraId="5CE16934">
      <w:pPr>
        <w:numPr>
          <w:ilvl w:val="0"/>
          <w:numId w:val="0"/>
        </w:numPr>
        <w:spacing w:line="360" w:lineRule="auto"/>
        <w:ind w:firstLine="537" w:firstLineChars="224"/>
        <w:contextualSpacing/>
        <w:rPr>
          <w:rFonts w:hint="eastAsia" w:ascii="宋体" w:hAnsi="宋体" w:eastAsia="宋体" w:cs="宋体"/>
          <w:color w:val="000000"/>
          <w:sz w:val="24"/>
          <w:szCs w:val="24"/>
          <w:highlight w:val="none"/>
          <w:u w:val="none"/>
          <w:lang w:val="en-US" w:eastAsia="zh-CN"/>
        </w:rPr>
      </w:pPr>
      <w:r>
        <w:rPr>
          <w:rFonts w:hint="eastAsia" w:ascii="宋体" w:hAnsi="宋体" w:cs="Times New Roman"/>
          <w:color w:val="000000"/>
          <w:sz w:val="24"/>
          <w:szCs w:val="22"/>
          <w:highlight w:val="none"/>
          <w:u w:val="none"/>
          <w:lang w:val="en-US" w:eastAsia="zh-CN"/>
        </w:rPr>
        <w:t>⑤</w:t>
      </w:r>
      <w:r>
        <w:rPr>
          <w:rFonts w:hint="eastAsia" w:ascii="宋体" w:hAnsi="宋体"/>
          <w:color w:val="000000"/>
          <w:sz w:val="24"/>
          <w:highlight w:val="none"/>
          <w:u w:val="none"/>
          <w:lang w:val="en-US" w:eastAsia="zh-CN"/>
        </w:rPr>
        <w:t>招标人</w:t>
      </w:r>
      <w:r>
        <w:rPr>
          <w:rFonts w:hint="eastAsia" w:ascii="宋体" w:hAnsi="宋体"/>
          <w:color w:val="000000"/>
          <w:sz w:val="24"/>
          <w:highlight w:val="none"/>
          <w:u w:val="none"/>
        </w:rPr>
        <w:t>根据工作需要下达的其他</w:t>
      </w:r>
      <w:r>
        <w:rPr>
          <w:rFonts w:hint="eastAsia" w:ascii="宋体" w:hAnsi="宋体"/>
          <w:color w:val="000000"/>
          <w:sz w:val="24"/>
          <w:highlight w:val="none"/>
          <w:u w:val="none"/>
          <w:lang w:eastAsia="zh-CN"/>
        </w:rPr>
        <w:t>市政设施进行维护、应急抢修以及小、中型维修。</w:t>
      </w:r>
      <w:r>
        <w:rPr>
          <w:rFonts w:hint="eastAsia" w:ascii="宋体" w:hAnsi="宋体"/>
          <w:color w:val="000000"/>
          <w:sz w:val="24"/>
          <w:highlight w:val="none"/>
          <w:u w:val="none"/>
        </w:rPr>
        <w:t>具体任务由</w:t>
      </w:r>
      <w:r>
        <w:rPr>
          <w:rFonts w:hint="eastAsia" w:ascii="宋体" w:hAnsi="宋体"/>
          <w:color w:val="000000"/>
          <w:sz w:val="24"/>
          <w:highlight w:val="none"/>
          <w:u w:val="none"/>
          <w:lang w:val="en-US" w:eastAsia="zh-CN"/>
        </w:rPr>
        <w:t>招标人</w:t>
      </w:r>
      <w:r>
        <w:rPr>
          <w:rFonts w:hint="eastAsia" w:ascii="宋体" w:hAnsi="宋体"/>
          <w:color w:val="000000"/>
          <w:sz w:val="24"/>
          <w:highlight w:val="none"/>
          <w:u w:val="none"/>
        </w:rPr>
        <w:t>指定，并以下达的《市政公用维修工程项目审批申请表》为准。</w:t>
      </w:r>
    </w:p>
    <w:p w14:paraId="67C76A9E">
      <w:pPr>
        <w:spacing w:line="360" w:lineRule="auto"/>
        <w:ind w:firstLine="537" w:firstLineChars="224"/>
        <w:contextualSpacing/>
        <w:rPr>
          <w:rFonts w:ascii="宋体"/>
          <w:color w:val="000000"/>
          <w:sz w:val="24"/>
          <w:highlight w:val="none"/>
        </w:rPr>
      </w:pPr>
      <w:r>
        <w:rPr>
          <w:rFonts w:hint="eastAsia" w:ascii="宋体" w:hAnsi="宋体" w:cs="宋体"/>
          <w:color w:val="000000"/>
          <w:sz w:val="24"/>
          <w:szCs w:val="24"/>
          <w:highlight w:val="none"/>
          <w:u w:val="none"/>
        </w:rPr>
        <w:t>3、最高投标限价：</w:t>
      </w:r>
      <w:r>
        <w:rPr>
          <w:rFonts w:hint="eastAsia" w:ascii="宋体" w:hAnsi="宋体" w:eastAsia="宋体" w:cs="宋体"/>
          <w:color w:val="auto"/>
          <w:kern w:val="2"/>
          <w:sz w:val="24"/>
          <w:szCs w:val="24"/>
          <w:u w:val="single"/>
          <w:lang w:val="en-US" w:eastAsia="zh-CN" w:bidi="ar"/>
        </w:rPr>
        <w:t>999.93461</w:t>
      </w:r>
      <w:r>
        <w:rPr>
          <w:rFonts w:hint="eastAsia" w:ascii="宋体" w:hAnsi="宋体"/>
          <w:color w:val="000000"/>
          <w:sz w:val="24"/>
          <w:highlight w:val="none"/>
          <w:u w:val="single"/>
        </w:rPr>
        <w:t>万</w:t>
      </w:r>
      <w:r>
        <w:rPr>
          <w:rFonts w:hint="eastAsia" w:ascii="宋体" w:hAnsi="宋体" w:cs="宋体"/>
          <w:color w:val="000000"/>
          <w:sz w:val="24"/>
          <w:szCs w:val="24"/>
          <w:highlight w:val="none"/>
          <w:u w:val="single"/>
        </w:rPr>
        <w:t>元。详见招标人最终发出的《最高投标限价公布函》，投标总报价超过最高投标限价的投标文件将被拒绝。本工程根据国家和省有关计价规范设置最高投标限价</w:t>
      </w:r>
      <w:r>
        <w:rPr>
          <w:rFonts w:hint="eastAsia" w:ascii="宋体" w:hAnsi="宋体"/>
          <w:color w:val="000000"/>
          <w:sz w:val="24"/>
          <w:szCs w:val="24"/>
          <w:highlight w:val="none"/>
          <w:u w:val="single"/>
        </w:rPr>
        <w:t>。</w:t>
      </w:r>
    </w:p>
    <w:p w14:paraId="11DB8755">
      <w:pPr>
        <w:spacing w:line="360" w:lineRule="auto"/>
        <w:ind w:firstLine="537" w:firstLineChars="224"/>
        <w:contextualSpacing/>
        <w:rPr>
          <w:rFonts w:ascii="宋体" w:hAnsi="宋体"/>
          <w:color w:val="000000"/>
          <w:sz w:val="24"/>
          <w:highlight w:val="none"/>
          <w:u w:val="single"/>
        </w:rPr>
      </w:pPr>
      <w:r>
        <w:rPr>
          <w:rFonts w:hint="eastAsia" w:ascii="宋体" w:hAnsi="宋体"/>
          <w:color w:val="000000"/>
          <w:sz w:val="24"/>
          <w:highlight w:val="none"/>
        </w:rPr>
        <w:t>六、资金来源：</w:t>
      </w:r>
      <w:r>
        <w:rPr>
          <w:rFonts w:hint="eastAsia" w:ascii="宋体" w:hAnsi="宋体" w:cs="宋体"/>
          <w:color w:val="000000"/>
          <w:sz w:val="24"/>
          <w:szCs w:val="24"/>
          <w:highlight w:val="none"/>
          <w:u w:val="single"/>
        </w:rPr>
        <w:t>区财政资金</w:t>
      </w:r>
    </w:p>
    <w:p w14:paraId="506EAECC">
      <w:pPr>
        <w:spacing w:line="360" w:lineRule="auto"/>
        <w:ind w:left="120" w:leftChars="57" w:firstLine="417" w:firstLineChars="174"/>
        <w:contextualSpacing/>
        <w:rPr>
          <w:rFonts w:ascii="宋体"/>
          <w:color w:val="000000"/>
          <w:sz w:val="24"/>
          <w:highlight w:val="none"/>
        </w:rPr>
      </w:pPr>
      <w:r>
        <w:rPr>
          <w:rFonts w:hint="eastAsia" w:ascii="宋体" w:hAnsi="宋体"/>
          <w:color w:val="000000"/>
          <w:sz w:val="24"/>
          <w:highlight w:val="none"/>
        </w:rPr>
        <w:t>注：政府投资项目一律不得以建筑业企业带资承包的方式进行建设。</w:t>
      </w:r>
    </w:p>
    <w:p w14:paraId="33FE601B">
      <w:pPr>
        <w:spacing w:line="360" w:lineRule="auto"/>
        <w:ind w:left="435"/>
        <w:contextualSpacing/>
        <w:rPr>
          <w:rFonts w:ascii="宋体" w:hAnsi="宋体" w:cs="宋体"/>
          <w:color w:val="000000"/>
          <w:sz w:val="24"/>
          <w:szCs w:val="24"/>
          <w:highlight w:val="none"/>
        </w:rPr>
      </w:pPr>
      <w:r>
        <w:rPr>
          <w:rFonts w:hint="eastAsia" w:ascii="宋体" w:hAnsi="宋体" w:cs="宋体"/>
          <w:color w:val="000000"/>
          <w:kern w:val="0"/>
          <w:sz w:val="24"/>
          <w:szCs w:val="24"/>
          <w:highlight w:val="none"/>
        </w:rPr>
        <w:t>七、</w:t>
      </w:r>
      <w:r>
        <w:rPr>
          <w:rFonts w:hint="eastAsia" w:ascii="宋体" w:hAnsi="宋体"/>
          <w:color w:val="000000"/>
          <w:sz w:val="24"/>
          <w:highlight w:val="none"/>
        </w:rPr>
        <w:t>公告发布日期、</w:t>
      </w:r>
      <w:r>
        <w:rPr>
          <w:rFonts w:hint="eastAsia" w:ascii="宋体" w:hAnsi="宋体" w:cs="宋体"/>
          <w:color w:val="000000"/>
          <w:sz w:val="24"/>
          <w:szCs w:val="24"/>
          <w:highlight w:val="none"/>
        </w:rPr>
        <w:t>递交投标文件时间与开标时间：</w:t>
      </w:r>
    </w:p>
    <w:p w14:paraId="434D9520">
      <w:pPr>
        <w:spacing w:line="360" w:lineRule="auto"/>
        <w:ind w:firstLine="480" w:firstLineChars="200"/>
        <w:contextualSpacing/>
        <w:rPr>
          <w:rFonts w:ascii="宋体" w:hAnsi="宋体"/>
          <w:color w:val="000000"/>
          <w:sz w:val="24"/>
          <w:highlight w:val="none"/>
        </w:rPr>
      </w:pPr>
      <w:r>
        <w:rPr>
          <w:rFonts w:hint="eastAsia" w:ascii="宋体" w:hAnsi="宋体" w:cs="宋体"/>
          <w:color w:val="000000"/>
          <w:sz w:val="24"/>
          <w:szCs w:val="24"/>
          <w:highlight w:val="none"/>
        </w:rPr>
        <w:t>1、</w:t>
      </w:r>
      <w:r>
        <w:rPr>
          <w:rFonts w:hint="eastAsia" w:ascii="宋体" w:hAnsi="宋体"/>
          <w:color w:val="000000"/>
          <w:sz w:val="24"/>
          <w:highlight w:val="none"/>
        </w:rPr>
        <w:t>公告发布日期（含本日）：</w:t>
      </w:r>
      <w:r>
        <w:rPr>
          <w:rFonts w:hint="eastAsia" w:ascii="宋体" w:hAnsi="宋体" w:cs="宋体"/>
          <w:color w:val="000000"/>
          <w:sz w:val="24"/>
          <w:szCs w:val="24"/>
          <w:highlight w:val="none"/>
          <w:u w:val="single"/>
          <w:lang w:eastAsia="zh-CN"/>
        </w:rPr>
        <w:t>2025</w:t>
      </w:r>
      <w:r>
        <w:rPr>
          <w:rFonts w:hint="eastAsia" w:ascii="宋体" w:hAnsi="宋体" w:cs="宋体"/>
          <w:color w:val="000000"/>
          <w:sz w:val="24"/>
          <w:szCs w:val="24"/>
          <w:highlight w:val="none"/>
        </w:rPr>
        <w:t>年</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时</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分至</w:t>
      </w:r>
      <w:r>
        <w:rPr>
          <w:rFonts w:hint="eastAsia" w:ascii="宋体" w:hAnsi="宋体" w:cs="宋体"/>
          <w:color w:val="000000"/>
          <w:sz w:val="24"/>
          <w:szCs w:val="24"/>
          <w:highlight w:val="none"/>
          <w:u w:val="single"/>
          <w:lang w:eastAsia="zh-CN"/>
        </w:rPr>
        <w:t>2025</w:t>
      </w:r>
      <w:r>
        <w:rPr>
          <w:rFonts w:hint="eastAsia" w:ascii="宋体" w:hAnsi="宋体" w:cs="宋体"/>
          <w:color w:val="000000"/>
          <w:sz w:val="24"/>
          <w:szCs w:val="24"/>
          <w:highlight w:val="none"/>
        </w:rPr>
        <w:t>年</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时</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分</w:t>
      </w:r>
    </w:p>
    <w:p w14:paraId="463764A7">
      <w:pPr>
        <w:spacing w:line="360" w:lineRule="auto"/>
        <w:ind w:left="435"/>
        <w:contextualSpacing/>
        <w:rPr>
          <w:rFonts w:ascii="宋体" w:cs="宋体"/>
          <w:color w:val="000000"/>
          <w:kern w:val="0"/>
          <w:sz w:val="24"/>
          <w:szCs w:val="24"/>
          <w:highlight w:val="none"/>
        </w:rPr>
      </w:pPr>
      <w:r>
        <w:rPr>
          <w:rFonts w:hint="eastAsia" w:ascii="宋体" w:hAnsi="宋体"/>
          <w:color w:val="000000"/>
          <w:sz w:val="24"/>
          <w:highlight w:val="none"/>
        </w:rPr>
        <w:t>凡有意参加投标者，请登录</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olor w:val="000000"/>
          <w:sz w:val="24"/>
          <w:szCs w:val="24"/>
          <w:highlight w:val="none"/>
        </w:rPr>
        <w:t>交易平台</w:t>
      </w:r>
      <w:r>
        <w:rPr>
          <w:rFonts w:hint="eastAsia" w:ascii="宋体" w:hAnsi="宋体"/>
          <w:color w:val="000000"/>
          <w:sz w:val="24"/>
          <w:highlight w:val="none"/>
        </w:rPr>
        <w:t>网站下载电子招标文件。</w:t>
      </w:r>
    </w:p>
    <w:p w14:paraId="6FF388CF">
      <w:pPr>
        <w:widowControl/>
        <w:spacing w:line="360" w:lineRule="auto"/>
        <w:ind w:firstLine="480" w:firstLineChars="200"/>
        <w:contextualSpacing/>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注：发布招标公告的时间为招标公告发出之日起至投标截止时间止。</w:t>
      </w:r>
    </w:p>
    <w:p w14:paraId="0AF14E65">
      <w:pPr>
        <w:widowControl/>
        <w:spacing w:line="360" w:lineRule="auto"/>
        <w:ind w:left="809" w:leftChars="214" w:hanging="360" w:hangingChars="150"/>
        <w:contextualSpacing/>
        <w:jc w:val="left"/>
        <w:rPr>
          <w:rFonts w:ascii="宋体" w:hAnsi="宋体" w:cs="宋体"/>
          <w:color w:val="000000"/>
          <w:sz w:val="24"/>
          <w:szCs w:val="24"/>
          <w:highlight w:val="none"/>
        </w:rPr>
      </w:pPr>
      <w:r>
        <w:rPr>
          <w:rFonts w:hint="eastAsia" w:ascii="宋体" w:hAnsi="宋体" w:cs="宋体"/>
          <w:color w:val="000000"/>
          <w:sz w:val="24"/>
          <w:szCs w:val="24"/>
          <w:highlight w:val="none"/>
        </w:rPr>
        <w:t>2、递交投标文件起始时间：</w:t>
      </w:r>
      <w:r>
        <w:rPr>
          <w:rFonts w:hint="eastAsia" w:ascii="宋体" w:hAnsi="宋体" w:cs="宋体"/>
          <w:color w:val="000000"/>
          <w:sz w:val="24"/>
          <w:szCs w:val="24"/>
          <w:highlight w:val="none"/>
          <w:u w:val="single"/>
          <w:lang w:eastAsia="zh-CN"/>
        </w:rPr>
        <w:t>2025</w:t>
      </w:r>
      <w:r>
        <w:rPr>
          <w:rFonts w:hint="eastAsia" w:ascii="宋体" w:hAnsi="宋体" w:cs="宋体"/>
          <w:color w:val="000000"/>
          <w:sz w:val="24"/>
          <w:szCs w:val="24"/>
          <w:highlight w:val="none"/>
        </w:rPr>
        <w:t>年</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时</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分；</w:t>
      </w:r>
    </w:p>
    <w:p w14:paraId="271A19F6">
      <w:pPr>
        <w:widowControl/>
        <w:spacing w:line="360" w:lineRule="auto"/>
        <w:ind w:left="764" w:leftChars="364" w:firstLine="1440" w:firstLineChars="600"/>
        <w:contextualSpacing/>
        <w:jc w:val="left"/>
        <w:rPr>
          <w:rFonts w:ascii="宋体" w:hAnsi="宋体" w:cs="宋体"/>
          <w:color w:val="000000"/>
          <w:sz w:val="24"/>
          <w:szCs w:val="24"/>
          <w:highlight w:val="none"/>
        </w:rPr>
      </w:pPr>
      <w:r>
        <w:rPr>
          <w:rFonts w:hint="eastAsia" w:ascii="宋体" w:hAnsi="宋体" w:cs="宋体"/>
          <w:color w:val="000000"/>
          <w:sz w:val="24"/>
          <w:szCs w:val="24"/>
          <w:highlight w:val="none"/>
        </w:rPr>
        <w:t>截止时间：</w:t>
      </w:r>
      <w:r>
        <w:rPr>
          <w:rFonts w:hint="eastAsia" w:ascii="宋体" w:hAnsi="宋体" w:cs="宋体"/>
          <w:color w:val="000000"/>
          <w:sz w:val="24"/>
          <w:szCs w:val="24"/>
          <w:highlight w:val="none"/>
          <w:u w:val="single"/>
          <w:lang w:eastAsia="zh-CN"/>
        </w:rPr>
        <w:t>2025</w:t>
      </w:r>
      <w:r>
        <w:rPr>
          <w:rFonts w:hint="eastAsia" w:ascii="宋体" w:hAnsi="宋体" w:cs="宋体"/>
          <w:color w:val="000000"/>
          <w:sz w:val="24"/>
          <w:szCs w:val="24"/>
          <w:highlight w:val="none"/>
        </w:rPr>
        <w:t>年</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rPr>
        <w:t>日</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时</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分。 </w:t>
      </w:r>
    </w:p>
    <w:p w14:paraId="18EBF51D">
      <w:pPr>
        <w:widowControl/>
        <w:spacing w:line="360" w:lineRule="auto"/>
        <w:ind w:firstLine="480"/>
        <w:contextualSpacing/>
        <w:jc w:val="left"/>
        <w:rPr>
          <w:rFonts w:ascii="宋体" w:hAnsi="宋体" w:cs="宋体"/>
          <w:color w:val="000000"/>
          <w:sz w:val="24"/>
          <w:szCs w:val="24"/>
          <w:highlight w:val="none"/>
          <w:u w:val="single"/>
        </w:rPr>
      </w:pPr>
      <w:r>
        <w:rPr>
          <w:rFonts w:hint="eastAsia" w:ascii="宋体" w:hAnsi="宋体" w:cs="宋体"/>
          <w:color w:val="000000"/>
          <w:sz w:val="24"/>
          <w:szCs w:val="24"/>
          <w:highlight w:val="none"/>
        </w:rPr>
        <w:t>3、开标开始时间：</w:t>
      </w:r>
      <w:r>
        <w:rPr>
          <w:rFonts w:hint="eastAsia" w:ascii="宋体" w:hAnsi="宋体" w:cs="宋体"/>
          <w:color w:val="000000"/>
          <w:sz w:val="24"/>
          <w:szCs w:val="24"/>
          <w:highlight w:val="none"/>
          <w:u w:val="single"/>
          <w:lang w:eastAsia="zh-CN"/>
        </w:rPr>
        <w:t>2025</w:t>
      </w:r>
      <w:r>
        <w:rPr>
          <w:rFonts w:hint="eastAsia" w:ascii="宋体" w:hAnsi="宋体" w:cs="宋体"/>
          <w:color w:val="000000"/>
          <w:sz w:val="24"/>
          <w:szCs w:val="24"/>
          <w:highlight w:val="none"/>
        </w:rPr>
        <w:t>年</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时</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分。</w:t>
      </w:r>
    </w:p>
    <w:p w14:paraId="457CFBD4">
      <w:pPr>
        <w:widowControl/>
        <w:spacing w:line="360" w:lineRule="auto"/>
        <w:ind w:firstLine="480" w:firstLineChars="200"/>
        <w:contextualSpacing/>
        <w:jc w:val="left"/>
        <w:rPr>
          <w:rFonts w:ascii="宋体" w:hAnsi="宋体" w:cs="宋体"/>
          <w:color w:val="000000"/>
          <w:sz w:val="24"/>
          <w:szCs w:val="24"/>
          <w:highlight w:val="none"/>
        </w:rPr>
      </w:pPr>
      <w:r>
        <w:rPr>
          <w:rFonts w:hint="eastAsia" w:ascii="宋体" w:hAnsi="宋体" w:cs="宋体"/>
          <w:color w:val="000000"/>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14:paraId="121F3E70">
      <w:pPr>
        <w:spacing w:line="360" w:lineRule="auto"/>
        <w:ind w:firstLine="480" w:firstLineChars="200"/>
        <w:contextualSpacing/>
        <w:rPr>
          <w:rFonts w:hint="eastAsia" w:ascii="宋体" w:hAnsi="宋体" w:cs="仿宋_GB2312"/>
          <w:color w:val="000000"/>
          <w:sz w:val="24"/>
          <w:szCs w:val="24"/>
          <w:highlight w:val="none"/>
        </w:rPr>
      </w:pPr>
      <w:r>
        <w:rPr>
          <w:rFonts w:hint="eastAsia" w:ascii="宋体" w:hAnsi="宋体" w:cs="宋体"/>
          <w:color w:val="000000"/>
          <w:sz w:val="24"/>
          <w:szCs w:val="24"/>
          <w:highlight w:val="none"/>
        </w:rPr>
        <w:t>5、</w:t>
      </w:r>
      <w:r>
        <w:rPr>
          <w:rFonts w:hint="eastAsia" w:ascii="宋体" w:hAnsi="宋体"/>
          <w:bCs/>
          <w:color w:val="000000"/>
          <w:sz w:val="24"/>
          <w:highlight w:val="none"/>
        </w:rPr>
        <w:t>投标人通过</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olor w:val="000000"/>
          <w:sz w:val="24"/>
          <w:szCs w:val="24"/>
          <w:highlight w:val="none"/>
        </w:rPr>
        <w:t>交易平台</w:t>
      </w:r>
      <w:r>
        <w:rPr>
          <w:rFonts w:hint="eastAsia" w:ascii="宋体" w:hAnsi="宋体"/>
          <w:color w:val="000000"/>
          <w:sz w:val="24"/>
          <w:highlight w:val="none"/>
        </w:rPr>
        <w:t>递交电子投标文件。</w:t>
      </w:r>
      <w:r>
        <w:rPr>
          <w:rFonts w:hint="eastAsia" w:ascii="宋体" w:hAnsi="宋体" w:cs="仿宋_GB2312"/>
          <w:color w:val="000000"/>
          <w:sz w:val="24"/>
          <w:szCs w:val="24"/>
          <w:highlight w:val="none"/>
        </w:rPr>
        <w:t>投标人应在递交投标文件截止时间前，登录</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olor w:val="000000"/>
          <w:sz w:val="24"/>
          <w:szCs w:val="24"/>
          <w:highlight w:val="none"/>
        </w:rPr>
        <w:t>交易平台</w:t>
      </w:r>
      <w:r>
        <w:rPr>
          <w:rFonts w:hint="eastAsia" w:ascii="宋体" w:hAnsi="宋体" w:cs="仿宋_GB2312"/>
          <w:color w:val="000000"/>
          <w:sz w:val="24"/>
          <w:szCs w:val="24"/>
          <w:highlight w:val="none"/>
        </w:rPr>
        <w:t>网站办理网上投标登记手续。按照</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s="仿宋_GB2312"/>
          <w:color w:val="000000"/>
          <w:sz w:val="24"/>
          <w:szCs w:val="24"/>
          <w:highlight w:val="none"/>
        </w:rPr>
        <w:t>交易平台关于全流程电子化项目的相关指南进行操作。详见：</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s="宋体"/>
          <w:color w:val="000000"/>
          <w:sz w:val="24"/>
          <w:szCs w:val="24"/>
          <w:highlight w:val="none"/>
          <w:u w:val="single"/>
        </w:rPr>
        <w:t>网站http:// www.gzggzy.cn）《建设工程全流程电子化项目操作指南》</w:t>
      </w:r>
      <w:r>
        <w:rPr>
          <w:rFonts w:hint="eastAsia" w:ascii="宋体" w:hAnsi="宋体" w:cs="仿宋_GB2312"/>
          <w:color w:val="000000"/>
          <w:sz w:val="24"/>
          <w:szCs w:val="24"/>
          <w:highlight w:val="none"/>
        </w:rPr>
        <w:t>。</w:t>
      </w:r>
    </w:p>
    <w:p w14:paraId="13BAE3A3">
      <w:pPr>
        <w:widowControl/>
        <w:spacing w:line="360" w:lineRule="auto"/>
        <w:ind w:firstLine="480" w:firstLineChars="200"/>
        <w:contextualSpacing/>
        <w:jc w:val="left"/>
        <w:rPr>
          <w:rFonts w:ascii="宋体" w:cs="宋体"/>
          <w:color w:val="000000"/>
          <w:kern w:val="0"/>
          <w:sz w:val="24"/>
          <w:szCs w:val="24"/>
          <w:highlight w:val="none"/>
        </w:rPr>
      </w:pPr>
      <w:r>
        <w:rPr>
          <w:rFonts w:hint="eastAsia" w:ascii="宋体" w:hAnsi="宋体" w:cs="宋体"/>
          <w:color w:val="000000"/>
          <w:kern w:val="0"/>
          <w:sz w:val="24"/>
          <w:szCs w:val="24"/>
          <w:highlight w:val="none"/>
        </w:rPr>
        <w:t>八、招标文件获取方式：</w:t>
      </w:r>
    </w:p>
    <w:p w14:paraId="48BD4F2A">
      <w:pPr>
        <w:widowControl/>
        <w:spacing w:line="360" w:lineRule="auto"/>
        <w:ind w:firstLine="480" w:firstLineChars="200"/>
        <w:contextualSpacing/>
        <w:jc w:val="left"/>
        <w:rPr>
          <w:rFonts w:hint="eastAsia" w:asci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rPr>
        <w:t>本项目招标文件随招标公告一并在</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olor w:val="000000"/>
          <w:sz w:val="24"/>
          <w:szCs w:val="24"/>
          <w:highlight w:val="none"/>
        </w:rPr>
        <w:t>交易平台</w:t>
      </w:r>
      <w:r>
        <w:rPr>
          <w:rFonts w:hint="eastAsia" w:ascii="宋体" w:hAnsi="宋体"/>
          <w:color w:val="000000"/>
          <w:sz w:val="24"/>
          <w:highlight w:val="none"/>
        </w:rPr>
        <w:t>网站发布。招标文件</w:t>
      </w:r>
      <w:r>
        <w:rPr>
          <w:rFonts w:hint="eastAsia" w:ascii="宋体" w:hAnsi="宋体" w:cs="宋体"/>
          <w:color w:val="000000"/>
          <w:kern w:val="0"/>
          <w:sz w:val="24"/>
          <w:szCs w:val="24"/>
          <w:highlight w:val="none"/>
        </w:rPr>
        <w:t>一经在</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olor w:val="000000"/>
          <w:sz w:val="24"/>
          <w:szCs w:val="24"/>
          <w:highlight w:val="none"/>
        </w:rPr>
        <w:t>交易平台</w:t>
      </w:r>
      <w:r>
        <w:rPr>
          <w:rFonts w:hint="eastAsia" w:ascii="宋体" w:hAnsi="宋体" w:cs="宋体"/>
          <w:color w:val="000000"/>
          <w:kern w:val="0"/>
          <w:sz w:val="24"/>
          <w:szCs w:val="24"/>
          <w:highlight w:val="none"/>
        </w:rPr>
        <w:t>发布，视为发售给投标人，招标文件由投标人自行在</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olor w:val="000000"/>
          <w:sz w:val="24"/>
          <w:szCs w:val="24"/>
          <w:highlight w:val="none"/>
        </w:rPr>
        <w:t>交易平台</w:t>
      </w:r>
      <w:r>
        <w:rPr>
          <w:rFonts w:hint="eastAsia" w:ascii="宋体" w:hAnsi="宋体" w:cs="宋体"/>
          <w:color w:val="000000"/>
          <w:kern w:val="0"/>
          <w:sz w:val="24"/>
          <w:szCs w:val="24"/>
          <w:highlight w:val="none"/>
        </w:rPr>
        <w:t>网站下载。</w:t>
      </w:r>
    </w:p>
    <w:p w14:paraId="171B81CA">
      <w:pPr>
        <w:spacing w:line="360" w:lineRule="auto"/>
        <w:ind w:firstLine="537" w:firstLineChars="224"/>
        <w:contextualSpacing/>
        <w:rPr>
          <w:rFonts w:ascii="宋体"/>
          <w:color w:val="000000"/>
          <w:sz w:val="24"/>
          <w:highlight w:val="none"/>
        </w:rPr>
      </w:pPr>
      <w:r>
        <w:rPr>
          <w:rFonts w:hint="eastAsia" w:ascii="宋体" w:hAnsi="宋体"/>
          <w:color w:val="000000"/>
          <w:sz w:val="24"/>
          <w:highlight w:val="none"/>
        </w:rPr>
        <w:t>九、投标人合格条件：</w:t>
      </w:r>
    </w:p>
    <w:p w14:paraId="64B0D20A">
      <w:pPr>
        <w:spacing w:line="360" w:lineRule="auto"/>
        <w:ind w:firstLine="537" w:firstLineChars="224"/>
        <w:contextualSpacing/>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、投标人参加投标的意思表达清楚，投标人代表被授权有效。</w:t>
      </w:r>
    </w:p>
    <w:p w14:paraId="647A9A47">
      <w:pPr>
        <w:spacing w:line="360" w:lineRule="auto"/>
        <w:ind w:firstLine="537" w:firstLineChars="224"/>
        <w:contextualSpacing/>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、投标人均具有独立法人资格，按国家法律经营。</w:t>
      </w:r>
    </w:p>
    <w:p w14:paraId="5FD50931">
      <w:pPr>
        <w:spacing w:line="360" w:lineRule="auto"/>
        <w:ind w:firstLine="537" w:firstLineChars="224"/>
        <w:contextualSpacing/>
        <w:rPr>
          <w:rFonts w:asci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、投标人均持有建设行政主管部门颁发</w:t>
      </w:r>
      <w:r>
        <w:rPr>
          <w:rFonts w:hint="eastAsia" w:ascii="宋体" w:hAnsi="宋体"/>
          <w:color w:val="000000"/>
          <w:sz w:val="24"/>
          <w:highlight w:val="none"/>
          <w:u w:val="none"/>
        </w:rPr>
        <w:t>的</w:t>
      </w:r>
      <w:r>
        <w:rPr>
          <w:rFonts w:hint="eastAsia" w:ascii="宋体" w:hAnsi="宋体"/>
          <w:color w:val="000000"/>
          <w:sz w:val="24"/>
          <w:highlight w:val="none"/>
          <w:u w:val="single"/>
        </w:rPr>
        <w:t>有效期内的</w:t>
      </w:r>
      <w:r>
        <w:rPr>
          <w:rFonts w:hint="eastAsia" w:ascii="宋体" w:hAnsi="宋体"/>
          <w:color w:val="000000"/>
          <w:sz w:val="24"/>
          <w:highlight w:val="none"/>
          <w:u w:val="none"/>
        </w:rPr>
        <w:t>企</w:t>
      </w:r>
      <w:r>
        <w:rPr>
          <w:rFonts w:hint="eastAsia" w:ascii="宋体" w:hAnsi="宋体"/>
          <w:color w:val="000000"/>
          <w:sz w:val="24"/>
          <w:highlight w:val="none"/>
        </w:rPr>
        <w:t>业资质证书及安全生产许可证；</w:t>
      </w:r>
    </w:p>
    <w:p w14:paraId="476FC3A3">
      <w:pPr>
        <w:pStyle w:val="96"/>
        <w:ind w:firstLine="539"/>
        <w:contextualSpacing/>
        <w:rPr>
          <w:rFonts w:ascii="宋体" w:hAnsi="宋体" w:eastAsia="宋体"/>
          <w:sz w:val="24"/>
          <w:szCs w:val="24"/>
          <w:highlight w:val="none"/>
        </w:rPr>
      </w:pPr>
      <w:r>
        <w:rPr>
          <w:rFonts w:ascii="宋体" w:hAnsi="宋体" w:eastAsia="宋体"/>
          <w:sz w:val="24"/>
          <w:szCs w:val="24"/>
          <w:highlight w:val="none"/>
        </w:rPr>
        <w:t>4</w:t>
      </w:r>
      <w:r>
        <w:rPr>
          <w:rFonts w:hint="eastAsia" w:ascii="宋体" w:hAnsi="宋体" w:eastAsia="宋体"/>
          <w:sz w:val="24"/>
          <w:szCs w:val="24"/>
          <w:highlight w:val="none"/>
        </w:rPr>
        <w:t>、投标人应具备以下资质：</w:t>
      </w:r>
      <w:r>
        <w:rPr>
          <w:rFonts w:ascii="宋体" w:hAnsi="宋体" w:eastAsia="宋体"/>
          <w:sz w:val="24"/>
          <w:szCs w:val="24"/>
          <w:highlight w:val="none"/>
        </w:rPr>
        <w:t xml:space="preserve"> </w:t>
      </w:r>
    </w:p>
    <w:p w14:paraId="1EBED6DC">
      <w:pPr>
        <w:pStyle w:val="96"/>
        <w:ind w:firstLine="539"/>
        <w:contextualSpacing/>
        <w:rPr>
          <w:rFonts w:ascii="宋体" w:hAnsi="宋体" w:eastAsia="宋体"/>
          <w:sz w:val="24"/>
          <w:szCs w:val="24"/>
          <w:highlight w:val="none"/>
        </w:rPr>
      </w:pPr>
      <w:r>
        <w:rPr>
          <w:rFonts w:hint="eastAsia" w:ascii="宋体" w:hAnsi="宋体" w:eastAsia="宋体"/>
          <w:sz w:val="24"/>
          <w:szCs w:val="24"/>
          <w:highlight w:val="none"/>
        </w:rPr>
        <w:t>投标人具有承接本工程所需的</w:t>
      </w:r>
      <w:r>
        <w:rPr>
          <w:rFonts w:hint="eastAsia" w:ascii="宋体" w:hAnsi="宋体" w:eastAsia="宋体"/>
          <w:sz w:val="24"/>
          <w:szCs w:val="24"/>
          <w:highlight w:val="none"/>
          <w:u w:val="single"/>
        </w:rPr>
        <w:t>市政公用工程施工总承包叁</w:t>
      </w:r>
      <w:r>
        <w:rPr>
          <w:rFonts w:hint="eastAsia" w:ascii="宋体" w:hAnsi="宋体" w:eastAsia="宋体"/>
          <w:sz w:val="24"/>
          <w:szCs w:val="24"/>
          <w:highlight w:val="none"/>
        </w:rPr>
        <w:t>级或以上级别施工总承包资质；投标人拟担任本工程项目负责人的人员为：</w:t>
      </w:r>
      <w:r>
        <w:rPr>
          <w:rFonts w:hint="eastAsia" w:ascii="宋体" w:hAnsi="宋体" w:eastAsia="宋体"/>
          <w:sz w:val="24"/>
          <w:szCs w:val="24"/>
          <w:highlight w:val="none"/>
          <w:u w:val="single"/>
        </w:rPr>
        <w:t>市政公用工程专业</w:t>
      </w:r>
      <w:r>
        <w:rPr>
          <w:rFonts w:hint="eastAsia" w:ascii="宋体" w:hAnsi="宋体" w:eastAsia="宋体"/>
          <w:sz w:val="24"/>
          <w:szCs w:val="24"/>
          <w:highlight w:val="none"/>
          <w:u w:val="single"/>
          <w:lang w:val="en-US" w:eastAsia="zh-CN"/>
        </w:rPr>
        <w:t>或机电专业</w:t>
      </w:r>
      <w:r>
        <w:rPr>
          <w:rFonts w:hint="eastAsia" w:ascii="宋体" w:hAnsi="宋体" w:eastAsia="宋体"/>
          <w:sz w:val="24"/>
          <w:szCs w:val="24"/>
          <w:highlight w:val="none"/>
          <w:u w:val="single"/>
          <w:lang w:eastAsia="zh-CN"/>
        </w:rPr>
        <w:t>贰</w:t>
      </w:r>
      <w:r>
        <w:rPr>
          <w:rFonts w:hint="eastAsia" w:ascii="宋体" w:hAnsi="宋体" w:eastAsia="宋体"/>
          <w:sz w:val="24"/>
          <w:szCs w:val="24"/>
          <w:highlight w:val="none"/>
        </w:rPr>
        <w:t>级或以上级别的注册建造师；</w:t>
      </w:r>
    </w:p>
    <w:p w14:paraId="5AE05D01">
      <w:pPr>
        <w:pStyle w:val="96"/>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1466A583">
      <w:pPr>
        <w:pStyle w:val="96"/>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等相关规定。根据上述文件的要求，投标人需办理企业资质有效期延续的，应当按照相关规定及时办理。</w:t>
      </w:r>
      <w:r>
        <w:rPr>
          <w:rFonts w:hint="eastAsia" w:ascii="宋体" w:hAnsi="宋体" w:eastAsia="宋体" w:cs="宋体"/>
          <w:sz w:val="24"/>
          <w:szCs w:val="24"/>
          <w:highlight w:val="none"/>
          <w:u w:val="single"/>
        </w:rPr>
        <w:t>招标期间如行政主管部门对建设工程企业资质有效期发布新规定的，按新规定相应调整执行。</w:t>
      </w:r>
    </w:p>
    <w:p w14:paraId="5FFB15D9">
      <w:pPr>
        <w:pStyle w:val="96"/>
        <w:ind w:firstLine="480" w:firstLineChars="200"/>
        <w:contextualSpacing/>
        <w:rPr>
          <w:rFonts w:hint="eastAsia" w:ascii="宋体" w:hAnsi="宋体" w:eastAsia="宋体" w:cs="宋体"/>
          <w:sz w:val="24"/>
          <w:szCs w:val="24"/>
          <w:highlight w:val="none"/>
          <w:u w:val="none"/>
        </w:rPr>
      </w:pPr>
      <w:r>
        <w:rPr>
          <w:rFonts w:hint="eastAsia" w:ascii="宋体" w:hAnsi="宋体" w:eastAsia="宋体" w:cs="宋体"/>
          <w:sz w:val="24"/>
          <w:szCs w:val="24"/>
          <w:highlight w:val="none"/>
        </w:rPr>
        <w:t>②</w:t>
      </w:r>
      <w:r>
        <w:rPr>
          <w:rFonts w:hint="eastAsia" w:ascii="宋体" w:hAnsi="宋体" w:eastAsia="宋体" w:cs="宋体"/>
          <w:sz w:val="24"/>
          <w:szCs w:val="24"/>
          <w:highlight w:val="none"/>
          <w:u w:val="none"/>
        </w:rPr>
        <w:t>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026A3676">
      <w:pPr>
        <w:pStyle w:val="96"/>
        <w:ind w:firstLine="480" w:firstLineChars="200"/>
        <w:contextualSpacing/>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0915AC76">
      <w:pPr>
        <w:pStyle w:val="96"/>
        <w:ind w:firstLine="480" w:firstLineChars="200"/>
        <w:contextualSpacing/>
        <w:rPr>
          <w:rFonts w:ascii="宋体" w:hAnsi="宋体" w:eastAsia="宋体"/>
          <w:sz w:val="24"/>
          <w:szCs w:val="24"/>
          <w:highlight w:val="none"/>
        </w:rPr>
      </w:pPr>
      <w:r>
        <w:rPr>
          <w:rFonts w:hint="eastAsia" w:ascii="宋体" w:hAnsi="宋体" w:eastAsia="宋体" w:cs="宋体"/>
          <w:sz w:val="24"/>
          <w:szCs w:val="24"/>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5CB4BCF9">
      <w:pPr>
        <w:pStyle w:val="96"/>
        <w:ind w:firstLine="480" w:firstLineChars="200"/>
        <w:contextualSpacing/>
        <w:rPr>
          <w:rFonts w:ascii="宋体" w:hAnsi="宋体" w:eastAsia="宋体"/>
          <w:sz w:val="24"/>
          <w:szCs w:val="24"/>
          <w:highlight w:val="none"/>
        </w:rPr>
      </w:pPr>
      <w:r>
        <w:rPr>
          <w:rFonts w:ascii="宋体" w:hAnsi="宋体" w:eastAsia="宋体"/>
          <w:sz w:val="24"/>
          <w:szCs w:val="24"/>
          <w:highlight w:val="none"/>
        </w:rPr>
        <w:t>5</w:t>
      </w:r>
      <w:r>
        <w:rPr>
          <w:rFonts w:hint="eastAsia" w:ascii="宋体" w:hAnsi="宋体" w:eastAsia="宋体"/>
          <w:sz w:val="24"/>
          <w:szCs w:val="24"/>
          <w:highlight w:val="none"/>
        </w:rPr>
        <w:t>、项目负责人持有</w:t>
      </w:r>
      <w:r>
        <w:rPr>
          <w:rFonts w:hint="eastAsia" w:ascii="宋体" w:hAnsi="宋体" w:eastAsia="宋体"/>
          <w:sz w:val="24"/>
          <w:szCs w:val="24"/>
          <w:highlight w:val="none"/>
          <w:u w:val="single"/>
        </w:rPr>
        <w:t>在有效期内的</w:t>
      </w:r>
      <w:r>
        <w:rPr>
          <w:rFonts w:hint="eastAsia" w:ascii="宋体" w:hAnsi="宋体" w:eastAsia="宋体"/>
          <w:sz w:val="24"/>
          <w:szCs w:val="24"/>
          <w:highlight w:val="none"/>
        </w:rPr>
        <w:t>安全生产考核合格证（B类）或建筑施工企业项目负责人安全生产考核合格证书；</w:t>
      </w:r>
    </w:p>
    <w:p w14:paraId="6157FB00">
      <w:pPr>
        <w:pStyle w:val="96"/>
        <w:ind w:firstLine="480" w:firstLineChars="200"/>
        <w:contextualSpacing/>
        <w:rPr>
          <w:rFonts w:ascii="宋体" w:hAnsi="宋体" w:eastAsia="宋体"/>
          <w:sz w:val="24"/>
          <w:szCs w:val="24"/>
          <w:highlight w:val="none"/>
          <w:u w:val="single"/>
        </w:rPr>
      </w:pPr>
      <w:r>
        <w:rPr>
          <w:rFonts w:hint="eastAsia" w:ascii="宋体" w:hAnsi="宋体" w:eastAsia="宋体"/>
          <w:sz w:val="24"/>
          <w:szCs w:val="24"/>
          <w:highlight w:val="none"/>
        </w:rPr>
        <w:t>6、投标人拟担任本工程技术负责人的资格要求为：</w:t>
      </w:r>
      <w:r>
        <w:rPr>
          <w:rFonts w:hint="eastAsia" w:ascii="宋体" w:hAnsi="Calibri" w:eastAsia="宋体"/>
          <w:kern w:val="2"/>
          <w:sz w:val="24"/>
          <w:szCs w:val="22"/>
          <w:highlight w:val="none"/>
          <w:u w:val="single"/>
        </w:rPr>
        <w:t>市政</w:t>
      </w:r>
      <w:r>
        <w:rPr>
          <w:rFonts w:hint="eastAsia" w:ascii="宋体" w:hAnsi="Calibri" w:eastAsia="宋体"/>
          <w:kern w:val="2"/>
          <w:sz w:val="24"/>
          <w:szCs w:val="22"/>
          <w:highlight w:val="none"/>
          <w:u w:val="single"/>
          <w:lang w:val="en-US" w:eastAsia="zh-CN"/>
        </w:rPr>
        <w:t>类或电气或机电相关专业中级或以上工程师职称。</w:t>
      </w:r>
    </w:p>
    <w:p w14:paraId="36758385">
      <w:pPr>
        <w:spacing w:line="360" w:lineRule="auto"/>
        <w:ind w:firstLine="537" w:firstLineChars="224"/>
        <w:contextualSpacing/>
        <w:rPr>
          <w:rFonts w:hint="eastAsia" w:ascii="宋体" w:hAnsi="宋体"/>
          <w:color w:val="000000"/>
          <w:kern w:val="0"/>
          <w:sz w:val="24"/>
          <w:highlight w:val="none"/>
        </w:rPr>
      </w:pPr>
      <w:r>
        <w:rPr>
          <w:rFonts w:hint="eastAsia" w:ascii="宋体" w:hAnsi="宋体"/>
          <w:color w:val="000000"/>
          <w:kern w:val="0"/>
          <w:sz w:val="24"/>
          <w:highlight w:val="none"/>
        </w:rPr>
        <w:t>7、</w:t>
      </w:r>
      <w:r>
        <w:rPr>
          <w:rFonts w:hint="eastAsia" w:ascii="宋体" w:hAnsi="宋体"/>
          <w:color w:val="000000"/>
          <w:sz w:val="24"/>
          <w:szCs w:val="24"/>
          <w:highlight w:val="none"/>
        </w:rPr>
        <w:t>专职安全员须具有</w:t>
      </w:r>
      <w:r>
        <w:rPr>
          <w:rFonts w:hint="eastAsia" w:ascii="宋体" w:hAnsi="宋体"/>
          <w:sz w:val="24"/>
          <w:szCs w:val="24"/>
          <w:highlight w:val="none"/>
          <w:u w:val="single"/>
        </w:rPr>
        <w:t>在有效期内的</w:t>
      </w:r>
      <w:r>
        <w:rPr>
          <w:rFonts w:hint="eastAsia" w:ascii="宋体" w:hAnsi="宋体"/>
          <w:color w:val="000000"/>
          <w:sz w:val="24"/>
          <w:szCs w:val="24"/>
          <w:highlight w:val="none"/>
        </w:rPr>
        <w:t>安全生产考核合格证（C类）或建筑施工企业专职安全生产管理人员安全生产考核合格证书（C3类）</w:t>
      </w:r>
      <w:r>
        <w:rPr>
          <w:rFonts w:hint="eastAsia" w:ascii="宋体" w:hAnsi="宋体"/>
          <w:color w:val="000000"/>
          <w:kern w:val="0"/>
          <w:sz w:val="24"/>
          <w:highlight w:val="none"/>
        </w:rPr>
        <w:t>。</w:t>
      </w:r>
    </w:p>
    <w:p w14:paraId="6102285E">
      <w:pPr>
        <w:spacing w:line="360" w:lineRule="auto"/>
        <w:ind w:firstLine="537" w:firstLineChars="224"/>
        <w:contextualSpacing/>
        <w:rPr>
          <w:rFonts w:ascii="宋体"/>
          <w:color w:val="000000"/>
          <w:sz w:val="24"/>
          <w:highlight w:val="none"/>
        </w:rPr>
      </w:pPr>
      <w:r>
        <w:rPr>
          <w:rFonts w:hint="eastAsia" w:ascii="宋体" w:hAnsi="宋体" w:cs="宋体"/>
          <w:color w:val="000000"/>
          <w:sz w:val="24"/>
          <w:szCs w:val="24"/>
          <w:highlight w:val="none"/>
        </w:rPr>
        <w:t>8、</w:t>
      </w:r>
      <w:r>
        <w:rPr>
          <w:rFonts w:hint="eastAsia" w:ascii="宋体" w:hAnsi="宋体"/>
          <w:color w:val="000000"/>
          <w:sz w:val="24"/>
          <w:highlight w:val="none"/>
        </w:rPr>
        <w:t>投标人已按照附件一的内容签署盖章的投标人声明。</w:t>
      </w:r>
    </w:p>
    <w:p w14:paraId="54467866">
      <w:pPr>
        <w:spacing w:line="360" w:lineRule="auto"/>
        <w:ind w:firstLine="537" w:firstLineChars="224"/>
        <w:contextualSpacing/>
        <w:rPr>
          <w:rFonts w:ascii="宋体"/>
          <w:color w:val="000000"/>
          <w:sz w:val="24"/>
          <w:highlight w:val="none"/>
        </w:rPr>
      </w:pPr>
      <w:r>
        <w:rPr>
          <w:rFonts w:hint="eastAsia" w:ascii="宋体" w:hAnsi="宋体"/>
          <w:color w:val="000000"/>
          <w:sz w:val="24"/>
          <w:szCs w:val="24"/>
          <w:highlight w:val="none"/>
        </w:rPr>
        <w:t>9、关于联合体投标：</w:t>
      </w:r>
      <w:r>
        <w:rPr>
          <w:rFonts w:hint="eastAsia" w:ascii="宋体" w:hAnsi="宋体" w:cs="宋体"/>
          <w:color w:val="000000"/>
          <w:sz w:val="24"/>
          <w:szCs w:val="24"/>
          <w:highlight w:val="none"/>
          <w:u w:val="single"/>
        </w:rPr>
        <w:t>本项目不接受联合体投标。</w:t>
      </w:r>
    </w:p>
    <w:p w14:paraId="67F25449">
      <w:pPr>
        <w:spacing w:line="360" w:lineRule="auto"/>
        <w:ind w:firstLine="537" w:firstLineChars="224"/>
        <w:contextualSpacing/>
        <w:rPr>
          <w:rFonts w:hint="eastAsia" w:ascii="宋体" w:hAnsi="宋体"/>
          <w:color w:val="000000"/>
          <w:sz w:val="24"/>
          <w:highlight w:val="none"/>
        </w:rPr>
      </w:pPr>
      <w:r>
        <w:rPr>
          <w:rFonts w:hint="eastAsia" w:ascii="宋体" w:hAnsi="宋体"/>
          <w:color w:val="000000"/>
          <w:sz w:val="24"/>
          <w:highlight w:val="none"/>
        </w:rPr>
        <w:t>10、</w:t>
      </w:r>
      <w:r>
        <w:rPr>
          <w:rFonts w:hint="eastAsia" w:ascii="宋体" w:hAnsi="宋体"/>
          <w:color w:val="000000"/>
          <w:sz w:val="24"/>
          <w:highlight w:val="none"/>
          <w:u w:val="single"/>
        </w:rPr>
        <w:t>投标登记前，投标人须在</w:t>
      </w:r>
      <w:r>
        <w:rPr>
          <w:rFonts w:hint="eastAsia" w:ascii="宋体" w:hAnsi="宋体"/>
          <w:color w:val="000000"/>
          <w:sz w:val="24"/>
          <w:highlight w:val="none"/>
          <w:u w:val="single"/>
          <w:lang w:eastAsia="zh-CN"/>
        </w:rPr>
        <w:t>广州交易集团有限公司（广州公共资源交易中心）</w:t>
      </w:r>
      <w:r>
        <w:rPr>
          <w:rFonts w:hint="eastAsia" w:ascii="宋体" w:hAnsi="宋体"/>
          <w:color w:val="000000"/>
          <w:sz w:val="24"/>
          <w:highlight w:val="none"/>
          <w:u w:val="single"/>
        </w:rPr>
        <w:t>企业库办理企业信息登记及拟担任本工程项目负责人、专职安全员须是本企业信息登记中的在册人员。企业信息取自投标截止时间投标人在</w:t>
      </w:r>
      <w:r>
        <w:rPr>
          <w:rFonts w:hint="eastAsia" w:ascii="宋体" w:hAnsi="宋体"/>
          <w:color w:val="000000"/>
          <w:sz w:val="24"/>
          <w:highlight w:val="none"/>
          <w:u w:val="single"/>
          <w:lang w:eastAsia="zh-CN"/>
        </w:rPr>
        <w:t>广州交易集团有限公司（广州公共资源交易中心）</w:t>
      </w:r>
      <w:r>
        <w:rPr>
          <w:rFonts w:hint="eastAsia" w:ascii="宋体" w:hAnsi="宋体"/>
          <w:color w:val="000000"/>
          <w:sz w:val="24"/>
          <w:highlight w:val="none"/>
          <w:u w:val="single"/>
        </w:rPr>
        <w:t>企业库内登记的信息，若招标人延长递交投标文件截止时间的，企业信息的评审时点也相应延长。</w:t>
      </w:r>
    </w:p>
    <w:p w14:paraId="0328037C">
      <w:pPr>
        <w:spacing w:line="360" w:lineRule="auto"/>
        <w:ind w:firstLine="537" w:firstLineChars="224"/>
        <w:contextualSpacing/>
        <w:rPr>
          <w:rFonts w:hint="eastAsia" w:ascii="宋体" w:hAnsi="宋体"/>
          <w:color w:val="000000"/>
          <w:sz w:val="24"/>
          <w:highlight w:val="none"/>
          <w:u w:val="single"/>
        </w:rPr>
      </w:pPr>
      <w:r>
        <w:rPr>
          <w:rFonts w:hint="eastAsia" w:ascii="宋体" w:hAnsi="宋体"/>
          <w:color w:val="000000"/>
          <w:sz w:val="24"/>
          <w:highlight w:val="none"/>
          <w:u w:val="none"/>
        </w:rPr>
        <w:t>11、</w:t>
      </w:r>
      <w:r>
        <w:rPr>
          <w:rFonts w:hint="eastAsia" w:ascii="宋体" w:hAnsi="宋体"/>
          <w:color w:val="000000"/>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s="宋体"/>
          <w:color w:val="000000"/>
          <w:sz w:val="24"/>
          <w:szCs w:val="24"/>
          <w:highlight w:val="none"/>
          <w:u w:val="single"/>
        </w:rPr>
        <w:t>均按不符合投标人合格条件处理</w:t>
      </w:r>
      <w:r>
        <w:rPr>
          <w:rFonts w:hint="eastAsia" w:ascii="宋体" w:hAnsi="宋体"/>
          <w:color w:val="000000"/>
          <w:sz w:val="24"/>
          <w:szCs w:val="24"/>
          <w:highlight w:val="none"/>
        </w:rPr>
        <w:t>。</w:t>
      </w:r>
    </w:p>
    <w:p w14:paraId="1D2B0EBD">
      <w:pPr>
        <w:spacing w:line="440" w:lineRule="exact"/>
        <w:ind w:firstLine="537" w:firstLineChars="224"/>
        <w:jc w:val="left"/>
        <w:rPr>
          <w:rFonts w:hint="eastAsia" w:ascii="宋体" w:hAnsi="宋体"/>
          <w:color w:val="000000"/>
          <w:sz w:val="24"/>
          <w:highlight w:val="none"/>
        </w:rPr>
      </w:pPr>
      <w:r>
        <w:rPr>
          <w:rFonts w:ascii="宋体" w:hAnsi="宋体"/>
          <w:color w:val="000000"/>
          <w:sz w:val="24"/>
          <w:highlight w:val="none"/>
          <w:u w:val="none"/>
        </w:rPr>
        <w:t>1</w:t>
      </w:r>
      <w:r>
        <w:rPr>
          <w:rFonts w:hint="eastAsia" w:ascii="宋体" w:hAnsi="宋体"/>
          <w:color w:val="000000"/>
          <w:sz w:val="24"/>
          <w:highlight w:val="none"/>
          <w:u w:val="none"/>
        </w:rPr>
        <w:t>2、</w:t>
      </w:r>
      <w:r>
        <w:rPr>
          <w:rFonts w:hint="eastAsia" w:ascii="宋体" w:hAnsi="宋体" w:cs="宋体"/>
          <w:sz w:val="24"/>
          <w:szCs w:val="24"/>
          <w:highlight w:val="none"/>
        </w:rPr>
        <w:t>未被列入拖欠农民工工资失信联合惩戒对象名单。</w:t>
      </w:r>
      <w:r>
        <w:rPr>
          <w:rFonts w:hint="eastAsia" w:ascii="宋体" w:hAnsi="宋体" w:cs="宋体"/>
          <w:sz w:val="24"/>
          <w:szCs w:val="24"/>
          <w:highlight w:val="none"/>
          <w:u w:val="single"/>
        </w:rPr>
        <w:t>（按投标截止时间交易系统比对的结果进行评审）</w:t>
      </w:r>
    </w:p>
    <w:p w14:paraId="646052F5">
      <w:pPr>
        <w:ind w:firstLine="537" w:firstLineChars="224"/>
        <w:rPr>
          <w:rFonts w:ascii="宋体"/>
          <w:color w:val="000000"/>
          <w:sz w:val="24"/>
          <w:highlight w:val="none"/>
        </w:rPr>
      </w:pPr>
      <w:r>
        <w:rPr>
          <w:rFonts w:hint="eastAsia" w:ascii="宋体" w:hAnsi="宋体"/>
          <w:color w:val="000000"/>
          <w:sz w:val="24"/>
          <w:highlight w:val="none"/>
        </w:rPr>
        <w:t>注：未在招标公告第九条单列的资审合格条件，不作为资审不合格的依据。</w:t>
      </w:r>
    </w:p>
    <w:p w14:paraId="4047BF3B">
      <w:pPr>
        <w:spacing w:line="360" w:lineRule="auto"/>
        <w:ind w:firstLine="480" w:firstLineChars="200"/>
        <w:contextualSpacing/>
        <w:rPr>
          <w:rFonts w:ascii="宋体" w:cs="宋体"/>
          <w:color w:val="000000"/>
          <w:sz w:val="24"/>
          <w:szCs w:val="24"/>
          <w:highlight w:val="none"/>
        </w:rPr>
      </w:pPr>
      <w:r>
        <w:rPr>
          <w:rFonts w:hint="eastAsia" w:ascii="宋体" w:hAnsi="宋体" w:cs="宋体"/>
          <w:color w:val="000000"/>
          <w:sz w:val="24"/>
          <w:szCs w:val="24"/>
          <w:highlight w:val="none"/>
        </w:rPr>
        <w:t>十、资格审查方式：</w:t>
      </w:r>
    </w:p>
    <w:p w14:paraId="7696025C">
      <w:pPr>
        <w:widowControl/>
        <w:spacing w:line="360" w:lineRule="auto"/>
        <w:ind w:firstLine="480" w:firstLineChars="200"/>
        <w:contextualSpacing/>
        <w:rPr>
          <w:rFonts w:ascii="宋体" w:cs="宋体"/>
          <w:color w:val="000000"/>
          <w:sz w:val="24"/>
          <w:szCs w:val="24"/>
          <w:highlight w:val="none"/>
        </w:rPr>
      </w:pPr>
      <w:r>
        <w:rPr>
          <w:rFonts w:hint="eastAsia" w:ascii="宋体" w:hAnsi="宋体" w:cs="宋体"/>
          <w:color w:val="000000"/>
          <w:sz w:val="24"/>
          <w:szCs w:val="24"/>
          <w:highlight w:val="none"/>
        </w:rPr>
        <w:t>本工程采用资格后审方式，由评标委员会负责资格审查</w:t>
      </w:r>
      <w:r>
        <w:rPr>
          <w:rFonts w:hint="eastAsia" w:ascii="宋体" w:hAnsi="宋体" w:cs="宋体"/>
          <w:color w:val="000000"/>
          <w:sz w:val="24"/>
          <w:szCs w:val="24"/>
          <w:highlight w:val="none"/>
          <w:u w:val="single"/>
        </w:rPr>
        <w:t>及评标工作</w:t>
      </w:r>
      <w:r>
        <w:rPr>
          <w:rFonts w:hint="eastAsia" w:ascii="宋体" w:hAnsi="宋体" w:cs="宋体"/>
          <w:color w:val="000000"/>
          <w:sz w:val="24"/>
          <w:szCs w:val="24"/>
          <w:highlight w:val="none"/>
        </w:rPr>
        <w:t>。</w:t>
      </w:r>
    </w:p>
    <w:p w14:paraId="3EBD9878">
      <w:pPr>
        <w:spacing w:line="360" w:lineRule="auto"/>
        <w:ind w:left="0" w:leftChars="0" w:firstLine="420" w:firstLineChars="175"/>
        <w:contextualSpacing/>
        <w:rPr>
          <w:rFonts w:ascii="宋体" w:hAnsi="宋体"/>
          <w:color w:val="000000"/>
          <w:sz w:val="24"/>
          <w:highlight w:val="none"/>
        </w:rPr>
      </w:pPr>
      <w:r>
        <w:rPr>
          <w:rFonts w:hint="eastAsia" w:ascii="宋体" w:hAnsi="宋体"/>
          <w:color w:val="000000"/>
          <w:sz w:val="24"/>
          <w:highlight w:val="none"/>
        </w:rPr>
        <w:t>十一、资格审查结果将在</w:t>
      </w:r>
      <w:r>
        <w:rPr>
          <w:rFonts w:hint="eastAsia" w:ascii="宋体" w:hAnsi="宋体" w:cs="宋体"/>
          <w:color w:val="000000"/>
          <w:sz w:val="24"/>
          <w:szCs w:val="24"/>
          <w:highlight w:val="none"/>
          <w:u w:val="single"/>
          <w:lang w:eastAsia="zh-CN"/>
        </w:rPr>
        <w:t>广州交易集团有限公司（广州公共资源交易中心）</w:t>
      </w:r>
      <w:r>
        <w:rPr>
          <w:rFonts w:hint="eastAsia" w:ascii="宋体" w:hAnsi="宋体"/>
          <w:color w:val="000000"/>
          <w:sz w:val="24"/>
          <w:szCs w:val="24"/>
          <w:highlight w:val="none"/>
        </w:rPr>
        <w:t>交易平台</w:t>
      </w:r>
      <w:r>
        <w:rPr>
          <w:rFonts w:hint="eastAsia" w:ascii="宋体" w:hAnsi="宋体"/>
          <w:color w:val="000000"/>
          <w:sz w:val="24"/>
          <w:highlight w:val="none"/>
        </w:rPr>
        <w:t>和广东省招标投标监管网公示，</w:t>
      </w:r>
      <w:r>
        <w:rPr>
          <w:rFonts w:hint="eastAsia" w:ascii="宋体" w:hAnsi="宋体"/>
          <w:bCs/>
          <w:color w:val="000000"/>
          <w:sz w:val="24"/>
          <w:highlight w:val="none"/>
        </w:rPr>
        <w:t>公示时间不得少于3日。</w:t>
      </w:r>
    </w:p>
    <w:p w14:paraId="590D08D5">
      <w:pPr>
        <w:spacing w:line="360" w:lineRule="auto"/>
        <w:ind w:firstLine="480"/>
        <w:contextualSpacing/>
        <w:rPr>
          <w:rFonts w:hint="eastAsia" w:ascii="宋体" w:hAnsi="宋体"/>
          <w:color w:val="000000"/>
          <w:sz w:val="24"/>
          <w:highlight w:val="none"/>
        </w:rPr>
      </w:pPr>
      <w:r>
        <w:rPr>
          <w:rFonts w:hint="eastAsia" w:ascii="宋体" w:hAnsi="宋体"/>
          <w:color w:val="000000"/>
          <w:sz w:val="24"/>
          <w:highlight w:val="none"/>
        </w:rPr>
        <w:t>十二、满足资格审查合格条件的投标人不足 3 名或通过有效性审查的投标人不足3名时为招标失败。招标人分析招标失败原因，修正招标方案，报有关管理部门核准后，重新组织招标。</w:t>
      </w:r>
    </w:p>
    <w:p w14:paraId="4FB6381B">
      <w:pPr>
        <w:spacing w:line="360" w:lineRule="auto"/>
        <w:ind w:firstLine="480"/>
        <w:contextualSpacing/>
        <w:rPr>
          <w:rFonts w:ascii="宋体" w:hAnsi="宋体"/>
          <w:color w:val="000000"/>
          <w:sz w:val="24"/>
          <w:highlight w:val="none"/>
          <w:u w:val="single"/>
        </w:rPr>
      </w:pPr>
      <w:r>
        <w:rPr>
          <w:rFonts w:hint="eastAsia" w:ascii="宋体" w:hAnsi="宋体" w:cs="宋体"/>
          <w:color w:val="000000"/>
          <w:sz w:val="24"/>
          <w:szCs w:val="24"/>
          <w:highlight w:val="none"/>
        </w:rPr>
        <w:t>十三、</w:t>
      </w:r>
      <w:r>
        <w:rPr>
          <w:rFonts w:hint="eastAsia" w:ascii="宋体" w:hAnsi="宋体"/>
          <w:color w:val="000000"/>
          <w:sz w:val="24"/>
          <w:highlight w:val="non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8663EDB">
      <w:pPr>
        <w:spacing w:line="360" w:lineRule="auto"/>
        <w:ind w:firstLine="480" w:firstLineChars="200"/>
        <w:contextualSpacing/>
        <w:rPr>
          <w:rFonts w:hint="eastAsia" w:ascii="宋体" w:hAnsi="宋体"/>
          <w:color w:val="000000"/>
          <w:sz w:val="24"/>
          <w:highlight w:val="none"/>
          <w:u w:val="single"/>
        </w:rPr>
      </w:pPr>
      <w:r>
        <w:rPr>
          <w:rFonts w:hint="eastAsia" w:ascii="宋体" w:hAnsi="宋体"/>
          <w:color w:val="000000"/>
          <w:sz w:val="24"/>
          <w:highlight w:val="none"/>
        </w:rPr>
        <w:t>十四、</w:t>
      </w:r>
      <w:r>
        <w:rPr>
          <w:rFonts w:hint="eastAsia" w:ascii="宋体" w:hAnsi="宋体"/>
          <w:color w:val="000000"/>
          <w:sz w:val="24"/>
          <w:highlight w:val="none"/>
          <w:u w:val="single"/>
        </w:rPr>
        <w:t>投标文件全部采用电子文档，投标人按招标文件要求提交投标文件。</w:t>
      </w:r>
    </w:p>
    <w:p w14:paraId="3BFBFAF9">
      <w:pPr>
        <w:spacing w:line="360" w:lineRule="auto"/>
        <w:ind w:firstLine="480" w:firstLineChars="200"/>
        <w:contextualSpacing/>
        <w:rPr>
          <w:rFonts w:hint="eastAsia" w:ascii="宋体" w:hAnsi="宋体"/>
          <w:color w:val="000000"/>
          <w:sz w:val="24"/>
          <w:highlight w:val="none"/>
          <w:u w:val="none"/>
        </w:rPr>
      </w:pPr>
      <w:r>
        <w:rPr>
          <w:rFonts w:hint="eastAsia" w:ascii="宋体" w:hAnsi="宋体"/>
          <w:color w:val="000000"/>
          <w:sz w:val="24"/>
          <w:highlight w:val="none"/>
          <w:u w:val="non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4CA68DE1">
      <w:pPr>
        <w:spacing w:line="360" w:lineRule="auto"/>
        <w:ind w:firstLine="537" w:firstLineChars="224"/>
        <w:contextualSpacing/>
        <w:rPr>
          <w:rFonts w:hint="eastAsia" w:ascii="宋体" w:hAnsi="宋体"/>
          <w:color w:val="000000"/>
          <w:sz w:val="24"/>
          <w:highlight w:val="none"/>
        </w:rPr>
      </w:pPr>
      <w:r>
        <w:rPr>
          <w:rFonts w:hint="eastAsia" w:ascii="宋体" w:hAnsi="宋体" w:cs="宋体"/>
          <w:color w:val="000000"/>
          <w:sz w:val="24"/>
          <w:szCs w:val="24"/>
          <w:highlight w:val="none"/>
        </w:rPr>
        <w:t>十五、潜在投标人或利害关系人对本招标公告及招标文件有异议的，应当在投标截止时间10日前向招标人书面提出。</w:t>
      </w:r>
    </w:p>
    <w:p w14:paraId="5A927467">
      <w:pPr>
        <w:spacing w:line="360" w:lineRule="auto"/>
        <w:ind w:firstLine="537" w:firstLineChars="224"/>
        <w:contextualSpacing/>
        <w:rPr>
          <w:rFonts w:hint="eastAsia" w:ascii="宋体" w:hAnsi="宋体" w:eastAsia="宋体"/>
          <w:color w:val="000000"/>
          <w:sz w:val="24"/>
          <w:highlight w:val="none"/>
          <w:u w:val="single"/>
          <w:lang w:eastAsia="zh-CN"/>
        </w:rPr>
      </w:pPr>
      <w:r>
        <w:rPr>
          <w:rFonts w:hint="eastAsia" w:ascii="宋体" w:hAnsi="宋体"/>
          <w:color w:val="000000"/>
          <w:sz w:val="24"/>
          <w:highlight w:val="none"/>
        </w:rPr>
        <w:t>异议受理部门：</w:t>
      </w:r>
      <w:r>
        <w:rPr>
          <w:rFonts w:hint="eastAsia" w:ascii="宋体" w:hAnsi="宋体"/>
          <w:color w:val="000000"/>
          <w:sz w:val="24"/>
          <w:highlight w:val="none"/>
          <w:u w:val="single"/>
          <w:lang w:eastAsia="zh-CN"/>
        </w:rPr>
        <w:t>广州开发区市政设施管理中心</w:t>
      </w:r>
    </w:p>
    <w:p w14:paraId="54A38693">
      <w:pPr>
        <w:spacing w:line="360" w:lineRule="auto"/>
        <w:ind w:firstLine="537" w:firstLineChars="224"/>
        <w:contextualSpacing/>
        <w:rPr>
          <w:rFonts w:hint="eastAsia" w:ascii="宋体" w:hAnsi="宋体"/>
          <w:color w:val="000000"/>
          <w:sz w:val="24"/>
          <w:highlight w:val="none"/>
          <w:u w:val="single"/>
        </w:rPr>
      </w:pPr>
      <w:r>
        <w:rPr>
          <w:rFonts w:hint="eastAsia" w:ascii="宋体" w:hAnsi="宋体"/>
          <w:color w:val="000000"/>
          <w:sz w:val="24"/>
          <w:highlight w:val="none"/>
          <w:u w:val="none"/>
        </w:rPr>
        <w:t>异议受理电话：</w:t>
      </w:r>
      <w:r>
        <w:rPr>
          <w:rFonts w:hint="eastAsia" w:ascii="宋体" w:hAnsi="宋体"/>
          <w:color w:val="000000"/>
          <w:sz w:val="24"/>
          <w:highlight w:val="none"/>
          <w:u w:val="single"/>
          <w:lang w:val="en-US" w:eastAsia="zh-CN"/>
        </w:rPr>
        <w:t xml:space="preserve">020-32038365 </w:t>
      </w:r>
      <w:r>
        <w:rPr>
          <w:rFonts w:hint="eastAsia" w:ascii="宋体" w:hAnsi="宋体"/>
          <w:color w:val="000000"/>
          <w:sz w:val="24"/>
          <w:highlight w:val="none"/>
          <w:u w:val="none"/>
        </w:rPr>
        <w:t xml:space="preserve">  联系人：</w:t>
      </w:r>
      <w:r>
        <w:rPr>
          <w:rFonts w:hint="eastAsia" w:ascii="宋体" w:hAnsi="宋体"/>
          <w:color w:val="000000"/>
          <w:sz w:val="24"/>
          <w:highlight w:val="none"/>
          <w:u w:val="single"/>
        </w:rPr>
        <w:t>张工</w:t>
      </w:r>
    </w:p>
    <w:p w14:paraId="2137B30A">
      <w:pPr>
        <w:spacing w:line="360" w:lineRule="auto"/>
        <w:ind w:firstLine="537" w:firstLineChars="224"/>
        <w:contextualSpacing/>
        <w:rPr>
          <w:rFonts w:hint="eastAsia" w:ascii="宋体" w:hAnsi="宋体"/>
          <w:color w:val="000000"/>
          <w:sz w:val="24"/>
          <w:highlight w:val="none"/>
          <w:u w:val="single"/>
        </w:rPr>
      </w:pPr>
      <w:r>
        <w:rPr>
          <w:rFonts w:hint="eastAsia" w:ascii="宋体" w:hAnsi="宋体"/>
          <w:color w:val="000000"/>
          <w:sz w:val="24"/>
          <w:highlight w:val="none"/>
          <w:u w:val="none"/>
        </w:rPr>
        <w:t>地址：</w:t>
      </w:r>
      <w:r>
        <w:rPr>
          <w:rFonts w:hint="eastAsia" w:ascii="宋体" w:hAnsi="宋体"/>
          <w:color w:val="000000"/>
          <w:sz w:val="24"/>
          <w:highlight w:val="none"/>
          <w:u w:val="single"/>
        </w:rPr>
        <w:t>广州市黄埔区建业一路7号</w:t>
      </w:r>
    </w:p>
    <w:p w14:paraId="7CF41D43">
      <w:pPr>
        <w:spacing w:line="360" w:lineRule="auto"/>
        <w:ind w:firstLine="537" w:firstLineChars="224"/>
        <w:contextualSpacing/>
        <w:rPr>
          <w:rFonts w:hint="eastAsia" w:ascii="宋体"/>
          <w:color w:val="000000"/>
          <w:sz w:val="24"/>
          <w:highlight w:val="none"/>
          <w:u w:val="single"/>
        </w:rPr>
      </w:pPr>
      <w:r>
        <w:rPr>
          <w:rFonts w:hint="eastAsia" w:ascii="宋体" w:hAnsi="宋体"/>
          <w:color w:val="000000"/>
          <w:sz w:val="24"/>
          <w:highlight w:val="none"/>
          <w:u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3348843F">
      <w:pPr>
        <w:spacing w:line="360" w:lineRule="auto"/>
        <w:ind w:firstLine="540" w:firstLineChars="225"/>
        <w:contextualSpacing/>
        <w:rPr>
          <w:rFonts w:ascii="宋体"/>
          <w:color w:val="000000"/>
          <w:sz w:val="24"/>
          <w:highlight w:val="none"/>
        </w:rPr>
      </w:pPr>
      <w:r>
        <w:rPr>
          <w:rFonts w:hint="eastAsia" w:ascii="宋体" w:hAnsi="宋体"/>
          <w:color w:val="000000"/>
          <w:sz w:val="24"/>
          <w:highlight w:val="none"/>
        </w:rPr>
        <w:t>十六、本公告在</w:t>
      </w:r>
      <w:r>
        <w:rPr>
          <w:rFonts w:hint="eastAsia" w:ascii="宋体" w:hAnsi="宋体" w:cs="宋体"/>
          <w:color w:val="auto"/>
          <w:sz w:val="24"/>
          <w:highlight w:val="none"/>
        </w:rPr>
        <w:t>广州交易集团有限公司（广州公共资源交易中心）官网</w:t>
      </w:r>
      <w:r>
        <w:rPr>
          <w:rFonts w:hint="eastAsia" w:ascii="宋体" w:hAnsi="宋体"/>
          <w:color w:val="000000"/>
          <w:sz w:val="24"/>
          <w:highlight w:val="none"/>
        </w:rPr>
        <w:t>（网址：http://www.gzggzy.cn）、广东省招标投标监管网（网址：http://zbtb.gd.gov.cn）和中国招标投标公共服务平台（网址：http://www.cebpubservice.com/）发布，本公告的修改、补充，在</w:t>
      </w:r>
      <w:r>
        <w:rPr>
          <w:rFonts w:hint="eastAsia" w:ascii="宋体" w:hAnsi="宋体" w:cs="宋体"/>
          <w:color w:val="auto"/>
          <w:sz w:val="24"/>
          <w:highlight w:val="none"/>
        </w:rPr>
        <w:t>广州交易集团有限公司（广州公共资源交易中心）官网</w:t>
      </w:r>
      <w:r>
        <w:rPr>
          <w:rFonts w:hint="eastAsia" w:ascii="宋体" w:hAnsi="宋体"/>
          <w:color w:val="000000"/>
          <w:sz w:val="24"/>
          <w:highlight w:val="none"/>
        </w:rPr>
        <w:t>发布。</w:t>
      </w:r>
    </w:p>
    <w:p w14:paraId="13C47C9F">
      <w:pPr>
        <w:spacing w:line="360" w:lineRule="auto"/>
        <w:ind w:firstLine="537" w:firstLineChars="224"/>
        <w:contextualSpacing/>
        <w:rPr>
          <w:rFonts w:ascii="宋体"/>
          <w:color w:val="000000"/>
          <w:sz w:val="24"/>
          <w:highlight w:val="none"/>
        </w:rPr>
      </w:pPr>
      <w:r>
        <w:rPr>
          <w:rFonts w:hint="eastAsia" w:ascii="宋体" w:hAnsi="宋体" w:cs="宋体"/>
          <w:color w:val="000000"/>
          <w:sz w:val="24"/>
          <w:szCs w:val="24"/>
          <w:highlight w:val="none"/>
        </w:rPr>
        <w:t>十七、</w:t>
      </w:r>
      <w:r>
        <w:rPr>
          <w:rFonts w:hint="eastAsia" w:ascii="宋体" w:hAnsi="宋体"/>
          <w:color w:val="000000"/>
          <w:sz w:val="24"/>
          <w:highlight w:val="none"/>
        </w:rPr>
        <w:t>本招标公告及招标文件使用GZZB2018-3招标文件范本。本公告与范本内容不同之处均以下划线标明，所有标明下划线部分属于本公告的组成部分，同其他部分具有同样的效力。</w:t>
      </w:r>
    </w:p>
    <w:p w14:paraId="2F4B1BD3">
      <w:pPr>
        <w:spacing w:line="460" w:lineRule="exact"/>
        <w:ind w:firstLine="537" w:firstLineChars="224"/>
        <w:contextualSpacing/>
        <w:rPr>
          <w:rFonts w:hint="eastAsia" w:ascii="宋体" w:hAnsi="宋体"/>
          <w:bCs/>
          <w:sz w:val="24"/>
          <w:szCs w:val="24"/>
          <w:highlight w:val="none"/>
          <w:u w:val="single"/>
        </w:rPr>
      </w:pPr>
      <w:r>
        <w:rPr>
          <w:rFonts w:hint="eastAsia" w:ascii="宋体" w:hAnsi="宋体" w:cs="宋体"/>
          <w:color w:val="000000"/>
          <w:sz w:val="24"/>
          <w:szCs w:val="24"/>
          <w:highlight w:val="none"/>
        </w:rPr>
        <w:t>十八、</w:t>
      </w:r>
      <w:r>
        <w:rPr>
          <w:rFonts w:hint="eastAsia" w:ascii="宋体" w:hAnsi="宋体"/>
          <w:color w:val="000000"/>
          <w:sz w:val="24"/>
          <w:highlight w:val="none"/>
        </w:rPr>
        <w:t>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color w:val="000000" w:themeColor="text1"/>
          <w:sz w:val="24"/>
          <w14:textFill>
            <w14:solidFill>
              <w14:schemeClr w14:val="tx1"/>
            </w14:solidFill>
          </w14:textFill>
        </w:rPr>
        <w:t>招标人应综合考虑节假日因素，合理确定投标人编制投标文件所需要的时间，如遇春节、五一、十一等长假，建议招标人结合项目特点和实际需要适当延长备标期。</w:t>
      </w:r>
    </w:p>
    <w:p w14:paraId="03E4DD35">
      <w:pPr>
        <w:pStyle w:val="2"/>
        <w:spacing w:line="360" w:lineRule="auto"/>
        <w:rPr>
          <w:rFonts w:hint="eastAsia" w:ascii="宋体" w:hAnsi="宋体"/>
          <w:color w:val="000000"/>
          <w:kern w:val="2"/>
          <w:sz w:val="24"/>
          <w:szCs w:val="22"/>
          <w:highlight w:val="none"/>
        </w:rPr>
      </w:pPr>
      <w:r>
        <w:rPr>
          <w:rFonts w:hint="eastAsia" w:ascii="宋体" w:hAnsi="宋体" w:cs="Times New Roman"/>
          <w:color w:val="000000"/>
          <w:kern w:val="2"/>
          <w:sz w:val="24"/>
          <w:szCs w:val="22"/>
          <w:highlight w:val="none"/>
          <w:lang w:eastAsia="zh-CN"/>
        </w:rPr>
        <w:t>十九</w:t>
      </w:r>
      <w:r>
        <w:rPr>
          <w:rFonts w:hint="eastAsia" w:ascii="宋体" w:hAnsi="宋体" w:cs="Times New Roman"/>
          <w:color w:val="000000"/>
          <w:kern w:val="2"/>
          <w:sz w:val="24"/>
          <w:szCs w:val="22"/>
          <w:highlight w:val="none"/>
        </w:rPr>
        <w:t>、</w:t>
      </w:r>
      <w:r>
        <w:rPr>
          <w:rFonts w:hint="eastAsia" w:ascii="宋体" w:hAnsi="宋体"/>
          <w:color w:val="000000"/>
          <w:kern w:val="2"/>
          <w:sz w:val="24"/>
          <w:szCs w:val="22"/>
          <w:highlight w:val="none"/>
        </w:rPr>
        <w:t>本项目采用“评定分离”，评标时采用“有限数量制”的方式推荐定标候选人，具体详见本招标文件第二章开标、评标及定标办法。</w:t>
      </w:r>
    </w:p>
    <w:p w14:paraId="4489B388">
      <w:pPr>
        <w:spacing w:line="460" w:lineRule="exact"/>
        <w:ind w:firstLine="537" w:firstLineChars="224"/>
        <w:contextualSpacing/>
        <w:rPr>
          <w:rFonts w:hint="eastAsia" w:ascii="宋体"/>
          <w:color w:val="000000"/>
          <w:sz w:val="24"/>
          <w:highlight w:val="none"/>
          <w:u w:val="none"/>
        </w:rPr>
      </w:pPr>
      <w:r>
        <w:rPr>
          <w:rFonts w:hint="eastAsia" w:ascii="宋体"/>
          <w:color w:val="000000"/>
          <w:sz w:val="24"/>
          <w:highlight w:val="none"/>
          <w:u w:val="none"/>
        </w:rPr>
        <w:t>特别提示：投标人在本项目招标人的工程项目中存在下列行为的，将被拒绝一定时期内参与招标人后续工程投标。（注：拒绝投标时限由招标人视严重程度确定，最低三个月起，自招标人发出通知之日起计）：</w:t>
      </w:r>
    </w:p>
    <w:p w14:paraId="24B443C9">
      <w:pPr>
        <w:spacing w:line="360" w:lineRule="auto"/>
        <w:ind w:firstLine="537" w:firstLineChars="224"/>
        <w:outlineLvl w:val="1"/>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1.将中标工程转包或者违法分包的;</w:t>
      </w:r>
    </w:p>
    <w:p w14:paraId="57752D91">
      <w:pPr>
        <w:spacing w:line="360" w:lineRule="auto"/>
        <w:ind w:firstLine="537" w:firstLineChars="224"/>
        <w:outlineLvl w:val="1"/>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2.在中标工程中不执行质量、安全生产相关规定的，造成质量或安全事故的；</w:t>
      </w:r>
    </w:p>
    <w:p w14:paraId="33C1E9A0">
      <w:pPr>
        <w:spacing w:line="360" w:lineRule="auto"/>
        <w:ind w:firstLine="537" w:firstLineChars="224"/>
        <w:outlineLvl w:val="1"/>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3.出让投标资格的；</w:t>
      </w:r>
    </w:p>
    <w:p w14:paraId="018E2F34">
      <w:pPr>
        <w:spacing w:line="360" w:lineRule="auto"/>
        <w:ind w:firstLine="537" w:firstLineChars="224"/>
        <w:outlineLvl w:val="1"/>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4.存在围标或串标情形的;</w:t>
      </w:r>
    </w:p>
    <w:p w14:paraId="00CD9664">
      <w:pPr>
        <w:spacing w:line="360" w:lineRule="auto"/>
        <w:ind w:firstLine="537" w:firstLineChars="224"/>
        <w:outlineLvl w:val="1"/>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5.在投标文件中提供虚假材料的；</w:t>
      </w:r>
    </w:p>
    <w:p w14:paraId="60ECDC1A">
      <w:pPr>
        <w:spacing w:line="360" w:lineRule="auto"/>
        <w:ind w:firstLine="537" w:firstLineChars="224"/>
        <w:outlineLvl w:val="1"/>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6. 存在少放、不放业绩、奖项等客观评审资料，减少自身竞争力情形的；</w:t>
      </w:r>
    </w:p>
    <w:p w14:paraId="1F7CEB39">
      <w:pPr>
        <w:spacing w:line="360" w:lineRule="auto"/>
        <w:ind w:firstLine="537" w:firstLineChars="224"/>
        <w:outlineLvl w:val="1"/>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7.存在行贿情形的;</w:t>
      </w:r>
    </w:p>
    <w:p w14:paraId="42D44A5E">
      <w:pPr>
        <w:spacing w:line="360" w:lineRule="auto"/>
        <w:ind w:firstLine="537" w:firstLineChars="224"/>
        <w:outlineLvl w:val="1"/>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8.拖欠农民工工资的；</w:t>
      </w:r>
    </w:p>
    <w:p w14:paraId="7000557F">
      <w:pPr>
        <w:spacing w:line="360" w:lineRule="auto"/>
        <w:ind w:firstLine="537" w:firstLineChars="224"/>
        <w:outlineLvl w:val="1"/>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9.未按照国家、省、市有关建筑施工实名制管理和工人工资支付分账管理的规定执行，被行政监管部门处罚的；</w:t>
      </w:r>
    </w:p>
    <w:p w14:paraId="39B4E581">
      <w:pPr>
        <w:spacing w:line="360" w:lineRule="auto"/>
        <w:ind w:right="46" w:rightChars="22" w:firstLine="480" w:firstLineChars="200"/>
        <w:jc w:val="left"/>
        <w:rPr>
          <w:rFonts w:hint="eastAsia" w:ascii="宋体" w:hAnsi="宋体" w:cs="宋体"/>
          <w:bCs/>
          <w:color w:val="000000"/>
          <w:sz w:val="24"/>
          <w:szCs w:val="24"/>
          <w:highlight w:val="none"/>
        </w:rPr>
      </w:pPr>
      <w:r>
        <w:rPr>
          <w:rFonts w:hint="eastAsia" w:ascii="宋体" w:hAnsi="宋体" w:eastAsia="宋体" w:cs="宋体"/>
          <w:color w:val="auto"/>
          <w:sz w:val="24"/>
          <w:szCs w:val="21"/>
          <w:highlight w:val="none"/>
        </w:rPr>
        <w:t>10.中标人在项目实施过程中选取的专业分包单位或劳务企业或劳务班组长与投标时不一致的（如有）。</w:t>
      </w:r>
    </w:p>
    <w:p w14:paraId="54FB8FE8">
      <w:pPr>
        <w:spacing w:line="360" w:lineRule="auto"/>
        <w:ind w:right="46" w:rightChars="22"/>
        <w:jc w:val="right"/>
        <w:rPr>
          <w:rFonts w:hint="eastAsia" w:ascii="宋体" w:hAnsi="宋体" w:cs="宋体"/>
          <w:bCs/>
          <w:color w:val="000000"/>
          <w:sz w:val="24"/>
          <w:szCs w:val="24"/>
          <w:highlight w:val="none"/>
        </w:rPr>
      </w:pPr>
    </w:p>
    <w:p w14:paraId="251A9799">
      <w:pPr>
        <w:spacing w:line="360" w:lineRule="auto"/>
        <w:ind w:right="46" w:rightChars="22"/>
        <w:jc w:val="right"/>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highlight w:val="none"/>
        </w:rPr>
        <w:t>招标人：</w:t>
      </w:r>
      <w:r>
        <w:rPr>
          <w:rFonts w:hint="eastAsia" w:ascii="宋体" w:hAnsi="宋体" w:cs="宋体"/>
          <w:bCs/>
          <w:color w:val="000000"/>
          <w:sz w:val="24"/>
          <w:szCs w:val="24"/>
          <w:highlight w:val="none"/>
          <w:lang w:eastAsia="zh-CN"/>
        </w:rPr>
        <w:t>广州开发区市政设施管理中心</w:t>
      </w:r>
    </w:p>
    <w:p w14:paraId="6EDCD2AC">
      <w:pPr>
        <w:spacing w:line="360" w:lineRule="auto"/>
        <w:ind w:right="46" w:rightChars="22" w:firstLine="4560" w:firstLineChars="1900"/>
        <w:jc w:val="right"/>
        <w:rPr>
          <w:rFonts w:hint="eastAsia" w:ascii="宋体" w:hAnsi="宋体" w:eastAsia="宋体" w:cs="宋体"/>
          <w:color w:val="000000"/>
          <w:sz w:val="24"/>
          <w:szCs w:val="24"/>
          <w:highlight w:val="none"/>
          <w:u w:val="single"/>
          <w:lang w:eastAsia="zh-CN"/>
        </w:rPr>
      </w:pPr>
      <w:r>
        <w:rPr>
          <w:rFonts w:hint="eastAsia" w:ascii="宋体" w:hAnsi="宋体" w:cs="宋体"/>
          <w:color w:val="000000"/>
          <w:sz w:val="24"/>
          <w:szCs w:val="24"/>
          <w:highlight w:val="none"/>
          <w:lang w:eastAsia="zh-CN"/>
        </w:rPr>
        <w:t>招标</w:t>
      </w:r>
      <w:r>
        <w:rPr>
          <w:rFonts w:hint="eastAsia" w:ascii="宋体" w:hAnsi="宋体" w:cs="宋体"/>
          <w:color w:val="000000"/>
          <w:sz w:val="24"/>
          <w:szCs w:val="24"/>
          <w:highlight w:val="none"/>
        </w:rPr>
        <w:t>代理：</w:t>
      </w:r>
      <w:r>
        <w:rPr>
          <w:rFonts w:hint="eastAsia" w:ascii="宋体" w:hAnsi="宋体" w:cs="宋体"/>
          <w:color w:val="000000"/>
          <w:sz w:val="24"/>
          <w:szCs w:val="24"/>
          <w:highlight w:val="none"/>
          <w:lang w:eastAsia="zh-CN"/>
        </w:rPr>
        <w:t>广州天行咨询服务有限公司</w:t>
      </w:r>
    </w:p>
    <w:p w14:paraId="24FA62EE">
      <w:pPr>
        <w:wordWrap w:val="0"/>
        <w:spacing w:line="360" w:lineRule="auto"/>
        <w:ind w:right="97" w:rightChars="46" w:firstLine="4860" w:firstLineChars="2025"/>
        <w:contextualSpacing/>
        <w:jc w:val="right"/>
        <w:rPr>
          <w:rFonts w:ascii="宋体"/>
          <w:color w:val="000000"/>
          <w:sz w:val="24"/>
          <w:highlight w:val="none"/>
        </w:rPr>
      </w:pPr>
      <w:r>
        <w:rPr>
          <w:rFonts w:hint="eastAsia" w:ascii="宋体" w:hAnsi="宋体" w:cs="宋体"/>
          <w:color w:val="000000"/>
          <w:sz w:val="24"/>
          <w:szCs w:val="24"/>
          <w:highlight w:val="none"/>
          <w:u w:val="single"/>
          <w:lang w:val="en-US" w:eastAsia="zh-CN"/>
        </w:rPr>
        <w:t>2025</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p>
    <w:p w14:paraId="20688B4F">
      <w:pPr>
        <w:spacing w:line="480" w:lineRule="auto"/>
        <w:ind w:firstLine="537" w:firstLineChars="224"/>
        <w:rPr>
          <w:rFonts w:ascii="宋体"/>
          <w:color w:val="000000"/>
          <w:sz w:val="24"/>
          <w:highlight w:val="none"/>
        </w:rPr>
        <w:sectPr>
          <w:footerReference r:id="rId3" w:type="default"/>
          <w:footerReference r:id="rId4" w:type="even"/>
          <w:endnotePr>
            <w:numFmt w:val="decimal"/>
          </w:endnotePr>
          <w:pgSz w:w="11906" w:h="16838"/>
          <w:pgMar w:top="1440" w:right="1134" w:bottom="1440" w:left="1134" w:header="851" w:footer="992" w:gutter="0"/>
          <w:cols w:space="720" w:num="1"/>
          <w:docGrid w:type="lines" w:linePitch="312" w:charSpace="0"/>
        </w:sectPr>
      </w:pPr>
    </w:p>
    <w:p w14:paraId="6C31FF08">
      <w:pPr>
        <w:spacing w:line="360" w:lineRule="auto"/>
        <w:rPr>
          <w:b/>
          <w:color w:val="000000"/>
          <w:sz w:val="44"/>
          <w:highlight w:val="none"/>
        </w:rPr>
      </w:pPr>
      <w:r>
        <w:rPr>
          <w:rFonts w:hint="eastAsia" w:ascii="宋体" w:hAnsi="宋体"/>
          <w:color w:val="000000"/>
          <w:sz w:val="24"/>
          <w:highlight w:val="none"/>
        </w:rPr>
        <w:t>附件一：</w:t>
      </w:r>
    </w:p>
    <w:p w14:paraId="4B2FF0C6">
      <w:pPr>
        <w:keepNext w:val="0"/>
        <w:keepLines w:val="0"/>
        <w:pageBreakBefore w:val="0"/>
        <w:kinsoku/>
        <w:overflowPunct/>
        <w:topLinePunct w:val="0"/>
        <w:autoSpaceDE/>
        <w:autoSpaceDN/>
        <w:bidi w:val="0"/>
        <w:adjustRightInd/>
        <w:spacing w:line="360" w:lineRule="auto"/>
        <w:ind w:left="0" w:leftChars="0" w:right="0" w:rightChars="0" w:firstLine="883" w:firstLineChars="200"/>
        <w:jc w:val="center"/>
        <w:textAlignment w:val="auto"/>
        <w:rPr>
          <w:b/>
          <w:color w:val="000000"/>
          <w:sz w:val="44"/>
          <w:szCs w:val="44"/>
          <w:highlight w:val="none"/>
        </w:rPr>
      </w:pPr>
      <w:r>
        <w:rPr>
          <w:rFonts w:hint="eastAsia"/>
          <w:b/>
          <w:color w:val="000000"/>
          <w:kern w:val="0"/>
          <w:sz w:val="44"/>
          <w:szCs w:val="44"/>
          <w:highlight w:val="none"/>
        </w:rPr>
        <w:t>投标人</w:t>
      </w:r>
      <w:r>
        <w:rPr>
          <w:rFonts w:hint="eastAsia"/>
          <w:b/>
          <w:color w:val="000000"/>
          <w:sz w:val="44"/>
          <w:szCs w:val="44"/>
          <w:highlight w:val="none"/>
        </w:rPr>
        <w:t>声明</w:t>
      </w:r>
    </w:p>
    <w:p w14:paraId="350F6227">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textAlignment w:val="auto"/>
        <w:rPr>
          <w:rFonts w:ascii="宋体" w:hAnsi="宋体" w:eastAsia="宋体"/>
          <w:sz w:val="24"/>
          <w:szCs w:val="24"/>
          <w:highlight w:val="none"/>
        </w:rPr>
      </w:pPr>
      <w:r>
        <w:rPr>
          <w:rFonts w:hint="eastAsia" w:ascii="宋体" w:hAnsi="宋体" w:eastAsia="宋体" w:cs="宋体"/>
          <w:sz w:val="24"/>
          <w:szCs w:val="24"/>
          <w:highlight w:val="none"/>
          <w:u w:val="single"/>
        </w:rPr>
        <w:t>广州市黄埔区住房和城乡建设局、</w:t>
      </w:r>
      <w:r>
        <w:rPr>
          <w:rFonts w:hint="eastAsia" w:ascii="宋体" w:hAnsi="宋体" w:eastAsia="宋体" w:cs="宋体"/>
          <w:spacing w:val="-2"/>
          <w:sz w:val="24"/>
          <w:szCs w:val="24"/>
          <w:highlight w:val="none"/>
          <w:u w:val="single"/>
          <w:lang w:eastAsia="zh-CN"/>
        </w:rPr>
        <w:t>广州开发区市政设施管理中心</w:t>
      </w:r>
      <w:r>
        <w:rPr>
          <w:rFonts w:hint="eastAsia" w:ascii="宋体" w:hAnsi="宋体" w:eastAsia="宋体" w:cs="宋体"/>
          <w:spacing w:val="-2"/>
          <w:sz w:val="24"/>
          <w:szCs w:val="24"/>
          <w:highlight w:val="none"/>
          <w:u w:val="single"/>
        </w:rPr>
        <w:t>及广</w:t>
      </w:r>
      <w:r>
        <w:rPr>
          <w:rFonts w:hint="eastAsia" w:ascii="宋体" w:hAnsi="宋体" w:eastAsia="宋体" w:cs="宋体"/>
          <w:sz w:val="24"/>
          <w:szCs w:val="24"/>
          <w:highlight w:val="none"/>
          <w:u w:val="single"/>
        </w:rPr>
        <w:t>州开发区建设工程招投标管理办公室（广州市黄埔区建设工程招投标管理办公室）</w:t>
      </w:r>
      <w:r>
        <w:rPr>
          <w:rFonts w:hint="eastAsia" w:ascii="宋体" w:hAnsi="宋体" w:eastAsia="宋体"/>
          <w:sz w:val="24"/>
          <w:szCs w:val="24"/>
          <w:highlight w:val="none"/>
        </w:rPr>
        <w:t>：</w:t>
      </w:r>
    </w:p>
    <w:p w14:paraId="5BEA52CF">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本公司就参加</w:t>
      </w:r>
      <w:r>
        <w:rPr>
          <w:rFonts w:hint="eastAsia" w:ascii="宋体" w:hAnsi="宋体" w:eastAsia="宋体"/>
          <w:sz w:val="24"/>
          <w:szCs w:val="24"/>
          <w:highlight w:val="none"/>
          <w:u w:val="single"/>
          <w:lang w:val="en-US" w:eastAsia="zh-CN"/>
        </w:rPr>
        <w:t xml:space="preserve">   （项目名称）   </w:t>
      </w:r>
      <w:r>
        <w:rPr>
          <w:rFonts w:hint="eastAsia" w:ascii="宋体" w:hAnsi="宋体" w:eastAsia="宋体"/>
          <w:sz w:val="24"/>
          <w:szCs w:val="24"/>
          <w:highlight w:val="none"/>
        </w:rPr>
        <w:t>投标工作，作出郑重声明：</w:t>
      </w:r>
    </w:p>
    <w:p w14:paraId="3ECD62CD">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14:paraId="1855C63D">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4CEDA248">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三、本公司不存在下列情形之一：</w:t>
      </w:r>
    </w:p>
    <w:p w14:paraId="57F98475">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（一）为招标人不具有独立法人资格的附属机构（单位）；</w:t>
      </w:r>
    </w:p>
    <w:p w14:paraId="04B0C947">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（二）为本</w:t>
      </w:r>
      <w:r>
        <w:rPr>
          <w:rFonts w:hint="eastAsia" w:ascii="宋体" w:hAnsi="宋体" w:eastAsia="宋体"/>
          <w:sz w:val="24"/>
          <w:szCs w:val="24"/>
          <w:highlight w:val="none"/>
          <w:lang w:eastAsia="zh-CN"/>
        </w:rPr>
        <w:t>项目</w:t>
      </w:r>
      <w:r>
        <w:rPr>
          <w:rFonts w:hint="eastAsia" w:ascii="宋体" w:hAnsi="宋体" w:eastAsia="宋体"/>
          <w:sz w:val="24"/>
          <w:szCs w:val="24"/>
          <w:highlight w:val="none"/>
        </w:rPr>
        <w:t>前期准备提供设计或咨询服务或者与本项目设计人或提供咨询服务的机构存在附属关系的；</w:t>
      </w:r>
    </w:p>
    <w:p w14:paraId="06EB85A0">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（三）为本</w:t>
      </w:r>
      <w:r>
        <w:rPr>
          <w:rFonts w:hint="eastAsia" w:ascii="宋体" w:hAnsi="宋体" w:eastAsia="宋体"/>
          <w:sz w:val="24"/>
          <w:szCs w:val="24"/>
          <w:highlight w:val="none"/>
          <w:lang w:eastAsia="zh-CN"/>
        </w:rPr>
        <w:t>项目</w:t>
      </w:r>
      <w:r>
        <w:rPr>
          <w:rFonts w:hint="eastAsia" w:ascii="宋体" w:hAnsi="宋体" w:eastAsia="宋体"/>
          <w:sz w:val="24"/>
          <w:szCs w:val="24"/>
          <w:highlight w:val="none"/>
        </w:rPr>
        <w:t>监理人或者与本</w:t>
      </w:r>
      <w:r>
        <w:rPr>
          <w:rFonts w:hint="eastAsia" w:ascii="宋体" w:hAnsi="宋体" w:eastAsia="宋体"/>
          <w:sz w:val="24"/>
          <w:szCs w:val="24"/>
          <w:highlight w:val="none"/>
          <w:lang w:eastAsia="zh-CN"/>
        </w:rPr>
        <w:t>项目</w:t>
      </w:r>
      <w:r>
        <w:rPr>
          <w:rFonts w:hint="eastAsia" w:ascii="宋体" w:hAnsi="宋体" w:eastAsia="宋体"/>
          <w:sz w:val="24"/>
          <w:szCs w:val="24"/>
          <w:highlight w:val="none"/>
        </w:rPr>
        <w:t>监理人存在隶属关系或者其他利害关系；</w:t>
      </w:r>
    </w:p>
    <w:p w14:paraId="364CBA83">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（四）为本</w:t>
      </w:r>
      <w:r>
        <w:rPr>
          <w:rFonts w:hint="eastAsia" w:ascii="宋体" w:hAnsi="宋体" w:eastAsia="宋体"/>
          <w:sz w:val="24"/>
          <w:szCs w:val="24"/>
          <w:highlight w:val="none"/>
          <w:lang w:eastAsia="zh-CN"/>
        </w:rPr>
        <w:t>项目</w:t>
      </w:r>
      <w:r>
        <w:rPr>
          <w:rFonts w:hint="eastAsia" w:ascii="宋体" w:hAnsi="宋体" w:eastAsia="宋体"/>
          <w:sz w:val="24"/>
          <w:szCs w:val="24"/>
          <w:highlight w:val="none"/>
        </w:rPr>
        <w:t>的代建人；</w:t>
      </w:r>
    </w:p>
    <w:p w14:paraId="507742D4">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（五）为本</w:t>
      </w:r>
      <w:r>
        <w:rPr>
          <w:rFonts w:hint="eastAsia" w:ascii="宋体" w:hAnsi="宋体" w:eastAsia="宋体"/>
          <w:sz w:val="24"/>
          <w:szCs w:val="24"/>
          <w:highlight w:val="none"/>
          <w:lang w:eastAsia="zh-CN"/>
        </w:rPr>
        <w:t>项目</w:t>
      </w:r>
      <w:r>
        <w:rPr>
          <w:rFonts w:hint="eastAsia" w:ascii="宋体" w:hAnsi="宋体" w:eastAsia="宋体"/>
          <w:sz w:val="24"/>
          <w:szCs w:val="24"/>
          <w:highlight w:val="none"/>
        </w:rPr>
        <w:t>提供招标代理服务的；</w:t>
      </w:r>
    </w:p>
    <w:p w14:paraId="6D4CC0ED">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（六）与本</w:t>
      </w:r>
      <w:r>
        <w:rPr>
          <w:rFonts w:hint="eastAsia" w:ascii="宋体" w:hAnsi="宋体" w:eastAsia="宋体"/>
          <w:sz w:val="24"/>
          <w:szCs w:val="24"/>
          <w:highlight w:val="none"/>
          <w:lang w:eastAsia="zh-CN"/>
        </w:rPr>
        <w:t>项目</w:t>
      </w:r>
      <w:r>
        <w:rPr>
          <w:rFonts w:hint="eastAsia" w:ascii="宋体" w:hAnsi="宋体" w:eastAsia="宋体"/>
          <w:sz w:val="24"/>
          <w:szCs w:val="24"/>
          <w:highlight w:val="none"/>
        </w:rPr>
        <w:t>的监理人或代建人或招标代理机构同为一个法定代表人的；</w:t>
      </w:r>
    </w:p>
    <w:p w14:paraId="78FC155D">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（七）与本</w:t>
      </w:r>
      <w:r>
        <w:rPr>
          <w:rFonts w:hint="eastAsia" w:ascii="宋体" w:hAnsi="宋体" w:eastAsia="宋体"/>
          <w:sz w:val="24"/>
          <w:szCs w:val="24"/>
          <w:highlight w:val="none"/>
          <w:lang w:eastAsia="zh-CN"/>
        </w:rPr>
        <w:t>项目</w:t>
      </w:r>
      <w:r>
        <w:rPr>
          <w:rFonts w:hint="eastAsia" w:ascii="宋体" w:hAnsi="宋体" w:eastAsia="宋体"/>
          <w:sz w:val="24"/>
          <w:szCs w:val="24"/>
          <w:highlight w:val="none"/>
        </w:rPr>
        <w:t>的监理人或代建人或招标代理机构互相控股或参股的；</w:t>
      </w:r>
    </w:p>
    <w:p w14:paraId="507E309A">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（八）与本</w:t>
      </w:r>
      <w:r>
        <w:rPr>
          <w:rFonts w:hint="eastAsia" w:ascii="宋体" w:hAnsi="宋体" w:eastAsia="宋体"/>
          <w:sz w:val="24"/>
          <w:szCs w:val="24"/>
          <w:highlight w:val="none"/>
          <w:lang w:eastAsia="zh-CN"/>
        </w:rPr>
        <w:t>项目</w:t>
      </w:r>
      <w:r>
        <w:rPr>
          <w:rFonts w:hint="eastAsia" w:ascii="宋体" w:hAnsi="宋体" w:eastAsia="宋体"/>
          <w:sz w:val="24"/>
          <w:szCs w:val="24"/>
          <w:highlight w:val="none"/>
        </w:rPr>
        <w:t>的监理人或代建人或招标代理机构相互任职或工作的；</w:t>
      </w:r>
    </w:p>
    <w:p w14:paraId="5ACDBFA7">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（九）与本</w:t>
      </w:r>
      <w:r>
        <w:rPr>
          <w:rFonts w:hint="eastAsia" w:ascii="宋体" w:hAnsi="宋体" w:eastAsia="宋体"/>
          <w:sz w:val="24"/>
          <w:szCs w:val="24"/>
          <w:highlight w:val="none"/>
          <w:lang w:eastAsia="zh-CN"/>
        </w:rPr>
        <w:t>项目</w:t>
      </w:r>
      <w:r>
        <w:rPr>
          <w:rFonts w:hint="eastAsia" w:ascii="宋体" w:hAnsi="宋体" w:eastAsia="宋体"/>
          <w:sz w:val="24"/>
          <w:szCs w:val="24"/>
          <w:highlight w:val="none"/>
        </w:rPr>
        <w:t>的检测机构有隶属关系或者其他利害关系；</w:t>
      </w:r>
    </w:p>
    <w:p w14:paraId="1724494B">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 xml:space="preserve">（十）与招标人存在利害关系且可能影响招标公正性； </w:t>
      </w:r>
    </w:p>
    <w:p w14:paraId="4349D1A8">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（十一）被依法暂停或取消投标资格的；（</w:t>
      </w:r>
      <w:r>
        <w:rPr>
          <w:rFonts w:hint="eastAsia" w:ascii="宋体" w:hAnsi="宋体" w:eastAsia="宋体"/>
          <w:sz w:val="24"/>
          <w:szCs w:val="24"/>
          <w:highlight w:val="none"/>
          <w:lang w:val="zh-CN"/>
        </w:rPr>
        <w:t>本项事实应当以根据《中华人民共和国行政处罚法》依法作出并已经生效的行政处罚决定为认定依据。行政处罚决定中已经明确的暂停或取消投标资格的区域范围不包含本项目建设地点的，不受该项规定限制</w:t>
      </w:r>
      <w:r>
        <w:rPr>
          <w:rFonts w:hint="eastAsia" w:ascii="宋体" w:hAnsi="宋体" w:eastAsia="宋体"/>
          <w:sz w:val="24"/>
          <w:szCs w:val="24"/>
          <w:highlight w:val="none"/>
        </w:rPr>
        <w:t xml:space="preserve">） </w:t>
      </w:r>
    </w:p>
    <w:p w14:paraId="7806300B">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（十二）被责令停产停业、暂扣或者吊销许可证、暂扣或者吊销执照的（</w:t>
      </w:r>
      <w:r>
        <w:rPr>
          <w:rFonts w:hint="eastAsia" w:ascii="宋体" w:hAnsi="宋体" w:eastAsia="宋体"/>
          <w:sz w:val="24"/>
          <w:szCs w:val="24"/>
          <w:highlight w:val="none"/>
          <w:lang w:val="zh-CN"/>
        </w:rPr>
        <w:t>本项事实应当以根据《中华人民共和国行政处罚法》依法作出并已经生效的行政处罚决定为认定依据。</w:t>
      </w:r>
      <w:r>
        <w:rPr>
          <w:rFonts w:hint="eastAsia" w:ascii="宋体" w:hAnsi="宋体" w:eastAsia="宋体"/>
          <w:sz w:val="24"/>
          <w:szCs w:val="24"/>
          <w:highlight w:val="none"/>
        </w:rPr>
        <w:t>）；</w:t>
      </w:r>
    </w:p>
    <w:p w14:paraId="1CEBE2F7">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（十三）进入清算程序，或被宣布破产，或其他丧失履约能力的情形；</w:t>
      </w:r>
    </w:p>
    <w:p w14:paraId="367B5868">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（十四）在最近三年内有严重违约或重大工程质量问题的；（</w:t>
      </w:r>
      <w:r>
        <w:rPr>
          <w:rFonts w:hint="eastAsia" w:ascii="宋体" w:hAnsi="宋体" w:eastAsia="宋体"/>
          <w:sz w:val="24"/>
          <w:szCs w:val="24"/>
          <w:highlight w:val="none"/>
          <w:lang w:val="zh-CN"/>
        </w:rPr>
        <w:t>“严重违约”事实应当以</w:t>
      </w:r>
      <w:r>
        <w:rPr>
          <w:rFonts w:hint="eastAsia" w:ascii="宋体" w:hAnsi="宋体" w:eastAsia="宋体"/>
          <w:sz w:val="24"/>
          <w:szCs w:val="24"/>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CA65D8C">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（十五）法律法规规定的其他情形。</w:t>
      </w:r>
    </w:p>
    <w:p w14:paraId="3DCF0538">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四、本公司保证：本项目拟派的项目负责人没有在其他在建项目中任施工单位项目负责人，本项目拟派的专职安全员没有在其他在建项目中任职。</w:t>
      </w:r>
    </w:p>
    <w:p w14:paraId="154FCFCC">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b w:val="0"/>
          <w:bCs w:val="0"/>
          <w:sz w:val="24"/>
          <w:szCs w:val="24"/>
          <w:highlight w:val="none"/>
        </w:rPr>
      </w:pPr>
      <w:r>
        <w:rPr>
          <w:rFonts w:hint="eastAsia" w:ascii="宋体" w:hAnsi="宋体" w:eastAsia="宋体"/>
          <w:b w:val="0"/>
          <w:bCs w:val="0"/>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02AC9400">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4D34F205">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69F7507F">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八、与本公司单位负责人为同一人或者与本公司存在控股、管理关系的其他单位包括：</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。（注：本条由投标人如实填写，如有，应列出全部满足招标公告资质要求的相关单位的名称；如无，则填写“无”。）</w:t>
      </w:r>
    </w:p>
    <w:p w14:paraId="01855940">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50E2FE0B">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十、本公司承诺，中标后将按招标人要求，积极响应广州市关于投身“百千万工程”的号召，主动参与建筑业结对帮扶。</w:t>
      </w:r>
    </w:p>
    <w:p w14:paraId="4C3BE1B9">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lang w:val="en-US" w:eastAsia="zh-CN"/>
        </w:rPr>
        <w:t>十一、</w:t>
      </w:r>
      <w:r>
        <w:rPr>
          <w:rFonts w:hint="eastAsia" w:ascii="宋体" w:hAnsi="宋体" w:eastAsia="宋体"/>
          <w:sz w:val="24"/>
          <w:szCs w:val="24"/>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2EB31342">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jc w:val="left"/>
        <w:textAlignment w:val="auto"/>
        <w:rPr>
          <w:rFonts w:ascii="宋体" w:hAnsi="宋体" w:eastAsia="宋体"/>
          <w:sz w:val="24"/>
          <w:szCs w:val="24"/>
          <w:highlight w:val="none"/>
        </w:rPr>
      </w:pPr>
      <w:r>
        <w:rPr>
          <w:rFonts w:hint="eastAsia" w:ascii="宋体" w:hAnsi="宋体" w:eastAsia="宋体"/>
          <w:sz w:val="24"/>
          <w:szCs w:val="24"/>
          <w:highlight w:val="none"/>
          <w:lang w:val="en-US" w:eastAsia="zh-CN"/>
        </w:rPr>
        <w:t>十二、</w:t>
      </w:r>
      <w:r>
        <w:rPr>
          <w:rFonts w:hint="eastAsia" w:ascii="宋体" w:hAnsi="宋体" w:eastAsia="宋体" w:cs="Times New Roman"/>
          <w:color w:val="000000"/>
          <w:kern w:val="0"/>
          <w:sz w:val="24"/>
          <w:szCs w:val="24"/>
          <w:highlight w:val="none"/>
          <w:lang w:val="en-US" w:eastAsia="zh-CN" w:bidi="ar-SA"/>
        </w:rPr>
        <w:t>本</w:t>
      </w:r>
      <w:r>
        <w:rPr>
          <w:rFonts w:hint="eastAsia" w:ascii="宋体" w:hAnsi="宋体" w:eastAsia="宋体"/>
          <w:sz w:val="24"/>
          <w:szCs w:val="24"/>
          <w:highlight w:val="none"/>
        </w:rPr>
        <w:t>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129513E5">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特此声明</w:t>
      </w:r>
    </w:p>
    <w:p w14:paraId="7474F5F7">
      <w:pPr>
        <w:pStyle w:val="95"/>
        <w:keepNext w:val="0"/>
        <w:keepLines w:val="0"/>
        <w:pageBreakBefore w:val="0"/>
        <w:kinsoku/>
        <w:overflowPunct/>
        <w:topLinePunct w:val="0"/>
        <w:autoSpaceDE/>
        <w:autoSpaceDN/>
        <w:bidi w:val="0"/>
        <w:adjustRightInd/>
        <w:spacing w:line="360" w:lineRule="auto"/>
        <w:ind w:left="0" w:leftChars="0" w:right="0" w:rightChars="0" w:firstLine="480" w:firstLineChars="200"/>
        <w:jc w:val="both"/>
        <w:textAlignment w:val="auto"/>
        <w:rPr>
          <w:rFonts w:ascii="宋体" w:hAnsi="宋体" w:eastAsia="宋体"/>
          <w:sz w:val="24"/>
          <w:szCs w:val="24"/>
          <w:highlight w:val="none"/>
        </w:rPr>
      </w:pPr>
      <w:r>
        <w:rPr>
          <w:rFonts w:hint="eastAsia" w:ascii="宋体" w:hAnsi="宋体" w:eastAsia="宋体"/>
          <w:sz w:val="24"/>
          <w:szCs w:val="24"/>
          <w:highlight w:val="none"/>
        </w:rPr>
        <w:t xml:space="preserve">                          </w:t>
      </w:r>
      <w:r>
        <w:rPr>
          <w:rFonts w:hint="eastAsia" w:ascii="宋体" w:hAnsi="宋体" w:eastAsia="宋体"/>
          <w:sz w:val="24"/>
          <w:szCs w:val="24"/>
          <w:highlight w:val="none"/>
          <w:lang w:val="en-US" w:eastAsia="zh-CN"/>
        </w:rPr>
        <w:t xml:space="preserve">   </w:t>
      </w:r>
      <w:r>
        <w:rPr>
          <w:rFonts w:hint="eastAsia" w:ascii="宋体" w:hAnsi="宋体" w:eastAsia="宋体"/>
          <w:sz w:val="24"/>
          <w:szCs w:val="24"/>
          <w:highlight w:val="none"/>
        </w:rPr>
        <w:t>声明企业：</w:t>
      </w:r>
    </w:p>
    <w:p w14:paraId="6A996CC7">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 xml:space="preserve">                             项目负责人签字：</w:t>
      </w:r>
    </w:p>
    <w:p w14:paraId="78AF4E10">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jc w:val="left"/>
        <w:textAlignment w:val="auto"/>
        <w:rPr>
          <w:rFonts w:ascii="宋体" w:hAnsi="宋体" w:eastAsia="宋体"/>
          <w:sz w:val="24"/>
          <w:szCs w:val="24"/>
          <w:highlight w:val="none"/>
        </w:rPr>
      </w:pPr>
      <w:r>
        <w:rPr>
          <w:rFonts w:hint="eastAsia" w:ascii="宋体" w:hAnsi="宋体" w:eastAsia="宋体"/>
          <w:sz w:val="24"/>
          <w:szCs w:val="24"/>
          <w:highlight w:val="none"/>
        </w:rPr>
        <w:t xml:space="preserve">           </w:t>
      </w:r>
      <w:r>
        <w:rPr>
          <w:rFonts w:hint="eastAsia" w:ascii="宋体" w:hAnsi="宋体" w:eastAsia="宋体"/>
          <w:sz w:val="24"/>
          <w:szCs w:val="24"/>
          <w:highlight w:val="none"/>
          <w:lang w:val="en-US" w:eastAsia="zh-CN"/>
        </w:rPr>
        <w:t xml:space="preserve">                  </w:t>
      </w:r>
      <w:r>
        <w:rPr>
          <w:rFonts w:hint="eastAsia" w:ascii="宋体" w:hAnsi="宋体" w:eastAsia="宋体"/>
          <w:sz w:val="24"/>
          <w:szCs w:val="24"/>
          <w:highlight w:val="none"/>
        </w:rPr>
        <w:t>技术负责人签字：</w:t>
      </w:r>
    </w:p>
    <w:p w14:paraId="5B026199">
      <w:pPr>
        <w:pStyle w:val="96"/>
        <w:keepNext w:val="0"/>
        <w:keepLines w:val="0"/>
        <w:pageBreakBefore w:val="0"/>
        <w:kinsoku/>
        <w:overflowPunct/>
        <w:topLinePunct w:val="0"/>
        <w:autoSpaceDE/>
        <w:autoSpaceDN/>
        <w:bidi w:val="0"/>
        <w:adjustRightInd/>
        <w:spacing w:line="360" w:lineRule="auto"/>
        <w:ind w:left="0" w:leftChars="0" w:right="0" w:rightChars="0" w:firstLine="480" w:firstLineChars="200"/>
        <w:jc w:val="right"/>
        <w:textAlignment w:val="auto"/>
        <w:rPr>
          <w:rFonts w:ascii="宋体" w:hAnsi="宋体" w:eastAsia="宋体"/>
          <w:sz w:val="24"/>
          <w:szCs w:val="24"/>
          <w:highlight w:val="none"/>
        </w:rPr>
      </w:pPr>
      <w:r>
        <w:rPr>
          <w:rFonts w:hint="eastAsia" w:ascii="宋体" w:hAnsi="宋体" w:eastAsia="宋体"/>
          <w:sz w:val="24"/>
          <w:szCs w:val="24"/>
          <w:highlight w:val="none"/>
        </w:rPr>
        <w:t>年   月   日</w:t>
      </w:r>
    </w:p>
    <w:p w14:paraId="62EBEC25">
      <w:pPr>
        <w:keepNext w:val="0"/>
        <w:keepLines w:val="0"/>
        <w:pageBreakBefore w:val="0"/>
        <w:kinsoku/>
        <w:overflowPunct/>
        <w:topLinePunct w:val="0"/>
        <w:autoSpaceDE/>
        <w:autoSpaceDN/>
        <w:bidi w:val="0"/>
        <w:adjustRightInd/>
        <w:spacing w:line="360" w:lineRule="auto"/>
        <w:ind w:left="0" w:leftChars="0" w:right="0" w:rightChars="0" w:firstLine="480" w:firstLineChars="200"/>
        <w:jc w:val="right"/>
        <w:textAlignment w:val="auto"/>
        <w:rPr>
          <w:rFonts w:ascii="宋体"/>
          <w:color w:val="000000"/>
          <w:sz w:val="24"/>
          <w:szCs w:val="24"/>
          <w:highlight w:val="none"/>
        </w:rPr>
      </w:pPr>
    </w:p>
    <w:p w14:paraId="6F76F6E3">
      <w:pPr>
        <w:keepNext w:val="0"/>
        <w:keepLines w:val="0"/>
        <w:pageBreakBefore w:val="0"/>
        <w:widowControl/>
        <w:kinsoku/>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cs="宋体"/>
          <w:sz w:val="24"/>
          <w:highlight w:val="none"/>
        </w:rPr>
      </w:pPr>
    </w:p>
    <w:p w14:paraId="26A9DD4F">
      <w:pPr>
        <w:keepNext w:val="0"/>
        <w:keepLines w:val="0"/>
        <w:pageBreakBefore w:val="0"/>
        <w:widowControl/>
        <w:kinsoku/>
        <w:overflowPunct/>
        <w:topLinePunct w:val="0"/>
        <w:autoSpaceDE/>
        <w:autoSpaceDN/>
        <w:bidi w:val="0"/>
        <w:adjustRightInd/>
        <w:snapToGrid w:val="0"/>
        <w:spacing w:line="360" w:lineRule="auto"/>
        <w:ind w:left="0" w:leftChars="0" w:right="0" w:rightChars="0" w:firstLine="480" w:firstLineChars="200"/>
        <w:jc w:val="left"/>
        <w:textAlignment w:val="auto"/>
        <w:rPr>
          <w:rFonts w:ascii="宋体" w:hAnsi="宋体"/>
          <w:color w:val="000000"/>
          <w:sz w:val="24"/>
          <w:szCs w:val="24"/>
          <w:highlight w:val="none"/>
        </w:rPr>
      </w:pPr>
      <w:r>
        <w:rPr>
          <w:rFonts w:hint="eastAsia" w:ascii="宋体" w:hAnsi="宋体" w:cs="宋体"/>
          <w:sz w:val="24"/>
          <w:highlight w:val="none"/>
        </w:rPr>
        <w:t>注：招标人应当要求投标人的项目负责人和技术负责人签字。</w:t>
      </w:r>
    </w:p>
    <w:p w14:paraId="110895B9">
      <w:pPr>
        <w:widowControl/>
        <w:snapToGrid w:val="0"/>
        <w:spacing w:line="360" w:lineRule="auto"/>
        <w:ind w:right="102"/>
        <w:jc w:val="left"/>
        <w:rPr>
          <w:rFonts w:ascii="宋体" w:hAnsi="宋体"/>
          <w:color w:val="000000"/>
          <w:sz w:val="24"/>
          <w:szCs w:val="24"/>
          <w:highlight w:val="none"/>
        </w:rPr>
      </w:pPr>
    </w:p>
    <w:sectPr>
      <w:headerReference r:id="rId7" w:type="first"/>
      <w:footerReference r:id="rId10" w:type="first"/>
      <w:headerReference r:id="rId5" w:type="default"/>
      <w:footerReference r:id="rId8" w:type="default"/>
      <w:headerReference r:id="rId6" w:type="even"/>
      <w:footerReference r:id="rId9" w:type="even"/>
      <w:endnotePr>
        <w:numFmt w:val="decimal"/>
      </w:endnotePr>
      <w:pgSz w:w="11906" w:h="16838"/>
      <w:pgMar w:top="1134" w:right="1418" w:bottom="1247" w:left="1418" w:header="851" w:footer="90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sto MT">
    <w:panose1 w:val="02040603050505030304"/>
    <w:charset w:val="00"/>
    <w:family w:val="roman"/>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F47E7">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1</w:t>
    </w:r>
    <w:r>
      <w:fldChar w:fldCharType="end"/>
    </w:r>
  </w:p>
  <w:p w14:paraId="36DCC970">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0F957">
    <w:pPr>
      <w:pStyle w:val="24"/>
      <w:framePr w:wrap="around" w:vAnchor="text" w:hAnchor="margin" w:xAlign="center" w:y="1"/>
      <w:rPr>
        <w:rStyle w:val="37"/>
      </w:rPr>
    </w:pPr>
    <w:r>
      <w:fldChar w:fldCharType="begin"/>
    </w:r>
    <w:r>
      <w:rPr>
        <w:rStyle w:val="37"/>
      </w:rPr>
      <w:instrText xml:space="preserve">PAGE  </w:instrText>
    </w:r>
    <w:r>
      <w:fldChar w:fldCharType="separate"/>
    </w:r>
    <w:r>
      <w:fldChar w:fldCharType="end"/>
    </w:r>
  </w:p>
  <w:p w14:paraId="68677A79">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323A8">
    <w:pPr>
      <w:pStyle w:val="24"/>
      <w:framePr w:wrap="around" w:vAnchor="text" w:hAnchor="margin" w:xAlign="outside" w:y="1"/>
      <w:jc w:val="center"/>
      <w:rPr>
        <w:rStyle w:val="37"/>
      </w:rPr>
    </w:pPr>
    <w:r>
      <w:fldChar w:fldCharType="begin"/>
    </w:r>
    <w:r>
      <w:rPr>
        <w:rStyle w:val="37"/>
      </w:rPr>
      <w:instrText xml:space="preserve">PAGE  </w:instrText>
    </w:r>
    <w:r>
      <w:fldChar w:fldCharType="separate"/>
    </w:r>
    <w:r>
      <w:rPr>
        <w:rStyle w:val="37"/>
      </w:rPr>
      <w:t>10</w:t>
    </w:r>
    <w:r>
      <w:fldChar w:fldCharType="end"/>
    </w:r>
  </w:p>
  <w:p w14:paraId="2D5D6053">
    <w:pPr>
      <w:pStyle w:val="24"/>
      <w:framePr w:wrap="around" w:vAnchor="text" w:hAnchor="margin" w:xAlign="outside" w:y="1"/>
      <w:ind w:left="-4410" w:leftChars="-2100" w:right="-4439" w:rightChars="-2114"/>
      <w:rPr>
        <w:rStyle w:val="37"/>
      </w:rPr>
    </w:pPr>
  </w:p>
  <w:p w14:paraId="53039521">
    <w:pPr>
      <w:pStyle w:val="24"/>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468CA">
    <w:pPr>
      <w:pStyle w:val="24"/>
      <w:framePr w:wrap="around" w:vAnchor="text" w:hAnchor="margin" w:xAlign="outside" w:y="1"/>
      <w:rPr>
        <w:rStyle w:val="37"/>
      </w:rPr>
    </w:pPr>
    <w:r>
      <w:fldChar w:fldCharType="begin"/>
    </w:r>
    <w:r>
      <w:rPr>
        <w:rStyle w:val="37"/>
      </w:rPr>
      <w:instrText xml:space="preserve">PAGE  </w:instrText>
    </w:r>
    <w:r>
      <w:fldChar w:fldCharType="separate"/>
    </w:r>
    <w:r>
      <w:rPr>
        <w:rStyle w:val="37"/>
        <w:rFonts w:hint="eastAsia"/>
      </w:rPr>
      <w:t>一</w:t>
    </w:r>
    <w:r>
      <w:rPr>
        <w:rStyle w:val="37"/>
      </w:rPr>
      <w:t>–2</w:t>
    </w:r>
    <w:r>
      <w:fldChar w:fldCharType="end"/>
    </w:r>
  </w:p>
  <w:p w14:paraId="724BE595">
    <w:pPr>
      <w:pStyle w:val="24"/>
      <w:ind w:right="360" w:firstLine="360"/>
      <w:jc w:val="center"/>
    </w:pPr>
    <w:r>
      <w:rPr>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1747D">
    <w:pPr>
      <w:pStyle w:val="24"/>
      <w:jc w:val="center"/>
    </w:pPr>
    <w:r>
      <w:fldChar w:fldCharType="begin"/>
    </w:r>
    <w:r>
      <w:rPr>
        <w:rStyle w:val="37"/>
      </w:rPr>
      <w:instrText xml:space="preserve"> PAGE </w:instrText>
    </w:r>
    <w:r>
      <w:fldChar w:fldCharType="separate"/>
    </w:r>
    <w:r>
      <w:rPr>
        <w:rStyle w:val="37"/>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B6175">
    <w:pPr>
      <w:pStyle w:val="25"/>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61F15">
    <w:pPr>
      <w:pStyle w:val="25"/>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337DE">
    <w:pPr>
      <w:pStyle w:val="25"/>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pStyle w:val="102"/>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9"/>
      <w:suff w:val="space"/>
      <w:lvlText w:val="%2.%3.%4"/>
      <w:lvlJc w:val="left"/>
      <w:pPr>
        <w:ind w:left="284" w:hanging="284"/>
      </w:pPr>
      <w:rPr>
        <w:rFonts w:hint="eastAsia" w:ascii="宋体" w:eastAsia="宋体" w:cs="Times New Roman"/>
        <w:b/>
        <w:i w:val="0"/>
        <w:sz w:val="28"/>
      </w:rPr>
    </w:lvl>
    <w:lvl w:ilvl="4" w:tentative="0">
      <w:start w:val="1"/>
      <w:numFmt w:val="decimal"/>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1">
    <w:nsid w:val="0000000B"/>
    <w:multiLevelType w:val="multilevel"/>
    <w:tmpl w:val="0000000B"/>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2">
    <w:nsid w:val="0000000C"/>
    <w:multiLevelType w:val="singleLevel"/>
    <w:tmpl w:val="0000000C"/>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 w:name="KSO_WPS_MARK_KEY" w:val="6cb3d9a5-f741-4531-b518-5cea4a56fc5b"/>
  </w:docVars>
  <w:rsids>
    <w:rsidRoot w:val="00172A27"/>
    <w:rsid w:val="0000534B"/>
    <w:rsid w:val="00033DE4"/>
    <w:rsid w:val="00041CB5"/>
    <w:rsid w:val="00042C6D"/>
    <w:rsid w:val="00057809"/>
    <w:rsid w:val="0007034D"/>
    <w:rsid w:val="00071554"/>
    <w:rsid w:val="000722E2"/>
    <w:rsid w:val="000976C5"/>
    <w:rsid w:val="000D1C66"/>
    <w:rsid w:val="000D620A"/>
    <w:rsid w:val="000E4ACD"/>
    <w:rsid w:val="001041D3"/>
    <w:rsid w:val="0010445F"/>
    <w:rsid w:val="00142A2F"/>
    <w:rsid w:val="001433D5"/>
    <w:rsid w:val="00153468"/>
    <w:rsid w:val="00186FD6"/>
    <w:rsid w:val="00187116"/>
    <w:rsid w:val="001A7B23"/>
    <w:rsid w:val="001B1A4D"/>
    <w:rsid w:val="001B5169"/>
    <w:rsid w:val="001B77C4"/>
    <w:rsid w:val="001C0E07"/>
    <w:rsid w:val="001D0F74"/>
    <w:rsid w:val="001D35D5"/>
    <w:rsid w:val="001E036C"/>
    <w:rsid w:val="001E0F9D"/>
    <w:rsid w:val="001F5613"/>
    <w:rsid w:val="00266D16"/>
    <w:rsid w:val="00292E68"/>
    <w:rsid w:val="00294021"/>
    <w:rsid w:val="002973DB"/>
    <w:rsid w:val="002A3FE4"/>
    <w:rsid w:val="002B269B"/>
    <w:rsid w:val="002B347B"/>
    <w:rsid w:val="002C755F"/>
    <w:rsid w:val="00310284"/>
    <w:rsid w:val="00311BF6"/>
    <w:rsid w:val="00316F7D"/>
    <w:rsid w:val="003223EB"/>
    <w:rsid w:val="003251CC"/>
    <w:rsid w:val="00342AFD"/>
    <w:rsid w:val="0034310C"/>
    <w:rsid w:val="00353FFD"/>
    <w:rsid w:val="00364C03"/>
    <w:rsid w:val="00365916"/>
    <w:rsid w:val="003757BD"/>
    <w:rsid w:val="00386D33"/>
    <w:rsid w:val="003958DF"/>
    <w:rsid w:val="00397595"/>
    <w:rsid w:val="003B5608"/>
    <w:rsid w:val="003B56E4"/>
    <w:rsid w:val="003C1F7C"/>
    <w:rsid w:val="003E708A"/>
    <w:rsid w:val="003F2F8E"/>
    <w:rsid w:val="003F445C"/>
    <w:rsid w:val="003F7B87"/>
    <w:rsid w:val="004157B2"/>
    <w:rsid w:val="0042336C"/>
    <w:rsid w:val="00431695"/>
    <w:rsid w:val="00435B5D"/>
    <w:rsid w:val="00442F41"/>
    <w:rsid w:val="00470CE4"/>
    <w:rsid w:val="004759BE"/>
    <w:rsid w:val="0047737D"/>
    <w:rsid w:val="00481EDA"/>
    <w:rsid w:val="00484B7F"/>
    <w:rsid w:val="0048765C"/>
    <w:rsid w:val="00495D95"/>
    <w:rsid w:val="004A35C9"/>
    <w:rsid w:val="004C3F46"/>
    <w:rsid w:val="004D1D35"/>
    <w:rsid w:val="004D4E07"/>
    <w:rsid w:val="004D5F7F"/>
    <w:rsid w:val="004E139D"/>
    <w:rsid w:val="004E37FD"/>
    <w:rsid w:val="004E7D9E"/>
    <w:rsid w:val="004F66DC"/>
    <w:rsid w:val="004F7C3C"/>
    <w:rsid w:val="0050503C"/>
    <w:rsid w:val="005254A8"/>
    <w:rsid w:val="00525589"/>
    <w:rsid w:val="0052691E"/>
    <w:rsid w:val="005355DB"/>
    <w:rsid w:val="00543C67"/>
    <w:rsid w:val="0054759A"/>
    <w:rsid w:val="00552880"/>
    <w:rsid w:val="005551A6"/>
    <w:rsid w:val="005641E4"/>
    <w:rsid w:val="00565B51"/>
    <w:rsid w:val="0058353B"/>
    <w:rsid w:val="00583A8B"/>
    <w:rsid w:val="00584F73"/>
    <w:rsid w:val="005D560B"/>
    <w:rsid w:val="005E784D"/>
    <w:rsid w:val="00601AA4"/>
    <w:rsid w:val="00604F31"/>
    <w:rsid w:val="00615A71"/>
    <w:rsid w:val="0063226C"/>
    <w:rsid w:val="00643F9A"/>
    <w:rsid w:val="00645815"/>
    <w:rsid w:val="0064667F"/>
    <w:rsid w:val="00646989"/>
    <w:rsid w:val="006549DC"/>
    <w:rsid w:val="00657E2F"/>
    <w:rsid w:val="006614BC"/>
    <w:rsid w:val="00666BDA"/>
    <w:rsid w:val="006A2B8C"/>
    <w:rsid w:val="006B2B4E"/>
    <w:rsid w:val="006C40B2"/>
    <w:rsid w:val="006C7F29"/>
    <w:rsid w:val="006D6AB4"/>
    <w:rsid w:val="00703634"/>
    <w:rsid w:val="00704947"/>
    <w:rsid w:val="00731701"/>
    <w:rsid w:val="007336F7"/>
    <w:rsid w:val="00735637"/>
    <w:rsid w:val="007419FB"/>
    <w:rsid w:val="00744B84"/>
    <w:rsid w:val="00751029"/>
    <w:rsid w:val="007602B1"/>
    <w:rsid w:val="00772ABF"/>
    <w:rsid w:val="00787DD2"/>
    <w:rsid w:val="00791445"/>
    <w:rsid w:val="00796A75"/>
    <w:rsid w:val="007A2011"/>
    <w:rsid w:val="007C1C13"/>
    <w:rsid w:val="007C45E2"/>
    <w:rsid w:val="007C6531"/>
    <w:rsid w:val="007D460D"/>
    <w:rsid w:val="007D4813"/>
    <w:rsid w:val="007D752D"/>
    <w:rsid w:val="007E3572"/>
    <w:rsid w:val="007E42AB"/>
    <w:rsid w:val="00801743"/>
    <w:rsid w:val="00802A9C"/>
    <w:rsid w:val="00804625"/>
    <w:rsid w:val="00822275"/>
    <w:rsid w:val="008347F3"/>
    <w:rsid w:val="00841F96"/>
    <w:rsid w:val="00855EF8"/>
    <w:rsid w:val="00861C26"/>
    <w:rsid w:val="008752E6"/>
    <w:rsid w:val="00877C19"/>
    <w:rsid w:val="00880102"/>
    <w:rsid w:val="0088319E"/>
    <w:rsid w:val="008844E4"/>
    <w:rsid w:val="008A41C5"/>
    <w:rsid w:val="008A779E"/>
    <w:rsid w:val="008B7EE6"/>
    <w:rsid w:val="008C2279"/>
    <w:rsid w:val="008C7EE4"/>
    <w:rsid w:val="008F1B48"/>
    <w:rsid w:val="008F2702"/>
    <w:rsid w:val="008F55C3"/>
    <w:rsid w:val="00913A69"/>
    <w:rsid w:val="00920887"/>
    <w:rsid w:val="00930E34"/>
    <w:rsid w:val="0094102A"/>
    <w:rsid w:val="00946C2F"/>
    <w:rsid w:val="009555A6"/>
    <w:rsid w:val="0096092C"/>
    <w:rsid w:val="00971848"/>
    <w:rsid w:val="00975259"/>
    <w:rsid w:val="00977985"/>
    <w:rsid w:val="00977B14"/>
    <w:rsid w:val="0098424D"/>
    <w:rsid w:val="009B2B13"/>
    <w:rsid w:val="009B6FF5"/>
    <w:rsid w:val="009C4768"/>
    <w:rsid w:val="009C63D7"/>
    <w:rsid w:val="009D44CC"/>
    <w:rsid w:val="009E0391"/>
    <w:rsid w:val="009E261D"/>
    <w:rsid w:val="009E41AC"/>
    <w:rsid w:val="00A06468"/>
    <w:rsid w:val="00A074E5"/>
    <w:rsid w:val="00A075A9"/>
    <w:rsid w:val="00A12D16"/>
    <w:rsid w:val="00A21402"/>
    <w:rsid w:val="00A36D45"/>
    <w:rsid w:val="00A40E81"/>
    <w:rsid w:val="00A43F5B"/>
    <w:rsid w:val="00A46804"/>
    <w:rsid w:val="00A63F4F"/>
    <w:rsid w:val="00A657C4"/>
    <w:rsid w:val="00A77A39"/>
    <w:rsid w:val="00A836BC"/>
    <w:rsid w:val="00A858AD"/>
    <w:rsid w:val="00A9375A"/>
    <w:rsid w:val="00A96026"/>
    <w:rsid w:val="00A96695"/>
    <w:rsid w:val="00AA5EB1"/>
    <w:rsid w:val="00AB26E5"/>
    <w:rsid w:val="00AB34AA"/>
    <w:rsid w:val="00AB7189"/>
    <w:rsid w:val="00AB7369"/>
    <w:rsid w:val="00AB78CE"/>
    <w:rsid w:val="00AB7F32"/>
    <w:rsid w:val="00AD4B53"/>
    <w:rsid w:val="00AE009B"/>
    <w:rsid w:val="00AF42A0"/>
    <w:rsid w:val="00B01683"/>
    <w:rsid w:val="00B068B9"/>
    <w:rsid w:val="00B105C0"/>
    <w:rsid w:val="00B10AE2"/>
    <w:rsid w:val="00B11D63"/>
    <w:rsid w:val="00B12428"/>
    <w:rsid w:val="00B20295"/>
    <w:rsid w:val="00B304F2"/>
    <w:rsid w:val="00B55292"/>
    <w:rsid w:val="00B5744E"/>
    <w:rsid w:val="00B6092E"/>
    <w:rsid w:val="00B67F2C"/>
    <w:rsid w:val="00B91A7F"/>
    <w:rsid w:val="00B96F6D"/>
    <w:rsid w:val="00BB2F86"/>
    <w:rsid w:val="00BB5CC9"/>
    <w:rsid w:val="00BB7754"/>
    <w:rsid w:val="00BC2493"/>
    <w:rsid w:val="00BF12A1"/>
    <w:rsid w:val="00BF62C2"/>
    <w:rsid w:val="00C01307"/>
    <w:rsid w:val="00C01EA9"/>
    <w:rsid w:val="00C32EA0"/>
    <w:rsid w:val="00C53EA9"/>
    <w:rsid w:val="00C53FB9"/>
    <w:rsid w:val="00C62E22"/>
    <w:rsid w:val="00C910BA"/>
    <w:rsid w:val="00C956CA"/>
    <w:rsid w:val="00C97ACD"/>
    <w:rsid w:val="00CD76F6"/>
    <w:rsid w:val="00CE7576"/>
    <w:rsid w:val="00CF731B"/>
    <w:rsid w:val="00D55294"/>
    <w:rsid w:val="00D634C2"/>
    <w:rsid w:val="00D66B38"/>
    <w:rsid w:val="00D678FF"/>
    <w:rsid w:val="00D8199B"/>
    <w:rsid w:val="00D82A33"/>
    <w:rsid w:val="00D86396"/>
    <w:rsid w:val="00D910F0"/>
    <w:rsid w:val="00DA1DA5"/>
    <w:rsid w:val="00DB132E"/>
    <w:rsid w:val="00DB2ED8"/>
    <w:rsid w:val="00DB79CA"/>
    <w:rsid w:val="00DD0DFA"/>
    <w:rsid w:val="00DE5897"/>
    <w:rsid w:val="00DE5E42"/>
    <w:rsid w:val="00DF36D1"/>
    <w:rsid w:val="00E016A9"/>
    <w:rsid w:val="00E16C13"/>
    <w:rsid w:val="00E2195E"/>
    <w:rsid w:val="00E41BDA"/>
    <w:rsid w:val="00E532CC"/>
    <w:rsid w:val="00E65DFC"/>
    <w:rsid w:val="00E76C85"/>
    <w:rsid w:val="00E86B57"/>
    <w:rsid w:val="00E9315C"/>
    <w:rsid w:val="00EB5634"/>
    <w:rsid w:val="00EC2355"/>
    <w:rsid w:val="00EC5C56"/>
    <w:rsid w:val="00EE75F1"/>
    <w:rsid w:val="00EF252D"/>
    <w:rsid w:val="00F13FEA"/>
    <w:rsid w:val="00F1447E"/>
    <w:rsid w:val="00F233AB"/>
    <w:rsid w:val="00F25C25"/>
    <w:rsid w:val="00F3340E"/>
    <w:rsid w:val="00F457AD"/>
    <w:rsid w:val="00F574E2"/>
    <w:rsid w:val="00F66728"/>
    <w:rsid w:val="00F72E49"/>
    <w:rsid w:val="00FA47E6"/>
    <w:rsid w:val="00FC3AA0"/>
    <w:rsid w:val="00FC69C5"/>
    <w:rsid w:val="00FD73E3"/>
    <w:rsid w:val="00FE7E06"/>
    <w:rsid w:val="00FF6FF6"/>
    <w:rsid w:val="03A072DA"/>
    <w:rsid w:val="03B16708"/>
    <w:rsid w:val="04811720"/>
    <w:rsid w:val="049D3510"/>
    <w:rsid w:val="063666EC"/>
    <w:rsid w:val="066D764A"/>
    <w:rsid w:val="06AA71B7"/>
    <w:rsid w:val="06D35FB4"/>
    <w:rsid w:val="06FF4665"/>
    <w:rsid w:val="071A1A94"/>
    <w:rsid w:val="075C1AB8"/>
    <w:rsid w:val="08781394"/>
    <w:rsid w:val="08AB5A48"/>
    <w:rsid w:val="093E6351"/>
    <w:rsid w:val="097E41E5"/>
    <w:rsid w:val="0B7C3034"/>
    <w:rsid w:val="0D260CAE"/>
    <w:rsid w:val="0EC741CC"/>
    <w:rsid w:val="0EC97F51"/>
    <w:rsid w:val="0EEB1960"/>
    <w:rsid w:val="0F2C1D90"/>
    <w:rsid w:val="0FCD0C4D"/>
    <w:rsid w:val="10C23D10"/>
    <w:rsid w:val="111D4DC5"/>
    <w:rsid w:val="1198193E"/>
    <w:rsid w:val="131A70DA"/>
    <w:rsid w:val="13783FFA"/>
    <w:rsid w:val="137C6C12"/>
    <w:rsid w:val="13B920CC"/>
    <w:rsid w:val="143E13B6"/>
    <w:rsid w:val="14AD3417"/>
    <w:rsid w:val="15D33950"/>
    <w:rsid w:val="164E143C"/>
    <w:rsid w:val="18227552"/>
    <w:rsid w:val="18B9619D"/>
    <w:rsid w:val="19916F4D"/>
    <w:rsid w:val="1A6664DE"/>
    <w:rsid w:val="1B30109C"/>
    <w:rsid w:val="1BEF525A"/>
    <w:rsid w:val="1CCD7FA6"/>
    <w:rsid w:val="1CCE50CC"/>
    <w:rsid w:val="1D4C1F19"/>
    <w:rsid w:val="1DAF24EA"/>
    <w:rsid w:val="1E805C34"/>
    <w:rsid w:val="202B5E86"/>
    <w:rsid w:val="20955535"/>
    <w:rsid w:val="20E8359B"/>
    <w:rsid w:val="21871251"/>
    <w:rsid w:val="22701067"/>
    <w:rsid w:val="22A26DE8"/>
    <w:rsid w:val="23F53B0C"/>
    <w:rsid w:val="24D600CC"/>
    <w:rsid w:val="25431FA8"/>
    <w:rsid w:val="255E7D6E"/>
    <w:rsid w:val="25E76599"/>
    <w:rsid w:val="26D64FE3"/>
    <w:rsid w:val="277F6431"/>
    <w:rsid w:val="27AC1F06"/>
    <w:rsid w:val="28631764"/>
    <w:rsid w:val="287250B3"/>
    <w:rsid w:val="29165EC5"/>
    <w:rsid w:val="295F4CAF"/>
    <w:rsid w:val="296306C3"/>
    <w:rsid w:val="29C96D48"/>
    <w:rsid w:val="2A0F38BE"/>
    <w:rsid w:val="2AAA0704"/>
    <w:rsid w:val="2AB05704"/>
    <w:rsid w:val="2B2412C8"/>
    <w:rsid w:val="2BAF2344"/>
    <w:rsid w:val="2C2C2F57"/>
    <w:rsid w:val="2CEC7421"/>
    <w:rsid w:val="2DF73EA7"/>
    <w:rsid w:val="2E3C7CED"/>
    <w:rsid w:val="2E544216"/>
    <w:rsid w:val="2E986025"/>
    <w:rsid w:val="2FE92991"/>
    <w:rsid w:val="2FEF3D0E"/>
    <w:rsid w:val="30063D65"/>
    <w:rsid w:val="303E02A3"/>
    <w:rsid w:val="30A3396E"/>
    <w:rsid w:val="31267BB3"/>
    <w:rsid w:val="32B9158D"/>
    <w:rsid w:val="335D5E39"/>
    <w:rsid w:val="33CE53C7"/>
    <w:rsid w:val="35000071"/>
    <w:rsid w:val="353D243C"/>
    <w:rsid w:val="35595626"/>
    <w:rsid w:val="363211BC"/>
    <w:rsid w:val="364414DC"/>
    <w:rsid w:val="36B93D76"/>
    <w:rsid w:val="36D7610B"/>
    <w:rsid w:val="36ED6F6D"/>
    <w:rsid w:val="375B0906"/>
    <w:rsid w:val="382B4F38"/>
    <w:rsid w:val="38535177"/>
    <w:rsid w:val="38561630"/>
    <w:rsid w:val="39E41A24"/>
    <w:rsid w:val="3CD20775"/>
    <w:rsid w:val="3E692761"/>
    <w:rsid w:val="427D60E9"/>
    <w:rsid w:val="42F44314"/>
    <w:rsid w:val="42FD1DE4"/>
    <w:rsid w:val="434D6E7C"/>
    <w:rsid w:val="46560EA5"/>
    <w:rsid w:val="466220A4"/>
    <w:rsid w:val="470B35BB"/>
    <w:rsid w:val="47310F93"/>
    <w:rsid w:val="485778F0"/>
    <w:rsid w:val="485B27A2"/>
    <w:rsid w:val="492643A0"/>
    <w:rsid w:val="49CD0B3C"/>
    <w:rsid w:val="4A196F9C"/>
    <w:rsid w:val="4BD25472"/>
    <w:rsid w:val="4BE23238"/>
    <w:rsid w:val="4C8D15E3"/>
    <w:rsid w:val="4C911D67"/>
    <w:rsid w:val="4CF45D11"/>
    <w:rsid w:val="4E196D22"/>
    <w:rsid w:val="4E5263F6"/>
    <w:rsid w:val="4F7D359E"/>
    <w:rsid w:val="4FA55C05"/>
    <w:rsid w:val="4FFB7527"/>
    <w:rsid w:val="502C222D"/>
    <w:rsid w:val="50B42F9C"/>
    <w:rsid w:val="51FD32BA"/>
    <w:rsid w:val="52384942"/>
    <w:rsid w:val="533C0E9D"/>
    <w:rsid w:val="53425999"/>
    <w:rsid w:val="53761D5D"/>
    <w:rsid w:val="54A451DD"/>
    <w:rsid w:val="54A877B3"/>
    <w:rsid w:val="55074643"/>
    <w:rsid w:val="55B61960"/>
    <w:rsid w:val="5752039F"/>
    <w:rsid w:val="584D2D6C"/>
    <w:rsid w:val="59EF3692"/>
    <w:rsid w:val="5AF64399"/>
    <w:rsid w:val="5B157CA4"/>
    <w:rsid w:val="5B6171AA"/>
    <w:rsid w:val="5B9C6321"/>
    <w:rsid w:val="5BAE36B3"/>
    <w:rsid w:val="5BE831B6"/>
    <w:rsid w:val="5C8B4DDE"/>
    <w:rsid w:val="5CA842DF"/>
    <w:rsid w:val="5DE461E3"/>
    <w:rsid w:val="5E8E3CF6"/>
    <w:rsid w:val="632C6BF4"/>
    <w:rsid w:val="63E045F6"/>
    <w:rsid w:val="651C188A"/>
    <w:rsid w:val="65E74C3F"/>
    <w:rsid w:val="662937A6"/>
    <w:rsid w:val="664803B2"/>
    <w:rsid w:val="67192A32"/>
    <w:rsid w:val="679722CA"/>
    <w:rsid w:val="67E23FB4"/>
    <w:rsid w:val="688F59F4"/>
    <w:rsid w:val="69CB28F2"/>
    <w:rsid w:val="69F334A4"/>
    <w:rsid w:val="69FA3260"/>
    <w:rsid w:val="6A1B2B92"/>
    <w:rsid w:val="6AB51291"/>
    <w:rsid w:val="6AB66C0E"/>
    <w:rsid w:val="6B23393F"/>
    <w:rsid w:val="6BB92304"/>
    <w:rsid w:val="6BE17177"/>
    <w:rsid w:val="6C6B6A9B"/>
    <w:rsid w:val="6D886C64"/>
    <w:rsid w:val="6DA700B4"/>
    <w:rsid w:val="6E751F61"/>
    <w:rsid w:val="6E83180C"/>
    <w:rsid w:val="6E8C2E06"/>
    <w:rsid w:val="6F9831FE"/>
    <w:rsid w:val="701324F0"/>
    <w:rsid w:val="72D37256"/>
    <w:rsid w:val="733F506D"/>
    <w:rsid w:val="73E84F83"/>
    <w:rsid w:val="73FA6448"/>
    <w:rsid w:val="74662A4E"/>
    <w:rsid w:val="75742F72"/>
    <w:rsid w:val="75C92B9F"/>
    <w:rsid w:val="785978ED"/>
    <w:rsid w:val="78CE1884"/>
    <w:rsid w:val="7A022356"/>
    <w:rsid w:val="7A5E7AB1"/>
    <w:rsid w:val="7A63739C"/>
    <w:rsid w:val="7A734A50"/>
    <w:rsid w:val="7ABE5FF2"/>
    <w:rsid w:val="7B0E0703"/>
    <w:rsid w:val="7D1C7A4B"/>
    <w:rsid w:val="7ED23093"/>
    <w:rsid w:val="7F464A05"/>
    <w:rsid w:val="7F607A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5"/>
    <w:next w:val="2"/>
    <w:link w:val="45"/>
    <w:qFormat/>
    <w:uiPriority w:val="0"/>
    <w:pPr>
      <w:keepNext/>
      <w:keepLines/>
      <w:spacing w:after="120" w:afterLines="0" w:line="360" w:lineRule="auto"/>
      <w:outlineLvl w:val="0"/>
    </w:pPr>
    <w:rPr>
      <w:kern w:val="44"/>
      <w:sz w:val="28"/>
      <w:szCs w:val="28"/>
    </w:rPr>
  </w:style>
  <w:style w:type="paragraph" w:styleId="6">
    <w:name w:val="heading 2"/>
    <w:basedOn w:val="1"/>
    <w:next w:val="7"/>
    <w:link w:val="46"/>
    <w:qFormat/>
    <w:uiPriority w:val="0"/>
    <w:pPr>
      <w:keepNext/>
      <w:keepLines/>
      <w:spacing w:before="120" w:beforeLines="0" w:after="120" w:afterLines="0" w:line="415" w:lineRule="auto"/>
      <w:ind w:left="454"/>
      <w:jc w:val="center"/>
      <w:outlineLvl w:val="1"/>
    </w:pPr>
    <w:rPr>
      <w:rFonts w:ascii="Arial" w:hAnsi="Arial"/>
      <w:b/>
      <w:color w:val="000000"/>
      <w:kern w:val="0"/>
      <w:sz w:val="24"/>
      <w:szCs w:val="24"/>
    </w:rPr>
  </w:style>
  <w:style w:type="paragraph" w:styleId="8">
    <w:name w:val="heading 3"/>
    <w:basedOn w:val="1"/>
    <w:next w:val="1"/>
    <w:link w:val="47"/>
    <w:qFormat/>
    <w:uiPriority w:val="0"/>
    <w:pPr>
      <w:widowControl/>
      <w:spacing w:before="100" w:beforeLines="0" w:beforeAutospacing="1" w:after="100" w:afterLines="0" w:afterAutospacing="1"/>
      <w:jc w:val="left"/>
      <w:outlineLvl w:val="2"/>
    </w:pPr>
    <w:rPr>
      <w:rFonts w:ascii="宋体" w:hAnsi="宋体"/>
      <w:kern w:val="0"/>
      <w:sz w:val="27"/>
      <w:szCs w:val="27"/>
    </w:rPr>
  </w:style>
  <w:style w:type="paragraph" w:styleId="9">
    <w:name w:val="heading 4"/>
    <w:basedOn w:val="8"/>
    <w:next w:val="7"/>
    <w:link w:val="48"/>
    <w:qFormat/>
    <w:uiPriority w:val="0"/>
    <w:pPr>
      <w:keepNext/>
      <w:keepLines/>
      <w:widowControl w:val="0"/>
      <w:numPr>
        <w:ilvl w:val="3"/>
        <w:numId w:val="1"/>
      </w:numPr>
      <w:spacing w:before="156" w:beforeLines="50" w:beforeAutospacing="0" w:after="156" w:afterLines="50" w:afterAutospacing="0" w:line="360" w:lineRule="auto"/>
      <w:outlineLvl w:val="3"/>
    </w:pPr>
    <w:rPr>
      <w:rFonts w:ascii="Arial" w:hAnsi="Arial"/>
      <w:color w:val="000000"/>
      <w:sz w:val="20"/>
      <w:szCs w:val="21"/>
    </w:rPr>
  </w:style>
  <w:style w:type="paragraph" w:styleId="10">
    <w:name w:val="heading 5"/>
    <w:basedOn w:val="9"/>
    <w:next w:val="7"/>
    <w:link w:val="49"/>
    <w:qFormat/>
    <w:uiPriority w:val="0"/>
    <w:pPr>
      <w:spacing w:line="240" w:lineRule="exact"/>
      <w:outlineLvl w:val="4"/>
    </w:pPr>
  </w:style>
  <w:style w:type="paragraph" w:styleId="11">
    <w:name w:val="heading 6"/>
    <w:basedOn w:val="1"/>
    <w:next w:val="1"/>
    <w:link w:val="50"/>
    <w:qFormat/>
    <w:uiPriority w:val="0"/>
    <w:pPr>
      <w:keepNext/>
      <w:keepLines/>
      <w:numPr>
        <w:ilvl w:val="5"/>
        <w:numId w:val="2"/>
      </w:numPr>
      <w:spacing w:before="240" w:beforeLines="0" w:after="64" w:afterLines="0" w:line="320" w:lineRule="auto"/>
      <w:outlineLvl w:val="5"/>
    </w:pPr>
    <w:rPr>
      <w:rFonts w:ascii="Arial" w:hAnsi="Arial" w:eastAsia="黑体"/>
      <w:b/>
      <w:bCs/>
      <w:kern w:val="0"/>
      <w:sz w:val="24"/>
      <w:szCs w:val="24"/>
    </w:rPr>
  </w:style>
  <w:style w:type="paragraph" w:styleId="12">
    <w:name w:val="heading 7"/>
    <w:basedOn w:val="1"/>
    <w:next w:val="7"/>
    <w:link w:val="51"/>
    <w:qFormat/>
    <w:uiPriority w:val="0"/>
    <w:pPr>
      <w:keepNext/>
      <w:keepLines/>
      <w:numPr>
        <w:ilvl w:val="6"/>
        <w:numId w:val="1"/>
      </w:numPr>
      <w:spacing w:before="240" w:beforeLines="0" w:after="64" w:afterLines="0" w:line="320" w:lineRule="auto"/>
      <w:outlineLvl w:val="6"/>
    </w:pPr>
    <w:rPr>
      <w:rFonts w:ascii="Times New Roman" w:hAnsi="Times New Roman"/>
      <w:b/>
      <w:kern w:val="0"/>
      <w:sz w:val="24"/>
      <w:szCs w:val="20"/>
    </w:rPr>
  </w:style>
  <w:style w:type="paragraph" w:styleId="13">
    <w:name w:val="heading 8"/>
    <w:basedOn w:val="1"/>
    <w:next w:val="7"/>
    <w:link w:val="52"/>
    <w:qFormat/>
    <w:uiPriority w:val="0"/>
    <w:pPr>
      <w:keepNext/>
      <w:keepLines/>
      <w:numPr>
        <w:ilvl w:val="7"/>
        <w:numId w:val="1"/>
      </w:numPr>
      <w:spacing w:before="240" w:beforeLines="0" w:after="64" w:afterLines="0" w:line="320" w:lineRule="auto"/>
      <w:outlineLvl w:val="7"/>
    </w:pPr>
    <w:rPr>
      <w:rFonts w:ascii="Arial" w:hAnsi="Arial" w:eastAsia="黑体"/>
      <w:kern w:val="0"/>
      <w:sz w:val="24"/>
      <w:szCs w:val="20"/>
    </w:rPr>
  </w:style>
  <w:style w:type="paragraph" w:styleId="14">
    <w:name w:val="heading 9"/>
    <w:basedOn w:val="1"/>
    <w:next w:val="7"/>
    <w:link w:val="53"/>
    <w:qFormat/>
    <w:uiPriority w:val="0"/>
    <w:pPr>
      <w:keepNext/>
      <w:keepLines/>
      <w:numPr>
        <w:ilvl w:val="8"/>
        <w:numId w:val="1"/>
      </w:numPr>
      <w:spacing w:before="240" w:beforeLines="0" w:after="64" w:afterLines="0" w:line="320" w:lineRule="auto"/>
      <w:outlineLvl w:val="8"/>
    </w:pPr>
    <w:rPr>
      <w:rFonts w:ascii="Arial" w:hAnsi="Arial" w:eastAsia="黑体"/>
      <w:kern w:val="0"/>
      <w:sz w:val="20"/>
      <w:szCs w:val="20"/>
    </w:rPr>
  </w:style>
  <w:style w:type="character" w:default="1" w:styleId="34">
    <w:name w:val="Default Paragraph Font"/>
    <w:qFormat/>
    <w:uiPriority w:val="0"/>
  </w:style>
  <w:style w:type="table" w:default="1" w:styleId="33">
    <w:name w:val="Normal Table"/>
    <w:unhideWhenUsed/>
    <w:qFormat/>
    <w:uiPriority w:val="99"/>
    <w:tblPr>
      <w:tblCellMar>
        <w:top w:w="0" w:type="dxa"/>
        <w:left w:w="108" w:type="dxa"/>
        <w:bottom w:w="0" w:type="dxa"/>
        <w:right w:w="108" w:type="dxa"/>
      </w:tblCellMar>
    </w:tblPr>
  </w:style>
  <w:style w:type="paragraph" w:styleId="2">
    <w:name w:val="Body Text First Indent"/>
    <w:basedOn w:val="3"/>
    <w:link w:val="44"/>
    <w:qFormat/>
    <w:uiPriority w:val="0"/>
    <w:pPr>
      <w:ind w:firstLine="420"/>
    </w:pPr>
  </w:style>
  <w:style w:type="paragraph" w:styleId="3">
    <w:name w:val="Body Text"/>
    <w:basedOn w:val="1"/>
    <w:next w:val="1"/>
    <w:link w:val="42"/>
    <w:qFormat/>
    <w:uiPriority w:val="0"/>
    <w:pPr>
      <w:spacing w:after="120" w:afterLines="0"/>
    </w:pPr>
    <w:rPr>
      <w:rFonts w:ascii="Times New Roman" w:hAnsi="Times New Roman"/>
      <w:kern w:val="0"/>
      <w:sz w:val="20"/>
      <w:szCs w:val="20"/>
    </w:rPr>
  </w:style>
  <w:style w:type="paragraph" w:styleId="5">
    <w:name w:val="Title"/>
    <w:basedOn w:val="1"/>
    <w:next w:val="1"/>
    <w:link w:val="43"/>
    <w:qFormat/>
    <w:uiPriority w:val="0"/>
    <w:pPr>
      <w:spacing w:before="120" w:beforeLines="0" w:after="60" w:afterLines="0"/>
      <w:jc w:val="center"/>
    </w:pPr>
    <w:rPr>
      <w:rFonts w:ascii="Arial" w:hAnsi="Arial"/>
      <w:b/>
      <w:kern w:val="0"/>
      <w:sz w:val="44"/>
      <w:szCs w:val="20"/>
    </w:rPr>
  </w:style>
  <w:style w:type="paragraph" w:styleId="7">
    <w:name w:val="Normal Indent"/>
    <w:basedOn w:val="1"/>
    <w:next w:val="1"/>
    <w:qFormat/>
    <w:uiPriority w:val="0"/>
    <w:pPr>
      <w:ind w:firstLine="420"/>
    </w:pPr>
    <w:rPr>
      <w:rFonts w:ascii="Times New Roman" w:hAnsi="Times New Roman"/>
      <w:szCs w:val="20"/>
    </w:rPr>
  </w:style>
  <w:style w:type="paragraph" w:styleId="15">
    <w:name w:val="Document Map"/>
    <w:basedOn w:val="1"/>
    <w:link w:val="54"/>
    <w:qFormat/>
    <w:uiPriority w:val="0"/>
    <w:pPr>
      <w:shd w:val="clear" w:color="auto" w:fill="000080"/>
    </w:pPr>
    <w:rPr>
      <w:rFonts w:ascii="Times New Roman" w:hAnsi="Times New Roman"/>
      <w:kern w:val="0"/>
      <w:sz w:val="20"/>
      <w:szCs w:val="20"/>
      <w:shd w:val="clear" w:color="auto" w:fill="000080"/>
    </w:rPr>
  </w:style>
  <w:style w:type="paragraph" w:styleId="16">
    <w:name w:val="annotation text"/>
    <w:basedOn w:val="1"/>
    <w:link w:val="55"/>
    <w:qFormat/>
    <w:uiPriority w:val="0"/>
    <w:pPr>
      <w:spacing w:line="360" w:lineRule="auto"/>
      <w:ind w:firstLine="523" w:firstLineChars="218"/>
      <w:jc w:val="left"/>
    </w:pPr>
    <w:rPr>
      <w:rFonts w:ascii="宋体" w:hAnsi="宋体"/>
      <w:kern w:val="0"/>
      <w:sz w:val="24"/>
      <w:szCs w:val="24"/>
    </w:rPr>
  </w:style>
  <w:style w:type="paragraph" w:styleId="17">
    <w:name w:val="Body Text Indent"/>
    <w:basedOn w:val="1"/>
    <w:link w:val="56"/>
    <w:qFormat/>
    <w:uiPriority w:val="0"/>
    <w:pPr>
      <w:ind w:firstLine="570"/>
    </w:pPr>
    <w:rPr>
      <w:rFonts w:ascii="Times New Roman" w:hAnsi="Times New Roman"/>
      <w:kern w:val="0"/>
      <w:sz w:val="28"/>
      <w:szCs w:val="20"/>
    </w:rPr>
  </w:style>
  <w:style w:type="paragraph" w:styleId="18">
    <w:name w:val="toc 3"/>
    <w:basedOn w:val="1"/>
    <w:next w:val="1"/>
    <w:qFormat/>
    <w:uiPriority w:val="0"/>
    <w:pPr>
      <w:snapToGrid w:val="0"/>
      <w:spacing w:line="360" w:lineRule="auto"/>
      <w:ind w:left="400" w:leftChars="400"/>
      <w:jc w:val="left"/>
    </w:pPr>
    <w:rPr>
      <w:rFonts w:ascii="Times New Roman" w:hAnsi="Times New Roman"/>
      <w:sz w:val="24"/>
      <w:szCs w:val="20"/>
    </w:rPr>
  </w:style>
  <w:style w:type="paragraph" w:styleId="19">
    <w:name w:val="Plain Text"/>
    <w:basedOn w:val="1"/>
    <w:next w:val="1"/>
    <w:link w:val="57"/>
    <w:qFormat/>
    <w:uiPriority w:val="0"/>
    <w:rPr>
      <w:rFonts w:ascii="宋体" w:hAnsi="Courier New"/>
      <w:kern w:val="0"/>
      <w:sz w:val="20"/>
      <w:szCs w:val="20"/>
    </w:rPr>
  </w:style>
  <w:style w:type="paragraph" w:styleId="20">
    <w:name w:val="Date"/>
    <w:basedOn w:val="1"/>
    <w:next w:val="1"/>
    <w:link w:val="58"/>
    <w:qFormat/>
    <w:uiPriority w:val="0"/>
    <w:rPr>
      <w:rFonts w:ascii="Times New Roman" w:hAnsi="Times New Roman"/>
      <w:kern w:val="0"/>
      <w:sz w:val="20"/>
      <w:szCs w:val="20"/>
    </w:rPr>
  </w:style>
  <w:style w:type="paragraph" w:styleId="21">
    <w:name w:val="Body Text Indent 2"/>
    <w:basedOn w:val="1"/>
    <w:link w:val="59"/>
    <w:qFormat/>
    <w:uiPriority w:val="0"/>
    <w:pPr>
      <w:spacing w:line="400" w:lineRule="exact"/>
      <w:ind w:left="425"/>
    </w:pPr>
    <w:rPr>
      <w:rFonts w:ascii="Times New Roman" w:hAnsi="Times New Roman"/>
      <w:color w:val="000000"/>
      <w:kern w:val="0"/>
      <w:sz w:val="24"/>
      <w:szCs w:val="20"/>
    </w:rPr>
  </w:style>
  <w:style w:type="paragraph" w:styleId="22">
    <w:name w:val="endnote text"/>
    <w:basedOn w:val="1"/>
    <w:link w:val="60"/>
    <w:qFormat/>
    <w:uiPriority w:val="0"/>
    <w:pPr>
      <w:snapToGrid w:val="0"/>
      <w:jc w:val="left"/>
    </w:pPr>
    <w:rPr>
      <w:rFonts w:ascii="Times New Roman" w:hAnsi="Times New Roman"/>
      <w:kern w:val="0"/>
      <w:sz w:val="20"/>
      <w:szCs w:val="20"/>
    </w:rPr>
  </w:style>
  <w:style w:type="paragraph" w:styleId="23">
    <w:name w:val="Balloon Text"/>
    <w:basedOn w:val="1"/>
    <w:link w:val="61"/>
    <w:qFormat/>
    <w:uiPriority w:val="0"/>
    <w:rPr>
      <w:rFonts w:ascii="Times New Roman" w:hAnsi="Times New Roman"/>
      <w:kern w:val="0"/>
      <w:sz w:val="18"/>
      <w:szCs w:val="18"/>
    </w:rPr>
  </w:style>
  <w:style w:type="paragraph" w:styleId="24">
    <w:name w:val="footer"/>
    <w:basedOn w:val="1"/>
    <w:link w:val="62"/>
    <w:qFormat/>
    <w:uiPriority w:val="0"/>
    <w:pPr>
      <w:tabs>
        <w:tab w:val="center" w:pos="4153"/>
        <w:tab w:val="right" w:pos="8306"/>
      </w:tabs>
      <w:snapToGrid w:val="0"/>
      <w:jc w:val="left"/>
    </w:pPr>
    <w:rPr>
      <w:kern w:val="0"/>
      <w:sz w:val="18"/>
      <w:szCs w:val="18"/>
    </w:rPr>
  </w:style>
  <w:style w:type="paragraph" w:styleId="25">
    <w:name w:val="header"/>
    <w:basedOn w:val="1"/>
    <w:link w:val="63"/>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7">
    <w:name w:val="footnote text"/>
    <w:basedOn w:val="1"/>
    <w:link w:val="64"/>
    <w:qFormat/>
    <w:uiPriority w:val="0"/>
    <w:pPr>
      <w:snapToGrid w:val="0"/>
      <w:spacing w:line="360" w:lineRule="auto"/>
      <w:ind w:firstLine="523" w:firstLineChars="218"/>
      <w:jc w:val="left"/>
    </w:pPr>
    <w:rPr>
      <w:rFonts w:ascii="宋体" w:hAnsi="宋体"/>
      <w:kern w:val="0"/>
      <w:sz w:val="18"/>
      <w:szCs w:val="18"/>
    </w:rPr>
  </w:style>
  <w:style w:type="paragraph" w:styleId="28">
    <w:name w:val="Body Text Indent 3"/>
    <w:basedOn w:val="1"/>
    <w:link w:val="65"/>
    <w:qFormat/>
    <w:uiPriority w:val="0"/>
    <w:pPr>
      <w:tabs>
        <w:tab w:val="left" w:pos="0"/>
      </w:tabs>
      <w:spacing w:line="400" w:lineRule="exact"/>
      <w:ind w:left="563" w:leftChars="228" w:hanging="84" w:hangingChars="35"/>
    </w:pPr>
    <w:rPr>
      <w:rFonts w:ascii="Times New Roman" w:hAnsi="Times New Roman"/>
      <w:color w:val="000000"/>
      <w:kern w:val="0"/>
      <w:sz w:val="24"/>
      <w:szCs w:val="20"/>
    </w:rPr>
  </w:style>
  <w:style w:type="paragraph" w:styleId="29">
    <w:name w:val="toc 2"/>
    <w:basedOn w:val="1"/>
    <w:next w:val="1"/>
    <w:qFormat/>
    <w:uiPriority w:val="0"/>
    <w:pPr>
      <w:tabs>
        <w:tab w:val="right" w:leader="dot" w:pos="9060"/>
      </w:tabs>
      <w:snapToGrid w:val="0"/>
      <w:spacing w:line="360" w:lineRule="auto"/>
      <w:ind w:left="420" w:leftChars="200"/>
      <w:jc w:val="left"/>
    </w:pPr>
    <w:rPr>
      <w:rFonts w:ascii="Times New Roman" w:hAnsi="Times New Roman"/>
      <w:sz w:val="24"/>
      <w:szCs w:val="24"/>
    </w:rPr>
  </w:style>
  <w:style w:type="paragraph" w:styleId="30">
    <w:name w:val="Body Text 2"/>
    <w:basedOn w:val="1"/>
    <w:link w:val="66"/>
    <w:qFormat/>
    <w:uiPriority w:val="0"/>
    <w:rPr>
      <w:rFonts w:ascii="宋体" w:hAnsi="宋体"/>
      <w:kern w:val="0"/>
      <w:sz w:val="20"/>
      <w:szCs w:val="24"/>
      <w:u w:val="single"/>
    </w:rPr>
  </w:style>
  <w:style w:type="paragraph" w:styleId="31">
    <w:name w:val="index 1"/>
    <w:basedOn w:val="1"/>
    <w:next w:val="1"/>
    <w:qFormat/>
    <w:uiPriority w:val="0"/>
    <w:rPr>
      <w:rFonts w:ascii="Times New Roman" w:hAnsi="Times New Roman" w:eastAsia="仿宋_GB2312"/>
      <w:sz w:val="28"/>
      <w:szCs w:val="20"/>
    </w:rPr>
  </w:style>
  <w:style w:type="paragraph" w:styleId="32">
    <w:name w:val="annotation subject"/>
    <w:basedOn w:val="16"/>
    <w:next w:val="16"/>
    <w:link w:val="67"/>
    <w:qFormat/>
    <w:uiPriority w:val="0"/>
    <w:rPr>
      <w:b/>
      <w:bCs/>
    </w:rPr>
  </w:style>
  <w:style w:type="character" w:styleId="35">
    <w:name w:val="Strong"/>
    <w:qFormat/>
    <w:uiPriority w:val="0"/>
    <w:rPr>
      <w:b/>
    </w:rPr>
  </w:style>
  <w:style w:type="character" w:styleId="36">
    <w:name w:val="endnote reference"/>
    <w:qFormat/>
    <w:uiPriority w:val="0"/>
    <w:rPr>
      <w:vertAlign w:val="superscript"/>
    </w:rPr>
  </w:style>
  <w:style w:type="character" w:styleId="37">
    <w:name w:val="page number"/>
    <w:qFormat/>
    <w:uiPriority w:val="0"/>
    <w:rPr>
      <w:rFonts w:cs="Times New Roman"/>
    </w:rPr>
  </w:style>
  <w:style w:type="character" w:styleId="38">
    <w:name w:val="FollowedHyperlink"/>
    <w:qFormat/>
    <w:uiPriority w:val="0"/>
    <w:rPr>
      <w:color w:val="954F72"/>
      <w:u w:val="single"/>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character" w:styleId="41">
    <w:name w:val="footnote reference"/>
    <w:qFormat/>
    <w:uiPriority w:val="0"/>
    <w:rPr>
      <w:vertAlign w:val="superscript"/>
    </w:rPr>
  </w:style>
  <w:style w:type="character" w:customStyle="1" w:styleId="42">
    <w:name w:val="正文文本 Char"/>
    <w:link w:val="3"/>
    <w:qFormat/>
    <w:uiPriority w:val="0"/>
    <w:rPr>
      <w:rFonts w:ascii="Times New Roman" w:hAnsi="Times New Roman" w:eastAsia="宋体" w:cs="Times New Roman"/>
      <w:szCs w:val="20"/>
    </w:rPr>
  </w:style>
  <w:style w:type="character" w:customStyle="1" w:styleId="43">
    <w:name w:val="标题 Char"/>
    <w:link w:val="5"/>
    <w:qFormat/>
    <w:uiPriority w:val="0"/>
    <w:rPr>
      <w:rFonts w:ascii="Arial" w:hAnsi="Arial" w:eastAsia="宋体" w:cs="Times New Roman"/>
      <w:b/>
      <w:sz w:val="44"/>
      <w:szCs w:val="20"/>
    </w:rPr>
  </w:style>
  <w:style w:type="character" w:customStyle="1" w:styleId="44">
    <w:name w:val="正文首行缩进 Char"/>
    <w:link w:val="2"/>
    <w:qFormat/>
    <w:uiPriority w:val="0"/>
  </w:style>
  <w:style w:type="character" w:customStyle="1" w:styleId="45">
    <w:name w:val="标题 1 Char"/>
    <w:link w:val="4"/>
    <w:qFormat/>
    <w:uiPriority w:val="0"/>
    <w:rPr>
      <w:rFonts w:ascii="Arial" w:hAnsi="Arial" w:eastAsia="宋体"/>
      <w:b/>
      <w:kern w:val="44"/>
      <w:sz w:val="28"/>
      <w:szCs w:val="28"/>
    </w:rPr>
  </w:style>
  <w:style w:type="character" w:customStyle="1" w:styleId="46">
    <w:name w:val="标题 2 Char"/>
    <w:link w:val="6"/>
    <w:qFormat/>
    <w:uiPriority w:val="0"/>
    <w:rPr>
      <w:rFonts w:ascii="Arial" w:hAnsi="Arial" w:eastAsia="宋体" w:cs="Times New Roman"/>
      <w:b/>
      <w:color w:val="000000"/>
      <w:sz w:val="24"/>
      <w:szCs w:val="24"/>
    </w:rPr>
  </w:style>
  <w:style w:type="character" w:customStyle="1" w:styleId="47">
    <w:name w:val="标题 3 Char"/>
    <w:link w:val="8"/>
    <w:qFormat/>
    <w:uiPriority w:val="0"/>
    <w:rPr>
      <w:rFonts w:ascii="宋体" w:hAnsi="宋体" w:eastAsia="宋体" w:cs="宋体"/>
      <w:kern w:val="0"/>
      <w:sz w:val="27"/>
      <w:szCs w:val="27"/>
    </w:rPr>
  </w:style>
  <w:style w:type="character" w:customStyle="1" w:styleId="48">
    <w:name w:val="标题 4 Char"/>
    <w:link w:val="9"/>
    <w:qFormat/>
    <w:uiPriority w:val="0"/>
    <w:rPr>
      <w:rFonts w:ascii="Arial" w:hAnsi="Arial" w:eastAsia="宋体" w:cs="Times New Roman"/>
      <w:color w:val="000000"/>
      <w:szCs w:val="21"/>
    </w:rPr>
  </w:style>
  <w:style w:type="character" w:customStyle="1" w:styleId="49">
    <w:name w:val="标题 5 Char"/>
    <w:link w:val="10"/>
    <w:qFormat/>
    <w:uiPriority w:val="0"/>
    <w:rPr>
      <w:rFonts w:ascii="Arial" w:hAnsi="Arial" w:eastAsia="宋体" w:cs="Times New Roman"/>
      <w:color w:val="000000"/>
      <w:szCs w:val="21"/>
    </w:rPr>
  </w:style>
  <w:style w:type="character" w:customStyle="1" w:styleId="50">
    <w:name w:val="标题 6 Char"/>
    <w:link w:val="11"/>
    <w:qFormat/>
    <w:uiPriority w:val="0"/>
    <w:rPr>
      <w:rFonts w:ascii="Arial" w:hAnsi="Arial" w:eastAsia="黑体" w:cs="Times New Roman"/>
      <w:b/>
      <w:bCs/>
      <w:sz w:val="24"/>
      <w:szCs w:val="24"/>
    </w:rPr>
  </w:style>
  <w:style w:type="character" w:customStyle="1" w:styleId="51">
    <w:name w:val="标题 7 Char"/>
    <w:link w:val="12"/>
    <w:qFormat/>
    <w:uiPriority w:val="0"/>
    <w:rPr>
      <w:rFonts w:ascii="Times New Roman" w:hAnsi="Times New Roman" w:eastAsia="宋体" w:cs="Times New Roman"/>
      <w:b/>
      <w:sz w:val="24"/>
      <w:szCs w:val="20"/>
    </w:rPr>
  </w:style>
  <w:style w:type="character" w:customStyle="1" w:styleId="52">
    <w:name w:val="标题 8 Char"/>
    <w:link w:val="13"/>
    <w:qFormat/>
    <w:uiPriority w:val="0"/>
    <w:rPr>
      <w:rFonts w:ascii="Arial" w:hAnsi="Arial" w:eastAsia="黑体" w:cs="Times New Roman"/>
      <w:sz w:val="24"/>
      <w:szCs w:val="20"/>
    </w:rPr>
  </w:style>
  <w:style w:type="character" w:customStyle="1" w:styleId="53">
    <w:name w:val="标题 9 Char"/>
    <w:link w:val="14"/>
    <w:qFormat/>
    <w:uiPriority w:val="0"/>
    <w:rPr>
      <w:rFonts w:ascii="Arial" w:hAnsi="Arial" w:eastAsia="黑体" w:cs="Times New Roman"/>
      <w:szCs w:val="20"/>
    </w:rPr>
  </w:style>
  <w:style w:type="character" w:customStyle="1" w:styleId="54">
    <w:name w:val="文档结构图 Char"/>
    <w:link w:val="15"/>
    <w:qFormat/>
    <w:uiPriority w:val="0"/>
    <w:rPr>
      <w:rFonts w:ascii="Times New Roman" w:hAnsi="Times New Roman" w:eastAsia="宋体" w:cs="Times New Roman"/>
      <w:szCs w:val="20"/>
      <w:shd w:val="clear" w:color="auto" w:fill="000080"/>
    </w:rPr>
  </w:style>
  <w:style w:type="character" w:customStyle="1" w:styleId="55">
    <w:name w:val="批注文字 Char"/>
    <w:link w:val="16"/>
    <w:qFormat/>
    <w:uiPriority w:val="0"/>
    <w:rPr>
      <w:rFonts w:ascii="宋体" w:hAnsi="宋体" w:eastAsia="宋体" w:cs="Times New Roman"/>
      <w:sz w:val="24"/>
      <w:szCs w:val="24"/>
    </w:rPr>
  </w:style>
  <w:style w:type="character" w:customStyle="1" w:styleId="56">
    <w:name w:val="正文文本缩进 Char"/>
    <w:link w:val="17"/>
    <w:qFormat/>
    <w:uiPriority w:val="0"/>
    <w:rPr>
      <w:rFonts w:ascii="Times New Roman" w:hAnsi="Times New Roman" w:eastAsia="宋体" w:cs="Times New Roman"/>
      <w:sz w:val="28"/>
      <w:szCs w:val="20"/>
    </w:rPr>
  </w:style>
  <w:style w:type="character" w:customStyle="1" w:styleId="57">
    <w:name w:val="纯文本 Char"/>
    <w:link w:val="19"/>
    <w:qFormat/>
    <w:uiPriority w:val="0"/>
    <w:rPr>
      <w:rFonts w:ascii="宋体" w:hAnsi="Courier New" w:eastAsia="宋体" w:cs="Times New Roman"/>
      <w:szCs w:val="20"/>
    </w:rPr>
  </w:style>
  <w:style w:type="character" w:customStyle="1" w:styleId="58">
    <w:name w:val="日期 Char"/>
    <w:link w:val="20"/>
    <w:qFormat/>
    <w:uiPriority w:val="0"/>
    <w:rPr>
      <w:rFonts w:ascii="Times New Roman" w:hAnsi="Times New Roman" w:eastAsia="宋体" w:cs="Times New Roman"/>
      <w:szCs w:val="20"/>
    </w:rPr>
  </w:style>
  <w:style w:type="character" w:customStyle="1" w:styleId="59">
    <w:name w:val="正文文本缩进 2 Char"/>
    <w:link w:val="21"/>
    <w:qFormat/>
    <w:uiPriority w:val="0"/>
    <w:rPr>
      <w:rFonts w:ascii="Times New Roman" w:hAnsi="Times New Roman" w:eastAsia="宋体" w:cs="Times New Roman"/>
      <w:color w:val="000000"/>
      <w:sz w:val="24"/>
      <w:szCs w:val="20"/>
    </w:rPr>
  </w:style>
  <w:style w:type="character" w:customStyle="1" w:styleId="60">
    <w:name w:val="尾注文本 Char"/>
    <w:link w:val="22"/>
    <w:qFormat/>
    <w:uiPriority w:val="0"/>
    <w:rPr>
      <w:rFonts w:ascii="Times New Roman" w:hAnsi="Times New Roman" w:eastAsia="宋体" w:cs="Times New Roman"/>
      <w:szCs w:val="20"/>
    </w:rPr>
  </w:style>
  <w:style w:type="character" w:customStyle="1" w:styleId="61">
    <w:name w:val="批注框文本 Char"/>
    <w:link w:val="23"/>
    <w:qFormat/>
    <w:uiPriority w:val="0"/>
    <w:rPr>
      <w:rFonts w:ascii="Times New Roman" w:hAnsi="Times New Roman" w:eastAsia="宋体" w:cs="Times New Roman"/>
      <w:sz w:val="18"/>
      <w:szCs w:val="18"/>
    </w:rPr>
  </w:style>
  <w:style w:type="character" w:customStyle="1" w:styleId="62">
    <w:name w:val="页脚 Char"/>
    <w:link w:val="24"/>
    <w:qFormat/>
    <w:uiPriority w:val="0"/>
    <w:rPr>
      <w:rFonts w:ascii="Calibri" w:hAnsi="Calibri" w:eastAsia="宋体" w:cs="Times New Roman"/>
      <w:sz w:val="18"/>
      <w:szCs w:val="18"/>
    </w:rPr>
  </w:style>
  <w:style w:type="character" w:customStyle="1" w:styleId="63">
    <w:name w:val="页眉 Char"/>
    <w:link w:val="25"/>
    <w:qFormat/>
    <w:uiPriority w:val="0"/>
    <w:rPr>
      <w:rFonts w:ascii="Calibri" w:hAnsi="Calibri" w:eastAsia="宋体" w:cs="Times New Roman"/>
      <w:sz w:val="18"/>
      <w:szCs w:val="18"/>
    </w:rPr>
  </w:style>
  <w:style w:type="character" w:customStyle="1" w:styleId="64">
    <w:name w:val="脚注文本 Char"/>
    <w:link w:val="27"/>
    <w:qFormat/>
    <w:uiPriority w:val="0"/>
    <w:rPr>
      <w:rFonts w:ascii="宋体" w:hAnsi="宋体" w:eastAsia="宋体" w:cs="Times New Roman"/>
      <w:sz w:val="18"/>
      <w:szCs w:val="18"/>
    </w:rPr>
  </w:style>
  <w:style w:type="character" w:customStyle="1" w:styleId="65">
    <w:name w:val="正文文本缩进 3 Char"/>
    <w:link w:val="28"/>
    <w:qFormat/>
    <w:uiPriority w:val="0"/>
    <w:rPr>
      <w:rFonts w:ascii="Times New Roman" w:hAnsi="Times New Roman" w:eastAsia="宋体" w:cs="Times New Roman"/>
      <w:color w:val="000000"/>
      <w:sz w:val="24"/>
      <w:szCs w:val="20"/>
    </w:rPr>
  </w:style>
  <w:style w:type="character" w:customStyle="1" w:styleId="66">
    <w:name w:val="正文文本 2 Char"/>
    <w:link w:val="30"/>
    <w:qFormat/>
    <w:uiPriority w:val="0"/>
    <w:rPr>
      <w:rFonts w:ascii="宋体" w:hAnsi="宋体" w:eastAsia="宋体" w:cs="Times New Roman"/>
      <w:szCs w:val="24"/>
      <w:u w:val="single"/>
    </w:rPr>
  </w:style>
  <w:style w:type="character" w:customStyle="1" w:styleId="67">
    <w:name w:val="批注主题 Char"/>
    <w:link w:val="32"/>
    <w:qFormat/>
    <w:uiPriority w:val="0"/>
    <w:rPr>
      <w:rFonts w:ascii="宋体" w:hAnsi="宋体" w:eastAsia="宋体" w:cs="Times New Roman"/>
      <w:b/>
      <w:bCs/>
      <w:sz w:val="24"/>
      <w:szCs w:val="24"/>
    </w:rPr>
  </w:style>
  <w:style w:type="character" w:customStyle="1" w:styleId="68">
    <w:name w:val="正文文本缩进 2 字符"/>
    <w:qFormat/>
    <w:uiPriority w:val="0"/>
    <w:rPr>
      <w:rFonts w:ascii="Calibri" w:hAnsi="Calibri" w:eastAsia="宋体" w:cs="Times New Roman"/>
    </w:rPr>
  </w:style>
  <w:style w:type="character" w:customStyle="1" w:styleId="69">
    <w:name w:val="标题 9 字符"/>
    <w:qFormat/>
    <w:uiPriority w:val="0"/>
    <w:rPr>
      <w:rFonts w:ascii="等线 Light" w:hAnsi="等线 Light" w:eastAsia="等线 Light" w:cs="Times New Roman"/>
      <w:szCs w:val="21"/>
    </w:rPr>
  </w:style>
  <w:style w:type="character" w:customStyle="1" w:styleId="70">
    <w:name w:val="文档结构图 字符"/>
    <w:qFormat/>
    <w:uiPriority w:val="0"/>
    <w:rPr>
      <w:rFonts w:ascii="Microsoft YaHei UI" w:hAnsi="Calibri" w:eastAsia="Microsoft YaHei UI" w:cs="Times New Roman"/>
      <w:sz w:val="18"/>
      <w:szCs w:val="18"/>
    </w:rPr>
  </w:style>
  <w:style w:type="character" w:customStyle="1" w:styleId="71">
    <w:name w:val="页眉 字符"/>
    <w:qFormat/>
    <w:uiPriority w:val="0"/>
    <w:rPr>
      <w:rFonts w:ascii="Calibri" w:hAnsi="Calibri" w:eastAsia="宋体" w:cs="Times New Roman"/>
      <w:sz w:val="18"/>
      <w:szCs w:val="18"/>
    </w:rPr>
  </w:style>
  <w:style w:type="character" w:customStyle="1" w:styleId="72">
    <w:name w:val="正文首行缩进 字符"/>
    <w:qFormat/>
    <w:uiPriority w:val="0"/>
    <w:rPr>
      <w:rFonts w:ascii="Calibri" w:hAnsi="Calibri" w:eastAsia="宋体" w:cs="Times New Roman"/>
    </w:rPr>
  </w:style>
  <w:style w:type="character" w:customStyle="1" w:styleId="73">
    <w:name w:val="正文文本缩进 3 字符"/>
    <w:qFormat/>
    <w:uiPriority w:val="0"/>
    <w:rPr>
      <w:rFonts w:ascii="Calibri" w:hAnsi="Calibri" w:eastAsia="宋体" w:cs="Times New Roman"/>
      <w:sz w:val="16"/>
      <w:szCs w:val="16"/>
    </w:rPr>
  </w:style>
  <w:style w:type="character" w:customStyle="1" w:styleId="74">
    <w:name w:val="批注主题 字符"/>
    <w:qFormat/>
    <w:uiPriority w:val="0"/>
    <w:rPr>
      <w:rFonts w:ascii="Calibri" w:hAnsi="Calibri" w:eastAsia="宋体" w:cs="Times New Roman"/>
      <w:b/>
      <w:bCs/>
    </w:rPr>
  </w:style>
  <w:style w:type="character" w:customStyle="1" w:styleId="75">
    <w:name w:val="批注框文本 字符"/>
    <w:qFormat/>
    <w:uiPriority w:val="0"/>
    <w:rPr>
      <w:rFonts w:ascii="Calibri" w:hAnsi="Calibri" w:eastAsia="宋体" w:cs="Times New Roman"/>
      <w:sz w:val="18"/>
      <w:szCs w:val="18"/>
    </w:rPr>
  </w:style>
  <w:style w:type="character" w:customStyle="1" w:styleId="76">
    <w:name w:val="标题 3 字符"/>
    <w:qFormat/>
    <w:uiPriority w:val="0"/>
    <w:rPr>
      <w:rFonts w:ascii="Calibri" w:hAnsi="Calibri" w:eastAsia="宋体" w:cs="Times New Roman"/>
      <w:b/>
      <w:bCs/>
      <w:sz w:val="32"/>
      <w:szCs w:val="32"/>
    </w:rPr>
  </w:style>
  <w:style w:type="character" w:customStyle="1" w:styleId="77">
    <w:name w:val="页脚 字符"/>
    <w:qFormat/>
    <w:uiPriority w:val="0"/>
    <w:rPr>
      <w:rFonts w:ascii="Calibri" w:hAnsi="Calibri" w:eastAsia="宋体" w:cs="Times New Roman"/>
      <w:sz w:val="18"/>
      <w:szCs w:val="18"/>
    </w:rPr>
  </w:style>
  <w:style w:type="character" w:customStyle="1" w:styleId="78">
    <w:name w:val="标题 7 字符"/>
    <w:qFormat/>
    <w:uiPriority w:val="0"/>
    <w:rPr>
      <w:rFonts w:ascii="Calibri" w:hAnsi="Calibri" w:eastAsia="宋体" w:cs="Times New Roman"/>
      <w:b/>
      <w:bCs/>
      <w:sz w:val="24"/>
      <w:szCs w:val="24"/>
    </w:rPr>
  </w:style>
  <w:style w:type="character" w:customStyle="1" w:styleId="79">
    <w:name w:val="正文文本缩进 字符"/>
    <w:qFormat/>
    <w:uiPriority w:val="0"/>
    <w:rPr>
      <w:rFonts w:ascii="Calibri" w:hAnsi="Calibri" w:eastAsia="宋体" w:cs="Times New Roman"/>
    </w:rPr>
  </w:style>
  <w:style w:type="character" w:customStyle="1" w:styleId="80">
    <w:name w:val="正文文本 2 字符"/>
    <w:qFormat/>
    <w:uiPriority w:val="0"/>
    <w:rPr>
      <w:rFonts w:ascii="Calibri" w:hAnsi="Calibri" w:eastAsia="宋体" w:cs="Times New Roman"/>
    </w:rPr>
  </w:style>
  <w:style w:type="character" w:customStyle="1" w:styleId="81">
    <w:name w:val="纯文本 字符"/>
    <w:qFormat/>
    <w:uiPriority w:val="0"/>
    <w:rPr>
      <w:rFonts w:ascii="等线" w:hAnsi="Courier New" w:cs="Courier New"/>
    </w:rPr>
  </w:style>
  <w:style w:type="character" w:customStyle="1" w:styleId="82">
    <w:name w:val="标题 2 字符"/>
    <w:qFormat/>
    <w:uiPriority w:val="0"/>
    <w:rPr>
      <w:rFonts w:ascii="等线 Light" w:hAnsi="等线 Light" w:eastAsia="等线 Light" w:cs="Times New Roman"/>
      <w:b/>
      <w:bCs/>
      <w:sz w:val="32"/>
      <w:szCs w:val="32"/>
    </w:rPr>
  </w:style>
  <w:style w:type="character" w:customStyle="1" w:styleId="83">
    <w:name w:val="标题 字符"/>
    <w:qFormat/>
    <w:uiPriority w:val="0"/>
    <w:rPr>
      <w:rFonts w:ascii="等线 Light" w:hAnsi="等线 Light" w:eastAsia="等线 Light" w:cs="Times New Roman"/>
      <w:b/>
      <w:bCs/>
      <w:sz w:val="32"/>
      <w:szCs w:val="32"/>
    </w:rPr>
  </w:style>
  <w:style w:type="character" w:customStyle="1" w:styleId="84">
    <w:name w:val="日期 字符"/>
    <w:qFormat/>
    <w:uiPriority w:val="0"/>
    <w:rPr>
      <w:rFonts w:ascii="Calibri" w:hAnsi="Calibri" w:eastAsia="宋体" w:cs="Times New Roman"/>
    </w:rPr>
  </w:style>
  <w:style w:type="character" w:customStyle="1" w:styleId="85">
    <w:name w:val="标题 5 字符"/>
    <w:qFormat/>
    <w:uiPriority w:val="0"/>
    <w:rPr>
      <w:rFonts w:ascii="Calibri" w:hAnsi="Calibri" w:eastAsia="宋体" w:cs="Times New Roman"/>
      <w:b/>
      <w:bCs/>
      <w:sz w:val="28"/>
      <w:szCs w:val="28"/>
    </w:rPr>
  </w:style>
  <w:style w:type="character" w:customStyle="1" w:styleId="86">
    <w:name w:val="标题 1 字符"/>
    <w:qFormat/>
    <w:uiPriority w:val="0"/>
    <w:rPr>
      <w:rFonts w:ascii="Calibri" w:hAnsi="Calibri" w:eastAsia="宋体" w:cs="Times New Roman"/>
      <w:b/>
      <w:bCs/>
      <w:kern w:val="44"/>
      <w:sz w:val="44"/>
      <w:szCs w:val="44"/>
    </w:rPr>
  </w:style>
  <w:style w:type="character" w:customStyle="1" w:styleId="87">
    <w:name w:val="批注文字 字符"/>
    <w:qFormat/>
    <w:uiPriority w:val="0"/>
    <w:rPr>
      <w:rFonts w:ascii="Calibri" w:hAnsi="Calibri" w:eastAsia="宋体" w:cs="Times New Roman"/>
    </w:rPr>
  </w:style>
  <w:style w:type="character" w:customStyle="1" w:styleId="88">
    <w:name w:val="标题 8 字符"/>
    <w:qFormat/>
    <w:uiPriority w:val="0"/>
    <w:rPr>
      <w:rFonts w:ascii="等线 Light" w:hAnsi="等线 Light" w:eastAsia="等线 Light" w:cs="Times New Roman"/>
      <w:sz w:val="24"/>
      <w:szCs w:val="24"/>
    </w:rPr>
  </w:style>
  <w:style w:type="character" w:customStyle="1" w:styleId="89">
    <w:name w:val="正文文本 字符"/>
    <w:qFormat/>
    <w:uiPriority w:val="0"/>
    <w:rPr>
      <w:rFonts w:ascii="Calibri" w:hAnsi="Calibri" w:eastAsia="宋体" w:cs="Times New Roman"/>
    </w:rPr>
  </w:style>
  <w:style w:type="character" w:customStyle="1" w:styleId="90">
    <w:name w:val="尾注文本 字符"/>
    <w:qFormat/>
    <w:uiPriority w:val="0"/>
    <w:rPr>
      <w:rFonts w:ascii="Calibri" w:hAnsi="Calibri" w:eastAsia="宋体" w:cs="Times New Roman"/>
    </w:rPr>
  </w:style>
  <w:style w:type="character" w:customStyle="1" w:styleId="91">
    <w:name w:val="标题 6 字符"/>
    <w:qFormat/>
    <w:uiPriority w:val="0"/>
    <w:rPr>
      <w:rFonts w:ascii="等线 Light" w:hAnsi="等线 Light" w:eastAsia="等线 Light" w:cs="Times New Roman"/>
      <w:b/>
      <w:bCs/>
      <w:sz w:val="24"/>
      <w:szCs w:val="24"/>
    </w:rPr>
  </w:style>
  <w:style w:type="character" w:customStyle="1" w:styleId="92">
    <w:name w:val="标题 4 字符"/>
    <w:qFormat/>
    <w:uiPriority w:val="0"/>
    <w:rPr>
      <w:rFonts w:ascii="等线 Light" w:hAnsi="等线 Light" w:eastAsia="等线 Light" w:cs="Times New Roman"/>
      <w:b/>
      <w:bCs/>
      <w:sz w:val="28"/>
      <w:szCs w:val="28"/>
    </w:rPr>
  </w:style>
  <w:style w:type="character" w:customStyle="1" w:styleId="93">
    <w:name w:val="脚注文本 字符"/>
    <w:qFormat/>
    <w:uiPriority w:val="0"/>
    <w:rPr>
      <w:rFonts w:ascii="Calibri" w:hAnsi="Calibri" w:eastAsia="宋体" w:cs="Times New Roman"/>
      <w:sz w:val="18"/>
      <w:szCs w:val="18"/>
    </w:rPr>
  </w:style>
  <w:style w:type="paragraph" w:customStyle="1" w:styleId="94">
    <w:name w:val="_Style 93"/>
    <w:basedOn w:val="4"/>
    <w:next w:val="1"/>
    <w:qFormat/>
    <w:uiPriority w:val="0"/>
    <w:pPr>
      <w:widowControl/>
      <w:spacing w:before="480" w:beforeLines="0" w:after="0" w:afterLines="0" w:line="276" w:lineRule="auto"/>
      <w:outlineLvl w:val="9"/>
    </w:pPr>
    <w:rPr>
      <w:rFonts w:ascii="Cambria" w:hAnsi="Cambria"/>
      <w:color w:val="365F91"/>
      <w:kern w:val="0"/>
    </w:rPr>
  </w:style>
  <w:style w:type="paragraph" w:customStyle="1" w:styleId="95">
    <w:name w:val="发文落款"/>
    <w:basedOn w:val="96"/>
    <w:qFormat/>
    <w:uiPriority w:val="0"/>
    <w:pPr>
      <w:ind w:left="4094" w:right="607" w:firstLine="0"/>
      <w:jc w:val="center"/>
    </w:pPr>
  </w:style>
  <w:style w:type="paragraph" w:customStyle="1" w:styleId="9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7">
    <w:name w:val="表头"/>
    <w:basedOn w:val="1"/>
    <w:qFormat/>
    <w:uiPriority w:val="0"/>
    <w:pPr>
      <w:spacing w:line="360" w:lineRule="auto"/>
      <w:jc w:val="center"/>
    </w:pPr>
    <w:rPr>
      <w:rFonts w:ascii="黑体" w:hAnsi="Times New Roman" w:eastAsia="黑体"/>
      <w:kern w:val="0"/>
      <w:sz w:val="24"/>
      <w:szCs w:val="20"/>
    </w:rPr>
  </w:style>
  <w:style w:type="paragraph" w:customStyle="1" w:styleId="98">
    <w:name w:val="Char Char Char Char"/>
    <w:basedOn w:val="1"/>
    <w:qFormat/>
    <w:uiPriority w:val="0"/>
    <w:rPr>
      <w:rFonts w:ascii="Times New Roman" w:hAnsi="Times New Roman"/>
      <w:sz w:val="30"/>
      <w:szCs w:val="24"/>
    </w:rPr>
  </w:style>
  <w:style w:type="paragraph" w:styleId="99">
    <w:name w:val="List Paragraph"/>
    <w:basedOn w:val="1"/>
    <w:qFormat/>
    <w:uiPriority w:val="0"/>
    <w:pPr>
      <w:ind w:firstLine="420" w:firstLineChars="200"/>
    </w:pPr>
    <w:rPr>
      <w:rFonts w:ascii="Times New Roman" w:hAnsi="Times New Roman"/>
      <w:szCs w:val="20"/>
    </w:rPr>
  </w:style>
  <w:style w:type="paragraph" w:customStyle="1" w:styleId="100">
    <w:name w:val="Blockquote"/>
    <w:basedOn w:val="1"/>
    <w:qFormat/>
    <w:uiPriority w:val="0"/>
    <w:pPr>
      <w:autoSpaceDE w:val="0"/>
      <w:autoSpaceDN w:val="0"/>
      <w:adjustRightInd w:val="0"/>
      <w:spacing w:before="100" w:beforeLines="0" w:after="100" w:afterLines="0"/>
      <w:ind w:left="360" w:right="360"/>
      <w:jc w:val="left"/>
    </w:pPr>
    <w:rPr>
      <w:rFonts w:ascii="Times New Roman" w:hAnsi="Times New Roman"/>
      <w:kern w:val="0"/>
      <w:sz w:val="24"/>
      <w:szCs w:val="20"/>
    </w:rPr>
  </w:style>
  <w:style w:type="paragraph" w:customStyle="1" w:styleId="101">
    <w:name w:val="公文标题"/>
    <w:basedOn w:val="8"/>
    <w:qFormat/>
    <w:uiPriority w:val="0"/>
    <w:pPr>
      <w:keepNext/>
      <w:keepLines/>
      <w:widowControl w:val="0"/>
      <w:spacing w:before="0" w:beforeLines="0" w:beforeAutospacing="0" w:after="0" w:afterLines="0" w:afterAutospacing="0"/>
      <w:ind w:left="1469" w:right="1542"/>
    </w:pPr>
    <w:rPr>
      <w:rFonts w:hAnsi="Times New Roman" w:cs="Times New Roman"/>
      <w:b/>
      <w:kern w:val="2"/>
      <w:sz w:val="44"/>
      <w:szCs w:val="21"/>
    </w:rPr>
  </w:style>
  <w:style w:type="paragraph" w:customStyle="1" w:styleId="102">
    <w:name w:val="Char1"/>
    <w:basedOn w:val="1"/>
    <w:qFormat/>
    <w:uiPriority w:val="0"/>
    <w:pPr>
      <w:numPr>
        <w:ilvl w:val="0"/>
        <w:numId w:val="1"/>
      </w:numPr>
    </w:pPr>
    <w:rPr>
      <w:rFonts w:ascii="Times New Roman" w:hAnsi="Times New Roman"/>
      <w:sz w:val="24"/>
      <w:szCs w:val="24"/>
    </w:rPr>
  </w:style>
  <w:style w:type="paragraph" w:customStyle="1" w:styleId="103">
    <w:name w:val="_Style 102"/>
    <w:qFormat/>
    <w:uiPriority w:val="0"/>
    <w:rPr>
      <w:rFonts w:ascii="Times New Roman" w:hAnsi="Times New Roman" w:eastAsia="宋体" w:cs="Times New Roman"/>
      <w:kern w:val="2"/>
      <w:sz w:val="21"/>
      <w:lang w:val="en-US" w:eastAsia="zh-CN" w:bidi="ar-SA"/>
    </w:rPr>
  </w:style>
  <w:style w:type="paragraph" w:customStyle="1" w:styleId="104">
    <w:name w:val="Char"/>
    <w:basedOn w:val="1"/>
    <w:qFormat/>
    <w:uiPriority w:val="0"/>
    <w:rPr>
      <w:rFonts w:ascii="Tahoma" w:hAnsi="Tahoma"/>
      <w:sz w:val="24"/>
      <w:szCs w:val="20"/>
    </w:rPr>
  </w:style>
  <w:style w:type="paragraph" w:customStyle="1" w:styleId="105">
    <w:name w:val="Char Char Char1 Char"/>
    <w:basedOn w:val="15"/>
    <w:qFormat/>
    <w:uiPriority w:val="0"/>
    <w:rPr>
      <w:rFonts w:ascii="Tahoma" w:hAnsi="Tahoma"/>
      <w:sz w:val="24"/>
      <w:szCs w:val="24"/>
    </w:rPr>
  </w:style>
  <w:style w:type="paragraph" w:customStyle="1" w:styleId="106">
    <w:name w:val="_Style 25"/>
    <w:qFormat/>
    <w:uiPriority w:val="0"/>
    <w:rPr>
      <w:rFonts w:ascii="Times New Roman" w:hAnsi="Times New Roman" w:eastAsia="宋体" w:cs="Times New Roman"/>
      <w:lang w:val="en-US" w:eastAsia="zh-CN" w:bidi="ar-SA"/>
    </w:rPr>
  </w:style>
  <w:style w:type="paragraph" w:customStyle="1" w:styleId="107">
    <w:name w:val="公文抬头"/>
    <w:basedOn w:val="7"/>
    <w:qFormat/>
    <w:uiPriority w:val="0"/>
    <w:pPr>
      <w:ind w:firstLine="0"/>
    </w:pPr>
    <w:rPr>
      <w:rFonts w:ascii="仿宋_GB2312" w:eastAsia="仿宋_GB2312"/>
      <w:sz w:val="3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8060</Words>
  <Characters>8408</Characters>
  <Lines>57</Lines>
  <Paragraphs>16</Paragraphs>
  <TotalTime>2</TotalTime>
  <ScaleCrop>false</ScaleCrop>
  <LinksUpToDate>false</LinksUpToDate>
  <CharactersWithSpaces>8627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2022-07-05T09:21:00Z</dcterms:created>
  <dc:creator>管理员</dc:creator>
  <cp:lastModifiedBy>kb</cp:lastModifiedBy>
  <cp:lastPrinted>2024-02-06T01:23:00Z</cp:lastPrinted>
  <dcterms:modified xsi:type="dcterms:W3CDTF">2025-08-15T08:23:46Z</dcterms:modified>
  <dc:title>黄埔区创新大道北（均和-广河高速段）建设工程（非EPC部分）施工总承包招标公告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649B1C0B31064046BDEA1BB1A5ED849E_13</vt:lpwstr>
  </property>
  <property fmtid="{D5CDD505-2E9C-101B-9397-08002B2CF9AE}" pid="4" name="KSOTemplateDocerSaveRecord">
    <vt:lpwstr>eyJoZGlkIjoiMDRiMjk4YzlkY2FjYTA0ZDc4NTA0NGNiNjlkODYwYzIiLCJ1c2VySWQiOiIzNzk3NTIzNTgifQ==</vt:lpwstr>
  </property>
</Properties>
</file>