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D577ED">
      <w:pPr>
        <w:pStyle w:val="2"/>
        <w:keepNext w:val="0"/>
        <w:keepLines w:val="0"/>
        <w:spacing w:before="0" w:after="0" w:line="240" w:lineRule="auto"/>
        <w:rPr>
          <w:rFonts w:hint="default" w:ascii="宋体" w:hAnsi="宋体" w:eastAsia="宋体" w:cs="宋体"/>
          <w:color w:val="auto"/>
          <w:sz w:val="21"/>
          <w:szCs w:val="21"/>
          <w:highlight w:val="none"/>
          <w:lang w:val="en-US" w:eastAsia="zh-CN"/>
        </w:rPr>
      </w:pPr>
      <w:bookmarkStart w:id="33" w:name="_GoBack"/>
    </w:p>
    <w:p w14:paraId="367E8C73">
      <w:pPr>
        <w:autoSpaceDE/>
        <w:autoSpaceDN/>
        <w:adjustRightInd/>
        <w:snapToGrid/>
        <w:spacing w:line="240" w:lineRule="auto"/>
        <w:ind w:right="32"/>
        <w:jc w:val="center"/>
        <w:rPr>
          <w:rFonts w:hint="eastAsia" w:ascii="宋体" w:hAnsi="宋体" w:eastAsia="宋体" w:cs="宋体"/>
          <w:color w:val="auto"/>
          <w:sz w:val="21"/>
          <w:szCs w:val="21"/>
          <w:highlight w:val="none"/>
        </w:rPr>
      </w:pPr>
    </w:p>
    <w:p w14:paraId="09236C58">
      <w:pPr>
        <w:ind w:firstLine="0" w:firstLineChars="0"/>
        <w:rPr>
          <w:rFonts w:hint="eastAsia" w:hAnsi="宋体"/>
          <w:bCs/>
          <w:color w:val="auto"/>
          <w:sz w:val="24"/>
          <w:highlight w:val="none"/>
        </w:rPr>
      </w:pPr>
    </w:p>
    <w:p w14:paraId="6AF8BB28">
      <w:pPr>
        <w:jc w:val="center"/>
        <w:rPr>
          <w:rFonts w:hint="eastAsia" w:ascii="方正小标宋简体" w:hAnsi="方正小标宋简体" w:eastAsia="方正小标宋简体" w:cs="方正小标宋简体"/>
          <w:b w:val="0"/>
          <w:bCs w:val="0"/>
          <w:color w:val="auto"/>
          <w:sz w:val="44"/>
          <w:szCs w:val="44"/>
          <w:highlight w:val="none"/>
          <w:lang w:val="en-GB"/>
        </w:rPr>
      </w:pPr>
      <w:r>
        <w:rPr>
          <w:rFonts w:hint="eastAsia" w:ascii="方正小标宋简体" w:hAnsi="方正小标宋简体" w:eastAsia="方正小标宋简体" w:cs="方正小标宋简体"/>
          <w:b w:val="0"/>
          <w:bCs w:val="0"/>
          <w:color w:val="auto"/>
          <w:sz w:val="44"/>
          <w:szCs w:val="44"/>
          <w:highlight w:val="none"/>
          <w:lang w:val="en-GB"/>
        </w:rPr>
        <w:t>广州市净水有限公司</w:t>
      </w:r>
    </w:p>
    <w:p w14:paraId="5559785E">
      <w:pPr>
        <w:jc w:val="center"/>
        <w:rPr>
          <w:rFonts w:hint="eastAsia" w:ascii="方正小标宋简体" w:hAnsi="方正小标宋简体" w:eastAsia="方正小标宋简体" w:cs="方正小标宋简体"/>
          <w:b w:val="0"/>
          <w:bCs w:val="0"/>
          <w:color w:val="auto"/>
          <w:sz w:val="44"/>
          <w:szCs w:val="44"/>
          <w:highlight w:val="none"/>
          <w:lang w:val="en-GB"/>
        </w:rPr>
      </w:pPr>
      <w:r>
        <w:rPr>
          <w:rFonts w:hint="eastAsia" w:ascii="方正小标宋简体" w:hAnsi="方正小标宋简体" w:eastAsia="方正小标宋简体" w:cs="方正小标宋简体"/>
          <w:b w:val="0"/>
          <w:bCs w:val="0"/>
          <w:color w:val="auto"/>
          <w:sz w:val="44"/>
          <w:szCs w:val="44"/>
          <w:highlight w:val="none"/>
          <w:lang w:val="en-GB"/>
        </w:rPr>
        <w:t>设备维修维护/技改项目合同</w:t>
      </w:r>
    </w:p>
    <w:p w14:paraId="368E9710">
      <w:pPr>
        <w:pStyle w:val="4"/>
        <w:keepNext w:val="0"/>
        <w:keepLines w:val="0"/>
        <w:rPr>
          <w:rFonts w:hint="default" w:eastAsia="宋体"/>
          <w:color w:val="auto"/>
          <w:highlight w:val="none"/>
          <w:lang w:val="en-US" w:eastAsia="zh-CN"/>
        </w:rPr>
      </w:pPr>
      <w:r>
        <w:rPr>
          <w:rFonts w:hint="eastAsia" w:ascii="宋体" w:hAnsi="宋体" w:eastAsia="宋体" w:cs="宋体"/>
          <w:b/>
          <w:bCs/>
          <w:color w:val="auto"/>
          <w:sz w:val="48"/>
          <w:szCs w:val="48"/>
          <w:highlight w:val="none"/>
          <w:lang w:val="en-US" w:eastAsia="zh-CN"/>
        </w:rPr>
        <w:t xml:space="preserve">             </w:t>
      </w:r>
    </w:p>
    <w:p w14:paraId="01F0463E">
      <w:pPr>
        <w:pStyle w:val="14"/>
        <w:snapToGrid/>
        <w:spacing w:line="400" w:lineRule="exact"/>
        <w:ind w:right="84" w:rightChars="40" w:firstLine="0" w:firstLineChars="0"/>
        <w:rPr>
          <w:rFonts w:hint="eastAsia" w:hAnsi="宋体" w:eastAsia="宋体"/>
          <w:b/>
          <w:color w:val="auto"/>
          <w:sz w:val="24"/>
          <w:highlight w:val="none"/>
        </w:rPr>
      </w:pPr>
    </w:p>
    <w:p w14:paraId="23BAD75C">
      <w:pPr>
        <w:pStyle w:val="14"/>
        <w:snapToGrid/>
        <w:spacing w:line="400" w:lineRule="exact"/>
        <w:ind w:right="84" w:rightChars="40" w:firstLine="192" w:firstLineChars="80"/>
        <w:rPr>
          <w:rFonts w:hint="eastAsia" w:hAnsi="宋体" w:eastAsia="宋体"/>
          <w:bCs/>
          <w:color w:val="auto"/>
          <w:sz w:val="24"/>
          <w:highlight w:val="none"/>
        </w:rPr>
      </w:pPr>
    </w:p>
    <w:p w14:paraId="2032DD82">
      <w:pPr>
        <w:pStyle w:val="14"/>
        <w:snapToGrid/>
        <w:spacing w:line="400" w:lineRule="exact"/>
        <w:ind w:left="2477" w:leftChars="751" w:right="84" w:rightChars="40" w:hanging="900" w:hangingChars="300"/>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项目名称：</w:t>
      </w:r>
      <w:bookmarkStart w:id="0" w:name="OLE_LINK1"/>
      <w:r>
        <w:rPr>
          <w:rFonts w:hint="eastAsia" w:ascii="仿宋_GB2312" w:hAnsi="仿宋_GB2312" w:eastAsia="仿宋_GB2312" w:cs="仿宋_GB2312"/>
          <w:b w:val="0"/>
          <w:bCs/>
          <w:color w:val="auto"/>
          <w:sz w:val="30"/>
          <w:szCs w:val="30"/>
          <w:highlight w:val="none"/>
        </w:rPr>
        <w:t>广州净水公司2025年</w:t>
      </w:r>
      <w:r>
        <w:rPr>
          <w:rFonts w:hint="eastAsia" w:ascii="仿宋_GB2312" w:hAnsi="仿宋_GB2312" w:eastAsia="仿宋_GB2312" w:cs="仿宋_GB2312"/>
          <w:color w:val="auto"/>
          <w:sz w:val="28"/>
          <w:szCs w:val="28"/>
          <w:highlight w:val="none"/>
          <w:u w:val="single"/>
          <w:lang w:eastAsia="zh-CN"/>
        </w:rPr>
        <w:t>工艺及生产</w:t>
      </w:r>
    </w:p>
    <w:p w14:paraId="0C3FA3A6">
      <w:pPr>
        <w:pStyle w:val="14"/>
        <w:snapToGrid/>
        <w:spacing w:line="400" w:lineRule="exact"/>
        <w:ind w:left="2477" w:leftChars="751" w:right="84" w:rightChars="40" w:hanging="900" w:hangingChars="300"/>
        <w:rPr>
          <w:rFonts w:hint="eastAsia" w:ascii="仿宋_GB2312" w:hAnsi="仿宋_GB2312" w:eastAsia="仿宋_GB2312" w:cs="仿宋_GB2312"/>
          <w:b w:val="0"/>
          <w:bCs/>
          <w:color w:val="auto"/>
          <w:sz w:val="30"/>
          <w:szCs w:val="30"/>
          <w:highlight w:val="none"/>
          <w:lang w:eastAsia="zh-CN"/>
        </w:rPr>
      </w:pPr>
      <w:r>
        <w:rPr>
          <w:rFonts w:hint="eastAsia" w:ascii="仿宋_GB2312" w:hAnsi="仿宋_GB2312" w:eastAsia="仿宋_GB2312" w:cs="仿宋_GB2312"/>
          <w:b w:val="0"/>
          <w:bCs/>
          <w:color w:val="auto"/>
          <w:sz w:val="30"/>
          <w:szCs w:val="30"/>
          <w:highlight w:val="none"/>
        </w:rPr>
        <w:t>设备设施改造项目</w:t>
      </w:r>
    </w:p>
    <w:bookmarkEnd w:id="0"/>
    <w:p w14:paraId="1C70522A">
      <w:pPr>
        <w:pStyle w:val="14"/>
        <w:snapToGrid/>
        <w:ind w:right="84" w:rightChars="40"/>
        <w:rPr>
          <w:rFonts w:hint="eastAsia" w:ascii="仿宋_GB2312" w:hAnsi="仿宋_GB2312" w:eastAsia="仿宋_GB2312" w:cs="仿宋_GB2312"/>
          <w:b w:val="0"/>
          <w:bCs/>
          <w:color w:val="auto"/>
          <w:sz w:val="30"/>
          <w:szCs w:val="30"/>
          <w:highlight w:val="none"/>
        </w:rPr>
      </w:pPr>
    </w:p>
    <w:p w14:paraId="2C5AF96D">
      <w:pPr>
        <w:pStyle w:val="14"/>
        <w:snapToGrid/>
        <w:ind w:right="84" w:rightChars="40" w:firstLine="1500" w:firstLineChars="500"/>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合同编号：穗净水合[    ]    号</w:t>
      </w:r>
    </w:p>
    <w:p w14:paraId="4BB68452">
      <w:pPr>
        <w:pStyle w:val="14"/>
        <w:snapToGrid/>
        <w:spacing w:line="400" w:lineRule="exact"/>
        <w:ind w:right="84" w:rightChars="40" w:firstLine="1500" w:firstLineChars="500"/>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项目编号：</w:t>
      </w:r>
    </w:p>
    <w:p w14:paraId="18ACB2EF">
      <w:pPr>
        <w:pStyle w:val="14"/>
        <w:snapToGrid/>
        <w:ind w:right="84" w:rightChars="40" w:firstLine="1569"/>
        <w:rPr>
          <w:rFonts w:hint="eastAsia" w:ascii="仿宋_GB2312" w:hAnsi="仿宋_GB2312" w:eastAsia="仿宋_GB2312" w:cs="仿宋_GB2312"/>
          <w:b w:val="0"/>
          <w:bCs/>
          <w:color w:val="auto"/>
          <w:sz w:val="30"/>
          <w:szCs w:val="30"/>
          <w:highlight w:val="none"/>
        </w:rPr>
      </w:pPr>
    </w:p>
    <w:p w14:paraId="449943E6">
      <w:pPr>
        <w:pStyle w:val="14"/>
        <w:snapToGrid/>
        <w:ind w:right="84" w:rightChars="40" w:firstLine="0"/>
        <w:rPr>
          <w:rFonts w:hint="eastAsia" w:ascii="仿宋_GB2312" w:hAnsi="仿宋_GB2312" w:eastAsia="仿宋_GB2312" w:cs="仿宋_GB2312"/>
          <w:b w:val="0"/>
          <w:bCs/>
          <w:color w:val="auto"/>
          <w:sz w:val="30"/>
          <w:szCs w:val="30"/>
          <w:highlight w:val="none"/>
        </w:rPr>
      </w:pPr>
    </w:p>
    <w:p w14:paraId="6A2B9705">
      <w:pPr>
        <w:pStyle w:val="14"/>
        <w:snapToGrid/>
        <w:ind w:right="84" w:rightChars="40" w:firstLine="1569"/>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甲方：广州市净水有限公司</w:t>
      </w:r>
    </w:p>
    <w:p w14:paraId="54A0AAD5">
      <w:pPr>
        <w:pStyle w:val="14"/>
        <w:snapToGrid/>
        <w:ind w:right="84" w:rightChars="40" w:firstLine="0"/>
        <w:rPr>
          <w:rFonts w:hint="eastAsia" w:ascii="仿宋_GB2312" w:hAnsi="仿宋_GB2312" w:eastAsia="仿宋_GB2312" w:cs="仿宋_GB2312"/>
          <w:b w:val="0"/>
          <w:bCs/>
          <w:color w:val="auto"/>
          <w:sz w:val="30"/>
          <w:szCs w:val="30"/>
          <w:highlight w:val="none"/>
        </w:rPr>
      </w:pPr>
    </w:p>
    <w:p w14:paraId="3776DF42">
      <w:pPr>
        <w:pStyle w:val="14"/>
        <w:snapToGrid/>
        <w:ind w:right="84" w:rightChars="40" w:firstLine="1569"/>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乙方：</w:t>
      </w:r>
    </w:p>
    <w:p w14:paraId="59CADA38">
      <w:pPr>
        <w:pStyle w:val="14"/>
        <w:snapToGrid/>
        <w:ind w:right="84" w:rightChars="40" w:firstLine="1563" w:firstLineChars="521"/>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 xml:space="preserve"> </w:t>
      </w:r>
    </w:p>
    <w:p w14:paraId="406CF37F">
      <w:pPr>
        <w:pStyle w:val="14"/>
        <w:snapToGrid/>
        <w:spacing w:line="400" w:lineRule="exact"/>
        <w:ind w:right="84" w:rightChars="40" w:firstLine="0" w:firstLineChars="0"/>
        <w:rPr>
          <w:rFonts w:hint="eastAsia" w:ascii="仿宋_GB2312" w:hAnsi="仿宋_GB2312" w:eastAsia="仿宋_GB2312" w:cs="仿宋_GB2312"/>
          <w:b w:val="0"/>
          <w:bCs/>
          <w:color w:val="auto"/>
          <w:sz w:val="30"/>
          <w:szCs w:val="30"/>
          <w:highlight w:val="none"/>
        </w:rPr>
      </w:pPr>
    </w:p>
    <w:p w14:paraId="4A7DF2F6">
      <w:pPr>
        <w:ind w:firstLine="1500" w:firstLineChars="500"/>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签订日期：       年   月   日</w:t>
      </w:r>
    </w:p>
    <w:p w14:paraId="62B9146B">
      <w:pPr>
        <w:ind w:firstLine="1500" w:firstLineChars="500"/>
        <w:rPr>
          <w:rFonts w:hint="eastAsia" w:ascii="宋体" w:hAnsi="宋体" w:eastAsia="宋体" w:cs="宋体"/>
          <w:b/>
          <w:color w:val="auto"/>
          <w:sz w:val="30"/>
          <w:szCs w:val="30"/>
          <w:highlight w:val="none"/>
          <w:lang w:val="zh-CN"/>
        </w:rPr>
      </w:pPr>
      <w:r>
        <w:rPr>
          <w:rFonts w:hint="eastAsia" w:ascii="仿宋_GB2312" w:hAnsi="仿宋_GB2312" w:eastAsia="仿宋_GB2312" w:cs="仿宋_GB2312"/>
          <w:b w:val="0"/>
          <w:bCs/>
          <w:color w:val="auto"/>
          <w:sz w:val="30"/>
          <w:szCs w:val="30"/>
          <w:highlight w:val="none"/>
        </w:rPr>
        <w:t>签订地点：广州市</w:t>
      </w:r>
    </w:p>
    <w:p w14:paraId="50164D3C">
      <w:pPr>
        <w:rPr>
          <w:rFonts w:hint="eastAsia" w:ascii="宋体" w:hAnsi="宋体" w:eastAsia="宋体"/>
          <w:b/>
          <w:color w:val="auto"/>
          <w:sz w:val="44"/>
          <w:szCs w:val="44"/>
          <w:highlight w:val="none"/>
        </w:rPr>
        <w:sectPr>
          <w:headerReference r:id="rId3" w:type="default"/>
          <w:footerReference r:id="rId4" w:type="default"/>
          <w:footerReference r:id="rId5" w:type="even"/>
          <w:pgSz w:w="11906" w:h="16838"/>
          <w:pgMar w:top="1644" w:right="1701" w:bottom="1644" w:left="1701" w:header="851" w:footer="992" w:gutter="0"/>
          <w:pgNumType w:fmt="numberInDash"/>
          <w:cols w:space="708" w:num="1"/>
          <w:docGrid w:type="lines" w:linePitch="312" w:charSpace="0"/>
        </w:sectPr>
      </w:pPr>
    </w:p>
    <w:p w14:paraId="0BEA16F6">
      <w:pPr>
        <w:spacing w:beforeLines="0" w:afterLines="0" w:line="560" w:lineRule="exact"/>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根据《中华人民共和国</w:t>
      </w:r>
      <w:r>
        <w:rPr>
          <w:rFonts w:hint="eastAsia" w:ascii="仿宋_GB2312" w:hAnsi="仿宋_GB2312" w:eastAsia="仿宋_GB2312" w:cs="仿宋_GB2312"/>
          <w:color w:val="auto"/>
          <w:sz w:val="28"/>
          <w:szCs w:val="28"/>
          <w:highlight w:val="none"/>
          <w:lang w:val="en-US" w:eastAsia="zh-CN"/>
        </w:rPr>
        <w:t>民法典</w:t>
      </w:r>
      <w:r>
        <w:rPr>
          <w:rFonts w:hint="eastAsia" w:ascii="仿宋_GB2312" w:hAnsi="仿宋_GB2312" w:eastAsia="仿宋_GB2312" w:cs="仿宋_GB2312"/>
          <w:color w:val="auto"/>
          <w:sz w:val="28"/>
          <w:szCs w:val="28"/>
          <w:highlight w:val="none"/>
        </w:rPr>
        <w:t>》及其他有关法律、行政法规，</w:t>
      </w:r>
      <w:r>
        <w:rPr>
          <w:rFonts w:hint="eastAsia" w:ascii="仿宋_GB2312" w:hAnsi="仿宋_GB2312" w:eastAsia="仿宋_GB2312" w:cs="仿宋_GB2312"/>
          <w:color w:val="auto"/>
          <w:sz w:val="28"/>
          <w:szCs w:val="28"/>
          <w:highlight w:val="none"/>
          <w:u w:val="single"/>
        </w:rPr>
        <w:t>广州市净水有限公司</w:t>
      </w:r>
      <w:r>
        <w:rPr>
          <w:rFonts w:hint="eastAsia" w:ascii="仿宋_GB2312" w:hAnsi="仿宋_GB2312" w:eastAsia="仿宋_GB2312" w:cs="仿宋_GB2312"/>
          <w:color w:val="auto"/>
          <w:sz w:val="28"/>
          <w:szCs w:val="28"/>
          <w:highlight w:val="none"/>
        </w:rPr>
        <w:t xml:space="preserve"> （以下简称“甲方”）与 </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rPr>
        <w:t>（以下简称“乙方”）就</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项目承接工作事宜，遵循平等、自愿、公平和诚实信用的原则，双方协商一致，订立本合同。</w:t>
      </w:r>
    </w:p>
    <w:p w14:paraId="154AA144">
      <w:pPr>
        <w:spacing w:beforeLines="0" w:afterLines="0" w:line="560" w:lineRule="exact"/>
        <w:ind w:left="0" w:leftChars="0" w:firstLine="560"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第一条</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组成合同的文件及优先顺序</w:t>
      </w:r>
    </w:p>
    <w:p w14:paraId="13D2C88E">
      <w:pPr>
        <w:spacing w:beforeLines="0" w:afterLines="0" w:line="56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下列文件（如有）均为本合同的组成部分，可视为能相互说明和补充的，如果合同文件存在歧义或相矛盾的地方，则根据以下次序判断：</w:t>
      </w:r>
    </w:p>
    <w:p w14:paraId="6E080A19">
      <w:pPr>
        <w:spacing w:beforeLines="0" w:afterLines="0" w:line="56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1</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color w:val="auto"/>
          <w:sz w:val="28"/>
          <w:szCs w:val="28"/>
          <w:highlight w:val="none"/>
        </w:rPr>
        <w:t>在本合同实施过程双方签署的补充与修正文件</w:t>
      </w:r>
      <w:r>
        <w:rPr>
          <w:rFonts w:hint="eastAsia" w:ascii="仿宋_GB2312" w:hAnsi="仿宋_GB2312" w:eastAsia="仿宋_GB2312" w:cs="仿宋_GB2312"/>
          <w:bCs/>
          <w:color w:val="auto"/>
          <w:sz w:val="28"/>
          <w:szCs w:val="28"/>
          <w:highlight w:val="none"/>
        </w:rPr>
        <w:t>；</w:t>
      </w:r>
    </w:p>
    <w:p w14:paraId="536FDABD">
      <w:pPr>
        <w:spacing w:beforeLines="0" w:afterLines="0" w:line="56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2</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本合同书；</w:t>
      </w:r>
    </w:p>
    <w:p w14:paraId="00D5F224">
      <w:pPr>
        <w:spacing w:beforeLines="0" w:afterLines="0" w:line="56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3</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中标通知书/发包通知书/</w:t>
      </w:r>
      <w:r>
        <w:rPr>
          <w:rFonts w:hint="eastAsia" w:ascii="仿宋_GB2312" w:hAnsi="仿宋_GB2312" w:eastAsia="仿宋_GB2312" w:cs="仿宋_GB2312"/>
          <w:bCs/>
          <w:color w:val="auto"/>
          <w:sz w:val="28"/>
          <w:szCs w:val="28"/>
          <w:highlight w:val="none"/>
          <w:lang w:val="en-US" w:eastAsia="zh-CN"/>
        </w:rPr>
        <w:t>成交通知书/</w:t>
      </w:r>
      <w:r>
        <w:rPr>
          <w:rFonts w:hint="eastAsia" w:ascii="仿宋_GB2312" w:hAnsi="仿宋_GB2312" w:eastAsia="仿宋_GB2312" w:cs="仿宋_GB2312"/>
          <w:bCs/>
          <w:color w:val="auto"/>
          <w:sz w:val="28"/>
          <w:szCs w:val="28"/>
          <w:highlight w:val="none"/>
        </w:rPr>
        <w:t>委托函；</w:t>
      </w:r>
    </w:p>
    <w:p w14:paraId="6DF850D5">
      <w:pPr>
        <w:spacing w:beforeLines="0" w:afterLines="0" w:line="56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4</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招标文件/询价文件；</w:t>
      </w:r>
    </w:p>
    <w:p w14:paraId="2B34ACE8">
      <w:pPr>
        <w:spacing w:beforeLines="0" w:afterLines="0" w:line="56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5</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投标文件/响应文件；</w:t>
      </w:r>
    </w:p>
    <w:p w14:paraId="01D19711">
      <w:pPr>
        <w:spacing w:beforeLines="0" w:afterLines="0" w:line="56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6</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标准、规范及有关技术性文件；</w:t>
      </w:r>
    </w:p>
    <w:p w14:paraId="6717759F">
      <w:pPr>
        <w:spacing w:beforeLines="0" w:afterLines="0" w:line="56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7</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图纸；</w:t>
      </w:r>
    </w:p>
    <w:p w14:paraId="1E6E9C83">
      <w:pPr>
        <w:spacing w:beforeLines="0" w:afterLines="0" w:line="56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8</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工程量清单/</w:t>
      </w:r>
      <w:r>
        <w:rPr>
          <w:rFonts w:hint="eastAsia" w:ascii="仿宋_GB2312" w:hAnsi="仿宋_GB2312" w:eastAsia="仿宋_GB2312" w:cs="仿宋_GB2312"/>
          <w:color w:val="auto"/>
          <w:sz w:val="28"/>
          <w:szCs w:val="28"/>
          <w:highlight w:val="none"/>
        </w:rPr>
        <w:t>工程量清单报价；</w:t>
      </w:r>
    </w:p>
    <w:p w14:paraId="2AF13464">
      <w:pPr>
        <w:spacing w:beforeLines="0" w:afterLines="0" w:line="56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9</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本合同其他附件；</w:t>
      </w:r>
    </w:p>
    <w:p w14:paraId="0423E321">
      <w:pPr>
        <w:spacing w:beforeLines="0" w:afterLines="0" w:line="560" w:lineRule="exact"/>
        <w:ind w:firstLine="560"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第二条 项目概况、项目承包范围</w:t>
      </w:r>
    </w:p>
    <w:p w14:paraId="7557B695">
      <w:pPr>
        <w:spacing w:beforeLines="0" w:afterLines="0" w:line="560" w:lineRule="exact"/>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2.1项目名称：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eastAsia="zh-CN"/>
        </w:rPr>
        <w:t>广州净水公司2025年工艺及生产设备设施改造项目</w:t>
      </w:r>
      <w:r>
        <w:rPr>
          <w:rFonts w:hint="eastAsia" w:ascii="仿宋_GB2312" w:hAnsi="仿宋_GB2312" w:eastAsia="仿宋_GB2312" w:cs="仿宋_GB2312"/>
          <w:color w:val="auto"/>
          <w:sz w:val="28"/>
          <w:szCs w:val="28"/>
          <w:highlight w:val="none"/>
          <w:u w:val="single"/>
        </w:rPr>
        <w:t>。</w:t>
      </w:r>
    </w:p>
    <w:p w14:paraId="65385015">
      <w:pPr>
        <w:spacing w:beforeLines="0" w:afterLines="0"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项目包含的子项目如下：</w:t>
      </w:r>
    </w:p>
    <w:p w14:paraId="7FF53448">
      <w:pPr>
        <w:spacing w:beforeLines="0" w:afterLines="0" w:line="560" w:lineRule="exact"/>
        <w:ind w:firstLine="560" w:firstLineChars="200"/>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rPr>
        <w:t>项目一：</w:t>
      </w:r>
      <w:r>
        <w:rPr>
          <w:rFonts w:hint="eastAsia" w:ascii="仿宋_GB2312" w:hAnsi="仿宋_GB2312" w:eastAsia="仿宋_GB2312" w:cs="仿宋_GB2312"/>
          <w:color w:val="auto"/>
          <w:sz w:val="28"/>
          <w:szCs w:val="28"/>
          <w:highlight w:val="none"/>
          <w:lang w:val="en-US" w:eastAsia="zh-CN"/>
        </w:rPr>
        <w:t xml:space="preserve"> </w:t>
      </w:r>
      <w:r>
        <w:rPr>
          <w:rFonts w:hint="default" w:ascii="仿宋_GB2312" w:hAnsi="仿宋_GB2312" w:eastAsia="仿宋_GB2312" w:cs="仿宋_GB2312"/>
          <w:color w:val="auto"/>
          <w:sz w:val="28"/>
          <w:szCs w:val="28"/>
          <w:highlight w:val="none"/>
        </w:rPr>
        <w:t>；</w:t>
      </w:r>
    </w:p>
    <w:p w14:paraId="2EA8B0A0">
      <w:pPr>
        <w:spacing w:beforeLines="0" w:afterLines="0" w:line="560" w:lineRule="exact"/>
        <w:ind w:firstLine="560" w:firstLineChars="200"/>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rPr>
        <w:t>项目二：</w:t>
      </w:r>
      <w:r>
        <w:rPr>
          <w:rFonts w:hint="eastAsia" w:ascii="仿宋_GB2312" w:hAnsi="仿宋_GB2312" w:eastAsia="仿宋_GB2312" w:cs="仿宋_GB2312"/>
          <w:color w:val="auto"/>
          <w:sz w:val="28"/>
          <w:szCs w:val="28"/>
          <w:highlight w:val="none"/>
          <w:lang w:val="en-US" w:eastAsia="zh-CN"/>
        </w:rPr>
        <w:t xml:space="preserve"> </w:t>
      </w:r>
      <w:r>
        <w:rPr>
          <w:rFonts w:hint="default" w:ascii="仿宋_GB2312" w:hAnsi="仿宋_GB2312" w:eastAsia="仿宋_GB2312" w:cs="仿宋_GB2312"/>
          <w:color w:val="auto"/>
          <w:sz w:val="28"/>
          <w:szCs w:val="28"/>
          <w:highlight w:val="none"/>
        </w:rPr>
        <w:t>；</w:t>
      </w:r>
    </w:p>
    <w:p w14:paraId="13728EF8">
      <w:pPr>
        <w:spacing w:beforeLines="0" w:afterLines="0" w:line="560" w:lineRule="exact"/>
        <w:ind w:firstLine="560" w:firstLineChars="200"/>
        <w:rPr>
          <w:rFonts w:hint="eastAsia" w:ascii="仿宋_GB2312" w:hAnsi="仿宋_GB2312" w:eastAsia="仿宋_GB2312" w:cs="仿宋_GB2312"/>
          <w:color w:val="auto"/>
          <w:sz w:val="28"/>
          <w:szCs w:val="28"/>
          <w:highlight w:val="none"/>
          <w:lang w:eastAsia="zh-CN"/>
        </w:rPr>
      </w:pPr>
      <w:r>
        <w:rPr>
          <w:rFonts w:hint="default" w:ascii="仿宋_GB2312" w:hAnsi="仿宋_GB2312" w:eastAsia="仿宋_GB2312" w:cs="仿宋_GB2312"/>
          <w:color w:val="auto"/>
          <w:sz w:val="28"/>
          <w:szCs w:val="28"/>
          <w:highlight w:val="none"/>
        </w:rPr>
        <w:t>项目三：</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w:t>
      </w:r>
    </w:p>
    <w:p w14:paraId="3219A2EF">
      <w:pPr>
        <w:spacing w:beforeLines="0" w:afterLines="0"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p>
    <w:p w14:paraId="18996B15">
      <w:pPr>
        <w:spacing w:beforeLines="0" w:afterLines="0"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rPr>
        <w:t>项目</w:t>
      </w:r>
      <w:r>
        <w:rPr>
          <w:rFonts w:hint="eastAsia" w:ascii="仿宋_GB2312" w:hAnsi="仿宋_GB2312" w:eastAsia="仿宋_GB2312" w:cs="仿宋_GB2312"/>
          <w:color w:val="auto"/>
          <w:sz w:val="28"/>
          <w:szCs w:val="28"/>
          <w:highlight w:val="none"/>
          <w:lang w:val="en-US" w:eastAsia="zh-CN"/>
        </w:rPr>
        <w:t xml:space="preserve">十：........ </w:t>
      </w:r>
      <w:r>
        <w:rPr>
          <w:rFonts w:hint="eastAsia" w:ascii="仿宋_GB2312" w:hAnsi="仿宋_GB2312" w:eastAsia="仿宋_GB2312" w:cs="仿宋_GB2312"/>
          <w:color w:val="auto"/>
          <w:sz w:val="28"/>
          <w:szCs w:val="28"/>
          <w:highlight w:val="none"/>
          <w:lang w:eastAsia="zh-CN"/>
        </w:rPr>
        <w:t>。</w:t>
      </w:r>
    </w:p>
    <w:p w14:paraId="75189C67">
      <w:pPr>
        <w:spacing w:beforeLines="0" w:afterLines="0" w:line="560" w:lineRule="exact"/>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2.2项目地点：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广州市 </w:t>
      </w:r>
      <w:r>
        <w:rPr>
          <w:rFonts w:hint="eastAsia" w:ascii="仿宋_GB2312" w:hAnsi="仿宋_GB2312" w:eastAsia="仿宋_GB2312" w:cs="仿宋_GB2312"/>
          <w:color w:val="auto"/>
          <w:sz w:val="28"/>
          <w:szCs w:val="28"/>
          <w:highlight w:val="none"/>
          <w:u w:val="single"/>
        </w:rPr>
        <w:t>。</w:t>
      </w:r>
    </w:p>
    <w:p w14:paraId="272D4012">
      <w:pPr>
        <w:spacing w:beforeLines="0" w:afterLines="0" w:line="560" w:lineRule="exact"/>
        <w:ind w:firstLine="560" w:firstLineChars="200"/>
        <w:rPr>
          <w:rFonts w:hint="eastAsia" w:ascii="仿宋_GB2312" w:hAnsi="仿宋_GB2312" w:eastAsia="仿宋_GB2312" w:cs="仿宋_GB2312"/>
          <w:color w:val="auto"/>
          <w:spacing w:val="8"/>
          <w:sz w:val="28"/>
          <w:szCs w:val="28"/>
          <w:highlight w:val="none"/>
        </w:rPr>
      </w:pPr>
      <w:r>
        <w:rPr>
          <w:rFonts w:hint="eastAsia" w:ascii="仿宋_GB2312" w:hAnsi="仿宋_GB2312" w:eastAsia="仿宋_GB2312" w:cs="仿宋_GB2312"/>
          <w:color w:val="auto"/>
          <w:sz w:val="28"/>
          <w:szCs w:val="28"/>
          <w:highlight w:val="none"/>
        </w:rPr>
        <w:t>2.3项目内容：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以上述包含的子项目为准      </w:t>
      </w:r>
      <w:r>
        <w:rPr>
          <w:rFonts w:hint="eastAsia" w:ascii="仿宋_GB2312" w:hAnsi="仿宋_GB2312" w:eastAsia="仿宋_GB2312" w:cs="仿宋_GB2312"/>
          <w:color w:val="auto"/>
          <w:sz w:val="28"/>
          <w:szCs w:val="28"/>
          <w:highlight w:val="none"/>
          <w:u w:val="single"/>
        </w:rPr>
        <w:t>。</w:t>
      </w:r>
    </w:p>
    <w:p w14:paraId="3A211C48">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2.4项目承包范围：包括提供所有需要的材料、机械、人工、设施、完成合同约定的工作和服务。按照甲方审核同意的方案、图纸所包括的实施范围和内容进行施工并在质量保修期内承担项目质量保修责任。</w:t>
      </w:r>
    </w:p>
    <w:p w14:paraId="33678588">
      <w:pPr>
        <w:spacing w:beforeLines="0" w:afterLines="0" w:line="560" w:lineRule="exact"/>
        <w:ind w:firstLine="560"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第三条 项目承包方式</w:t>
      </w:r>
    </w:p>
    <w:p w14:paraId="6491AEC0">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包工、包料、包工期、包质量、包安全、包文明施工。综合单价包干、项目措施费</w:t>
      </w:r>
      <w:r>
        <w:rPr>
          <w:rFonts w:hint="eastAsia" w:ascii="仿宋_GB2312" w:hAnsi="仿宋_GB2312" w:eastAsia="仿宋_GB2312" w:cs="仿宋_GB2312"/>
          <w:color w:val="auto"/>
          <w:sz w:val="28"/>
          <w:szCs w:val="28"/>
          <w:highlight w:val="none"/>
          <w:lang w:val="en-US" w:eastAsia="zh-CN"/>
        </w:rPr>
        <w:t>按实结算</w:t>
      </w:r>
      <w:r>
        <w:rPr>
          <w:rFonts w:hint="eastAsia" w:ascii="仿宋_GB2312" w:hAnsi="仿宋_GB2312" w:eastAsia="仿宋_GB2312" w:cs="仿宋_GB2312"/>
          <w:color w:val="auto"/>
          <w:sz w:val="28"/>
          <w:szCs w:val="28"/>
          <w:highlight w:val="none"/>
        </w:rPr>
        <w:t>。（单价包干要求附</w:t>
      </w:r>
      <w:r>
        <w:rPr>
          <w:rFonts w:hint="eastAsia" w:ascii="仿宋_GB2312" w:hAnsi="仿宋_GB2312" w:eastAsia="仿宋_GB2312" w:cs="仿宋_GB2312"/>
          <w:bCs/>
          <w:color w:val="auto"/>
          <w:sz w:val="28"/>
          <w:szCs w:val="28"/>
          <w:highlight w:val="none"/>
        </w:rPr>
        <w:t>工程量清单/</w:t>
      </w:r>
      <w:r>
        <w:rPr>
          <w:rFonts w:hint="eastAsia" w:ascii="仿宋_GB2312" w:hAnsi="仿宋_GB2312" w:eastAsia="仿宋_GB2312" w:cs="仿宋_GB2312"/>
          <w:color w:val="auto"/>
          <w:sz w:val="28"/>
          <w:szCs w:val="28"/>
          <w:highlight w:val="none"/>
        </w:rPr>
        <w:t>工程量清单报价）</w:t>
      </w:r>
    </w:p>
    <w:p w14:paraId="6140F59C">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□包工、包料、包质量、包工期、包安全、包文明施工、包设计、包调试、包验收的施工图纸，以总价包干形式。</w:t>
      </w:r>
    </w:p>
    <w:p w14:paraId="23CE4BED">
      <w:pPr>
        <w:spacing w:beforeLines="0" w:afterLines="0" w:line="560" w:lineRule="exact"/>
        <w:ind w:firstLine="560"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第四条</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合同价款</w:t>
      </w:r>
    </w:p>
    <w:p w14:paraId="18072F8C">
      <w:pPr>
        <w:spacing w:beforeLines="0" w:afterLines="0" w:line="560" w:lineRule="exact"/>
        <w:ind w:firstLine="560" w:firstLineChars="200"/>
        <w:rPr>
          <w:rFonts w:hint="eastAsia" w:ascii="仿宋_GB2312" w:hAnsi="仿宋_GB2312" w:eastAsia="仿宋_GB2312" w:cs="仿宋_GB2312"/>
          <w:bCs/>
          <w:color w:val="auto"/>
          <w:sz w:val="28"/>
          <w:szCs w:val="28"/>
          <w:highlight w:val="none"/>
          <w:bdr w:val="single" w:color="auto" w:sz="4" w:space="0"/>
        </w:rPr>
      </w:pPr>
      <w:r>
        <w:rPr>
          <w:rFonts w:hint="eastAsia" w:ascii="仿宋_GB2312" w:hAnsi="仿宋_GB2312" w:eastAsia="仿宋_GB2312" w:cs="仿宋_GB2312"/>
          <w:color w:val="auto"/>
          <w:sz w:val="28"/>
          <w:szCs w:val="28"/>
          <w:highlight w:val="none"/>
        </w:rPr>
        <w:t>4.1合同价款按以下</w:t>
      </w:r>
      <w:r>
        <w:rPr>
          <w:rFonts w:hint="eastAsia" w:ascii="仿宋_GB2312" w:hAnsi="仿宋_GB2312" w:eastAsia="仿宋_GB2312" w:cs="仿宋_GB2312"/>
          <w:color w:val="auto"/>
          <w:sz w:val="28"/>
          <w:szCs w:val="28"/>
          <w:highlight w:val="none"/>
          <w:u w:val="single"/>
          <w:lang w:val="en-US" w:eastAsia="zh-CN"/>
        </w:rPr>
        <w:t xml:space="preserve">  （1）  </w:t>
      </w:r>
      <w:r>
        <w:rPr>
          <w:rFonts w:hint="eastAsia" w:ascii="仿宋_GB2312" w:hAnsi="仿宋_GB2312" w:eastAsia="仿宋_GB2312" w:cs="仿宋_GB2312"/>
          <w:color w:val="auto"/>
          <w:sz w:val="28"/>
          <w:szCs w:val="28"/>
          <w:highlight w:val="none"/>
        </w:rPr>
        <w:t>执行。</w:t>
      </w:r>
    </w:p>
    <w:p w14:paraId="7B6F00E5">
      <w:pPr>
        <w:numPr>
          <w:ilvl w:val="-1"/>
          <w:numId w:val="0"/>
        </w:num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合同暂定总价为：</w:t>
      </w:r>
      <w:r>
        <w:rPr>
          <w:rFonts w:hint="eastAsia" w:ascii="仿宋_GB2312" w:hAnsi="仿宋_GB2312" w:eastAsia="仿宋_GB2312" w:cs="仿宋_GB2312"/>
          <w:b/>
          <w:color w:val="auto"/>
          <w:sz w:val="28"/>
          <w:szCs w:val="28"/>
          <w:highlight w:val="none"/>
          <w:u w:val="single"/>
        </w:rPr>
        <w:t>人民币</w:t>
      </w:r>
      <w:r>
        <w:rPr>
          <w:rFonts w:hint="eastAsia" w:ascii="仿宋_GB2312" w:hAnsi="仿宋_GB2312" w:eastAsia="仿宋_GB2312" w:cs="仿宋_GB2312"/>
          <w:b/>
          <w:color w:val="auto"/>
          <w:sz w:val="28"/>
          <w:szCs w:val="28"/>
          <w:highlight w:val="none"/>
          <w:u w:val="single"/>
          <w:lang w:val="en-US" w:eastAsia="zh-CN"/>
        </w:rPr>
        <w:t xml:space="preserve">   </w:t>
      </w:r>
      <w:r>
        <w:rPr>
          <w:rFonts w:hint="eastAsia" w:ascii="仿宋_GB2312" w:hAnsi="仿宋_GB2312" w:eastAsia="仿宋_GB2312" w:cs="仿宋_GB2312"/>
          <w:b/>
          <w:color w:val="auto"/>
          <w:sz w:val="28"/>
          <w:szCs w:val="28"/>
          <w:highlight w:val="none"/>
          <w:u w:val="single"/>
        </w:rPr>
        <w:t>元</w:t>
      </w:r>
      <w:r>
        <w:rPr>
          <w:rFonts w:hint="eastAsia" w:ascii="仿宋_GB2312" w:hAnsi="仿宋_GB2312" w:eastAsia="仿宋_GB2312" w:cs="仿宋_GB2312"/>
          <w:color w:val="auto"/>
          <w:sz w:val="28"/>
          <w:szCs w:val="28"/>
          <w:highlight w:val="none"/>
        </w:rPr>
        <w:t>（大写:</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）。经甲方或甲方委托有资质第三方机构审核后，审核价作为合同结算价。若合同结算价超合同暂定总价，双方另行签订补充协议。</w:t>
      </w:r>
    </w:p>
    <w:p w14:paraId="7DDC2B65">
      <w:pPr>
        <w:numPr>
          <w:ilvl w:val="-1"/>
          <w:numId w:val="0"/>
        </w:numPr>
        <w:spacing w:beforeLines="0" w:afterLines="0" w:line="560" w:lineRule="exact"/>
        <w:ind w:firstLine="560" w:firstLineChars="200"/>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lang w:val="en-US" w:eastAsia="zh-CN"/>
        </w:rPr>
        <w:t>（统筹项目）</w:t>
      </w:r>
      <w:r>
        <w:rPr>
          <w:rFonts w:hint="eastAsia" w:ascii="仿宋_GB2312" w:hAnsi="仿宋_GB2312" w:eastAsia="仿宋_GB2312" w:cs="仿宋_GB2312"/>
          <w:color w:val="auto"/>
          <w:sz w:val="28"/>
          <w:szCs w:val="28"/>
          <w:highlight w:val="none"/>
          <w:u w:val="single"/>
          <w:lang w:val="en-US" w:eastAsia="zh-CN"/>
        </w:rPr>
        <w:t>合同暂定总价组成：</w:t>
      </w:r>
    </w:p>
    <w:p w14:paraId="16EDB3C2">
      <w:pPr>
        <w:numPr>
          <w:ilvl w:val="-1"/>
          <w:numId w:val="0"/>
        </w:numPr>
        <w:spacing w:beforeLines="0" w:afterLines="0" w:line="560" w:lineRule="exact"/>
        <w:ind w:firstLine="560" w:firstLineChars="200"/>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lang w:val="en-US" w:eastAsia="zh-CN"/>
        </w:rPr>
        <w:t>项目一：人民币   元（大写：），其中暂列金     ；</w:t>
      </w:r>
    </w:p>
    <w:p w14:paraId="7FA5398B">
      <w:pPr>
        <w:numPr>
          <w:ilvl w:val="-1"/>
          <w:numId w:val="0"/>
        </w:numPr>
        <w:spacing w:beforeLines="0" w:afterLines="0" w:line="560" w:lineRule="exact"/>
        <w:ind w:firstLine="560" w:firstLineChars="200"/>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lang w:val="en-US" w:eastAsia="zh-CN"/>
        </w:rPr>
        <w:t>项目二：人民币   元（大写：），其中暂列金     ；</w:t>
      </w:r>
    </w:p>
    <w:p w14:paraId="02DE63BA">
      <w:pPr>
        <w:numPr>
          <w:ilvl w:val="-1"/>
          <w:numId w:val="0"/>
        </w:numPr>
        <w:spacing w:beforeLines="0" w:afterLines="0" w:line="560" w:lineRule="exact"/>
        <w:ind w:firstLine="560" w:firstLineChars="200"/>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lang w:val="en-US" w:eastAsia="zh-CN"/>
        </w:rPr>
        <w:t>项目三：人民币   元（大写：），其中暂列金     ；</w:t>
      </w:r>
    </w:p>
    <w:p w14:paraId="740D56BA">
      <w:pPr>
        <w:numPr>
          <w:ilvl w:val="-1"/>
          <w:numId w:val="0"/>
        </w:numPr>
        <w:spacing w:beforeLines="0" w:afterLines="0" w:line="560" w:lineRule="exact"/>
        <w:ind w:firstLine="560" w:firstLineChars="200"/>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lang w:val="en-US" w:eastAsia="zh-CN"/>
        </w:rPr>
        <w:t>....</w:t>
      </w:r>
    </w:p>
    <w:p w14:paraId="5B63027F">
      <w:pPr>
        <w:numPr>
          <w:ilvl w:val="-1"/>
          <w:numId w:val="0"/>
        </w:numPr>
        <w:spacing w:beforeLines="0" w:afterLines="0" w:line="560" w:lineRule="exact"/>
        <w:ind w:firstLine="560" w:firstLineChars="200"/>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lang w:val="en-US" w:eastAsia="zh-CN"/>
        </w:rPr>
        <w:t>项目十：人民币   元（大写：），其中暂列金     ；</w:t>
      </w:r>
    </w:p>
    <w:p w14:paraId="18D10F38">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综合单价</w:t>
      </w:r>
      <w:r>
        <w:rPr>
          <w:rFonts w:hint="eastAsia" w:ascii="仿宋_GB2312" w:hAnsi="仿宋_GB2312" w:eastAsia="仿宋_GB2312" w:cs="仿宋_GB2312"/>
          <w:color w:val="auto"/>
          <w:sz w:val="28"/>
          <w:szCs w:val="28"/>
          <w:highlight w:val="none"/>
          <w:lang w:val="en-US" w:eastAsia="zh-CN"/>
        </w:rPr>
        <w:t>详见附件4工程量清单/工程量清单报价</w:t>
      </w:r>
      <w:r>
        <w:rPr>
          <w:rFonts w:hint="eastAsia" w:ascii="仿宋_GB2312" w:hAnsi="仿宋_GB2312" w:eastAsia="仿宋_GB2312" w:cs="仿宋_GB2312"/>
          <w:color w:val="auto"/>
          <w:sz w:val="28"/>
          <w:szCs w:val="28"/>
          <w:highlight w:val="none"/>
        </w:rPr>
        <w:t>。</w:t>
      </w:r>
    </w:p>
    <w:p w14:paraId="40AB0EA1">
      <w:pPr>
        <w:spacing w:beforeLines="0" w:afterLines="0"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合同单价在合同有效期内为不变价。乙方已经充分考虑本合同履行期间的市场风险和国家政策性调整风险系数并已计入报价，因此合同单价在合同有效期内不因任何因素而作调整。</w:t>
      </w:r>
    </w:p>
    <w:p w14:paraId="2C3CDDBF">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（2）</w:t>
      </w:r>
      <w:r>
        <w:rPr>
          <w:rFonts w:hint="eastAsia" w:ascii="仿宋_GB2312" w:hAnsi="仿宋_GB2312" w:eastAsia="仿宋_GB2312" w:cs="仿宋_GB2312"/>
          <w:color w:val="auto"/>
          <w:sz w:val="28"/>
          <w:szCs w:val="28"/>
          <w:highlight w:val="none"/>
        </w:rPr>
        <w:t>合同以总价包干形式，合同暂定总价为：</w:t>
      </w:r>
      <w:r>
        <w:rPr>
          <w:rFonts w:hint="eastAsia" w:ascii="仿宋_GB2312" w:hAnsi="仿宋_GB2312" w:eastAsia="仿宋_GB2312" w:cs="仿宋_GB2312"/>
          <w:b/>
          <w:color w:val="auto"/>
          <w:sz w:val="28"/>
          <w:szCs w:val="28"/>
          <w:highlight w:val="none"/>
          <w:u w:val="single"/>
        </w:rPr>
        <w:t>人民币</w:t>
      </w:r>
      <w:r>
        <w:rPr>
          <w:rFonts w:hint="eastAsia" w:ascii="仿宋_GB2312" w:hAnsi="仿宋_GB2312" w:eastAsia="仿宋_GB2312" w:cs="仿宋_GB2312"/>
          <w:b/>
          <w:color w:val="auto"/>
          <w:sz w:val="28"/>
          <w:szCs w:val="28"/>
          <w:highlight w:val="none"/>
          <w:u w:val="single"/>
          <w:lang w:val="en-US" w:eastAsia="zh-CN"/>
        </w:rPr>
        <w:t>/</w:t>
      </w:r>
      <w:r>
        <w:rPr>
          <w:rFonts w:hint="eastAsia" w:ascii="仿宋_GB2312" w:hAnsi="仿宋_GB2312" w:eastAsia="仿宋_GB2312" w:cs="仿宋_GB2312"/>
          <w:b/>
          <w:color w:val="auto"/>
          <w:sz w:val="28"/>
          <w:szCs w:val="28"/>
          <w:highlight w:val="none"/>
          <w:u w:val="single"/>
        </w:rPr>
        <w:t>元</w:t>
      </w:r>
      <w:r>
        <w:rPr>
          <w:rFonts w:hint="eastAsia" w:ascii="仿宋_GB2312" w:hAnsi="仿宋_GB2312" w:eastAsia="仿宋_GB2312" w:cs="仿宋_GB2312"/>
          <w:color w:val="auto"/>
          <w:sz w:val="28"/>
          <w:szCs w:val="28"/>
          <w:highlight w:val="none"/>
        </w:rPr>
        <w:t>（大写:</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）。经甲方或甲方委托有资质第三方机构审核后，若结算审核价比合同暂定总价低，则以结算审核价作为合同结算价，否则以合同暂定总价为合同结算价。</w:t>
      </w:r>
    </w:p>
    <w:p w14:paraId="5CCEE0BE">
      <w:pPr>
        <w:tabs>
          <w:tab w:val="left" w:pos="851"/>
        </w:tabs>
        <w:adjustRightInd/>
        <w:snapToGrid/>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val="zh-CN"/>
        </w:rPr>
        <w:t>4.2</w:t>
      </w:r>
      <w:r>
        <w:rPr>
          <w:rFonts w:hint="eastAsia" w:ascii="仿宋_GB2312" w:hAnsi="仿宋_GB2312" w:eastAsia="仿宋_GB2312" w:cs="仿宋_GB2312"/>
          <w:color w:val="auto"/>
          <w:kern w:val="0"/>
          <w:sz w:val="28"/>
          <w:szCs w:val="28"/>
          <w:highlight w:val="none"/>
        </w:rPr>
        <w:t>本合同约定的价格为含税价价格</w:t>
      </w:r>
      <w:r>
        <w:rPr>
          <w:rFonts w:hint="eastAsia" w:ascii="仿宋_GB2312" w:hAnsi="仿宋_GB2312" w:eastAsia="仿宋_GB2312" w:cs="仿宋_GB2312"/>
          <w:color w:val="auto"/>
          <w:sz w:val="28"/>
          <w:szCs w:val="28"/>
          <w:highlight w:val="none"/>
        </w:rPr>
        <w:t>（税率</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），合同履行期间国家税率调整或乙方开票的实际税率与前述税率不一致的，不含税价不变，价税合计按实际税率相应调整，以开具发票时间为准。</w:t>
      </w:r>
    </w:p>
    <w:p w14:paraId="67410A60">
      <w:pPr>
        <w:tabs>
          <w:tab w:val="left" w:pos="0"/>
        </w:tabs>
        <w:adjustRightInd/>
        <w:snapToGrid/>
        <w:spacing w:beforeLines="0" w:afterLines="0" w:line="560" w:lineRule="exact"/>
        <w:ind w:firstLine="560" w:firstLineChars="200"/>
        <w:jc w:val="left"/>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4.3因非乙方原因引起工程量报价清单中工程量发生增减，且单个子目工程量变化幅度在25%以内（含）时，按工程量报价清单中列明的子目单价结算。否则，按新增单价执行：单个子目工程量增加幅度在25%以上时，单价按就低原则执行（原合同单价与重新组价之间比较）；单个子目工程量减少幅度在25%以上时，单价按就高原则执行（原合同单价与重新组价之间比较）。</w:t>
      </w:r>
    </w:p>
    <w:p w14:paraId="1D150BAF">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4.4</w:t>
      </w:r>
      <w:r>
        <w:rPr>
          <w:rFonts w:hint="eastAsia" w:ascii="仿宋_GB2312" w:hAnsi="仿宋_GB2312" w:eastAsia="仿宋_GB2312" w:cs="仿宋_GB2312"/>
          <w:color w:val="auto"/>
          <w:sz w:val="28"/>
          <w:szCs w:val="28"/>
          <w:highlight w:val="none"/>
        </w:rPr>
        <w:t>合同中没有适用于变更工程项目的单价的，</w:t>
      </w:r>
      <w:r>
        <w:rPr>
          <w:rFonts w:hint="eastAsia" w:ascii="仿宋_GB2312" w:hAnsi="仿宋_GB2312" w:eastAsia="仿宋_GB2312" w:cs="仿宋_GB2312"/>
          <w:color w:val="auto"/>
          <w:sz w:val="28"/>
          <w:szCs w:val="28"/>
          <w:highlight w:val="none"/>
          <w:lang w:val="en-US" w:eastAsia="zh-CN"/>
        </w:rPr>
        <w:t>按新增单价执行。</w:t>
      </w:r>
    </w:p>
    <w:p w14:paraId="509750A4">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新增单价计价原则：</w:t>
      </w:r>
    </w:p>
    <w:p w14:paraId="776F07EB">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14:paraId="330E0014">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项目计价材料、设备价格的控制</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按以下顺序作为降序优先级依次采用工程开工报告中开工日期当月的下列价格</w:t>
      </w:r>
      <w:r>
        <w:rPr>
          <w:rFonts w:hint="eastAsia" w:ascii="仿宋_GB2312" w:hAnsi="仿宋_GB2312" w:eastAsia="仿宋_GB2312" w:cs="仿宋_GB2312"/>
          <w:color w:val="auto"/>
          <w:sz w:val="28"/>
          <w:szCs w:val="28"/>
          <w:highlight w:val="none"/>
          <w:lang w:eastAsia="zh-CN"/>
        </w:rPr>
        <w:t>：</w:t>
      </w:r>
    </w:p>
    <w:p w14:paraId="1ABA6A6A">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（1）《广州地区建设工程常用材料税前综合价格》（下称综合价格）。</w:t>
      </w:r>
    </w:p>
    <w:p w14:paraId="22F45D46">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（2）《广州地区建设工程材料（设备）厂商价格信息》（下称厂商价格）下浮10-20%。</w:t>
      </w:r>
    </w:p>
    <w:p w14:paraId="2ADB4EA4">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（3）综合价格、厂商价格中缺项的，采用由北京瑞恒达建筑咨询有限公司提供服务的“慧讯网”中查到的相应材料、设备价格的工程价。</w:t>
      </w:r>
    </w:p>
    <w:p w14:paraId="20CEBF73">
      <w:pPr>
        <w:pStyle w:val="31"/>
        <w:autoSpaceDE/>
        <w:autoSpaceDN/>
        <w:adjustRightInd/>
        <w:spacing w:beforeLines="0" w:afterLines="0"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（4）通过市场询价双方协商确定。</w:t>
      </w:r>
    </w:p>
    <w:p w14:paraId="7F06F7BF">
      <w:pPr>
        <w:spacing w:beforeLines="0" w:afterLines="0"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3.按1、2组价后</w:t>
      </w:r>
      <w:r>
        <w:rPr>
          <w:rFonts w:hint="eastAsia" w:ascii="仿宋_GB2312" w:hAnsi="仿宋_GB2312" w:eastAsia="仿宋_GB2312" w:cs="仿宋_GB2312"/>
          <w:color w:val="auto"/>
          <w:sz w:val="28"/>
          <w:szCs w:val="28"/>
          <w:highlight w:val="none"/>
          <w:u w:val="single"/>
          <w:lang w:val="en-US" w:eastAsia="zh-CN"/>
        </w:rPr>
        <w:t>投标下浮率</w:t>
      </w:r>
      <w:r>
        <w:rPr>
          <w:rFonts w:hint="eastAsia" w:ascii="仿宋_GB2312" w:hAnsi="仿宋_GB2312" w:eastAsia="仿宋_GB2312" w:cs="仿宋_GB2312"/>
          <w:color w:val="auto"/>
          <w:sz w:val="28"/>
          <w:szCs w:val="28"/>
          <w:highlight w:val="none"/>
          <w:lang w:val="en-US" w:eastAsia="zh-CN"/>
        </w:rPr>
        <w:t>计取。</w:t>
      </w:r>
    </w:p>
    <w:p w14:paraId="4698E13F">
      <w:pPr>
        <w:tabs>
          <w:tab w:val="left" w:pos="851"/>
        </w:tabs>
        <w:adjustRightInd/>
        <w:snapToGrid/>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4.5</w:t>
      </w:r>
      <w:r>
        <w:rPr>
          <w:rFonts w:hint="eastAsia" w:ascii="仿宋_GB2312" w:hAnsi="仿宋_GB2312" w:eastAsia="仿宋_GB2312" w:cs="仿宋_GB2312"/>
          <w:color w:val="auto"/>
          <w:sz w:val="28"/>
          <w:szCs w:val="28"/>
          <w:highlight w:val="none"/>
        </w:rPr>
        <w:t>乙方送审结算时，应提供（子项）工程合同清单报价（量）与送审的工程清单报价（量）对比表，包括分部分项清单、措施项目清单、其他项目清单等对比表（含纸质版盖章及软件版）、主材设备发票或其他甲方认可的收据等资料。</w:t>
      </w:r>
    </w:p>
    <w:p w14:paraId="0A70A79A">
      <w:pPr>
        <w:widowControl w:val="0"/>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第五条</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工期及要求</w:t>
      </w:r>
    </w:p>
    <w:p w14:paraId="27EA1052">
      <w:pPr>
        <w:widowControl w:val="0"/>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5.1</w:t>
      </w:r>
      <w:r>
        <w:rPr>
          <w:rFonts w:hint="eastAsia" w:ascii="仿宋_GB2312" w:hAnsi="仿宋_GB2312" w:eastAsia="仿宋_GB2312" w:cs="仿宋_GB2312"/>
          <w:color w:val="auto"/>
          <w:sz w:val="28"/>
          <w:szCs w:val="28"/>
          <w:highlight w:val="none"/>
          <w:lang w:val="en-US" w:eastAsia="zh-CN"/>
        </w:rPr>
        <w:t>工期</w:t>
      </w:r>
    </w:p>
    <w:p w14:paraId="699E5055">
      <w:pPr>
        <w:widowControl w:val="0"/>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施工工期</w:t>
      </w:r>
      <w:r>
        <w:rPr>
          <w:rFonts w:hint="eastAsia" w:ascii="仿宋_GB2312" w:hAnsi="仿宋_GB2312" w:eastAsia="仿宋_GB2312" w:cs="仿宋_GB2312"/>
          <w:color w:val="auto"/>
          <w:sz w:val="28"/>
          <w:szCs w:val="28"/>
          <w:highlight w:val="none"/>
          <w:lang w:val="en-US" w:eastAsia="zh-CN"/>
        </w:rPr>
        <w:t>详见下表各子项目工期规划</w:t>
      </w:r>
      <w:r>
        <w:rPr>
          <w:rFonts w:hint="eastAsia" w:ascii="仿宋_GB2312" w:hAnsi="仿宋_GB2312" w:eastAsia="仿宋_GB2312" w:cs="仿宋_GB2312"/>
          <w:color w:val="auto"/>
          <w:sz w:val="28"/>
          <w:szCs w:val="28"/>
          <w:highlight w:val="none"/>
          <w:u w:val="single"/>
          <w:lang w:eastAsia="zh-CN"/>
        </w:rPr>
        <w:t>：</w:t>
      </w:r>
    </w:p>
    <w:tbl>
      <w:tblPr>
        <w:tblStyle w:val="25"/>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1501"/>
        <w:gridCol w:w="3779"/>
        <w:gridCol w:w="1116"/>
        <w:gridCol w:w="1116"/>
      </w:tblGrid>
      <w:tr w14:paraId="18773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 w:type="dxa"/>
            <w:noWrap w:val="0"/>
            <w:vAlign w:val="center"/>
          </w:tcPr>
          <w:p w14:paraId="7A655328">
            <w:pPr>
              <w:widowControl/>
              <w:autoSpaceDE w:val="0"/>
              <w:autoSpaceDN w:val="0"/>
              <w:spacing w:line="360" w:lineRule="auto"/>
              <w:ind w:firstLineChars="0"/>
              <w:jc w:val="center"/>
              <w:textAlignment w:val="center"/>
              <w:rPr>
                <w:rFonts w:hint="eastAsia" w:ascii="宋体" w:hAnsi="宋体" w:eastAsia="宋体" w:cs="宋体"/>
                <w:color w:val="auto"/>
                <w:kern w:val="0"/>
                <w:sz w:val="24"/>
                <w:szCs w:val="24"/>
                <w:highlight w:val="none"/>
                <w:u w:val="none"/>
                <w:lang w:bidi="ar"/>
              </w:rPr>
            </w:pPr>
            <w:r>
              <w:rPr>
                <w:rFonts w:hint="eastAsia" w:ascii="宋体" w:hAnsi="宋体" w:eastAsia="宋体" w:cs="宋体"/>
                <w:color w:val="auto"/>
                <w:kern w:val="0"/>
                <w:sz w:val="24"/>
                <w:szCs w:val="24"/>
                <w:highlight w:val="none"/>
                <w:u w:val="none"/>
                <w:lang w:val="en-US" w:eastAsia="zh-CN" w:bidi="ar"/>
              </w:rPr>
              <w:t>子项目</w:t>
            </w:r>
          </w:p>
        </w:tc>
        <w:tc>
          <w:tcPr>
            <w:tcW w:w="1501" w:type="dxa"/>
            <w:noWrap w:val="0"/>
            <w:vAlign w:val="center"/>
          </w:tcPr>
          <w:p w14:paraId="47881438">
            <w:pPr>
              <w:widowControl/>
              <w:autoSpaceDE w:val="0"/>
              <w:autoSpaceDN w:val="0"/>
              <w:spacing w:line="360" w:lineRule="auto"/>
              <w:ind w:firstLineChars="0"/>
              <w:jc w:val="center"/>
              <w:textAlignment w:val="center"/>
              <w:rPr>
                <w:rFonts w:hint="eastAsia" w:ascii="宋体" w:hAnsi="宋体" w:eastAsia="宋体" w:cs="宋体"/>
                <w:color w:val="auto"/>
                <w:kern w:val="0"/>
                <w:sz w:val="24"/>
                <w:szCs w:val="24"/>
                <w:highlight w:val="none"/>
                <w:u w:val="none"/>
                <w:lang w:bidi="ar"/>
              </w:rPr>
            </w:pPr>
            <w:r>
              <w:rPr>
                <w:rFonts w:hint="eastAsia" w:ascii="宋体" w:hAnsi="宋体" w:eastAsia="宋体" w:cs="宋体"/>
                <w:color w:val="auto"/>
                <w:kern w:val="0"/>
                <w:sz w:val="24"/>
                <w:szCs w:val="24"/>
                <w:highlight w:val="none"/>
                <w:u w:val="none"/>
                <w:lang w:bidi="ar"/>
              </w:rPr>
              <w:t>分公司</w:t>
            </w:r>
          </w:p>
        </w:tc>
        <w:tc>
          <w:tcPr>
            <w:tcW w:w="3779" w:type="dxa"/>
            <w:noWrap w:val="0"/>
            <w:vAlign w:val="center"/>
          </w:tcPr>
          <w:p w14:paraId="64B5F63E">
            <w:pPr>
              <w:widowControl/>
              <w:autoSpaceDE w:val="0"/>
              <w:autoSpaceDN w:val="0"/>
              <w:spacing w:line="360" w:lineRule="auto"/>
              <w:ind w:firstLineChars="0"/>
              <w:jc w:val="center"/>
              <w:textAlignment w:val="center"/>
              <w:rPr>
                <w:rFonts w:hint="eastAsia" w:ascii="宋体" w:hAnsi="宋体" w:eastAsia="宋体" w:cs="宋体"/>
                <w:color w:val="auto"/>
                <w:kern w:val="0"/>
                <w:sz w:val="24"/>
                <w:szCs w:val="24"/>
                <w:highlight w:val="none"/>
                <w:u w:val="none"/>
                <w:lang w:bidi="ar"/>
              </w:rPr>
            </w:pPr>
            <w:r>
              <w:rPr>
                <w:rFonts w:hint="eastAsia" w:ascii="宋体" w:hAnsi="宋体" w:eastAsia="宋体" w:cs="宋体"/>
                <w:color w:val="auto"/>
                <w:kern w:val="0"/>
                <w:sz w:val="24"/>
                <w:szCs w:val="24"/>
                <w:highlight w:val="none"/>
                <w:u w:val="none"/>
                <w:lang w:bidi="ar"/>
              </w:rPr>
              <w:t>项目名称</w:t>
            </w:r>
          </w:p>
        </w:tc>
        <w:tc>
          <w:tcPr>
            <w:tcW w:w="1116" w:type="dxa"/>
            <w:noWrap w:val="0"/>
            <w:vAlign w:val="center"/>
          </w:tcPr>
          <w:p w14:paraId="443E2E72">
            <w:pPr>
              <w:widowControl/>
              <w:autoSpaceDE w:val="0"/>
              <w:autoSpaceDN w:val="0"/>
              <w:spacing w:line="360" w:lineRule="auto"/>
              <w:ind w:firstLineChars="0"/>
              <w:jc w:val="center"/>
              <w:textAlignment w:val="center"/>
              <w:rPr>
                <w:rFonts w:hint="eastAsia" w:ascii="宋体" w:hAnsi="宋体" w:eastAsia="宋体" w:cs="宋体"/>
                <w:color w:val="auto"/>
                <w:kern w:val="0"/>
                <w:sz w:val="24"/>
                <w:szCs w:val="24"/>
                <w:highlight w:val="none"/>
                <w:u w:val="none"/>
                <w:lang w:bidi="ar"/>
              </w:rPr>
            </w:pPr>
            <w:r>
              <w:rPr>
                <w:rFonts w:hint="eastAsia" w:ascii="宋体" w:hAnsi="宋体" w:eastAsia="宋体" w:cs="宋体"/>
                <w:color w:val="auto"/>
                <w:kern w:val="0"/>
                <w:sz w:val="24"/>
                <w:szCs w:val="24"/>
                <w:highlight w:val="none"/>
                <w:u w:val="none"/>
                <w:lang w:bidi="ar"/>
              </w:rPr>
              <w:t>货期</w:t>
            </w:r>
          </w:p>
        </w:tc>
        <w:tc>
          <w:tcPr>
            <w:tcW w:w="1116" w:type="dxa"/>
            <w:noWrap w:val="0"/>
            <w:vAlign w:val="center"/>
          </w:tcPr>
          <w:p w14:paraId="07F05531">
            <w:pPr>
              <w:widowControl/>
              <w:autoSpaceDE w:val="0"/>
              <w:autoSpaceDN w:val="0"/>
              <w:spacing w:line="360" w:lineRule="auto"/>
              <w:ind w:firstLineChars="0"/>
              <w:jc w:val="center"/>
              <w:textAlignment w:val="center"/>
              <w:rPr>
                <w:rFonts w:hint="eastAsia" w:ascii="宋体" w:hAnsi="宋体" w:eastAsia="宋体" w:cs="宋体"/>
                <w:color w:val="auto"/>
                <w:kern w:val="0"/>
                <w:sz w:val="24"/>
                <w:szCs w:val="24"/>
                <w:highlight w:val="none"/>
                <w:u w:val="none"/>
                <w:lang w:bidi="ar"/>
              </w:rPr>
            </w:pPr>
            <w:r>
              <w:rPr>
                <w:rFonts w:hint="eastAsia" w:ascii="宋体" w:hAnsi="宋体" w:eastAsia="宋体" w:cs="宋体"/>
                <w:color w:val="auto"/>
                <w:kern w:val="0"/>
                <w:sz w:val="24"/>
                <w:szCs w:val="24"/>
                <w:highlight w:val="none"/>
                <w:u w:val="none"/>
                <w:lang w:bidi="ar"/>
              </w:rPr>
              <w:t>工期</w:t>
            </w:r>
          </w:p>
        </w:tc>
      </w:tr>
      <w:tr w14:paraId="689E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 w:type="dxa"/>
            <w:noWrap w:val="0"/>
            <w:vAlign w:val="center"/>
          </w:tcPr>
          <w:p w14:paraId="5BA99B2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501" w:type="dxa"/>
            <w:noWrap w:val="0"/>
            <w:vAlign w:val="center"/>
          </w:tcPr>
          <w:p w14:paraId="24102FA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779" w:type="dxa"/>
            <w:noWrap w:val="0"/>
            <w:vAlign w:val="center"/>
          </w:tcPr>
          <w:p w14:paraId="484BAB2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16" w:type="dxa"/>
            <w:noWrap w:val="0"/>
            <w:vAlign w:val="center"/>
          </w:tcPr>
          <w:p w14:paraId="6CA008A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16" w:type="dxa"/>
            <w:noWrap w:val="0"/>
            <w:vAlign w:val="center"/>
          </w:tcPr>
          <w:p w14:paraId="53AB5EE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DD5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 w:type="dxa"/>
            <w:noWrap w:val="0"/>
            <w:vAlign w:val="center"/>
          </w:tcPr>
          <w:p w14:paraId="7C3CA10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501" w:type="dxa"/>
            <w:noWrap w:val="0"/>
            <w:vAlign w:val="center"/>
          </w:tcPr>
          <w:p w14:paraId="241825B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779" w:type="dxa"/>
            <w:noWrap w:val="0"/>
            <w:vAlign w:val="center"/>
          </w:tcPr>
          <w:p w14:paraId="578173E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16" w:type="dxa"/>
            <w:noWrap w:val="0"/>
            <w:vAlign w:val="center"/>
          </w:tcPr>
          <w:p w14:paraId="73D445F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16" w:type="dxa"/>
            <w:noWrap w:val="0"/>
            <w:vAlign w:val="center"/>
          </w:tcPr>
          <w:p w14:paraId="700C13C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495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 w:type="dxa"/>
            <w:noWrap w:val="0"/>
            <w:vAlign w:val="center"/>
          </w:tcPr>
          <w:p w14:paraId="1E182E4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501" w:type="dxa"/>
            <w:noWrap w:val="0"/>
            <w:vAlign w:val="center"/>
          </w:tcPr>
          <w:p w14:paraId="46EA1B0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779" w:type="dxa"/>
            <w:noWrap w:val="0"/>
            <w:vAlign w:val="center"/>
          </w:tcPr>
          <w:p w14:paraId="33C73A5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16" w:type="dxa"/>
            <w:noWrap w:val="0"/>
            <w:vAlign w:val="center"/>
          </w:tcPr>
          <w:p w14:paraId="36F29D4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16" w:type="dxa"/>
            <w:noWrap w:val="0"/>
            <w:vAlign w:val="center"/>
          </w:tcPr>
          <w:p w14:paraId="436E8AA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97B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 w:type="dxa"/>
            <w:noWrap w:val="0"/>
            <w:vAlign w:val="center"/>
          </w:tcPr>
          <w:p w14:paraId="07BC1EA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w:t>
            </w:r>
          </w:p>
        </w:tc>
        <w:tc>
          <w:tcPr>
            <w:tcW w:w="1501" w:type="dxa"/>
            <w:noWrap w:val="0"/>
            <w:vAlign w:val="center"/>
          </w:tcPr>
          <w:p w14:paraId="1D0E23F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779" w:type="dxa"/>
            <w:noWrap w:val="0"/>
            <w:vAlign w:val="center"/>
          </w:tcPr>
          <w:p w14:paraId="534EBBB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16" w:type="dxa"/>
            <w:noWrap w:val="0"/>
            <w:vAlign w:val="center"/>
          </w:tcPr>
          <w:p w14:paraId="686E789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16" w:type="dxa"/>
            <w:noWrap w:val="0"/>
            <w:vAlign w:val="center"/>
          </w:tcPr>
          <w:p w14:paraId="703BA86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CF5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 w:type="dxa"/>
            <w:noWrap w:val="0"/>
            <w:vAlign w:val="center"/>
          </w:tcPr>
          <w:p w14:paraId="118FC93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10</w:t>
            </w:r>
          </w:p>
        </w:tc>
        <w:tc>
          <w:tcPr>
            <w:tcW w:w="1501" w:type="dxa"/>
            <w:noWrap w:val="0"/>
            <w:vAlign w:val="center"/>
          </w:tcPr>
          <w:p w14:paraId="78C207F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779" w:type="dxa"/>
            <w:noWrap w:val="0"/>
            <w:vAlign w:val="center"/>
          </w:tcPr>
          <w:p w14:paraId="075923E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16" w:type="dxa"/>
            <w:noWrap w:val="0"/>
            <w:vAlign w:val="center"/>
          </w:tcPr>
          <w:p w14:paraId="76D7DCC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4"/>
                <w:szCs w:val="24"/>
                <w:highlight w:val="none"/>
                <w:u w:val="none"/>
                <w:lang w:val="en-US" w:eastAsia="zh-CN" w:bidi="ar"/>
              </w:rPr>
            </w:pPr>
          </w:p>
        </w:tc>
        <w:tc>
          <w:tcPr>
            <w:tcW w:w="1116" w:type="dxa"/>
            <w:noWrap w:val="0"/>
            <w:vAlign w:val="center"/>
          </w:tcPr>
          <w:p w14:paraId="1FCEDF4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4"/>
                <w:szCs w:val="24"/>
                <w:highlight w:val="none"/>
                <w:u w:val="none"/>
                <w:lang w:val="en-US" w:eastAsia="zh-CN" w:bidi="ar"/>
              </w:rPr>
            </w:pPr>
          </w:p>
        </w:tc>
      </w:tr>
    </w:tbl>
    <w:p w14:paraId="6681AA0D">
      <w:pPr>
        <w:widowControl w:val="0"/>
        <w:spacing w:beforeLines="0" w:afterLines="0" w:line="560" w:lineRule="exact"/>
        <w:ind w:firstLine="560" w:firstLineChars="200"/>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货期：合同签订后次日开始计算，乙方负责将货物运送至甲方对应子项目实施单位现场，并通知甲方对应子项目负责人进行验收。</w:t>
      </w:r>
    </w:p>
    <w:p w14:paraId="021359BC">
      <w:pPr>
        <w:widowControl w:val="0"/>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工期：</w:t>
      </w:r>
      <w:r>
        <w:rPr>
          <w:rFonts w:hint="eastAsia" w:ascii="仿宋_GB2312" w:hAnsi="仿宋_GB2312" w:eastAsia="仿宋_GB2312" w:cs="仿宋_GB2312"/>
          <w:color w:val="auto"/>
          <w:sz w:val="28"/>
          <w:szCs w:val="28"/>
          <w:highlight w:val="none"/>
        </w:rPr>
        <w:t>开工日期以甲方</w:t>
      </w:r>
      <w:r>
        <w:rPr>
          <w:rFonts w:hint="eastAsia" w:ascii="仿宋_GB2312" w:hAnsi="仿宋_GB2312" w:eastAsia="仿宋_GB2312" w:cs="仿宋_GB2312"/>
          <w:color w:val="auto"/>
          <w:sz w:val="28"/>
          <w:szCs w:val="28"/>
          <w:highlight w:val="none"/>
          <w:lang w:val="en-US" w:eastAsia="zh-CN"/>
        </w:rPr>
        <w:t>对应子项目分公司</w:t>
      </w:r>
      <w:r>
        <w:rPr>
          <w:rFonts w:hint="eastAsia" w:ascii="仿宋_GB2312" w:hAnsi="仿宋_GB2312" w:eastAsia="仿宋_GB2312" w:cs="仿宋_GB2312"/>
          <w:color w:val="auto"/>
          <w:sz w:val="28"/>
          <w:szCs w:val="28"/>
          <w:highlight w:val="none"/>
        </w:rPr>
        <w:t>发出的开工报告/</w:t>
      </w:r>
      <w:r>
        <w:rPr>
          <w:rFonts w:hint="eastAsia" w:ascii="仿宋_GB2312" w:hAnsi="仿宋_GB2312" w:eastAsia="仿宋_GB2312" w:cs="仿宋_GB2312"/>
          <w:color w:val="auto"/>
          <w:sz w:val="28"/>
          <w:szCs w:val="28"/>
          <w:highlight w:val="none"/>
          <w:lang w:val="en-US" w:eastAsia="zh-CN"/>
        </w:rPr>
        <w:t>书面</w:t>
      </w:r>
      <w:r>
        <w:rPr>
          <w:rFonts w:hint="eastAsia" w:ascii="仿宋_GB2312" w:hAnsi="仿宋_GB2312" w:eastAsia="仿宋_GB2312" w:cs="仿宋_GB2312"/>
          <w:color w:val="auto"/>
          <w:sz w:val="28"/>
          <w:szCs w:val="28"/>
          <w:highlight w:val="none"/>
        </w:rPr>
        <w:t>通知为准。</w:t>
      </w:r>
    </w:p>
    <w:p w14:paraId="03B50298">
      <w:pPr>
        <w:widowControl w:val="0"/>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乙方不能按时</w:t>
      </w:r>
      <w:r>
        <w:rPr>
          <w:rFonts w:hint="eastAsia" w:ascii="仿宋_GB2312" w:hAnsi="仿宋_GB2312" w:eastAsia="仿宋_GB2312" w:cs="仿宋_GB2312"/>
          <w:color w:val="auto"/>
          <w:sz w:val="28"/>
          <w:szCs w:val="28"/>
          <w:highlight w:val="none"/>
          <w:lang w:val="en-US" w:eastAsia="zh-CN"/>
        </w:rPr>
        <w:t>供货或</w:t>
      </w:r>
      <w:r>
        <w:rPr>
          <w:rFonts w:hint="eastAsia" w:ascii="仿宋_GB2312" w:hAnsi="仿宋_GB2312" w:eastAsia="仿宋_GB2312" w:cs="仿宋_GB2312"/>
          <w:color w:val="auto"/>
          <w:sz w:val="28"/>
          <w:szCs w:val="28"/>
          <w:highlight w:val="none"/>
        </w:rPr>
        <w:t>开工，应当于</w:t>
      </w:r>
      <w:r>
        <w:rPr>
          <w:rFonts w:hint="eastAsia" w:ascii="仿宋_GB2312" w:hAnsi="仿宋_GB2312" w:eastAsia="仿宋_GB2312" w:cs="仿宋_GB2312"/>
          <w:color w:val="auto"/>
          <w:sz w:val="28"/>
          <w:szCs w:val="28"/>
          <w:highlight w:val="none"/>
          <w:lang w:val="en-US" w:eastAsia="zh-CN"/>
        </w:rPr>
        <w:t>货期到期7天前，或</w:t>
      </w:r>
      <w:r>
        <w:rPr>
          <w:rFonts w:hint="eastAsia" w:ascii="仿宋_GB2312" w:hAnsi="仿宋_GB2312" w:eastAsia="仿宋_GB2312" w:cs="仿宋_GB2312"/>
          <w:color w:val="auto"/>
          <w:sz w:val="28"/>
          <w:szCs w:val="28"/>
          <w:highlight w:val="none"/>
        </w:rPr>
        <w:t>开工报告/</w:t>
      </w:r>
      <w:r>
        <w:rPr>
          <w:rFonts w:hint="eastAsia" w:ascii="仿宋_GB2312" w:hAnsi="仿宋_GB2312" w:eastAsia="仿宋_GB2312" w:cs="仿宋_GB2312"/>
          <w:color w:val="auto"/>
          <w:sz w:val="28"/>
          <w:szCs w:val="28"/>
          <w:highlight w:val="none"/>
          <w:lang w:val="en-US" w:eastAsia="zh-CN"/>
        </w:rPr>
        <w:t>书面</w:t>
      </w:r>
      <w:r>
        <w:rPr>
          <w:rFonts w:hint="eastAsia" w:ascii="仿宋_GB2312" w:hAnsi="仿宋_GB2312" w:eastAsia="仿宋_GB2312" w:cs="仿宋_GB2312"/>
          <w:color w:val="auto"/>
          <w:sz w:val="28"/>
          <w:szCs w:val="28"/>
          <w:highlight w:val="none"/>
        </w:rPr>
        <w:t>通知载明的开工日期</w:t>
      </w:r>
      <w:r>
        <w:rPr>
          <w:rFonts w:hint="eastAsia" w:ascii="仿宋_GB2312" w:hAnsi="仿宋_GB2312" w:eastAsia="仿宋_GB2312" w:cs="仿宋_GB2312"/>
          <w:color w:val="auto"/>
          <w:sz w:val="28"/>
          <w:szCs w:val="28"/>
          <w:highlight w:val="none"/>
          <w:u w:val="single"/>
          <w:lang w:val="en-US" w:eastAsia="zh-CN"/>
        </w:rPr>
        <w:t>7</w:t>
      </w:r>
      <w:r>
        <w:rPr>
          <w:rFonts w:hint="eastAsia" w:ascii="仿宋_GB2312" w:hAnsi="仿宋_GB2312" w:eastAsia="仿宋_GB2312" w:cs="仿宋_GB2312"/>
          <w:color w:val="auto"/>
          <w:sz w:val="28"/>
          <w:szCs w:val="28"/>
          <w:highlight w:val="none"/>
        </w:rPr>
        <w:t>天前，以书面形式向甲方提出延期</w:t>
      </w:r>
      <w:r>
        <w:rPr>
          <w:rFonts w:hint="eastAsia" w:ascii="仿宋_GB2312" w:hAnsi="仿宋_GB2312" w:eastAsia="仿宋_GB2312" w:cs="仿宋_GB2312"/>
          <w:color w:val="auto"/>
          <w:sz w:val="28"/>
          <w:szCs w:val="28"/>
          <w:highlight w:val="none"/>
          <w:lang w:val="en-US" w:eastAsia="zh-CN"/>
        </w:rPr>
        <w:t>供货或</w:t>
      </w:r>
      <w:r>
        <w:rPr>
          <w:rFonts w:hint="eastAsia" w:ascii="仿宋_GB2312" w:hAnsi="仿宋_GB2312" w:eastAsia="仿宋_GB2312" w:cs="仿宋_GB2312"/>
          <w:color w:val="auto"/>
          <w:sz w:val="28"/>
          <w:szCs w:val="28"/>
          <w:highlight w:val="none"/>
        </w:rPr>
        <w:t>开工的理由。甲方应当在接到延期</w:t>
      </w:r>
      <w:r>
        <w:rPr>
          <w:rFonts w:hint="eastAsia" w:ascii="仿宋_GB2312" w:hAnsi="仿宋_GB2312" w:eastAsia="仿宋_GB2312" w:cs="仿宋_GB2312"/>
          <w:color w:val="auto"/>
          <w:sz w:val="28"/>
          <w:szCs w:val="28"/>
          <w:highlight w:val="none"/>
          <w:lang w:val="en-US" w:eastAsia="zh-CN"/>
        </w:rPr>
        <w:t>供货或</w:t>
      </w:r>
      <w:r>
        <w:rPr>
          <w:rFonts w:hint="eastAsia" w:ascii="仿宋_GB2312" w:hAnsi="仿宋_GB2312" w:eastAsia="仿宋_GB2312" w:cs="仿宋_GB2312"/>
          <w:color w:val="auto"/>
          <w:sz w:val="28"/>
          <w:szCs w:val="28"/>
          <w:highlight w:val="none"/>
        </w:rPr>
        <w:t>开工申请后的</w:t>
      </w:r>
      <w:r>
        <w:rPr>
          <w:rFonts w:hint="eastAsia" w:ascii="仿宋_GB2312" w:hAnsi="仿宋_GB2312" w:eastAsia="仿宋_GB2312" w:cs="仿宋_GB2312"/>
          <w:color w:val="auto"/>
          <w:sz w:val="28"/>
          <w:szCs w:val="28"/>
          <w:highlight w:val="none"/>
          <w:u w:val="single"/>
        </w:rPr>
        <w:t>48小时</w:t>
      </w:r>
      <w:r>
        <w:rPr>
          <w:rFonts w:hint="eastAsia" w:ascii="仿宋_GB2312" w:hAnsi="仿宋_GB2312" w:eastAsia="仿宋_GB2312" w:cs="仿宋_GB2312"/>
          <w:color w:val="auto"/>
          <w:sz w:val="28"/>
          <w:szCs w:val="28"/>
          <w:highlight w:val="none"/>
        </w:rPr>
        <w:t>内以书面形式答复乙方。甲方在接到延期</w:t>
      </w:r>
      <w:r>
        <w:rPr>
          <w:rFonts w:hint="eastAsia" w:ascii="仿宋_GB2312" w:hAnsi="仿宋_GB2312" w:eastAsia="仿宋_GB2312" w:cs="仿宋_GB2312"/>
          <w:color w:val="auto"/>
          <w:sz w:val="28"/>
          <w:szCs w:val="28"/>
          <w:highlight w:val="none"/>
          <w:lang w:val="en-US" w:eastAsia="zh-CN"/>
        </w:rPr>
        <w:t>供货或</w:t>
      </w:r>
      <w:r>
        <w:rPr>
          <w:rFonts w:hint="eastAsia" w:ascii="仿宋_GB2312" w:hAnsi="仿宋_GB2312" w:eastAsia="仿宋_GB2312" w:cs="仿宋_GB2312"/>
          <w:color w:val="auto"/>
          <w:sz w:val="28"/>
          <w:szCs w:val="28"/>
          <w:highlight w:val="none"/>
        </w:rPr>
        <w:t>开工申请后</w:t>
      </w:r>
      <w:r>
        <w:rPr>
          <w:rFonts w:hint="eastAsia" w:ascii="仿宋_GB2312" w:hAnsi="仿宋_GB2312" w:eastAsia="仿宋_GB2312" w:cs="仿宋_GB2312"/>
          <w:color w:val="auto"/>
          <w:sz w:val="28"/>
          <w:szCs w:val="28"/>
          <w:highlight w:val="none"/>
          <w:u w:val="single"/>
        </w:rPr>
        <w:t>48小时</w:t>
      </w:r>
      <w:r>
        <w:rPr>
          <w:rFonts w:hint="eastAsia" w:ascii="仿宋_GB2312" w:hAnsi="仿宋_GB2312" w:eastAsia="仿宋_GB2312" w:cs="仿宋_GB2312"/>
          <w:color w:val="auto"/>
          <w:sz w:val="28"/>
          <w:szCs w:val="28"/>
          <w:highlight w:val="none"/>
        </w:rPr>
        <w:t>内不答复，视为同意乙方要求，工期相应顺延。甲方不同意延期要求或乙方未在规定时间内提出延期</w:t>
      </w:r>
      <w:r>
        <w:rPr>
          <w:rFonts w:hint="eastAsia" w:ascii="仿宋_GB2312" w:hAnsi="仿宋_GB2312" w:eastAsia="仿宋_GB2312" w:cs="仿宋_GB2312"/>
          <w:color w:val="auto"/>
          <w:sz w:val="28"/>
          <w:szCs w:val="28"/>
          <w:highlight w:val="none"/>
          <w:lang w:val="en-US" w:eastAsia="zh-CN"/>
        </w:rPr>
        <w:t>供货或</w:t>
      </w:r>
      <w:r>
        <w:rPr>
          <w:rFonts w:hint="eastAsia" w:ascii="仿宋_GB2312" w:hAnsi="仿宋_GB2312" w:eastAsia="仿宋_GB2312" w:cs="仿宋_GB2312"/>
          <w:color w:val="auto"/>
          <w:sz w:val="28"/>
          <w:szCs w:val="28"/>
          <w:highlight w:val="none"/>
        </w:rPr>
        <w:t>开工，</w:t>
      </w:r>
      <w:r>
        <w:rPr>
          <w:rFonts w:hint="eastAsia" w:ascii="仿宋_GB2312" w:hAnsi="仿宋_GB2312" w:eastAsia="仿宋_GB2312" w:cs="仿宋_GB2312"/>
          <w:color w:val="auto"/>
          <w:sz w:val="28"/>
          <w:szCs w:val="28"/>
          <w:highlight w:val="none"/>
          <w:lang w:val="en-US" w:eastAsia="zh-CN"/>
        </w:rPr>
        <w:t>货期或</w:t>
      </w:r>
      <w:r>
        <w:rPr>
          <w:rFonts w:hint="eastAsia" w:ascii="仿宋_GB2312" w:hAnsi="仿宋_GB2312" w:eastAsia="仿宋_GB2312" w:cs="仿宋_GB2312"/>
          <w:color w:val="auto"/>
          <w:sz w:val="28"/>
          <w:szCs w:val="28"/>
          <w:highlight w:val="none"/>
        </w:rPr>
        <w:t>工期不予顺延。</w:t>
      </w:r>
    </w:p>
    <w:p w14:paraId="1B828224">
      <w:pPr>
        <w:widowControl w:val="0"/>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因乙方原因</w:t>
      </w:r>
      <w:r>
        <w:rPr>
          <w:rFonts w:hint="eastAsia" w:ascii="仿宋_GB2312" w:hAnsi="仿宋_GB2312" w:eastAsia="仿宋_GB2312" w:cs="仿宋_GB2312"/>
          <w:color w:val="auto"/>
          <w:sz w:val="28"/>
          <w:szCs w:val="28"/>
          <w:highlight w:val="none"/>
          <w:lang w:val="en-US" w:eastAsia="zh-CN"/>
        </w:rPr>
        <w:t>未按约定货期供货或未按甲方开工通知时间进场施工的</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每逾期一日，应按</w:t>
      </w:r>
      <w:r>
        <w:rPr>
          <w:rFonts w:hint="eastAsia" w:ascii="仿宋_GB2312" w:hAnsi="仿宋_GB2312" w:eastAsia="仿宋_GB2312" w:cs="仿宋_GB2312"/>
          <w:color w:val="auto"/>
          <w:sz w:val="28"/>
          <w:szCs w:val="28"/>
          <w:highlight w:val="none"/>
          <w:u w:val="single"/>
          <w:lang w:val="en-US" w:eastAsia="zh-CN"/>
        </w:rPr>
        <w:t>2000元</w:t>
      </w:r>
      <w:r>
        <w:rPr>
          <w:rFonts w:hint="eastAsia" w:ascii="仿宋_GB2312" w:hAnsi="仿宋_GB2312" w:eastAsia="仿宋_GB2312" w:cs="仿宋_GB2312"/>
          <w:color w:val="auto"/>
          <w:sz w:val="28"/>
          <w:szCs w:val="28"/>
          <w:highlight w:val="none"/>
          <w:u w:val="single"/>
        </w:rPr>
        <w:t>/日</w:t>
      </w:r>
      <w:r>
        <w:rPr>
          <w:rFonts w:hint="eastAsia" w:ascii="仿宋_GB2312" w:hAnsi="仿宋_GB2312" w:eastAsia="仿宋_GB2312" w:cs="仿宋_GB2312"/>
          <w:color w:val="auto"/>
          <w:sz w:val="28"/>
          <w:szCs w:val="28"/>
          <w:highlight w:val="none"/>
        </w:rPr>
        <w:t>支付逾期违约金，逾期达到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eastAsia="zh-CN"/>
        </w:rPr>
        <w:t>7</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日及以上的，甲方有权解除合同</w:t>
      </w:r>
      <w:r>
        <w:rPr>
          <w:rFonts w:hint="eastAsia" w:ascii="仿宋_GB2312" w:hAnsi="仿宋_GB2312" w:eastAsia="仿宋_GB2312" w:cs="仿宋_GB2312"/>
          <w:color w:val="auto"/>
          <w:sz w:val="28"/>
          <w:szCs w:val="28"/>
          <w:highlight w:val="none"/>
          <w:lang w:eastAsia="zh-CN"/>
        </w:rPr>
        <w:t>，由此而造成的经济损失由乙方负责赔偿</w:t>
      </w:r>
      <w:r>
        <w:rPr>
          <w:rFonts w:hint="eastAsia" w:ascii="仿宋_GB2312" w:hAnsi="仿宋_GB2312" w:eastAsia="仿宋_GB2312" w:cs="仿宋_GB2312"/>
          <w:color w:val="auto"/>
          <w:sz w:val="28"/>
          <w:szCs w:val="28"/>
          <w:highlight w:val="none"/>
          <w:lang w:val="en-US" w:eastAsia="zh-CN"/>
        </w:rPr>
        <w:t>。</w:t>
      </w:r>
    </w:p>
    <w:p w14:paraId="64C439F1">
      <w:pPr>
        <w:widowControl w:val="0"/>
        <w:numPr>
          <w:ilvl w:val="0"/>
          <w:numId w:val="0"/>
        </w:numPr>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乙方未能按合同</w:t>
      </w:r>
      <w:r>
        <w:rPr>
          <w:rFonts w:hint="eastAsia" w:ascii="仿宋_GB2312" w:hAnsi="仿宋_GB2312" w:eastAsia="仿宋_GB2312" w:cs="仿宋_GB2312"/>
          <w:color w:val="auto"/>
          <w:sz w:val="28"/>
          <w:szCs w:val="28"/>
          <w:highlight w:val="none"/>
          <w:lang w:val="en-US" w:eastAsia="zh-CN"/>
        </w:rPr>
        <w:t>约定</w:t>
      </w:r>
      <w:r>
        <w:rPr>
          <w:rFonts w:hint="eastAsia" w:ascii="仿宋_GB2312" w:hAnsi="仿宋_GB2312" w:eastAsia="仿宋_GB2312" w:cs="仿宋_GB2312"/>
          <w:color w:val="auto"/>
          <w:sz w:val="28"/>
          <w:szCs w:val="28"/>
          <w:highlight w:val="none"/>
        </w:rPr>
        <w:t>竣工验收的，每逾期一天，甲方有权要求乙方按</w:t>
      </w:r>
      <w:r>
        <w:rPr>
          <w:rFonts w:hint="eastAsia" w:ascii="仿宋_GB2312" w:hAnsi="仿宋_GB2312" w:eastAsia="仿宋_GB2312" w:cs="仿宋_GB2312"/>
          <w:color w:val="auto"/>
          <w:sz w:val="28"/>
          <w:szCs w:val="28"/>
          <w:highlight w:val="none"/>
          <w:u w:val="single"/>
          <w:lang w:val="en-US" w:eastAsia="zh-CN"/>
        </w:rPr>
        <w:t>对应子项目</w:t>
      </w:r>
      <w:r>
        <w:rPr>
          <w:rFonts w:hint="eastAsia" w:ascii="仿宋_GB2312" w:hAnsi="仿宋_GB2312" w:eastAsia="仿宋_GB2312" w:cs="仿宋_GB2312"/>
          <w:color w:val="auto"/>
          <w:sz w:val="28"/>
          <w:szCs w:val="28"/>
          <w:highlight w:val="none"/>
          <w:u w:val="single"/>
        </w:rPr>
        <w:t>合同暂定总价的 1%</w:t>
      </w:r>
      <w:r>
        <w:rPr>
          <w:rFonts w:hint="eastAsia" w:ascii="仿宋_GB2312" w:hAnsi="仿宋_GB2312" w:eastAsia="仿宋_GB2312" w:cs="仿宋_GB2312"/>
          <w:color w:val="auto"/>
          <w:sz w:val="28"/>
          <w:szCs w:val="28"/>
          <w:highlight w:val="none"/>
        </w:rPr>
        <w:t>支付违约金，逾期达到</w:t>
      </w:r>
      <w:r>
        <w:rPr>
          <w:rFonts w:hint="eastAsia" w:ascii="仿宋_GB2312" w:hAnsi="仿宋_GB2312" w:eastAsia="仿宋_GB2312" w:cs="仿宋_GB2312"/>
          <w:color w:val="auto"/>
          <w:sz w:val="28"/>
          <w:szCs w:val="28"/>
          <w:highlight w:val="none"/>
          <w:u w:val="single"/>
          <w:lang w:val="en-US" w:eastAsia="zh-CN"/>
        </w:rPr>
        <w:t xml:space="preserve">  20 </w:t>
      </w:r>
      <w:r>
        <w:rPr>
          <w:rFonts w:hint="eastAsia" w:ascii="仿宋_GB2312" w:hAnsi="仿宋_GB2312" w:eastAsia="仿宋_GB2312" w:cs="仿宋_GB2312"/>
          <w:color w:val="auto"/>
          <w:sz w:val="28"/>
          <w:szCs w:val="28"/>
          <w:highlight w:val="none"/>
        </w:rPr>
        <w:t>天及以上的，甲方有权解除合同并要求乙方支付</w:t>
      </w:r>
      <w:r>
        <w:rPr>
          <w:rFonts w:hint="eastAsia" w:ascii="仿宋_GB2312" w:hAnsi="仿宋_GB2312" w:eastAsia="仿宋_GB2312" w:cs="仿宋_GB2312"/>
          <w:color w:val="auto"/>
          <w:sz w:val="28"/>
          <w:szCs w:val="28"/>
          <w:highlight w:val="none"/>
          <w:u w:val="single"/>
          <w:lang w:val="en-US" w:eastAsia="zh-CN"/>
        </w:rPr>
        <w:t>对应子项目合同暂定总价</w:t>
      </w:r>
      <w:r>
        <w:rPr>
          <w:rFonts w:hint="eastAsia" w:ascii="仿宋_GB2312" w:hAnsi="仿宋_GB2312" w:eastAsia="仿宋_GB2312" w:cs="仿宋_GB2312"/>
          <w:color w:val="auto"/>
          <w:sz w:val="28"/>
          <w:szCs w:val="28"/>
          <w:highlight w:val="none"/>
          <w:u w:val="single"/>
        </w:rPr>
        <w:t>的20%</w:t>
      </w:r>
      <w:r>
        <w:rPr>
          <w:rFonts w:hint="eastAsia" w:ascii="仿宋_GB2312" w:hAnsi="仿宋_GB2312" w:eastAsia="仿宋_GB2312" w:cs="仿宋_GB2312"/>
          <w:color w:val="auto"/>
          <w:sz w:val="28"/>
          <w:szCs w:val="28"/>
          <w:highlight w:val="none"/>
        </w:rPr>
        <w:t>作为违约金。</w:t>
      </w:r>
    </w:p>
    <w:p w14:paraId="0F0B4300">
      <w:pPr>
        <w:pStyle w:val="14"/>
        <w:spacing w:beforeLines="0" w:afterLines="0" w:line="560" w:lineRule="exact"/>
        <w:ind w:firstLine="528" w:firstLineChars="200"/>
        <w:outlineLvl w:val="9"/>
        <w:rPr>
          <w:rFonts w:hint="eastAsia" w:ascii="仿宋_GB2312" w:hAnsi="仿宋_GB2312" w:eastAsia="仿宋_GB2312" w:cs="仿宋_GB2312"/>
          <w:color w:val="auto"/>
          <w:sz w:val="28"/>
          <w:szCs w:val="28"/>
          <w:highlight w:val="none"/>
        </w:rPr>
      </w:pPr>
      <w:bookmarkStart w:id="1" w:name="_Toc15706"/>
      <w:bookmarkStart w:id="2" w:name="_Toc3872"/>
      <w:r>
        <w:rPr>
          <w:rFonts w:hint="eastAsia" w:ascii="仿宋_GB2312" w:hAnsi="仿宋_GB2312" w:eastAsia="仿宋_GB2312" w:cs="仿宋_GB2312"/>
          <w:color w:val="auto"/>
          <w:spacing w:val="-8"/>
          <w:sz w:val="28"/>
          <w:szCs w:val="28"/>
          <w:highlight w:val="none"/>
          <w:lang w:val="en-US" w:eastAsia="zh-CN"/>
        </w:rPr>
        <w:t>5.2合同签订后，在收到甲方开工通知后7天内，乙方需提交完整的盖章版施工备案资料，</w:t>
      </w:r>
      <w:r>
        <w:rPr>
          <w:rFonts w:hint="eastAsia" w:ascii="仿宋_GB2312" w:hAnsi="仿宋_GB2312" w:eastAsia="仿宋_GB2312" w:cs="仿宋_GB2312"/>
          <w:color w:val="auto"/>
          <w:sz w:val="28"/>
          <w:szCs w:val="28"/>
          <w:highlight w:val="none"/>
        </w:rPr>
        <w:t>每逾期一日，应按</w:t>
      </w:r>
      <w:r>
        <w:rPr>
          <w:rFonts w:hint="eastAsia" w:ascii="仿宋_GB2312" w:hAnsi="仿宋_GB2312" w:eastAsia="仿宋_GB2312" w:cs="仿宋_GB2312"/>
          <w:color w:val="auto"/>
          <w:sz w:val="28"/>
          <w:szCs w:val="28"/>
          <w:highlight w:val="none"/>
          <w:u w:val="single"/>
          <w:lang w:val="en-US" w:eastAsia="zh-CN"/>
        </w:rPr>
        <w:t>对应子项目合同暂定总价</w:t>
      </w:r>
      <w:r>
        <w:rPr>
          <w:rFonts w:hint="eastAsia" w:ascii="仿宋_GB2312" w:hAnsi="仿宋_GB2312" w:eastAsia="仿宋_GB2312" w:cs="仿宋_GB2312"/>
          <w:color w:val="auto"/>
          <w:kern w:val="2"/>
          <w:sz w:val="28"/>
          <w:szCs w:val="28"/>
          <w:highlight w:val="none"/>
          <w:u w:val="single"/>
          <w:lang w:val="en-US" w:eastAsia="zh-CN" w:bidi="ar-SA"/>
        </w:rPr>
        <w:t>的1%/日</w:t>
      </w:r>
      <w:r>
        <w:rPr>
          <w:rFonts w:hint="eastAsia" w:ascii="仿宋_GB2312" w:hAnsi="仿宋_GB2312" w:eastAsia="仿宋_GB2312" w:cs="仿宋_GB2312"/>
          <w:color w:val="auto"/>
          <w:sz w:val="28"/>
          <w:szCs w:val="28"/>
          <w:highlight w:val="none"/>
        </w:rPr>
        <w:t>支付逾期违约金，逾期达到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7</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日及以上的，甲方有权解除合同。</w:t>
      </w:r>
      <w:bookmarkEnd w:id="1"/>
      <w:bookmarkEnd w:id="2"/>
    </w:p>
    <w:p w14:paraId="4B9FF360">
      <w:pPr>
        <w:widowControl w:val="0"/>
        <w:spacing w:beforeLines="0" w:afterLines="0" w:line="560" w:lineRule="exact"/>
        <w:ind w:firstLine="560" w:firstLineChars="200"/>
        <w:jc w:val="left"/>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lang w:val="en-US" w:eastAsia="zh-CN"/>
        </w:rPr>
        <w:t>3</w:t>
      </w:r>
      <w:r>
        <w:rPr>
          <w:rFonts w:hint="eastAsia" w:ascii="仿宋_GB2312" w:hAnsi="仿宋_GB2312" w:eastAsia="仿宋_GB2312" w:cs="仿宋_GB2312"/>
          <w:bCs/>
          <w:color w:val="auto"/>
          <w:sz w:val="28"/>
          <w:szCs w:val="28"/>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仿宋_GB2312" w:hAnsi="仿宋_GB2312" w:eastAsia="仿宋_GB2312" w:cs="仿宋_GB2312"/>
          <w:bCs/>
          <w:color w:val="auto"/>
          <w:sz w:val="28"/>
          <w:szCs w:val="28"/>
          <w:highlight w:val="none"/>
          <w:u w:val="single"/>
        </w:rPr>
        <w:t>合同暂定总价的5%/次</w:t>
      </w:r>
      <w:r>
        <w:rPr>
          <w:rFonts w:hint="eastAsia" w:ascii="仿宋_GB2312" w:hAnsi="仿宋_GB2312" w:eastAsia="仿宋_GB2312" w:cs="仿宋_GB2312"/>
          <w:bCs/>
          <w:color w:val="auto"/>
          <w:sz w:val="28"/>
          <w:szCs w:val="28"/>
          <w:highlight w:val="none"/>
        </w:rPr>
        <w:t>作为违约金，超过三次（含三次）的，甲方有权解除合同，要求乙方支付</w:t>
      </w:r>
      <w:r>
        <w:rPr>
          <w:rFonts w:hint="eastAsia" w:ascii="仿宋_GB2312" w:hAnsi="仿宋_GB2312" w:eastAsia="仿宋_GB2312" w:cs="仿宋_GB2312"/>
          <w:bCs/>
          <w:color w:val="auto"/>
          <w:sz w:val="28"/>
          <w:szCs w:val="28"/>
          <w:highlight w:val="none"/>
          <w:u w:val="single"/>
        </w:rPr>
        <w:t>合同暂定总价的20%</w:t>
      </w:r>
      <w:r>
        <w:rPr>
          <w:rFonts w:hint="eastAsia" w:ascii="仿宋_GB2312" w:hAnsi="仿宋_GB2312" w:eastAsia="仿宋_GB2312" w:cs="仿宋_GB2312"/>
          <w:bCs/>
          <w:color w:val="auto"/>
          <w:sz w:val="28"/>
          <w:szCs w:val="28"/>
          <w:highlight w:val="none"/>
        </w:rPr>
        <w:t>作为违约金。由此造成的经济和法律责任，均由乙方负责。</w:t>
      </w:r>
    </w:p>
    <w:p w14:paraId="6DD42014">
      <w:pPr>
        <w:widowControl w:val="0"/>
        <w:spacing w:beforeLines="0" w:afterLines="0" w:line="560" w:lineRule="exact"/>
        <w:ind w:left="1" w:firstLine="560" w:firstLineChars="200"/>
        <w:jc w:val="left"/>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lang w:val="en-US" w:eastAsia="zh-CN"/>
        </w:rPr>
        <w:t>4</w:t>
      </w:r>
      <w:r>
        <w:rPr>
          <w:rFonts w:hint="eastAsia" w:ascii="仿宋_GB2312" w:hAnsi="仿宋_GB2312" w:eastAsia="仿宋_GB2312" w:cs="仿宋_GB2312"/>
          <w:bCs/>
          <w:color w:val="auto"/>
          <w:sz w:val="28"/>
          <w:szCs w:val="28"/>
          <w:highlight w:val="none"/>
        </w:rPr>
        <w:t>乙方应按合同及甲方提供的技术文件要求进行本项目实施和安装。乙方未经甲方同意，不得将本项目图纸泄露或转给第三人。除乙方存档需要的图纸外，乙方应于项目质量保修期满后</w:t>
      </w:r>
      <w:r>
        <w:rPr>
          <w:rFonts w:hint="eastAsia" w:ascii="仿宋_GB2312" w:hAnsi="仿宋_GB2312" w:eastAsia="仿宋_GB2312" w:cs="仿宋_GB2312"/>
          <w:bCs/>
          <w:color w:val="auto"/>
          <w:sz w:val="28"/>
          <w:szCs w:val="28"/>
          <w:highlight w:val="none"/>
          <w:u w:val="single"/>
          <w:lang w:val="en-US" w:eastAsia="zh-CN"/>
        </w:rPr>
        <w:t xml:space="preserve"> 7 </w:t>
      </w:r>
      <w:r>
        <w:rPr>
          <w:rFonts w:hint="eastAsia" w:ascii="仿宋_GB2312" w:hAnsi="仿宋_GB2312" w:eastAsia="仿宋_GB2312" w:cs="仿宋_GB2312"/>
          <w:bCs/>
          <w:color w:val="auto"/>
          <w:sz w:val="28"/>
          <w:szCs w:val="28"/>
          <w:highlight w:val="none"/>
          <w:u w:val="single"/>
        </w:rPr>
        <w:t>日</w:t>
      </w:r>
      <w:r>
        <w:rPr>
          <w:rFonts w:hint="eastAsia" w:ascii="仿宋_GB2312" w:hAnsi="仿宋_GB2312" w:eastAsia="仿宋_GB2312" w:cs="仿宋_GB2312"/>
          <w:bCs/>
          <w:color w:val="auto"/>
          <w:sz w:val="28"/>
          <w:szCs w:val="28"/>
          <w:highlight w:val="none"/>
        </w:rPr>
        <w:t>内将全部图纸退还给甲方。</w:t>
      </w:r>
    </w:p>
    <w:p w14:paraId="5D4E711E">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lang w:eastAsia="zh-CN"/>
        </w:rPr>
        <w:t>5</w:t>
      </w:r>
      <w:r>
        <w:rPr>
          <w:rFonts w:hint="eastAsia" w:ascii="仿宋_GB2312" w:hAnsi="仿宋_GB2312" w:eastAsia="仿宋_GB2312" w:cs="仿宋_GB2312"/>
          <w:color w:val="auto"/>
          <w:sz w:val="28"/>
          <w:szCs w:val="28"/>
          <w:highlight w:val="none"/>
        </w:rPr>
        <w:t>乙方保证其具有符合法律法规要求的完成本工程项目应具有的相应资质，禁止转包和</w:t>
      </w:r>
      <w:r>
        <w:rPr>
          <w:rFonts w:hint="eastAsia" w:ascii="仿宋_GB2312" w:hAnsi="仿宋_GB2312" w:eastAsia="仿宋_GB2312" w:cs="仿宋_GB2312"/>
          <w:color w:val="auto"/>
          <w:sz w:val="28"/>
          <w:szCs w:val="28"/>
          <w:highlight w:val="none"/>
          <w:u w:val="single"/>
          <w:lang w:val="en-US" w:eastAsia="zh-CN"/>
        </w:rPr>
        <w:t>专业</w:t>
      </w:r>
      <w:r>
        <w:rPr>
          <w:rFonts w:hint="eastAsia" w:ascii="仿宋_GB2312" w:hAnsi="仿宋_GB2312" w:eastAsia="仿宋_GB2312" w:cs="仿宋_GB2312"/>
          <w:color w:val="auto"/>
          <w:sz w:val="28"/>
          <w:szCs w:val="28"/>
          <w:highlight w:val="none"/>
          <w:u w:val="single"/>
        </w:rPr>
        <w:t>分包</w:t>
      </w:r>
      <w:r>
        <w:rPr>
          <w:rFonts w:hint="eastAsia" w:ascii="仿宋_GB2312" w:hAnsi="仿宋_GB2312" w:eastAsia="仿宋_GB2312" w:cs="仿宋_GB2312"/>
          <w:color w:val="auto"/>
          <w:sz w:val="28"/>
          <w:szCs w:val="28"/>
          <w:highlight w:val="none"/>
        </w:rPr>
        <w:t>，如违反上述约定，甲方有权解除合同，要求乙方支付</w:t>
      </w:r>
      <w:r>
        <w:rPr>
          <w:rFonts w:hint="eastAsia" w:ascii="仿宋_GB2312" w:hAnsi="仿宋_GB2312" w:eastAsia="仿宋_GB2312" w:cs="仿宋_GB2312"/>
          <w:color w:val="auto"/>
          <w:sz w:val="28"/>
          <w:szCs w:val="28"/>
          <w:highlight w:val="none"/>
          <w:u w:val="single"/>
          <w:lang w:val="en-US" w:eastAsia="zh-CN"/>
        </w:rPr>
        <w:t>合同暂定总价10%</w:t>
      </w:r>
      <w:r>
        <w:rPr>
          <w:rFonts w:hint="eastAsia" w:ascii="仿宋_GB2312" w:hAnsi="仿宋_GB2312" w:eastAsia="仿宋_GB2312" w:cs="仿宋_GB2312"/>
          <w:color w:val="auto"/>
          <w:sz w:val="28"/>
          <w:szCs w:val="28"/>
          <w:highlight w:val="none"/>
        </w:rPr>
        <w:t>作为违约金</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由此造成一切责任由乙方承担。</w:t>
      </w:r>
    </w:p>
    <w:p w14:paraId="1F397C56">
      <w:pPr>
        <w:topLinePunct w:val="0"/>
        <w:spacing w:beforeLines="0" w:afterLines="0"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5.6乙方不得随意更换项目</w:t>
      </w:r>
      <w:r>
        <w:rPr>
          <w:rFonts w:hint="eastAsia" w:ascii="仿宋_GB2312" w:hAnsi="仿宋_GB2312" w:eastAsia="仿宋_GB2312" w:cs="仿宋_GB2312"/>
          <w:color w:val="auto"/>
          <w:sz w:val="28"/>
          <w:szCs w:val="28"/>
          <w:highlight w:val="none"/>
          <w:lang w:val="en-US" w:eastAsia="zh-CN"/>
        </w:rPr>
        <w:t>总负责人</w:t>
      </w:r>
      <w:r>
        <w:rPr>
          <w:rFonts w:hint="eastAsia" w:ascii="仿宋_GB2312" w:hAnsi="仿宋_GB2312" w:eastAsia="仿宋_GB2312" w:cs="仿宋_GB2312"/>
          <w:color w:val="auto"/>
          <w:sz w:val="28"/>
          <w:szCs w:val="28"/>
          <w:highlight w:val="none"/>
        </w:rPr>
        <w:t>及</w:t>
      </w:r>
      <w:r>
        <w:rPr>
          <w:rFonts w:hint="eastAsia" w:ascii="仿宋_GB2312" w:hAnsi="仿宋_GB2312" w:eastAsia="仿宋_GB2312" w:cs="仿宋_GB2312"/>
          <w:color w:val="auto"/>
          <w:sz w:val="28"/>
          <w:szCs w:val="28"/>
          <w:highlight w:val="none"/>
          <w:lang w:val="en-US" w:eastAsia="zh-CN"/>
        </w:rPr>
        <w:t>附件5中的</w:t>
      </w:r>
      <w:r>
        <w:rPr>
          <w:rFonts w:hint="eastAsia" w:ascii="仿宋_GB2312" w:hAnsi="仿宋_GB2312" w:eastAsia="仿宋_GB2312" w:cs="仿宋_GB2312"/>
          <w:color w:val="auto"/>
          <w:sz w:val="28"/>
          <w:szCs w:val="28"/>
          <w:highlight w:val="none"/>
        </w:rPr>
        <w:t>相关人员</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人员名单应与乙方在投标文件/报价文件中所载明的人员一致）</w:t>
      </w:r>
      <w:r>
        <w:rPr>
          <w:rFonts w:hint="eastAsia" w:ascii="仿宋_GB2312" w:hAnsi="仿宋_GB2312" w:eastAsia="仿宋_GB2312" w:cs="仿宋_GB2312"/>
          <w:color w:val="auto"/>
          <w:sz w:val="28"/>
          <w:szCs w:val="28"/>
          <w:highlight w:val="none"/>
        </w:rPr>
        <w:t>，如确须更换，应提前征得甲方同意。如有违反，甲方有权解除合同并要求乙方支付</w:t>
      </w:r>
      <w:r>
        <w:rPr>
          <w:rFonts w:hint="eastAsia" w:ascii="仿宋_GB2312" w:hAnsi="仿宋_GB2312" w:eastAsia="仿宋_GB2312" w:cs="仿宋_GB2312"/>
          <w:color w:val="auto"/>
          <w:sz w:val="28"/>
          <w:szCs w:val="28"/>
          <w:highlight w:val="none"/>
          <w:u w:val="single"/>
          <w:lang w:val="en-US" w:eastAsia="zh-CN"/>
        </w:rPr>
        <w:t>1000</w:t>
      </w:r>
      <w:r>
        <w:rPr>
          <w:rFonts w:hint="eastAsia" w:ascii="仿宋_GB2312" w:hAnsi="仿宋_GB2312" w:eastAsia="仿宋_GB2312" w:cs="仿宋_GB2312"/>
          <w:color w:val="auto"/>
          <w:sz w:val="28"/>
          <w:szCs w:val="28"/>
          <w:highlight w:val="none"/>
          <w:u w:val="single"/>
        </w:rPr>
        <w:t>元/人次</w:t>
      </w:r>
      <w:r>
        <w:rPr>
          <w:rFonts w:hint="eastAsia" w:ascii="仿宋_GB2312" w:hAnsi="仿宋_GB2312" w:eastAsia="仿宋_GB2312" w:cs="仿宋_GB2312"/>
          <w:color w:val="auto"/>
          <w:sz w:val="28"/>
          <w:szCs w:val="28"/>
          <w:highlight w:val="none"/>
        </w:rPr>
        <w:t>作为违约金，以及赔偿由此造成的一切损失(包含质量安全事故、工期延误、增加投资等)。</w:t>
      </w:r>
      <w:r>
        <w:rPr>
          <w:rFonts w:hint="eastAsia" w:ascii="仿宋_GB2312" w:hAnsi="仿宋_GB2312" w:eastAsia="仿宋_GB2312" w:cs="仿宋_GB2312"/>
          <w:color w:val="auto"/>
          <w:sz w:val="28"/>
          <w:szCs w:val="28"/>
          <w:highlight w:val="none"/>
          <w:lang w:val="en-US" w:eastAsia="zh-CN"/>
        </w:rPr>
        <w:t xml:space="preserve"> </w:t>
      </w:r>
    </w:p>
    <w:p w14:paraId="7EB8B404">
      <w:pPr>
        <w:pStyle w:val="56"/>
        <w:spacing w:beforeLines="0" w:afterLines="0" w:line="560" w:lineRule="exac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5.7</w:t>
      </w:r>
      <w:r>
        <w:rPr>
          <w:rFonts w:hint="eastAsia" w:ascii="仿宋_GB2312" w:hAnsi="仿宋_GB2312" w:eastAsia="仿宋_GB2312" w:cs="仿宋_GB2312"/>
          <w:b w:val="0"/>
          <w:bCs/>
          <w:color w:val="auto"/>
          <w:spacing w:val="-8"/>
          <w:sz w:val="28"/>
          <w:szCs w:val="28"/>
          <w:highlight w:val="none"/>
          <w:lang w:val="en-US" w:eastAsia="zh-CN"/>
        </w:rPr>
        <w:t>乙方需满足项目同时实施要求，拟投入工程人员配备响应表配备相应工作人员以满足甲方要求，若因人员不足或人员素质不能满足工程实际需要时，乙方需无条件按照甲方的要求更换或增加相关人员。否则甲方有权解除合同并要求乙方支付</w:t>
      </w:r>
      <w:r>
        <w:rPr>
          <w:rFonts w:hint="eastAsia" w:ascii="仿宋_GB2312" w:hAnsi="仿宋_GB2312" w:eastAsia="仿宋_GB2312" w:cs="仿宋_GB2312"/>
          <w:b w:val="0"/>
          <w:bCs/>
          <w:color w:val="auto"/>
          <w:spacing w:val="-8"/>
          <w:sz w:val="28"/>
          <w:szCs w:val="28"/>
          <w:highlight w:val="none"/>
          <w:u w:val="single"/>
          <w:lang w:val="en-US" w:eastAsia="zh-CN"/>
        </w:rPr>
        <w:t>5000</w:t>
      </w:r>
      <w:r>
        <w:rPr>
          <w:rFonts w:hint="eastAsia" w:ascii="仿宋_GB2312" w:hAnsi="仿宋_GB2312" w:eastAsia="仿宋_GB2312" w:cs="仿宋_GB2312"/>
          <w:b w:val="0"/>
          <w:bCs/>
          <w:color w:val="auto"/>
          <w:spacing w:val="-8"/>
          <w:sz w:val="28"/>
          <w:szCs w:val="28"/>
          <w:highlight w:val="none"/>
          <w:lang w:val="en-US" w:eastAsia="zh-CN"/>
        </w:rPr>
        <w:t>元作为违约金。</w:t>
      </w:r>
    </w:p>
    <w:p w14:paraId="1F712EE5">
      <w:pPr>
        <w:topLinePunct w:val="0"/>
        <w:spacing w:beforeLines="0" w:afterLines="0"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5.8施工过程中，施工单位至少安排一名管理人员在场监管，涉及有限空间作业、动火作业、高处作业、临时用电、起重吊装、动土作业等危险作业时，要求施工单位安排专人监护，监护人不得从事除安全监护外的其他工作，</w:t>
      </w:r>
      <w:r>
        <w:rPr>
          <w:rFonts w:hint="eastAsia" w:ascii="仿宋_GB2312" w:hAnsi="仿宋_GB2312" w:eastAsia="仿宋_GB2312" w:cs="仿宋_GB2312"/>
          <w:color w:val="auto"/>
          <w:sz w:val="28"/>
          <w:szCs w:val="28"/>
          <w:highlight w:val="none"/>
        </w:rPr>
        <w:t>当在进行有限空间作业的工期时，应要求持资质（</w:t>
      </w:r>
      <w:r>
        <w:rPr>
          <w:rStyle w:val="28"/>
          <w:rFonts w:hint="eastAsia" w:ascii="仿宋_GB2312" w:hAnsi="仿宋_GB2312" w:eastAsia="仿宋_GB2312" w:cs="仿宋_GB2312"/>
          <w:b/>
          <w:bCs/>
          <w:i w:val="0"/>
          <w:iCs w:val="0"/>
          <w:caps w:val="0"/>
          <w:color w:val="auto"/>
          <w:spacing w:val="0"/>
          <w:sz w:val="28"/>
          <w:szCs w:val="28"/>
          <w:highlight w:val="none"/>
          <w:shd w:val="clear" w:fill="FFFFFF"/>
          <w:vertAlign w:val="baseline"/>
        </w:rPr>
        <w:t>建筑施工企业项目负责人安全生产考核合格证书</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val="en-US" w:eastAsia="zh-CN"/>
        </w:rPr>
        <w:t>子</w:t>
      </w:r>
      <w:r>
        <w:rPr>
          <w:rFonts w:hint="eastAsia" w:ascii="仿宋_GB2312" w:hAnsi="仿宋_GB2312" w:eastAsia="仿宋_GB2312" w:cs="仿宋_GB2312"/>
          <w:color w:val="auto"/>
          <w:sz w:val="28"/>
          <w:szCs w:val="28"/>
          <w:highlight w:val="none"/>
        </w:rPr>
        <w:t>项目</w:t>
      </w:r>
      <w:r>
        <w:rPr>
          <w:rFonts w:hint="eastAsia" w:ascii="仿宋_GB2312" w:hAnsi="仿宋_GB2312" w:eastAsia="仿宋_GB2312" w:cs="仿宋_GB2312"/>
          <w:color w:val="auto"/>
          <w:sz w:val="28"/>
          <w:szCs w:val="28"/>
          <w:highlight w:val="none"/>
          <w:lang w:val="en-US" w:eastAsia="zh-CN"/>
        </w:rPr>
        <w:t>负责人</w:t>
      </w:r>
      <w:r>
        <w:rPr>
          <w:rFonts w:hint="eastAsia" w:ascii="仿宋_GB2312" w:hAnsi="仿宋_GB2312" w:eastAsia="仿宋_GB2312" w:cs="仿宋_GB2312"/>
          <w:color w:val="auto"/>
          <w:sz w:val="28"/>
          <w:szCs w:val="28"/>
          <w:highlight w:val="none"/>
        </w:rPr>
        <w:t>驻场履职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否则甲方有权要求乙方支付违约</w:t>
      </w:r>
      <w:r>
        <w:rPr>
          <w:rFonts w:hint="eastAsia" w:ascii="仿宋_GB2312" w:hAnsi="仿宋_GB2312" w:eastAsia="仿宋_GB2312" w:cs="仿宋_GB2312"/>
          <w:color w:val="auto"/>
          <w:sz w:val="28"/>
          <w:szCs w:val="28"/>
          <w:highlight w:val="none"/>
          <w:u w:val="single"/>
          <w:lang w:val="en-US" w:eastAsia="zh-CN"/>
        </w:rPr>
        <w:t xml:space="preserve"> 1000元/天</w:t>
      </w:r>
      <w:r>
        <w:rPr>
          <w:rFonts w:hint="eastAsia" w:ascii="仿宋_GB2312" w:hAnsi="仿宋_GB2312" w:eastAsia="仿宋_GB2312" w:cs="仿宋_GB2312"/>
          <w:color w:val="auto"/>
          <w:sz w:val="28"/>
          <w:szCs w:val="28"/>
          <w:highlight w:val="none"/>
          <w:lang w:val="en-US" w:eastAsia="zh-CN"/>
        </w:rPr>
        <w:t>，因此造成损失的，按实际发生额赔偿。</w:t>
      </w:r>
    </w:p>
    <w:p w14:paraId="204DE753">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5.9</w:t>
      </w:r>
      <w:r>
        <w:rPr>
          <w:rFonts w:hint="eastAsia" w:ascii="仿宋_GB2312" w:hAnsi="仿宋_GB2312" w:eastAsia="仿宋_GB2312" w:cs="仿宋_GB2312"/>
          <w:color w:val="auto"/>
          <w:sz w:val="28"/>
          <w:szCs w:val="28"/>
          <w:highlight w:val="none"/>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乙方支付</w:t>
      </w:r>
      <w:r>
        <w:rPr>
          <w:rFonts w:hint="eastAsia" w:ascii="仿宋_GB2312" w:hAnsi="仿宋_GB2312" w:eastAsia="仿宋_GB2312" w:cs="仿宋_GB2312"/>
          <w:color w:val="auto"/>
          <w:sz w:val="28"/>
          <w:szCs w:val="28"/>
          <w:highlight w:val="none"/>
          <w:u w:val="single"/>
          <w:lang w:val="en-US" w:eastAsia="zh-CN"/>
        </w:rPr>
        <w:t xml:space="preserve">合同暂定价的5% </w:t>
      </w:r>
      <w:r>
        <w:rPr>
          <w:rFonts w:hint="eastAsia" w:ascii="仿宋_GB2312" w:hAnsi="仿宋_GB2312" w:eastAsia="仿宋_GB2312" w:cs="仿宋_GB2312"/>
          <w:color w:val="auto"/>
          <w:sz w:val="28"/>
          <w:szCs w:val="28"/>
          <w:highlight w:val="none"/>
        </w:rPr>
        <w:t>/次的违约金。</w:t>
      </w:r>
    </w:p>
    <w:p w14:paraId="2DF40035">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出现上述情形超过</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3</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次（含</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次）的，甲方有权解除合同。</w:t>
      </w:r>
    </w:p>
    <w:p w14:paraId="42D81BAA">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5.10</w:t>
      </w:r>
      <w:r>
        <w:rPr>
          <w:rFonts w:hint="eastAsia" w:ascii="仿宋_GB2312" w:hAnsi="仿宋_GB2312" w:eastAsia="仿宋_GB2312" w:cs="仿宋_GB2312"/>
          <w:color w:val="auto"/>
          <w:sz w:val="28"/>
          <w:szCs w:val="28"/>
          <w:highlight w:val="none"/>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14:paraId="2E49EA52">
      <w:pPr>
        <w:pStyle w:val="56"/>
        <w:spacing w:beforeLines="0" w:afterLines="0"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5.11</w:t>
      </w:r>
      <w:r>
        <w:rPr>
          <w:rFonts w:hint="eastAsia" w:ascii="仿宋_GB2312" w:hAnsi="仿宋_GB2312" w:eastAsia="仿宋_GB2312" w:cs="仿宋_GB2312"/>
          <w:b w:val="0"/>
          <w:bCs w:val="0"/>
          <w:color w:val="auto"/>
          <w:sz w:val="28"/>
          <w:szCs w:val="28"/>
          <w:highlight w:val="none"/>
        </w:rPr>
        <w:t>乙方负责做好现场文明施工、安全围蔽及防护措施等工作，根据项目实际，充分辨识风险和制定相应管控措施，编制可行的专项施工方案应急预案并严格落实,并报甲方备案。</w:t>
      </w:r>
    </w:p>
    <w:p w14:paraId="5B86D563">
      <w:pPr>
        <w:pStyle w:val="14"/>
        <w:spacing w:beforeLines="0" w:afterLines="0"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5.12施工过程中，乙方应负责配备现场的应急物资。具体应急物资配备详见附件应急救援物资清单。</w:t>
      </w:r>
      <w:r>
        <w:rPr>
          <w:rFonts w:hint="eastAsia" w:ascii="仿宋_GB2312" w:hAnsi="仿宋_GB2312" w:eastAsia="仿宋_GB2312" w:cs="仿宋_GB2312"/>
          <w:b w:val="0"/>
          <w:bCs w:val="0"/>
          <w:color w:val="auto"/>
          <w:sz w:val="28"/>
          <w:szCs w:val="28"/>
          <w:highlight w:val="none"/>
          <w:lang w:val="en-US"/>
        </w:rPr>
        <w:t>如发现配备不齐全，</w:t>
      </w:r>
      <w:r>
        <w:rPr>
          <w:rFonts w:hint="eastAsia" w:ascii="仿宋_GB2312" w:hAnsi="仿宋_GB2312" w:eastAsia="仿宋_GB2312" w:cs="仿宋_GB2312"/>
          <w:color w:val="auto"/>
          <w:sz w:val="28"/>
          <w:szCs w:val="28"/>
          <w:highlight w:val="none"/>
        </w:rPr>
        <w:t>甲方有权</w:t>
      </w:r>
      <w:r>
        <w:rPr>
          <w:rFonts w:hint="eastAsia" w:ascii="仿宋_GB2312" w:hAnsi="仿宋_GB2312" w:eastAsia="仿宋_GB2312" w:cs="仿宋_GB2312"/>
          <w:color w:val="auto"/>
          <w:sz w:val="28"/>
          <w:szCs w:val="28"/>
          <w:highlight w:val="none"/>
          <w:lang w:val="en-US" w:eastAsia="zh-CN"/>
        </w:rPr>
        <w:t>要求乙方在24小时内补足，否则甲方有权</w:t>
      </w:r>
      <w:r>
        <w:rPr>
          <w:rFonts w:hint="eastAsia" w:ascii="仿宋_GB2312" w:hAnsi="仿宋_GB2312" w:eastAsia="仿宋_GB2312" w:cs="仿宋_GB2312"/>
          <w:color w:val="auto"/>
          <w:sz w:val="28"/>
          <w:szCs w:val="28"/>
          <w:highlight w:val="none"/>
        </w:rPr>
        <w:t>要求乙方支付违约金</w:t>
      </w:r>
      <w:r>
        <w:rPr>
          <w:rFonts w:hint="eastAsia" w:ascii="仿宋_GB2312" w:hAnsi="仿宋_GB2312" w:eastAsia="仿宋_GB2312" w:cs="仿宋_GB2312"/>
          <w:color w:val="auto"/>
          <w:sz w:val="28"/>
          <w:szCs w:val="28"/>
          <w:highlight w:val="none"/>
          <w:u w:val="single"/>
          <w:lang w:val="en-US" w:eastAsia="zh-CN"/>
        </w:rPr>
        <w:t>1000元</w:t>
      </w:r>
      <w:r>
        <w:rPr>
          <w:rFonts w:hint="eastAsia" w:ascii="仿宋_GB2312" w:hAnsi="仿宋_GB2312" w:eastAsia="仿宋_GB2312" w:cs="仿宋_GB2312"/>
          <w:color w:val="auto"/>
          <w:sz w:val="28"/>
          <w:szCs w:val="28"/>
          <w:highlight w:val="none"/>
          <w:lang w:val="en-US" w:eastAsia="zh-CN"/>
        </w:rPr>
        <w:t>/天，逾期7日，甲方有权自行购买配备齐全，相关费用在乙方结算费用中抵扣。</w:t>
      </w:r>
    </w:p>
    <w:p w14:paraId="2873AAED">
      <w:pPr>
        <w:pStyle w:val="24"/>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13</w:t>
      </w:r>
      <w:r>
        <w:rPr>
          <w:rFonts w:ascii="仿宋_GB2312" w:hAnsi="仿宋_GB2312" w:eastAsia="仿宋_GB2312" w:cs="仿宋_GB2312"/>
          <w:color w:val="auto"/>
          <w:sz w:val="28"/>
          <w:szCs w:val="28"/>
          <w:highlight w:val="none"/>
        </w:rPr>
        <w:t>在合同有效期内，乙方自愿接受甲方《营运项目承包单位日常履约考评参照表（安全）》《营运项目承包单位综合履约考评表（安全）》，具体处理标准详见附件</w:t>
      </w:r>
      <w:r>
        <w:rPr>
          <w:rFonts w:hint="eastAsia" w:hAnsi="仿宋_GB2312" w:cs="仿宋_GB2312"/>
          <w:color w:val="auto"/>
          <w:sz w:val="28"/>
          <w:szCs w:val="28"/>
          <w:highlight w:val="none"/>
          <w:lang w:val="en-US" w:eastAsia="zh-CN"/>
        </w:rPr>
        <w:t>8</w:t>
      </w:r>
      <w:r>
        <w:rPr>
          <w:rFonts w:ascii="仿宋_GB2312" w:hAnsi="仿宋_GB2312" w:eastAsia="仿宋_GB2312" w:cs="仿宋_GB2312"/>
          <w:color w:val="auto"/>
          <w:sz w:val="28"/>
          <w:szCs w:val="28"/>
          <w:highlight w:val="none"/>
        </w:rPr>
        <w:t>。</w:t>
      </w:r>
    </w:p>
    <w:p w14:paraId="10528C29">
      <w:pPr>
        <w:pStyle w:val="24"/>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560"/>
        <w:textAlignment w:val="auto"/>
        <w:rPr>
          <w:rFonts w:hint="eastAsia" w:ascii="仿宋_GB2312" w:hAnsi="仿宋_GB2312" w:eastAsia="仿宋_GB2312" w:cs="仿宋_GB2312"/>
          <w:bCs/>
          <w:color w:val="auto"/>
          <w:sz w:val="28"/>
          <w:szCs w:val="28"/>
          <w:highlight w:val="none"/>
          <w:u w:val="single"/>
          <w:lang w:val="en-US" w:eastAsia="zh-CN"/>
        </w:rPr>
      </w:pPr>
      <w:r>
        <w:rPr>
          <w:rFonts w:hint="eastAsia" w:ascii="仿宋_GB2312" w:hAnsi="仿宋_GB2312" w:eastAsia="仿宋_GB2312" w:cs="仿宋_GB2312"/>
          <w:color w:val="auto"/>
          <w:kern w:val="0"/>
          <w:sz w:val="28"/>
          <w:szCs w:val="28"/>
          <w:highlight w:val="none"/>
          <w:lang w:val="en-US" w:eastAsia="zh-CN"/>
        </w:rPr>
        <w:t>5.14</w:t>
      </w:r>
      <w:r>
        <w:rPr>
          <w:rFonts w:hint="eastAsia" w:ascii="仿宋_GB2312" w:hAnsi="仿宋_GB2312" w:eastAsia="仿宋_GB2312" w:cs="仿宋_GB2312"/>
          <w:bCs/>
          <w:color w:val="auto"/>
          <w:sz w:val="28"/>
          <w:szCs w:val="28"/>
          <w:highlight w:val="none"/>
          <w:u w:val="single"/>
          <w:lang w:val="en-US" w:eastAsia="zh-CN"/>
        </w:rPr>
        <w:t>项目实施过程中，乙方应确保准时足额支付工人工资。如因工人工资造成的纠纷，由乙方承担责任。若因乙方拖欠工人工资引发工人聚众讨薪、群体性示威、游行、上访等事件的，甲方有权按讨薪人员</w:t>
      </w:r>
      <w:r>
        <w:rPr>
          <w:rFonts w:hint="eastAsia" w:hAnsi="仿宋_GB2312" w:cs="仿宋_GB2312"/>
          <w:bCs/>
          <w:color w:val="auto"/>
          <w:sz w:val="28"/>
          <w:szCs w:val="28"/>
          <w:highlight w:val="none"/>
          <w:u w:val="single"/>
          <w:lang w:val="en-US" w:eastAsia="zh-CN"/>
        </w:rPr>
        <w:t>1000</w:t>
      </w:r>
      <w:r>
        <w:rPr>
          <w:rFonts w:hint="eastAsia" w:ascii="仿宋_GB2312" w:hAnsi="仿宋_GB2312" w:eastAsia="仿宋_GB2312" w:cs="仿宋_GB2312"/>
          <w:bCs/>
          <w:color w:val="auto"/>
          <w:sz w:val="28"/>
          <w:szCs w:val="28"/>
          <w:highlight w:val="none"/>
          <w:u w:val="single"/>
          <w:lang w:val="en-US" w:eastAsia="zh-CN"/>
        </w:rPr>
        <w:t>元/人次的标准要求乙方支付违约金。</w:t>
      </w:r>
    </w:p>
    <w:p w14:paraId="4B314314">
      <w:pPr>
        <w:pStyle w:val="24"/>
        <w:adjustRightInd/>
        <w:snapToGrid/>
        <w:spacing w:beforeLines="0" w:afterLines="0" w:line="560" w:lineRule="exact"/>
        <w:ind w:left="0" w:leftChars="0" w:firstLine="560" w:firstLineChars="200"/>
        <w:rPr>
          <w:rFonts w:hint="eastAsia" w:ascii="仿宋_GB2312" w:hAnsi="仿宋_GB2312" w:eastAsia="仿宋_GB2312" w:cs="仿宋_GB2312"/>
          <w:bCs/>
          <w:i w:val="0"/>
          <w:iCs w:val="0"/>
          <w:caps w:val="0"/>
          <w:color w:val="auto"/>
          <w:spacing w:val="0"/>
          <w:sz w:val="28"/>
          <w:szCs w:val="28"/>
          <w:highlight w:val="none"/>
          <w:u w:val="single"/>
          <w:shd w:val="clear"/>
          <w:lang w:eastAsia="zh-CN"/>
        </w:rPr>
      </w:pPr>
      <w:r>
        <w:rPr>
          <w:rFonts w:hint="eastAsia" w:ascii="仿宋_GB2312" w:hAnsi="仿宋_GB2312" w:eastAsia="仿宋_GB2312" w:cs="仿宋_GB2312"/>
          <w:bCs/>
          <w:color w:val="auto"/>
          <w:sz w:val="28"/>
          <w:szCs w:val="28"/>
          <w:highlight w:val="none"/>
          <w:u w:val="single"/>
        </w:rPr>
        <w:t>5</w:t>
      </w:r>
      <w:r>
        <w:rPr>
          <w:rFonts w:hint="eastAsia" w:ascii="仿宋_GB2312" w:hAnsi="仿宋_GB2312" w:eastAsia="仿宋_GB2312" w:cs="仿宋_GB2312"/>
          <w:bCs/>
          <w:color w:val="auto"/>
          <w:sz w:val="28"/>
          <w:szCs w:val="28"/>
          <w:highlight w:val="none"/>
          <w:u w:val="single"/>
          <w:lang w:val="en-US" w:eastAsia="zh-CN"/>
        </w:rPr>
        <w:t>.15</w:t>
      </w:r>
      <w:r>
        <w:rPr>
          <w:rFonts w:hint="eastAsia" w:ascii="仿宋_GB2312" w:hAnsi="仿宋_GB2312" w:eastAsia="仿宋_GB2312" w:cs="仿宋_GB2312"/>
          <w:bCs/>
          <w:i w:val="0"/>
          <w:iCs w:val="0"/>
          <w:caps w:val="0"/>
          <w:color w:val="auto"/>
          <w:spacing w:val="0"/>
          <w:sz w:val="28"/>
          <w:szCs w:val="28"/>
          <w:highlight w:val="none"/>
          <w:u w:val="single"/>
          <w:shd w:val="clear" w:fill="FFFFFF"/>
        </w:rPr>
        <w:t>甲方提供予乙方的</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工程相关信息</w:t>
      </w:r>
      <w:r>
        <w:rPr>
          <w:rFonts w:hint="eastAsia" w:ascii="仿宋_GB2312" w:hAnsi="仿宋_GB2312" w:eastAsia="仿宋_GB2312" w:cs="仿宋_GB2312"/>
          <w:bCs/>
          <w:i w:val="0"/>
          <w:iCs w:val="0"/>
          <w:caps w:val="0"/>
          <w:color w:val="auto"/>
          <w:spacing w:val="0"/>
          <w:sz w:val="28"/>
          <w:szCs w:val="28"/>
          <w:highlight w:val="none"/>
          <w:u w:val="single"/>
          <w:shd w:val="clear" w:fill="FFFFFF"/>
        </w:rPr>
        <w:t>被视为保密资料，</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仅</w:t>
      </w:r>
      <w:r>
        <w:rPr>
          <w:rFonts w:hint="eastAsia" w:ascii="仿宋_GB2312" w:hAnsi="仿宋_GB2312" w:eastAsia="仿宋_GB2312" w:cs="仿宋_GB2312"/>
          <w:bCs/>
          <w:i w:val="0"/>
          <w:iCs w:val="0"/>
          <w:caps w:val="0"/>
          <w:color w:val="auto"/>
          <w:spacing w:val="0"/>
          <w:sz w:val="28"/>
          <w:szCs w:val="28"/>
          <w:highlight w:val="none"/>
          <w:u w:val="single"/>
          <w:shd w:val="clear" w:fill="FFFFFF"/>
        </w:rPr>
        <w:t>供乙方与本项目有关之用途。乙方应对甲方提供的信息资料严格保密，未经甲方书面同意，不得向任何第三方透露</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或</w:t>
      </w:r>
      <w:r>
        <w:rPr>
          <w:rFonts w:hint="eastAsia" w:ascii="仿宋_GB2312" w:hAnsi="仿宋_GB2312" w:eastAsia="仿宋_GB2312" w:cs="仿宋_GB2312"/>
          <w:bCs/>
          <w:i w:val="0"/>
          <w:iCs w:val="0"/>
          <w:caps w:val="0"/>
          <w:color w:val="auto"/>
          <w:spacing w:val="0"/>
          <w:sz w:val="28"/>
          <w:szCs w:val="28"/>
          <w:highlight w:val="none"/>
          <w:u w:val="single"/>
          <w:shd w:val="clear"/>
        </w:rPr>
        <w:t>用于其他目的</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及</w:t>
      </w:r>
      <w:r>
        <w:rPr>
          <w:rFonts w:hint="eastAsia" w:ascii="仿宋_GB2312" w:hAnsi="仿宋_GB2312" w:eastAsia="仿宋_GB2312" w:cs="仿宋_GB2312"/>
          <w:bCs/>
          <w:i w:val="0"/>
          <w:iCs w:val="0"/>
          <w:caps w:val="0"/>
          <w:color w:val="auto"/>
          <w:spacing w:val="0"/>
          <w:sz w:val="28"/>
          <w:szCs w:val="28"/>
          <w:highlight w:val="none"/>
          <w:u w:val="single"/>
          <w:shd w:val="clear"/>
        </w:rPr>
        <w:t>用途</w:t>
      </w:r>
      <w:r>
        <w:rPr>
          <w:rFonts w:hint="eastAsia" w:ascii="仿宋_GB2312" w:hAnsi="仿宋_GB2312" w:eastAsia="仿宋_GB2312" w:cs="仿宋_GB2312"/>
          <w:bCs/>
          <w:i w:val="0"/>
          <w:iCs w:val="0"/>
          <w:caps w:val="0"/>
          <w:color w:val="auto"/>
          <w:spacing w:val="0"/>
          <w:sz w:val="28"/>
          <w:szCs w:val="28"/>
          <w:highlight w:val="none"/>
          <w:u w:val="single"/>
          <w:shd w:val="clear" w:fill="FFFFFF"/>
        </w:rPr>
        <w:t>，否则甲方有权单方解除合同，并按合同</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暂定总价</w:t>
      </w:r>
      <w:r>
        <w:rPr>
          <w:rFonts w:hint="eastAsia" w:ascii="仿宋_GB2312" w:hAnsi="仿宋_GB2312" w:eastAsia="仿宋_GB2312" w:cs="仿宋_GB2312"/>
          <w:bCs/>
          <w:i w:val="0"/>
          <w:iCs w:val="0"/>
          <w:caps w:val="0"/>
          <w:color w:val="auto"/>
          <w:spacing w:val="0"/>
          <w:sz w:val="28"/>
          <w:szCs w:val="28"/>
          <w:highlight w:val="none"/>
          <w:u w:val="single"/>
          <w:shd w:val="clear" w:fill="FFFFFF"/>
        </w:rPr>
        <w:t>的</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20</w:t>
      </w:r>
      <w:r>
        <w:rPr>
          <w:rFonts w:hint="eastAsia" w:ascii="仿宋_GB2312" w:hAnsi="仿宋_GB2312" w:eastAsia="仿宋_GB2312" w:cs="仿宋_GB2312"/>
          <w:bCs/>
          <w:i w:val="0"/>
          <w:iCs w:val="0"/>
          <w:caps w:val="0"/>
          <w:color w:val="auto"/>
          <w:spacing w:val="0"/>
          <w:sz w:val="28"/>
          <w:szCs w:val="28"/>
          <w:highlight w:val="none"/>
          <w:u w:val="single"/>
          <w:shd w:val="clear" w:fill="FFFFFF"/>
        </w:rPr>
        <w:t>%支付违约金</w:t>
      </w:r>
      <w:r>
        <w:rPr>
          <w:rFonts w:hint="eastAsia" w:ascii="仿宋_GB2312" w:hAnsi="仿宋_GB2312" w:eastAsia="仿宋_GB2312" w:cs="仿宋_GB2312"/>
          <w:bCs/>
          <w:i w:val="0"/>
          <w:iCs w:val="0"/>
          <w:caps w:val="0"/>
          <w:color w:val="auto"/>
          <w:spacing w:val="0"/>
          <w:sz w:val="28"/>
          <w:szCs w:val="28"/>
          <w:highlight w:val="none"/>
          <w:u w:val="single"/>
          <w:shd w:val="clear"/>
          <w:lang w:eastAsia="zh-CN"/>
        </w:rPr>
        <w:t>。</w:t>
      </w:r>
    </w:p>
    <w:p w14:paraId="15AB7685">
      <w:pPr>
        <w:pStyle w:val="24"/>
        <w:adjustRightInd/>
        <w:snapToGrid/>
        <w:spacing w:beforeLines="0" w:afterLines="0" w:line="560" w:lineRule="exact"/>
        <w:ind w:left="0" w:leftChars="0"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5.16乙方不得散播与本工程项目相关的不实信息，否则，甲方有权单方解除合同，并按</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合同暂定总价的20 %</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支付违约金。</w:t>
      </w:r>
      <w:r>
        <w:rPr>
          <w:rFonts w:hint="eastAsia" w:ascii="仿宋_GB2312" w:hAnsi="仿宋_GB2312" w:eastAsia="仿宋_GB2312" w:cs="仿宋_GB2312"/>
          <w:bCs/>
          <w:i w:val="0"/>
          <w:iCs w:val="0"/>
          <w:caps w:val="0"/>
          <w:color w:val="auto"/>
          <w:spacing w:val="0"/>
          <w:sz w:val="28"/>
          <w:szCs w:val="28"/>
          <w:highlight w:val="none"/>
          <w:u w:val="single"/>
          <w:shd w:val="clear" w:fill="FFFFFF"/>
        </w:rPr>
        <w:br w:type="textWrapping"/>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 xml:space="preserve">    </w:t>
      </w:r>
      <w:r>
        <w:rPr>
          <w:rFonts w:hint="eastAsia" w:ascii="仿宋_GB2312" w:hAnsi="仿宋_GB2312" w:cs="仿宋_GB2312"/>
          <w:bCs/>
          <w:color w:val="auto"/>
          <w:sz w:val="28"/>
          <w:szCs w:val="28"/>
          <w:highlight w:val="none"/>
          <w:lang w:val="en-US" w:eastAsia="zh-CN"/>
        </w:rPr>
        <w:t>5.17</w:t>
      </w:r>
      <w:r>
        <w:rPr>
          <w:rFonts w:hint="eastAsia" w:ascii="仿宋_GB2312" w:hAnsi="仿宋_GB2312" w:eastAsia="仿宋_GB2312" w:cs="仿宋_GB2312"/>
          <w:bCs/>
          <w:color w:val="auto"/>
          <w:sz w:val="28"/>
          <w:szCs w:val="28"/>
          <w:highlight w:val="none"/>
        </w:rPr>
        <w:t>乙方不履行合同义务、或履行合同义务不符合合同约定、或违反国家、省、市行业标准的，甲方有权要求乙方限期整改。乙方逾期未完成整改的，每项每超过1日支付违约金人民币</w:t>
      </w:r>
      <w:r>
        <w:rPr>
          <w:rFonts w:hint="eastAsia" w:ascii="仿宋_GB2312" w:hAnsi="仿宋_GB2312" w:eastAsia="仿宋_GB2312" w:cs="仿宋_GB2312"/>
          <w:bCs/>
          <w:color w:val="auto"/>
          <w:sz w:val="28"/>
          <w:szCs w:val="28"/>
          <w:highlight w:val="none"/>
          <w:u w:val="single"/>
        </w:rPr>
        <w:t>1万元</w:t>
      </w:r>
      <w:r>
        <w:rPr>
          <w:rFonts w:hint="eastAsia" w:ascii="仿宋_GB2312" w:hAnsi="仿宋_GB2312" w:eastAsia="仿宋_GB2312" w:cs="仿宋_GB2312"/>
          <w:bCs/>
          <w:color w:val="auto"/>
          <w:sz w:val="28"/>
          <w:szCs w:val="28"/>
          <w:highlight w:val="none"/>
        </w:rPr>
        <w:t>，超过</w:t>
      </w:r>
      <w:r>
        <w:rPr>
          <w:rFonts w:hint="eastAsia" w:hAnsi="仿宋_GB2312" w:cs="仿宋_GB2312"/>
          <w:bCs/>
          <w:color w:val="auto"/>
          <w:sz w:val="28"/>
          <w:szCs w:val="28"/>
          <w:highlight w:val="none"/>
          <w:lang w:val="en-US" w:eastAsia="zh-CN"/>
        </w:rPr>
        <w:t>3</w:t>
      </w:r>
      <w:r>
        <w:rPr>
          <w:rFonts w:hint="eastAsia" w:ascii="仿宋_GB2312" w:hAnsi="仿宋_GB2312" w:eastAsia="仿宋_GB2312" w:cs="仿宋_GB2312"/>
          <w:bCs/>
          <w:color w:val="auto"/>
          <w:sz w:val="28"/>
          <w:szCs w:val="28"/>
          <w:highlight w:val="none"/>
        </w:rPr>
        <w:t>日，甲方有权解除合同并要求乙方支付</w:t>
      </w:r>
      <w:r>
        <w:rPr>
          <w:rFonts w:hint="eastAsia" w:ascii="仿宋_GB2312" w:hAnsi="仿宋_GB2312" w:eastAsia="仿宋_GB2312" w:cs="仿宋_GB2312"/>
          <w:color w:val="auto"/>
          <w:sz w:val="28"/>
          <w:szCs w:val="28"/>
          <w:highlight w:val="none"/>
          <w:u w:val="single"/>
        </w:rPr>
        <w:t>子项目</w:t>
      </w:r>
      <w:r>
        <w:rPr>
          <w:rFonts w:hint="eastAsia" w:ascii="仿宋_GB2312" w:hAnsi="仿宋_GB2312" w:eastAsia="仿宋_GB2312" w:cs="仿宋_GB2312"/>
          <w:bCs/>
          <w:color w:val="auto"/>
          <w:sz w:val="28"/>
          <w:szCs w:val="28"/>
          <w:highlight w:val="none"/>
          <w:u w:val="single"/>
        </w:rPr>
        <w:t>合同暂定总价的20%</w:t>
      </w:r>
      <w:r>
        <w:rPr>
          <w:rFonts w:hint="eastAsia" w:ascii="仿宋_GB2312" w:hAnsi="仿宋_GB2312" w:eastAsia="仿宋_GB2312" w:cs="仿宋_GB2312"/>
          <w:bCs/>
          <w:color w:val="auto"/>
          <w:sz w:val="28"/>
          <w:szCs w:val="28"/>
          <w:highlight w:val="none"/>
        </w:rPr>
        <w:t>作为违约金（</w:t>
      </w:r>
      <w:r>
        <w:rPr>
          <w:rFonts w:hint="eastAsia" w:ascii="仿宋_GB2312" w:hAnsi="仿宋_GB2312" w:eastAsia="仿宋_GB2312" w:cs="仿宋_GB2312"/>
          <w:color w:val="auto"/>
          <w:sz w:val="28"/>
          <w:szCs w:val="28"/>
          <w:highlight w:val="none"/>
        </w:rPr>
        <w:t>如合同另行约定违约责任，从其约定</w:t>
      </w:r>
      <w:r>
        <w:rPr>
          <w:rFonts w:hint="eastAsia" w:ascii="仿宋_GB2312" w:hAnsi="仿宋_GB2312" w:eastAsia="仿宋_GB2312" w:cs="仿宋_GB2312"/>
          <w:bCs/>
          <w:color w:val="auto"/>
          <w:sz w:val="28"/>
          <w:szCs w:val="28"/>
          <w:highlight w:val="none"/>
        </w:rPr>
        <w:t>）。</w:t>
      </w:r>
    </w:p>
    <w:p w14:paraId="022E1E00">
      <w:pPr>
        <w:pStyle w:val="24"/>
        <w:adjustRightInd/>
        <w:snapToGrid/>
        <w:spacing w:beforeLines="0" w:afterLines="0" w:line="560" w:lineRule="exact"/>
        <w:ind w:left="0" w:leftChars="0" w:firstLine="560" w:firstLineChars="200"/>
        <w:rPr>
          <w:rFonts w:hint="default" w:ascii="仿宋_GB2312" w:hAnsi="仿宋_GB2312" w:eastAsia="仿宋_GB2312" w:cs="仿宋_GB2312"/>
          <w:bCs/>
          <w:color w:val="auto"/>
          <w:sz w:val="28"/>
          <w:szCs w:val="28"/>
          <w:highlight w:val="none"/>
          <w:lang w:val="en-US" w:eastAsia="zh-CN"/>
        </w:rPr>
      </w:pPr>
      <w:r>
        <w:rPr>
          <w:rFonts w:hint="eastAsia" w:hAnsi="仿宋_GB2312" w:cs="仿宋_GB2312"/>
          <w:bCs/>
          <w:color w:val="auto"/>
          <w:sz w:val="28"/>
          <w:szCs w:val="28"/>
          <w:highlight w:val="none"/>
          <w:lang w:val="en-US" w:eastAsia="zh-CN"/>
        </w:rPr>
        <w:t>5.18在合同有效期内，若乙方发生不履约行为情形的，乙方自愿接受甲方按《广州市净水有限公司经营建设项目参建企业不履约评价管理办法（试行）》处理。具体处理标准详见附件11。</w:t>
      </w:r>
    </w:p>
    <w:p w14:paraId="1F82E8B8">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第六条</w:t>
      </w:r>
      <w:r>
        <w:rPr>
          <w:rFonts w:hint="eastAsia" w:ascii="仿宋_GB2312" w:hAnsi="仿宋_GB2312" w:eastAsia="仿宋_GB2312" w:cs="仿宋_GB2312"/>
          <w:b/>
          <w:color w:val="auto"/>
          <w:sz w:val="28"/>
          <w:szCs w:val="28"/>
          <w:highlight w:val="none"/>
          <w:lang w:val="en-US" w:eastAsia="zh-CN"/>
        </w:rPr>
        <w:t xml:space="preserve"> </w:t>
      </w:r>
      <w:r>
        <w:rPr>
          <w:rFonts w:hint="eastAsia" w:ascii="仿宋_GB2312" w:hAnsi="仿宋_GB2312" w:eastAsia="仿宋_GB2312" w:cs="仿宋_GB2312"/>
          <w:b/>
          <w:color w:val="auto"/>
          <w:sz w:val="28"/>
          <w:szCs w:val="28"/>
          <w:highlight w:val="none"/>
        </w:rPr>
        <w:t>实施条件及管理要求</w:t>
      </w:r>
    </w:p>
    <w:p w14:paraId="7912FDD1">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6.1甲方提供临时设施及材料实施场地，乙方确认在签订合同前已查看过甲方所提供的场地及周围的环境，掌握所有与项目实施有关或对项目实施有影响的情况，乙方进场后因场地因素所产生的后果均由乙方负责。</w:t>
      </w:r>
    </w:p>
    <w:p w14:paraId="635D274A">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6.2施工用水用电采用以下</w:t>
      </w:r>
      <w:r>
        <w:rPr>
          <w:rFonts w:hint="eastAsia" w:ascii="仿宋_GB2312" w:hAnsi="仿宋_GB2312" w:eastAsia="仿宋_GB2312" w:cs="仿宋_GB2312"/>
          <w:color w:val="auto"/>
          <w:sz w:val="28"/>
          <w:szCs w:val="28"/>
          <w:highlight w:val="none"/>
          <w:u w:val="single"/>
          <w:lang w:val="en-US" w:eastAsia="zh-CN"/>
        </w:rPr>
        <w:t xml:space="preserve"> （1）  </w:t>
      </w:r>
      <w:r>
        <w:rPr>
          <w:rFonts w:hint="eastAsia" w:ascii="仿宋_GB2312" w:hAnsi="仿宋_GB2312" w:eastAsia="仿宋_GB2312" w:cs="仿宋_GB2312"/>
          <w:color w:val="auto"/>
          <w:sz w:val="28"/>
          <w:szCs w:val="28"/>
          <w:highlight w:val="none"/>
        </w:rPr>
        <w:t>方式执行。</w:t>
      </w:r>
    </w:p>
    <w:p w14:paraId="24DF5A23">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（1）由甲方提供施工用水用电</w:t>
      </w:r>
      <w:r>
        <w:rPr>
          <w:rFonts w:hint="eastAsia" w:ascii="仿宋_GB2312" w:hAnsi="仿宋_GB2312" w:eastAsia="仿宋_GB2312" w:cs="仿宋_GB2312"/>
          <w:color w:val="auto"/>
          <w:sz w:val="28"/>
          <w:szCs w:val="28"/>
          <w:highlight w:val="none"/>
          <w:lang w:val="en-US" w:eastAsia="zh-CN"/>
        </w:rPr>
        <w:t>接口，水电费按合同综合单价水电含量计算，从甲方支付的工程款中直接扣回</w:t>
      </w:r>
      <w:r>
        <w:rPr>
          <w:rFonts w:hint="eastAsia" w:ascii="仿宋_GB2312" w:hAnsi="仿宋_GB2312" w:eastAsia="仿宋_GB2312" w:cs="仿宋_GB2312"/>
          <w:color w:val="auto"/>
          <w:sz w:val="28"/>
          <w:szCs w:val="28"/>
          <w:highlight w:val="none"/>
        </w:rPr>
        <w:t>。</w:t>
      </w:r>
    </w:p>
    <w:p w14:paraId="7C314236">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（2）由甲方提供施工用水用电接口，费用按</w:t>
      </w:r>
      <w:r>
        <w:rPr>
          <w:rFonts w:hint="eastAsia" w:ascii="仿宋_GB2312" w:hAnsi="仿宋_GB2312" w:eastAsia="仿宋_GB2312" w:cs="仿宋_GB2312"/>
          <w:color w:val="auto"/>
          <w:sz w:val="28"/>
          <w:szCs w:val="28"/>
          <w:highlight w:val="none"/>
          <w:u w:val="single"/>
        </w:rPr>
        <w:t>（月/项目）</w:t>
      </w:r>
      <w:r>
        <w:rPr>
          <w:rFonts w:hint="eastAsia" w:ascii="仿宋_GB2312" w:hAnsi="仿宋_GB2312" w:eastAsia="仿宋_GB2312" w:cs="仿宋_GB2312"/>
          <w:color w:val="auto"/>
          <w:sz w:val="28"/>
          <w:szCs w:val="28"/>
          <w:highlight w:val="none"/>
        </w:rPr>
        <w:t>结算，由乙方向甲方或甲方下辖分公司/子公司支付。水电费用按所属供电局、自来水公司收费标准，按实计算。</w:t>
      </w:r>
    </w:p>
    <w:p w14:paraId="57AD2E90">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（3）由乙方自行负责。</w:t>
      </w:r>
    </w:p>
    <w:p w14:paraId="3B86FDF3">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6.3施工时间安排：上午7：00-12：00，下午14：00-18：00，施工时间如需变动，以甲方的通知为准。</w:t>
      </w:r>
    </w:p>
    <w:p w14:paraId="4FFFB94A">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6.4进场施工人员必须严格遵守</w:t>
      </w:r>
      <w:r>
        <w:rPr>
          <w:rFonts w:hint="eastAsia" w:ascii="仿宋_GB2312" w:hAnsi="仿宋_GB2312" w:eastAsia="仿宋_GB2312" w:cs="仿宋_GB2312"/>
          <w:color w:val="auto"/>
          <w:kern w:val="10"/>
          <w:sz w:val="28"/>
          <w:szCs w:val="28"/>
          <w:highlight w:val="none"/>
        </w:rPr>
        <w:t>污水处理厂</w:t>
      </w:r>
      <w:r>
        <w:rPr>
          <w:rFonts w:hint="eastAsia" w:ascii="仿宋_GB2312" w:hAnsi="仿宋_GB2312" w:eastAsia="仿宋_GB2312" w:cs="仿宋_GB2312"/>
          <w:color w:val="auto"/>
          <w:sz w:val="28"/>
          <w:szCs w:val="28"/>
          <w:highlight w:val="none"/>
        </w:rPr>
        <w:t>一切规章制度。进入施工现场人员必须佩戴出入证，并自觉接受门岗检查。</w:t>
      </w:r>
    </w:p>
    <w:p w14:paraId="27EB9957">
      <w:pPr>
        <w:snapToGrid/>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6.5环境保护要求：</w:t>
      </w:r>
    </w:p>
    <w:p w14:paraId="323C5A6E">
      <w:pPr>
        <w:snapToGrid/>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（1）做好施工噪声、废气、废水等控制；</w:t>
      </w:r>
    </w:p>
    <w:p w14:paraId="6D4C93DD">
      <w:pPr>
        <w:snapToGrid/>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（2）按照国家及广州市相关规定做好建筑垃圾的处理。</w:t>
      </w:r>
    </w:p>
    <w:p w14:paraId="6FD494C4">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6.6按相关法律法规及甲方相关作业施工管理要求执行。</w:t>
      </w:r>
    </w:p>
    <w:p w14:paraId="6225D0EC">
      <w:pPr>
        <w:pStyle w:val="24"/>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6.7关于工程签证及变更</w:t>
      </w:r>
    </w:p>
    <w:p w14:paraId="6D53F6CD">
      <w:pPr>
        <w:pStyle w:val="24"/>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6.7.1 合同工程实施过程中如产生签证或变更，均需由甲乙双方、设计单位（如有）、监理单位（如有）协商一致，并以书面形式进行确认（具体流程按照甲方项目实施管理办法执行）。</w:t>
      </w:r>
    </w:p>
    <w:p w14:paraId="2077871A">
      <w:pPr>
        <w:pStyle w:val="24"/>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6.7.2任何未经确认的签证或变更，甲方不予确认支付。乙方自行承担所发生的费用及返工责任。</w:t>
      </w:r>
    </w:p>
    <w:p w14:paraId="7F6844C8">
      <w:pPr>
        <w:pStyle w:val="14"/>
        <w:spacing w:beforeLines="0" w:afterLines="0" w:line="560" w:lineRule="exact"/>
        <w:ind w:firstLine="560"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第七条</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材料及设备供应</w:t>
      </w:r>
    </w:p>
    <w:p w14:paraId="353FFDC8">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本项目承包范围内所需的设备材料、成品、未成品、运输、保管、质量等责任均由乙方承担。甲方不提供材料。</w:t>
      </w:r>
    </w:p>
    <w:p w14:paraId="4AD7D9E0">
      <w:pPr>
        <w:spacing w:beforeLines="0" w:afterLines="0" w:line="560" w:lineRule="exact"/>
        <w:ind w:left="-2" w:leftChars="-1"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7.1采购供应的材料、其名称、品种、型号、规格、质量等，均应符合国家、地方及行业有关规范及要求。</w:t>
      </w:r>
    </w:p>
    <w:p w14:paraId="1D003D49">
      <w:pPr>
        <w:spacing w:beforeLines="0" w:afterLines="0" w:line="560" w:lineRule="exact"/>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7.2所有材料必须具备合格证明，并保证产品的有效性。</w:t>
      </w:r>
    </w:p>
    <w:p w14:paraId="41FBB75D">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7.3由于乙方提供的伪劣、假冒等所有不合格材料而导致的损失、事故及一切后果，均由乙方负责并赔偿甲方所有损失，并负责更换所有已施工的不合格材料。</w:t>
      </w:r>
    </w:p>
    <w:p w14:paraId="46E4F770">
      <w:pPr>
        <w:tabs>
          <w:tab w:val="left" w:pos="360"/>
        </w:tabs>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7.4乙方必须根据投标文件/询价响应文件（如有）上主要材料的明细（包括厂家、规格、品质等级等）提供材料。工程实施时，如发现材料不一致，甲方有权拒用，造成损失由乙方承担。</w:t>
      </w:r>
    </w:p>
    <w:p w14:paraId="3138101D">
      <w:pPr>
        <w:tabs>
          <w:tab w:val="left" w:pos="360"/>
        </w:tabs>
        <w:spacing w:beforeLines="0" w:afterLines="0" w:line="560" w:lineRule="exact"/>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7.5 甲方有权对施工质量进行监督、检查或检验，也可自行委托第三方进行质量检验，甲方或第三方的检验结果作为最终的质量评定结果。</w:t>
      </w:r>
    </w:p>
    <w:p w14:paraId="38312B5A">
      <w:pPr>
        <w:pStyle w:val="24"/>
        <w:spacing w:beforeLines="0" w:afterLines="0" w:line="560" w:lineRule="exact"/>
        <w:ind w:firstLine="560" w:firstLineChars="200"/>
        <w:rPr>
          <w:rFonts w:hint="eastAsia"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7.6</w:t>
      </w:r>
      <w:r>
        <w:rPr>
          <w:rFonts w:hint="eastAsia" w:ascii="仿宋_GB2312" w:hAnsi="仿宋_GB2312" w:eastAsia="仿宋_GB2312" w:cs="仿宋_GB2312"/>
          <w:color w:val="auto"/>
          <w:sz w:val="28"/>
          <w:szCs w:val="28"/>
          <w:highlight w:val="none"/>
        </w:rPr>
        <w:t>甲方有权</w:t>
      </w:r>
      <w:r>
        <w:rPr>
          <w:rFonts w:hint="eastAsia" w:ascii="仿宋_GB2312" w:hAnsi="仿宋_GB2312" w:eastAsia="仿宋_GB2312" w:cs="仿宋_GB2312"/>
          <w:color w:val="auto"/>
          <w:sz w:val="28"/>
          <w:szCs w:val="28"/>
          <w:highlight w:val="none"/>
          <w:lang w:val="en-US" w:eastAsia="zh-CN"/>
        </w:rPr>
        <w:t>对施工材料进行抽样送检，送检不合格的，</w:t>
      </w:r>
      <w:r>
        <w:rPr>
          <w:rFonts w:hint="eastAsia" w:ascii="仿宋_GB2312" w:hAnsi="仿宋_GB2312" w:eastAsia="仿宋_GB2312" w:cs="仿宋_GB2312"/>
          <w:color w:val="auto"/>
          <w:sz w:val="28"/>
          <w:szCs w:val="28"/>
          <w:highlight w:val="none"/>
        </w:rPr>
        <w:t>对乙方处以</w:t>
      </w:r>
      <w:r>
        <w:rPr>
          <w:rFonts w:hint="eastAsia" w:ascii="仿宋_GB2312" w:hAnsi="仿宋_GB2312" w:eastAsia="仿宋_GB2312" w:cs="仿宋_GB2312"/>
          <w:color w:val="auto"/>
          <w:sz w:val="28"/>
          <w:szCs w:val="28"/>
          <w:highlight w:val="none"/>
          <w:u w:val="single"/>
          <w:lang w:val="en-US" w:eastAsia="zh-CN"/>
        </w:rPr>
        <w:t>该批材料价格的</w:t>
      </w:r>
      <w:r>
        <w:rPr>
          <w:rFonts w:hint="eastAsia" w:hAnsi="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z w:val="28"/>
          <w:szCs w:val="28"/>
          <w:highlight w:val="none"/>
        </w:rPr>
        <w:t>的处罚</w:t>
      </w:r>
      <w:r>
        <w:rPr>
          <w:rFonts w:hint="eastAsia" w:ascii="仿宋_GB2312" w:hAnsi="仿宋_GB2312" w:eastAsia="仿宋_GB2312" w:cs="仿宋_GB2312"/>
          <w:color w:val="auto"/>
          <w:sz w:val="28"/>
          <w:szCs w:val="28"/>
          <w:highlight w:val="none"/>
          <w:lang w:eastAsia="zh-CN"/>
        </w:rPr>
        <w:t>。检测费用先由乙方支付，如果检验结果为不合格，则该费用由乙方承担，如果检验结果为合格，则该费用由甲方承担。</w:t>
      </w:r>
    </w:p>
    <w:p w14:paraId="28BEBE5B">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 xml:space="preserve"> 承包范围之内工程所用之设备，由乙方提供。</w:t>
      </w:r>
      <w:r>
        <w:rPr>
          <w:rFonts w:hint="eastAsia" w:ascii="仿宋_GB2312" w:hAnsi="仿宋_GB2312" w:eastAsia="仿宋_GB2312" w:cs="仿宋_GB2312"/>
          <w:color w:val="auto"/>
          <w:sz w:val="28"/>
          <w:szCs w:val="28"/>
          <w:highlight w:val="none"/>
          <w:lang w:val="en-US" w:eastAsia="zh-CN"/>
        </w:rPr>
        <w:t xml:space="preserve"> </w:t>
      </w:r>
    </w:p>
    <w:p w14:paraId="69D1ED78">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第八条</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付</w:t>
      </w:r>
      <w:r>
        <w:rPr>
          <w:rFonts w:hint="eastAsia" w:ascii="仿宋_GB2312" w:hAnsi="仿宋_GB2312" w:eastAsia="仿宋_GB2312" w:cs="仿宋_GB2312"/>
          <w:b/>
          <w:color w:val="auto"/>
          <w:sz w:val="28"/>
          <w:szCs w:val="28"/>
          <w:highlight w:val="none"/>
        </w:rPr>
        <w:t>款及履约担保</w:t>
      </w:r>
    </w:p>
    <w:p w14:paraId="1BED7233">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8.1</w:t>
      </w:r>
      <w:r>
        <w:rPr>
          <w:rFonts w:hint="eastAsia" w:ascii="仿宋_GB2312" w:hAnsi="仿宋_GB2312" w:eastAsia="仿宋_GB2312" w:cs="仿宋_GB2312"/>
          <w:bCs w:val="0"/>
          <w:color w:val="auto"/>
          <w:sz w:val="28"/>
          <w:szCs w:val="28"/>
          <w:highlight w:val="none"/>
        </w:rPr>
        <w:t>预付款的支付：</w:t>
      </w:r>
      <w:r>
        <w:rPr>
          <w:rFonts w:hint="eastAsia" w:ascii="仿宋_GB2312" w:hAnsi="仿宋_GB2312" w:eastAsia="仿宋_GB2312" w:cs="仿宋_GB2312"/>
          <w:bCs w:val="0"/>
          <w:color w:val="auto"/>
          <w:sz w:val="28"/>
          <w:szCs w:val="28"/>
          <w:highlight w:val="none"/>
        </w:rPr>
        <w:sym w:font="Wingdings" w:char="F0A8"/>
      </w:r>
      <w:r>
        <w:rPr>
          <w:rFonts w:hint="eastAsia" w:ascii="仿宋_GB2312" w:hAnsi="仿宋_GB2312" w:eastAsia="仿宋_GB2312" w:cs="仿宋_GB2312"/>
          <w:bCs w:val="0"/>
          <w:color w:val="auto"/>
          <w:sz w:val="28"/>
          <w:szCs w:val="28"/>
          <w:highlight w:val="none"/>
        </w:rPr>
        <w:t>无；</w:t>
      </w:r>
      <w:r>
        <w:rPr>
          <w:rFonts w:hint="eastAsia" w:ascii="仿宋_GB2312" w:hAnsi="仿宋_GB2312" w:eastAsia="仿宋_GB2312" w:cs="仿宋_GB2312"/>
          <w:bCs w:val="0"/>
          <w:color w:val="auto"/>
          <w:sz w:val="28"/>
          <w:szCs w:val="28"/>
          <w:highlight w:val="none"/>
        </w:rPr>
        <w:sym w:font="Wingdings" w:char="00FE"/>
      </w:r>
      <w:r>
        <w:rPr>
          <w:rFonts w:hint="eastAsia" w:ascii="仿宋_GB2312" w:hAnsi="仿宋_GB2312" w:eastAsia="仿宋_GB2312" w:cs="仿宋_GB2312"/>
          <w:bCs w:val="0"/>
          <w:color w:val="auto"/>
          <w:sz w:val="28"/>
          <w:szCs w:val="28"/>
          <w:highlight w:val="none"/>
        </w:rPr>
        <w:t>有,合同签订后，乙方开具等额的增值税专用发票及</w:t>
      </w:r>
      <w:r>
        <w:rPr>
          <w:rFonts w:hint="eastAsia" w:ascii="仿宋_GB2312" w:hAnsi="仿宋_GB2312" w:eastAsia="仿宋_GB2312" w:cs="仿宋_GB2312"/>
          <w:bCs w:val="0"/>
          <w:color w:val="auto"/>
          <w:sz w:val="28"/>
          <w:szCs w:val="28"/>
          <w:highlight w:val="none"/>
          <w:u w:val="single"/>
          <w:lang w:val="en-US" w:eastAsia="zh-CN"/>
        </w:rPr>
        <w:t>提交预付款担保及履约担保</w:t>
      </w:r>
      <w:r>
        <w:rPr>
          <w:rFonts w:hint="eastAsia" w:ascii="仿宋_GB2312" w:hAnsi="仿宋_GB2312" w:eastAsia="仿宋_GB2312" w:cs="仿宋_GB2312"/>
          <w:bCs w:val="0"/>
          <w:color w:val="auto"/>
          <w:sz w:val="28"/>
          <w:szCs w:val="28"/>
          <w:highlight w:val="none"/>
        </w:rPr>
        <w:t>后</w:t>
      </w:r>
      <w:r>
        <w:rPr>
          <w:rFonts w:hint="eastAsia" w:ascii="仿宋_GB2312" w:hAnsi="仿宋_GB2312" w:eastAsia="仿宋_GB2312" w:cs="仿宋_GB2312"/>
          <w:bCs w:val="0"/>
          <w:color w:val="auto"/>
          <w:sz w:val="28"/>
          <w:szCs w:val="28"/>
          <w:highlight w:val="none"/>
          <w:u w:val="none"/>
        </w:rPr>
        <w:t xml:space="preserve"> </w:t>
      </w:r>
      <w:r>
        <w:rPr>
          <w:rFonts w:hint="eastAsia" w:ascii="仿宋_GB2312" w:hAnsi="仿宋_GB2312" w:eastAsia="仿宋_GB2312" w:cs="仿宋_GB2312"/>
          <w:bCs w:val="0"/>
          <w:color w:val="auto"/>
          <w:sz w:val="28"/>
          <w:szCs w:val="28"/>
          <w:highlight w:val="none"/>
          <w:u w:val="single"/>
        </w:rPr>
        <w:t>10 个</w:t>
      </w:r>
      <w:r>
        <w:rPr>
          <w:rFonts w:hint="eastAsia" w:ascii="仿宋_GB2312" w:hAnsi="仿宋_GB2312" w:eastAsia="仿宋_GB2312" w:cs="仿宋_GB2312"/>
          <w:bCs w:val="0"/>
          <w:color w:val="auto"/>
          <w:sz w:val="28"/>
          <w:szCs w:val="28"/>
          <w:highlight w:val="none"/>
        </w:rPr>
        <w:t>工作日内，甲方支付合同</w:t>
      </w:r>
      <w:r>
        <w:rPr>
          <w:rFonts w:hint="eastAsia" w:ascii="仿宋_GB2312" w:hAnsi="仿宋_GB2312" w:eastAsia="仿宋_GB2312" w:cs="仿宋_GB2312"/>
          <w:color w:val="auto"/>
          <w:sz w:val="28"/>
          <w:szCs w:val="28"/>
          <w:highlight w:val="none"/>
        </w:rPr>
        <w:t>暂定总价</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不含暂列金</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Cs w:val="0"/>
          <w:color w:val="auto"/>
          <w:sz w:val="28"/>
          <w:szCs w:val="28"/>
          <w:highlight w:val="none"/>
        </w:rPr>
        <w:t>的</w:t>
      </w:r>
      <w:r>
        <w:rPr>
          <w:rFonts w:hint="eastAsia" w:ascii="仿宋_GB2312" w:hAnsi="仿宋_GB2312" w:eastAsia="仿宋_GB2312" w:cs="仿宋_GB2312"/>
          <w:bCs w:val="0"/>
          <w:color w:val="auto"/>
          <w:sz w:val="28"/>
          <w:szCs w:val="28"/>
          <w:highlight w:val="none"/>
          <w:u w:val="single"/>
        </w:rPr>
        <w:t>30%</w:t>
      </w:r>
      <w:r>
        <w:rPr>
          <w:rFonts w:hint="eastAsia" w:ascii="仿宋_GB2312" w:hAnsi="仿宋_GB2312" w:eastAsia="仿宋_GB2312" w:cs="仿宋_GB2312"/>
          <w:bCs w:val="0"/>
          <w:color w:val="auto"/>
          <w:sz w:val="28"/>
          <w:szCs w:val="28"/>
          <w:highlight w:val="none"/>
          <w:u w:val="single"/>
          <w:lang w:val="en-US" w:eastAsia="zh-CN"/>
        </w:rPr>
        <w:t>即</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rPr>
        <w:t>元，（大写：</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bCs w:val="0"/>
          <w:color w:val="auto"/>
          <w:sz w:val="28"/>
          <w:szCs w:val="28"/>
          <w:highlight w:val="none"/>
        </w:rPr>
        <w:t>作为预付款。</w:t>
      </w:r>
      <w:r>
        <w:rPr>
          <w:rFonts w:hint="eastAsia" w:ascii="仿宋_GB2312" w:hAnsi="仿宋_GB2312" w:eastAsia="仿宋_GB2312" w:cs="仿宋_GB2312"/>
          <w:color w:val="auto"/>
          <w:sz w:val="28"/>
          <w:szCs w:val="28"/>
          <w:highlight w:val="none"/>
        </w:rPr>
        <w:t>若合同解除或终止，乙方在</w:t>
      </w:r>
      <w:r>
        <w:rPr>
          <w:rFonts w:hint="eastAsia" w:ascii="仿宋_GB2312" w:hAnsi="仿宋_GB2312" w:eastAsia="仿宋_GB2312" w:cs="仿宋_GB2312"/>
          <w:color w:val="auto"/>
          <w:sz w:val="28"/>
          <w:szCs w:val="28"/>
          <w:highlight w:val="none"/>
          <w:u w:val="none"/>
        </w:rPr>
        <w:t xml:space="preserve"> </w:t>
      </w:r>
      <w:r>
        <w:rPr>
          <w:rFonts w:hint="eastAsia" w:ascii="仿宋_GB2312" w:hAnsi="仿宋_GB2312" w:eastAsia="仿宋_GB2312" w:cs="仿宋_GB2312"/>
          <w:color w:val="auto"/>
          <w:sz w:val="28"/>
          <w:szCs w:val="28"/>
          <w:highlight w:val="none"/>
          <w:u w:val="single"/>
        </w:rPr>
        <w:t xml:space="preserve">5 </w:t>
      </w:r>
      <w:r>
        <w:rPr>
          <w:rFonts w:hint="eastAsia" w:ascii="仿宋_GB2312" w:hAnsi="仿宋_GB2312" w:eastAsia="仿宋_GB2312" w:cs="仿宋_GB2312"/>
          <w:color w:val="auto"/>
          <w:sz w:val="28"/>
          <w:szCs w:val="28"/>
          <w:highlight w:val="none"/>
        </w:rPr>
        <w:t>个工作日内返还预付款（无息）。</w:t>
      </w:r>
      <w:r>
        <w:rPr>
          <w:rFonts w:hint="eastAsia" w:ascii="仿宋_GB2312" w:hAnsi="仿宋_GB2312" w:eastAsia="仿宋_GB2312" w:cs="仿宋_GB2312"/>
          <w:bCs w:val="0"/>
          <w:color w:val="auto"/>
          <w:kern w:val="2"/>
          <w:sz w:val="28"/>
          <w:szCs w:val="28"/>
          <w:highlight w:val="none"/>
        </w:rPr>
        <w:t>逾期未返还，每逾期一天，乙方应按</w:t>
      </w:r>
      <w:r>
        <w:rPr>
          <w:rFonts w:hint="eastAsia" w:ascii="仿宋_GB2312" w:hAnsi="仿宋_GB2312" w:eastAsia="仿宋_GB2312" w:cs="仿宋_GB2312"/>
          <w:bCs w:val="0"/>
          <w:color w:val="auto"/>
          <w:kern w:val="2"/>
          <w:sz w:val="28"/>
          <w:szCs w:val="28"/>
          <w:highlight w:val="none"/>
          <w:u w:val="single"/>
        </w:rPr>
        <w:t>合同暂定总价的万分之五/天</w:t>
      </w:r>
      <w:r>
        <w:rPr>
          <w:rFonts w:hint="eastAsia" w:ascii="仿宋_GB2312" w:hAnsi="仿宋_GB2312" w:eastAsia="仿宋_GB2312" w:cs="仿宋_GB2312"/>
          <w:bCs w:val="0"/>
          <w:color w:val="auto"/>
          <w:kern w:val="2"/>
          <w:sz w:val="28"/>
          <w:szCs w:val="28"/>
          <w:highlight w:val="none"/>
        </w:rPr>
        <w:t>支付违约金</w:t>
      </w:r>
      <w:r>
        <w:rPr>
          <w:rFonts w:hint="eastAsia" w:ascii="仿宋_GB2312" w:hAnsi="仿宋_GB2312" w:eastAsia="仿宋_GB2312" w:cs="仿宋_GB2312"/>
          <w:color w:val="auto"/>
          <w:sz w:val="28"/>
          <w:szCs w:val="28"/>
          <w:highlight w:val="none"/>
        </w:rPr>
        <w:t>。</w:t>
      </w:r>
    </w:p>
    <w:p w14:paraId="60CB1D80">
      <w:pPr>
        <w:pStyle w:val="14"/>
        <w:spacing w:beforeLines="0" w:afterLines="0" w:line="560" w:lineRule="exact"/>
        <w:ind w:firstLine="560" w:firstLineChars="200"/>
        <w:outlineLvl w:val="1"/>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8.2各子项目完成安全备案审批表的审批且设备材料进场工作量达到或超过对应子项目合同暂定价的50%后，由乙方提交申请支付资料15个工作日内，甲方项目对应分公司支付至对应子项目合同暂定价</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不含暂列金</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的50％给乙方。</w:t>
      </w:r>
    </w:p>
    <w:p w14:paraId="39733F0A">
      <w:pPr>
        <w:pStyle w:val="14"/>
        <w:spacing w:beforeLines="0" w:afterLines="0" w:line="560" w:lineRule="exact"/>
        <w:ind w:firstLine="560" w:firstLineChars="200"/>
        <w:outlineLvl w:val="1"/>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Cs/>
          <w:color w:val="auto"/>
          <w:sz w:val="28"/>
          <w:szCs w:val="28"/>
          <w:highlight w:val="none"/>
          <w:u w:val="single"/>
          <w:lang w:val="en-US" w:eastAsia="zh-CN"/>
        </w:rPr>
        <w:t>子项项目</w:t>
      </w:r>
      <w:r>
        <w:rPr>
          <w:rFonts w:hint="eastAsia" w:ascii="仿宋_GB2312" w:hAnsi="仿宋_GB2312" w:eastAsia="仿宋_GB2312" w:cs="仿宋_GB2312"/>
          <w:bCs/>
          <w:color w:val="auto"/>
          <w:sz w:val="28"/>
          <w:szCs w:val="28"/>
          <w:highlight w:val="none"/>
          <w:u w:val="single"/>
        </w:rPr>
        <w:t>完工验收合格</w:t>
      </w:r>
      <w:r>
        <w:rPr>
          <w:rFonts w:hint="eastAsia" w:ascii="仿宋_GB2312" w:hAnsi="仿宋_GB2312" w:eastAsia="仿宋_GB2312" w:cs="仿宋_GB2312"/>
          <w:bCs/>
          <w:color w:val="auto"/>
          <w:sz w:val="28"/>
          <w:szCs w:val="28"/>
          <w:highlight w:val="none"/>
          <w:u w:val="single"/>
          <w:lang w:val="en-US" w:eastAsia="zh-CN"/>
        </w:rPr>
        <w:t>并提交工人工资结清证明（格式参照附件10）后</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color w:val="auto"/>
          <w:sz w:val="28"/>
          <w:szCs w:val="28"/>
          <w:highlight w:val="none"/>
          <w:u w:val="single"/>
        </w:rPr>
        <w:t>由乙方提交申请支付资料 15 个工作日内，甲方</w:t>
      </w:r>
      <w:r>
        <w:rPr>
          <w:rFonts w:hint="eastAsia" w:ascii="仿宋_GB2312" w:hAnsi="仿宋_GB2312" w:eastAsia="仿宋_GB2312" w:cs="仿宋_GB2312"/>
          <w:color w:val="auto"/>
          <w:sz w:val="28"/>
          <w:szCs w:val="28"/>
          <w:highlight w:val="none"/>
        </w:rPr>
        <w:t>项目对应分公司</w:t>
      </w:r>
      <w:r>
        <w:rPr>
          <w:rFonts w:hint="eastAsia" w:ascii="仿宋_GB2312" w:hAnsi="仿宋_GB2312" w:eastAsia="仿宋_GB2312" w:cs="仿宋_GB2312"/>
          <w:color w:val="auto"/>
          <w:sz w:val="28"/>
          <w:szCs w:val="28"/>
          <w:highlight w:val="none"/>
          <w:u w:val="single"/>
        </w:rPr>
        <w:t>支付</w:t>
      </w:r>
      <w:r>
        <w:rPr>
          <w:rFonts w:hint="eastAsia" w:ascii="仿宋_GB2312" w:hAnsi="仿宋_GB2312" w:eastAsia="仿宋_GB2312" w:cs="仿宋_GB2312"/>
          <w:color w:val="auto"/>
          <w:sz w:val="28"/>
          <w:szCs w:val="28"/>
          <w:highlight w:val="none"/>
          <w:u w:val="single"/>
          <w:lang w:eastAsia="zh-CN"/>
        </w:rPr>
        <w:t>至</w:t>
      </w:r>
      <w:r>
        <w:rPr>
          <w:rFonts w:hint="eastAsia" w:ascii="仿宋_GB2312" w:hAnsi="仿宋_GB2312" w:eastAsia="仿宋_GB2312" w:cs="仿宋_GB2312"/>
          <w:color w:val="auto"/>
          <w:sz w:val="28"/>
          <w:szCs w:val="28"/>
          <w:highlight w:val="none"/>
        </w:rPr>
        <w:t>对应子项目</w:t>
      </w:r>
      <w:r>
        <w:rPr>
          <w:rFonts w:hint="eastAsia" w:ascii="仿宋_GB2312" w:hAnsi="仿宋_GB2312" w:eastAsia="仿宋_GB2312" w:cs="仿宋_GB2312"/>
          <w:color w:val="auto"/>
          <w:sz w:val="28"/>
          <w:szCs w:val="28"/>
          <w:highlight w:val="none"/>
          <w:u w:val="single"/>
          <w:lang w:val="en-US" w:eastAsia="zh-CN"/>
        </w:rPr>
        <w:t>实际完成工作量</w:t>
      </w:r>
      <w:r>
        <w:rPr>
          <w:rFonts w:hint="eastAsia" w:ascii="仿宋_GB2312" w:hAnsi="仿宋_GB2312" w:eastAsia="仿宋_GB2312" w:cs="仿宋_GB2312"/>
          <w:color w:val="auto"/>
          <w:sz w:val="28"/>
          <w:szCs w:val="28"/>
          <w:highlight w:val="none"/>
          <w:u w:val="single"/>
        </w:rPr>
        <w:t>的</w:t>
      </w:r>
      <w:r>
        <w:rPr>
          <w:rFonts w:hint="eastAsia" w:ascii="仿宋_GB2312" w:hAnsi="仿宋_GB2312" w:eastAsia="仿宋_GB2312" w:cs="仿宋_GB2312"/>
          <w:color w:val="auto"/>
          <w:sz w:val="28"/>
          <w:szCs w:val="28"/>
          <w:highlight w:val="none"/>
          <w:u w:val="single"/>
          <w:lang w:val="en-US" w:eastAsia="zh-CN"/>
        </w:rPr>
        <w:t>80</w:t>
      </w:r>
      <w:r>
        <w:rPr>
          <w:rFonts w:hint="eastAsia" w:ascii="仿宋_GB2312" w:hAnsi="仿宋_GB2312" w:eastAsia="仿宋_GB2312" w:cs="仿宋_GB2312"/>
          <w:color w:val="auto"/>
          <w:sz w:val="28"/>
          <w:szCs w:val="28"/>
          <w:highlight w:val="none"/>
          <w:u w:val="single"/>
        </w:rPr>
        <w:t>％给乙方</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lang w:val="en-US" w:eastAsia="zh-CN"/>
        </w:rPr>
        <w:t>含预付款及已支付工人工资</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rPr>
        <w:t>。</w:t>
      </w:r>
    </w:p>
    <w:p w14:paraId="641DFEE8">
      <w:pPr>
        <w:tabs>
          <w:tab w:val="left" w:pos="0"/>
        </w:tabs>
        <w:adjustRightInd/>
        <w:snapToGrid/>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w:t>
      </w:r>
      <w:r>
        <w:rPr>
          <w:rFonts w:hint="default" w:ascii="仿宋_GB2312" w:hAnsi="仿宋_GB2312" w:eastAsia="仿宋_GB2312" w:cs="仿宋_GB2312"/>
          <w:color w:val="auto"/>
          <w:sz w:val="28"/>
          <w:szCs w:val="28"/>
          <w:highlight w:val="none"/>
          <w:lang w:val="en-US"/>
        </w:rPr>
        <w:t>2</w:t>
      </w: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u w:val="single"/>
          <w:lang w:val="en-US" w:eastAsia="zh-CN"/>
        </w:rPr>
        <w:t>子项目竣工验收合格后，</w:t>
      </w:r>
      <w:r>
        <w:rPr>
          <w:rFonts w:hint="eastAsia" w:ascii="仿宋_GB2312" w:hAnsi="仿宋_GB2312" w:eastAsia="仿宋_GB2312" w:cs="仿宋_GB2312"/>
          <w:color w:val="auto"/>
          <w:sz w:val="28"/>
          <w:szCs w:val="28"/>
          <w:highlight w:val="none"/>
          <w:lang w:val="en-US" w:eastAsia="zh-CN"/>
        </w:rPr>
        <w:t>经甲方或</w:t>
      </w:r>
      <w:r>
        <w:rPr>
          <w:rFonts w:hint="eastAsia" w:ascii="仿宋_GB2312" w:hAnsi="仿宋_GB2312" w:eastAsia="仿宋_GB2312" w:cs="仿宋_GB2312"/>
          <w:color w:val="auto"/>
          <w:sz w:val="28"/>
          <w:szCs w:val="28"/>
          <w:highlight w:val="none"/>
        </w:rPr>
        <w:t>甲方委托有资质第三方机构审核后，由乙方提交申请支付资料</w:t>
      </w:r>
      <w:r>
        <w:rPr>
          <w:rFonts w:hint="eastAsia" w:ascii="仿宋_GB2312" w:hAnsi="仿宋_GB2312" w:eastAsia="仿宋_GB2312" w:cs="仿宋_GB2312"/>
          <w:color w:val="auto"/>
          <w:sz w:val="28"/>
          <w:szCs w:val="28"/>
          <w:highlight w:val="none"/>
          <w:u w:val="single"/>
        </w:rPr>
        <w:t xml:space="preserve"> 15 </w:t>
      </w:r>
      <w:r>
        <w:rPr>
          <w:rFonts w:hint="eastAsia" w:ascii="仿宋_GB2312" w:hAnsi="仿宋_GB2312" w:eastAsia="仿宋_GB2312" w:cs="仿宋_GB2312"/>
          <w:color w:val="auto"/>
          <w:sz w:val="28"/>
          <w:szCs w:val="28"/>
          <w:highlight w:val="none"/>
        </w:rPr>
        <w:t>个工作日内，甲方项目对应分公司支付至</w:t>
      </w:r>
      <w:r>
        <w:rPr>
          <w:rFonts w:hint="eastAsia" w:ascii="仿宋_GB2312" w:hAnsi="仿宋_GB2312" w:eastAsia="仿宋_GB2312" w:cs="仿宋_GB2312"/>
          <w:color w:val="auto"/>
          <w:sz w:val="28"/>
          <w:szCs w:val="28"/>
          <w:highlight w:val="none"/>
          <w:lang w:val="en-US" w:eastAsia="zh-CN"/>
        </w:rPr>
        <w:t>对应</w:t>
      </w:r>
      <w:r>
        <w:rPr>
          <w:rFonts w:hint="eastAsia" w:ascii="仿宋_GB2312" w:hAnsi="仿宋_GB2312" w:eastAsia="仿宋_GB2312" w:cs="仿宋_GB2312"/>
          <w:color w:val="auto"/>
          <w:sz w:val="28"/>
          <w:szCs w:val="28"/>
          <w:highlight w:val="none"/>
          <w:u w:val="single"/>
          <w:lang w:val="en-US" w:eastAsia="zh-CN"/>
        </w:rPr>
        <w:t>子项目</w:t>
      </w:r>
      <w:r>
        <w:rPr>
          <w:rFonts w:hint="eastAsia" w:ascii="仿宋_GB2312" w:hAnsi="仿宋_GB2312" w:eastAsia="仿宋_GB2312" w:cs="仿宋_GB2312"/>
          <w:color w:val="auto"/>
          <w:sz w:val="28"/>
          <w:szCs w:val="28"/>
          <w:highlight w:val="none"/>
          <w:u w:val="single"/>
        </w:rPr>
        <w:t>结算价</w:t>
      </w:r>
      <w:r>
        <w:rPr>
          <w:rFonts w:hint="eastAsia" w:ascii="仿宋_GB2312" w:hAnsi="仿宋_GB2312" w:eastAsia="仿宋_GB2312" w:cs="仿宋_GB2312"/>
          <w:color w:val="auto"/>
          <w:sz w:val="28"/>
          <w:szCs w:val="28"/>
          <w:highlight w:val="none"/>
        </w:rPr>
        <w:t>的9</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(含因乙方未按规定履行合同约定而产生的各种违约金、扣罚金、赔偿金以及应由乙方交纳的各种费用等)</w:t>
      </w:r>
      <w:r>
        <w:rPr>
          <w:rFonts w:hint="eastAsia" w:ascii="仿宋_GB2312" w:hAnsi="仿宋_GB2312" w:eastAsia="仿宋_GB2312" w:cs="仿宋_GB2312"/>
          <w:color w:val="auto"/>
          <w:sz w:val="28"/>
          <w:szCs w:val="28"/>
          <w:highlight w:val="none"/>
        </w:rPr>
        <w:t>。</w:t>
      </w:r>
    </w:p>
    <w:p w14:paraId="0678A0A7">
      <w:pPr>
        <w:spacing w:beforeLines="0" w:afterLines="0" w:line="560" w:lineRule="exact"/>
        <w:ind w:firstLine="560" w:firstLineChars="200"/>
        <w:outlineLvl w:val="1"/>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w:t>
      </w:r>
      <w:r>
        <w:rPr>
          <w:rFonts w:hint="default" w:ascii="仿宋_GB2312" w:hAnsi="仿宋_GB2312" w:eastAsia="仿宋_GB2312" w:cs="仿宋_GB2312"/>
          <w:color w:val="auto"/>
          <w:sz w:val="28"/>
          <w:szCs w:val="28"/>
          <w:highlight w:val="none"/>
          <w:lang w:val="en-US"/>
        </w:rPr>
        <w:t>2</w:t>
      </w:r>
      <w:r>
        <w:rPr>
          <w:rFonts w:hint="eastAsia" w:ascii="仿宋_GB2312" w:hAnsi="仿宋_GB2312" w:eastAsia="仿宋_GB2312" w:cs="仿宋_GB2312"/>
          <w:color w:val="auto"/>
          <w:sz w:val="28"/>
          <w:szCs w:val="28"/>
          <w:highlight w:val="none"/>
        </w:rPr>
        <w:t>.2质保期按合同第十条规定执行，质保期满后且乙方不存在违约情形，由乙方提交申请质保金退还资料</w:t>
      </w:r>
      <w:r>
        <w:rPr>
          <w:rFonts w:hint="eastAsia" w:ascii="仿宋_GB2312" w:hAnsi="仿宋_GB2312" w:eastAsia="仿宋_GB2312" w:cs="仿宋_GB2312"/>
          <w:color w:val="auto"/>
          <w:sz w:val="28"/>
          <w:szCs w:val="28"/>
          <w:highlight w:val="none"/>
          <w:u w:val="single"/>
        </w:rPr>
        <w:t xml:space="preserve"> 15 </w:t>
      </w:r>
      <w:r>
        <w:rPr>
          <w:rFonts w:hint="eastAsia" w:ascii="仿宋_GB2312" w:hAnsi="仿宋_GB2312" w:eastAsia="仿宋_GB2312" w:cs="仿宋_GB2312"/>
          <w:color w:val="auto"/>
          <w:sz w:val="28"/>
          <w:szCs w:val="28"/>
          <w:highlight w:val="none"/>
        </w:rPr>
        <w:t>个工作日内，甲方</w:t>
      </w:r>
      <w:r>
        <w:rPr>
          <w:rFonts w:hint="eastAsia" w:ascii="仿宋_GB2312" w:hAnsi="仿宋_GB2312" w:eastAsia="仿宋_GB2312" w:cs="仿宋_GB2312"/>
          <w:color w:val="auto"/>
          <w:sz w:val="28"/>
          <w:szCs w:val="28"/>
          <w:highlight w:val="none"/>
          <w:lang w:val="en-US" w:eastAsia="zh-CN"/>
        </w:rPr>
        <w:t>项目对应分公司</w:t>
      </w:r>
      <w:r>
        <w:rPr>
          <w:rFonts w:hint="eastAsia" w:ascii="仿宋_GB2312" w:hAnsi="仿宋_GB2312" w:eastAsia="仿宋_GB2312" w:cs="仿宋_GB2312"/>
          <w:color w:val="auto"/>
          <w:sz w:val="28"/>
          <w:szCs w:val="28"/>
          <w:highlight w:val="none"/>
        </w:rPr>
        <w:t>支付</w:t>
      </w:r>
      <w:r>
        <w:rPr>
          <w:rFonts w:hint="eastAsia" w:ascii="仿宋_GB2312" w:hAnsi="仿宋_GB2312" w:eastAsia="仿宋_GB2312" w:cs="仿宋_GB2312"/>
          <w:color w:val="auto"/>
          <w:sz w:val="28"/>
          <w:szCs w:val="28"/>
          <w:highlight w:val="none"/>
          <w:lang w:val="en-US" w:eastAsia="zh-CN"/>
        </w:rPr>
        <w:t>对应</w:t>
      </w:r>
      <w:r>
        <w:rPr>
          <w:rFonts w:hint="eastAsia" w:ascii="仿宋_GB2312" w:hAnsi="仿宋_GB2312" w:eastAsia="仿宋_GB2312" w:cs="仿宋_GB2312"/>
          <w:color w:val="auto"/>
          <w:sz w:val="28"/>
          <w:szCs w:val="28"/>
          <w:highlight w:val="none"/>
          <w:u w:val="single"/>
          <w:lang w:val="en-US" w:eastAsia="zh-CN"/>
        </w:rPr>
        <w:t>子项目</w:t>
      </w:r>
      <w:r>
        <w:rPr>
          <w:rFonts w:hint="eastAsia" w:ascii="仿宋_GB2312" w:hAnsi="仿宋_GB2312" w:eastAsia="仿宋_GB2312" w:cs="仿宋_GB2312"/>
          <w:color w:val="auto"/>
          <w:sz w:val="28"/>
          <w:szCs w:val="28"/>
          <w:highlight w:val="none"/>
          <w:u w:val="single"/>
        </w:rPr>
        <w:t>结算价</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％（质保金）给乙方（无息）。</w:t>
      </w:r>
    </w:p>
    <w:p w14:paraId="0164D3BD">
      <w:pPr>
        <w:keepNext w:val="0"/>
        <w:keepLines w:val="0"/>
        <w:pageBreakBefore w:val="0"/>
        <w:widowControl w:val="0"/>
        <w:kinsoku/>
        <w:wordWrap/>
        <w:overflowPunct/>
        <w:bidi w:val="0"/>
        <w:spacing w:beforeLines="0" w:afterLines="0" w:line="560" w:lineRule="exact"/>
        <w:ind w:firstLine="548"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lang w:val="en-US" w:eastAsia="zh-CN"/>
        </w:rPr>
        <w:t>8.</w:t>
      </w:r>
      <w:r>
        <w:rPr>
          <w:rFonts w:hint="default" w:ascii="仿宋_GB2312" w:hAnsi="仿宋_GB2312" w:eastAsia="仿宋_GB2312" w:cs="仿宋_GB2312"/>
          <w:color w:val="auto"/>
          <w:spacing w:val="-3"/>
          <w:sz w:val="28"/>
          <w:szCs w:val="28"/>
          <w:highlight w:val="none"/>
          <w:lang w:val="en-US" w:eastAsia="zh-CN"/>
        </w:rPr>
        <w:t>3</w:t>
      </w:r>
      <w:r>
        <w:rPr>
          <w:rFonts w:hint="eastAsia" w:ascii="仿宋_GB2312" w:hAnsi="仿宋_GB2312" w:eastAsia="仿宋_GB2312" w:cs="仿宋_GB2312"/>
          <w:color w:val="auto"/>
          <w:spacing w:val="-3"/>
          <w:sz w:val="28"/>
          <w:szCs w:val="28"/>
          <w:highlight w:val="none"/>
        </w:rPr>
        <w:t>如出现合同费用超付，乙方应在获知超付之日起</w:t>
      </w:r>
      <w:r>
        <w:rPr>
          <w:rFonts w:hint="eastAsia" w:ascii="仿宋_GB2312" w:hAnsi="仿宋_GB2312" w:eastAsia="仿宋_GB2312" w:cs="仿宋_GB2312"/>
          <w:color w:val="auto"/>
          <w:spacing w:val="-3"/>
          <w:sz w:val="28"/>
          <w:szCs w:val="28"/>
          <w:highlight w:val="none"/>
          <w:u w:val="single"/>
        </w:rPr>
        <w:t>7个</w:t>
      </w:r>
      <w:r>
        <w:rPr>
          <w:rFonts w:hint="eastAsia" w:ascii="仿宋_GB2312" w:hAnsi="仿宋_GB2312" w:eastAsia="仿宋_GB2312" w:cs="仿宋_GB2312"/>
          <w:color w:val="auto"/>
          <w:spacing w:val="-3"/>
          <w:sz w:val="28"/>
          <w:szCs w:val="28"/>
          <w:highlight w:val="none"/>
        </w:rPr>
        <w:t>工作日内返还超付款项（无息）。</w:t>
      </w:r>
      <w:r>
        <w:rPr>
          <w:rFonts w:hint="eastAsia" w:ascii="仿宋_GB2312" w:hAnsi="仿宋_GB2312" w:eastAsia="仿宋_GB2312" w:cs="仿宋_GB2312"/>
          <w:color w:val="auto"/>
          <w:sz w:val="28"/>
          <w:szCs w:val="28"/>
          <w:highlight w:val="none"/>
        </w:rPr>
        <w:t>每逾期一周乙方承担超付款项的</w:t>
      </w:r>
      <w:r>
        <w:rPr>
          <w:rFonts w:hint="eastAsia" w:ascii="仿宋_GB2312" w:hAnsi="仿宋_GB2312" w:eastAsia="仿宋_GB2312" w:cs="仿宋_GB2312"/>
          <w:color w:val="auto"/>
          <w:sz w:val="28"/>
          <w:szCs w:val="28"/>
          <w:highlight w:val="none"/>
          <w:u w:val="single"/>
        </w:rPr>
        <w:t>1%</w:t>
      </w:r>
      <w:r>
        <w:rPr>
          <w:rFonts w:hint="eastAsia" w:ascii="仿宋_GB2312" w:hAnsi="仿宋_GB2312" w:eastAsia="仿宋_GB2312" w:cs="仿宋_GB2312"/>
          <w:color w:val="auto"/>
          <w:sz w:val="28"/>
          <w:szCs w:val="28"/>
          <w:highlight w:val="none"/>
        </w:rPr>
        <w:t>的逾期违约金，且支付超付款项相应存款利息。</w:t>
      </w:r>
    </w:p>
    <w:p w14:paraId="714072B0">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default"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结算审定价超过合同暂定总价时，暂停合同的工程款支付程序，签订补充协议后支付。</w:t>
      </w:r>
    </w:p>
    <w:p w14:paraId="6A6E0FA2">
      <w:pPr>
        <w:pStyle w:val="14"/>
        <w:spacing w:beforeLines="0" w:afterLines="0" w:line="560" w:lineRule="exact"/>
        <w:ind w:firstLine="560" w:firstLineChars="200"/>
        <w:outlineLvl w:val="1"/>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w:t>
      </w:r>
      <w:r>
        <w:rPr>
          <w:rFonts w:hint="default"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本项目工程款的支付单位为：</w:t>
      </w:r>
      <w:r>
        <w:rPr>
          <w:rFonts w:hint="eastAsia" w:ascii="仿宋_GB2312" w:hAnsi="仿宋_GB2312" w:eastAsia="仿宋_GB2312" w:cs="仿宋_GB2312"/>
          <w:color w:val="auto"/>
          <w:sz w:val="28"/>
          <w:szCs w:val="28"/>
          <w:highlight w:val="none"/>
          <w:u w:val="single"/>
          <w:lang w:val="en-US" w:eastAsia="zh-CN"/>
        </w:rPr>
        <w:t xml:space="preserve">甲方项目对应分公司 </w:t>
      </w:r>
    </w:p>
    <w:p w14:paraId="3C87F004">
      <w:pPr>
        <w:spacing w:beforeLines="0" w:afterLines="0" w:line="560" w:lineRule="exact"/>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8.</w:t>
      </w:r>
      <w:r>
        <w:rPr>
          <w:rFonts w:hint="default"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乙方收款账户：</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rPr>
        <w:t>；</w:t>
      </w:r>
    </w:p>
    <w:p w14:paraId="0AC23C64">
      <w:pPr>
        <w:spacing w:beforeLines="0" w:afterLines="0" w:line="560" w:lineRule="exact"/>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收款账号：</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rPr>
        <w:t>；</w:t>
      </w:r>
    </w:p>
    <w:p w14:paraId="099F03EC">
      <w:pPr>
        <w:spacing w:beforeLines="0" w:afterLines="0" w:line="560" w:lineRule="exact"/>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开户行：</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rPr>
        <w:t>；</w:t>
      </w:r>
    </w:p>
    <w:p w14:paraId="0E056F32">
      <w:pPr>
        <w:spacing w:beforeLines="0" w:afterLines="0" w:line="560" w:lineRule="exact"/>
        <w:ind w:firstLine="560" w:firstLineChars="200"/>
        <w:outlineLvl w:val="9"/>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lang w:val="en-US" w:eastAsia="zh-CN"/>
        </w:rPr>
        <w:t>8.</w:t>
      </w:r>
      <w:r>
        <w:rPr>
          <w:rFonts w:hint="default"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乙方在收款前需提交等额增值税专用发票给甲方</w:t>
      </w:r>
      <w:r>
        <w:rPr>
          <w:rFonts w:hint="eastAsia" w:ascii="仿宋_GB2312" w:hAnsi="仿宋_GB2312" w:eastAsia="仿宋_GB2312" w:cs="仿宋_GB2312"/>
          <w:color w:val="auto"/>
          <w:sz w:val="28"/>
          <w:szCs w:val="28"/>
          <w:highlight w:val="none"/>
          <w:lang w:eastAsia="zh-CN"/>
        </w:rPr>
        <w:t>，乙方提交的发票被作废或红冲的，在乙方更换有效发票前，甲方有权要求退回该发票对应的已支付款项并不再给予支付后续的全部合同款项，由此造成甲方损失的，由乙方承担赔偿责任</w:t>
      </w:r>
      <w:r>
        <w:rPr>
          <w:rFonts w:hint="eastAsia" w:ascii="仿宋_GB2312" w:hAnsi="仿宋_GB2312" w:eastAsia="仿宋_GB2312" w:cs="仿宋_GB2312"/>
          <w:color w:val="auto"/>
          <w:sz w:val="28"/>
          <w:szCs w:val="28"/>
          <w:highlight w:val="none"/>
        </w:rPr>
        <w:t>。增值税专用发票信息：</w:t>
      </w:r>
    </w:p>
    <w:p w14:paraId="3F6EFBA2">
      <w:pPr>
        <w:spacing w:beforeLines="0" w:afterLines="0" w:line="560" w:lineRule="exact"/>
        <w:ind w:firstLine="560" w:firstLineChars="200"/>
        <w:outlineLvl w:val="9"/>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lang w:val="en-US" w:eastAsia="zh-CN"/>
        </w:rPr>
        <w:t>名称：广州市净水有限公司</w:t>
      </w:r>
    </w:p>
    <w:p w14:paraId="5E7461B0">
      <w:pPr>
        <w:spacing w:beforeLines="0" w:afterLines="0" w:line="560" w:lineRule="exact"/>
        <w:ind w:firstLine="560" w:firstLineChars="200"/>
        <w:outlineLvl w:val="9"/>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lang w:val="en-US" w:eastAsia="zh-CN"/>
        </w:rPr>
        <w:t>税号：91440101755584729Q</w:t>
      </w:r>
    </w:p>
    <w:p w14:paraId="54D9FCA8">
      <w:pPr>
        <w:spacing w:beforeLines="0" w:afterLines="0" w:line="560" w:lineRule="exact"/>
        <w:ind w:firstLine="560" w:firstLineChars="200"/>
        <w:outlineLvl w:val="9"/>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lang w:val="en-US" w:eastAsia="zh-CN"/>
        </w:rPr>
        <w:t>地址：广州市天河区临江大道501号</w:t>
      </w:r>
    </w:p>
    <w:p w14:paraId="1C70897E">
      <w:pPr>
        <w:spacing w:beforeLines="0" w:afterLines="0" w:line="560" w:lineRule="exact"/>
        <w:ind w:firstLine="560" w:firstLineChars="200"/>
        <w:outlineLvl w:val="9"/>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lang w:val="en-US" w:eastAsia="zh-CN"/>
        </w:rPr>
        <w:t>账号名：广州市净水有限公司</w:t>
      </w:r>
    </w:p>
    <w:p w14:paraId="7B679F80">
      <w:pPr>
        <w:spacing w:beforeLines="0" w:afterLines="0" w:line="560" w:lineRule="exact"/>
        <w:ind w:firstLine="560" w:firstLineChars="200"/>
        <w:outlineLvl w:val="9"/>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lang w:val="en-US" w:eastAsia="zh-CN"/>
        </w:rPr>
        <w:t>开户行：民生银行广州分行</w:t>
      </w:r>
    </w:p>
    <w:p w14:paraId="23EFFFF4">
      <w:pPr>
        <w:spacing w:beforeLines="0" w:afterLines="0" w:line="560" w:lineRule="exact"/>
        <w:ind w:firstLine="560" w:firstLineChars="200"/>
        <w:outlineLvl w:val="9"/>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lang w:val="en-US" w:eastAsia="zh-CN"/>
        </w:rPr>
        <w:t>银行账号：0301014140006932</w:t>
      </w:r>
    </w:p>
    <w:p w14:paraId="2966692A">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8.</w:t>
      </w:r>
      <w:r>
        <w:rPr>
          <w:rFonts w:hint="default"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b/>
          <w:color w:val="auto"/>
          <w:sz w:val="28"/>
          <w:szCs w:val="28"/>
          <w:highlight w:val="none"/>
        </w:rPr>
        <w:t>履约担保</w:t>
      </w:r>
      <w:r>
        <w:rPr>
          <w:rFonts w:hint="eastAsia" w:ascii="仿宋_GB2312" w:hAnsi="仿宋_GB2312" w:eastAsia="仿宋_GB2312" w:cs="仿宋_GB2312"/>
          <w:b/>
          <w:color w:val="auto"/>
          <w:sz w:val="28"/>
          <w:szCs w:val="28"/>
          <w:highlight w:val="none"/>
          <w:lang w:val="en-US" w:eastAsia="zh-CN"/>
        </w:rPr>
        <w:t>及预付款担保</w:t>
      </w:r>
    </w:p>
    <w:p w14:paraId="00C973BC">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履约担保：</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bCs/>
          <w:color w:val="auto"/>
          <w:sz w:val="28"/>
          <w:szCs w:val="28"/>
          <w:highlight w:val="none"/>
        </w:rPr>
        <w:t xml:space="preserve">无；    </w:t>
      </w:r>
      <w:r>
        <w:rPr>
          <w:rFonts w:hint="eastAsia" w:ascii="仿宋_GB2312" w:hAnsi="仿宋_GB2312" w:eastAsia="仿宋_GB2312" w:cs="仿宋_GB2312"/>
          <w:bCs/>
          <w:color w:val="auto"/>
          <w:sz w:val="28"/>
          <w:szCs w:val="28"/>
          <w:highlight w:val="none"/>
        </w:rPr>
        <w:sym w:font="Wingdings" w:char="00FE"/>
      </w:r>
      <w:r>
        <w:rPr>
          <w:rFonts w:hint="eastAsia" w:ascii="仿宋_GB2312" w:hAnsi="仿宋_GB2312" w:eastAsia="仿宋_GB2312" w:cs="仿宋_GB2312"/>
          <w:bCs/>
          <w:color w:val="auto"/>
          <w:sz w:val="28"/>
          <w:szCs w:val="28"/>
          <w:highlight w:val="none"/>
        </w:rPr>
        <w:t>有，</w:t>
      </w:r>
      <w:r>
        <w:rPr>
          <w:rFonts w:hint="eastAsia" w:ascii="仿宋_GB2312" w:hAnsi="仿宋_GB2312" w:eastAsia="仿宋_GB2312" w:cs="仿宋_GB2312"/>
          <w:bCs/>
          <w:color w:val="auto"/>
          <w:sz w:val="28"/>
          <w:szCs w:val="28"/>
          <w:highlight w:val="none"/>
          <w:lang w:val="en-US" w:eastAsia="zh-CN"/>
        </w:rPr>
        <w:t>乙方于</w:t>
      </w:r>
      <w:r>
        <w:rPr>
          <w:rFonts w:hint="eastAsia" w:ascii="仿宋_GB2312" w:hAnsi="仿宋_GB2312" w:eastAsia="仿宋_GB2312" w:cs="仿宋_GB2312"/>
          <w:color w:val="auto"/>
          <w:sz w:val="28"/>
          <w:szCs w:val="28"/>
          <w:highlight w:val="none"/>
        </w:rPr>
        <w:t>本合同签订后</w:t>
      </w:r>
      <w:r>
        <w:rPr>
          <w:rFonts w:hint="eastAsia" w:ascii="仿宋_GB2312" w:hAnsi="仿宋_GB2312" w:eastAsia="仿宋_GB2312" w:cs="仿宋_GB2312"/>
          <w:color w:val="auto"/>
          <w:sz w:val="28"/>
          <w:szCs w:val="28"/>
          <w:highlight w:val="none"/>
          <w:u w:val="single"/>
        </w:rPr>
        <w:t>10</w:t>
      </w:r>
      <w:r>
        <w:rPr>
          <w:rFonts w:hint="eastAsia" w:ascii="仿宋_GB2312" w:hAnsi="仿宋_GB2312" w:eastAsia="仿宋_GB2312" w:cs="仿宋_GB2312"/>
          <w:color w:val="auto"/>
          <w:sz w:val="28"/>
          <w:szCs w:val="28"/>
          <w:highlight w:val="none"/>
        </w:rPr>
        <w:t>日内</w:t>
      </w:r>
      <w:r>
        <w:rPr>
          <w:rFonts w:hint="eastAsia" w:ascii="仿宋_GB2312" w:hAnsi="仿宋_GB2312" w:eastAsia="仿宋_GB2312" w:cs="仿宋_GB2312"/>
          <w:color w:val="auto"/>
          <w:sz w:val="28"/>
          <w:szCs w:val="28"/>
          <w:highlight w:val="none"/>
          <w:u w:val="single"/>
          <w:lang w:val="en-US" w:eastAsia="zh-CN"/>
        </w:rPr>
        <w:t>按照</w:t>
      </w:r>
      <w:r>
        <w:rPr>
          <w:rFonts w:hint="eastAsia" w:ascii="仿宋_GB2312" w:hAnsi="仿宋_GB2312" w:eastAsia="仿宋_GB2312" w:cs="仿宋_GB2312"/>
          <w:color w:val="auto"/>
          <w:sz w:val="28"/>
          <w:szCs w:val="28"/>
          <w:highlight w:val="none"/>
          <w:u w:val="single"/>
        </w:rPr>
        <w:t>合同暂定</w:t>
      </w:r>
      <w:r>
        <w:rPr>
          <w:rFonts w:hint="eastAsia" w:ascii="仿宋_GB2312" w:hAnsi="仿宋_GB2312" w:eastAsia="仿宋_GB2312" w:cs="仿宋_GB2312"/>
          <w:color w:val="auto"/>
          <w:sz w:val="28"/>
          <w:szCs w:val="28"/>
          <w:highlight w:val="none"/>
          <w:u w:val="single"/>
          <w:lang w:val="en-US" w:eastAsia="zh-CN"/>
        </w:rPr>
        <w:t>总</w:t>
      </w:r>
      <w:r>
        <w:rPr>
          <w:rFonts w:hint="eastAsia" w:ascii="仿宋_GB2312" w:hAnsi="仿宋_GB2312" w:eastAsia="仿宋_GB2312" w:cs="仿宋_GB2312"/>
          <w:color w:val="auto"/>
          <w:sz w:val="28"/>
          <w:szCs w:val="28"/>
          <w:highlight w:val="none"/>
          <w:u w:val="single"/>
        </w:rPr>
        <w:t>价的</w:t>
      </w:r>
      <w:r>
        <w:rPr>
          <w:rFonts w:hint="eastAsia" w:ascii="仿宋_GB2312" w:hAnsi="仿宋_GB2312" w:eastAsia="仿宋_GB2312" w:cs="仿宋_GB2312"/>
          <w:color w:val="auto"/>
          <w:sz w:val="28"/>
          <w:szCs w:val="28"/>
          <w:highlight w:val="none"/>
          <w:u w:val="single"/>
          <w:lang w:val="en-US" w:eastAsia="zh-CN"/>
        </w:rPr>
        <w:t>1</w:t>
      </w:r>
      <w:r>
        <w:rPr>
          <w:rFonts w:hint="eastAsia" w:ascii="仿宋_GB2312" w:hAnsi="仿宋_GB2312" w:eastAsia="仿宋_GB2312" w:cs="仿宋_GB2312"/>
          <w:color w:val="auto"/>
          <w:sz w:val="28"/>
          <w:szCs w:val="28"/>
          <w:highlight w:val="none"/>
          <w:u w:val="single"/>
        </w:rPr>
        <w:t>0%</w:t>
      </w:r>
      <w:r>
        <w:rPr>
          <w:rFonts w:hint="eastAsia" w:ascii="仿宋_GB2312" w:hAnsi="仿宋_GB2312" w:eastAsia="仿宋_GB2312" w:cs="仿宋_GB2312"/>
          <w:color w:val="auto"/>
          <w:sz w:val="28"/>
          <w:szCs w:val="28"/>
          <w:highlight w:val="none"/>
          <w:u w:val="single"/>
          <w:lang w:val="en-US" w:eastAsia="zh-CN"/>
        </w:rPr>
        <w:t>提交</w:t>
      </w:r>
      <w:r>
        <w:rPr>
          <w:rFonts w:hint="eastAsia" w:ascii="仿宋_GB2312" w:hAnsi="仿宋_GB2312" w:eastAsia="仿宋_GB2312" w:cs="仿宋_GB2312"/>
          <w:color w:val="auto"/>
          <w:sz w:val="28"/>
          <w:szCs w:val="28"/>
          <w:highlight w:val="none"/>
          <w:u w:val="single"/>
        </w:rPr>
        <w:t>履约</w:t>
      </w:r>
      <w:r>
        <w:rPr>
          <w:rFonts w:hint="eastAsia" w:ascii="仿宋_GB2312" w:hAnsi="仿宋_GB2312" w:eastAsia="仿宋_GB2312" w:cs="仿宋_GB2312"/>
          <w:color w:val="auto"/>
          <w:sz w:val="28"/>
          <w:szCs w:val="28"/>
          <w:highlight w:val="none"/>
          <w:u w:val="single"/>
          <w:lang w:val="en-US" w:eastAsia="zh-CN"/>
        </w:rPr>
        <w:t>担保</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rPr>
        <w:t>金额为：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rPr>
        <w:t>（大写人民币：</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未按时提供履约担保的，甲方有权解除合同并要求乙方支付</w:t>
      </w:r>
      <w:r>
        <w:rPr>
          <w:rFonts w:hint="eastAsia" w:ascii="仿宋_GB2312" w:hAnsi="仿宋_GB2312" w:eastAsia="仿宋_GB2312" w:cs="仿宋_GB2312"/>
          <w:color w:val="auto"/>
          <w:sz w:val="28"/>
          <w:szCs w:val="28"/>
          <w:highlight w:val="none"/>
          <w:u w:val="single"/>
        </w:rPr>
        <w:t>合同暂定总价20%</w:t>
      </w:r>
      <w:r>
        <w:rPr>
          <w:rFonts w:hint="eastAsia" w:ascii="仿宋_GB2312" w:hAnsi="仿宋_GB2312" w:eastAsia="仿宋_GB2312" w:cs="仿宋_GB2312"/>
          <w:color w:val="auto"/>
          <w:sz w:val="28"/>
          <w:szCs w:val="28"/>
          <w:highlight w:val="none"/>
        </w:rPr>
        <w:t>作为违约金。</w:t>
      </w:r>
    </w:p>
    <w:p w14:paraId="43060A7E">
      <w:pPr>
        <w:pStyle w:val="21"/>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default"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履约担保按以下任一种形式提供：</w:t>
      </w:r>
    </w:p>
    <w:p w14:paraId="3141411C">
      <w:pPr>
        <w:pStyle w:val="21"/>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（1）符合甲方要求（详见附件</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保函格式）的银行独立保函</w:t>
      </w:r>
      <w:r>
        <w:rPr>
          <w:rFonts w:hint="eastAsia" w:ascii="仿宋_GB2312" w:hAnsi="仿宋_GB2312" w:eastAsia="仿宋_GB2312" w:cs="仿宋_GB2312"/>
          <w:color w:val="auto"/>
          <w:sz w:val="28"/>
          <w:szCs w:val="28"/>
          <w:highlight w:val="none"/>
          <w:lang w:eastAsia="zh-CN"/>
        </w:rPr>
        <w:t>；</w:t>
      </w:r>
    </w:p>
    <w:p w14:paraId="4D7C9D9E">
      <w:pPr>
        <w:pStyle w:val="21"/>
        <w:widowControl w:val="0"/>
        <w:numPr>
          <w:ilvl w:val="12"/>
          <w:numId w:val="0"/>
        </w:numPr>
        <w:spacing w:before="0" w:beforeLines="0" w:beforeAutospacing="0" w:after="0" w:afterLines="0" w:afterAutospacing="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（2）担保公司担保：</w:t>
      </w:r>
      <w:r>
        <w:rPr>
          <w:rFonts w:hint="eastAsia" w:ascii="仿宋_GB2312" w:hAnsi="仿宋_GB2312" w:eastAsia="仿宋_GB2312" w:cs="仿宋_GB2312"/>
          <w:color w:val="auto"/>
          <w:sz w:val="28"/>
          <w:szCs w:val="28"/>
          <w:highlight w:val="none"/>
          <w:lang w:val="en-US" w:eastAsia="zh-CN"/>
        </w:rPr>
        <w:t>项目</w:t>
      </w:r>
      <w:r>
        <w:rPr>
          <w:rFonts w:hint="eastAsia" w:ascii="仿宋_GB2312" w:hAnsi="仿宋_GB2312" w:eastAsia="仿宋_GB2312" w:cs="仿宋_GB2312"/>
          <w:color w:val="auto"/>
          <w:sz w:val="28"/>
          <w:szCs w:val="28"/>
          <w:highlight w:val="none"/>
        </w:rPr>
        <w:t>所在地担保公司出具并经</w:t>
      </w:r>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rPr>
        <w:t>认可的无条件、不可撤销的连带担保</w:t>
      </w:r>
      <w:r>
        <w:rPr>
          <w:rFonts w:hint="eastAsia" w:ascii="仿宋_GB2312" w:hAnsi="仿宋_GB2312" w:eastAsia="仿宋_GB2312" w:cs="仿宋_GB2312"/>
          <w:color w:val="auto"/>
          <w:sz w:val="28"/>
          <w:szCs w:val="28"/>
          <w:highlight w:val="none"/>
          <w:lang w:eastAsia="zh-CN"/>
        </w:rPr>
        <w:t>；</w:t>
      </w:r>
    </w:p>
    <w:p w14:paraId="5F7E5845">
      <w:pPr>
        <w:pStyle w:val="21"/>
        <w:widowControl w:val="0"/>
        <w:numPr>
          <w:ilvl w:val="12"/>
          <w:numId w:val="0"/>
        </w:numPr>
        <w:spacing w:before="0" w:beforeLines="0" w:beforeAutospacing="0" w:after="0" w:afterLines="0" w:afterAutospacing="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保证保险：</w:t>
      </w:r>
      <w:r>
        <w:rPr>
          <w:rFonts w:hint="eastAsia" w:ascii="仿宋_GB2312" w:hAnsi="仿宋_GB2312" w:eastAsia="仿宋_GB2312" w:cs="仿宋_GB2312"/>
          <w:color w:val="auto"/>
          <w:sz w:val="28"/>
          <w:szCs w:val="28"/>
          <w:highlight w:val="none"/>
          <w:lang w:val="en-US" w:eastAsia="zh-CN"/>
        </w:rPr>
        <w:t>项目</w:t>
      </w:r>
      <w:r>
        <w:rPr>
          <w:rFonts w:hint="eastAsia" w:ascii="仿宋_GB2312" w:hAnsi="仿宋_GB2312" w:eastAsia="仿宋_GB2312" w:cs="仿宋_GB2312"/>
          <w:color w:val="auto"/>
          <w:sz w:val="28"/>
          <w:szCs w:val="28"/>
          <w:highlight w:val="none"/>
        </w:rPr>
        <w:t>所在地保险公司出具并经</w:t>
      </w:r>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rPr>
        <w:t>认可的无条件、不可撤销的保证保险</w:t>
      </w:r>
      <w:r>
        <w:rPr>
          <w:rFonts w:hint="eastAsia" w:ascii="仿宋_GB2312" w:hAnsi="仿宋_GB2312" w:eastAsia="仿宋_GB2312" w:cs="仿宋_GB2312"/>
          <w:color w:val="auto"/>
          <w:sz w:val="28"/>
          <w:szCs w:val="28"/>
          <w:highlight w:val="none"/>
          <w:lang w:eastAsia="zh-CN"/>
        </w:rPr>
        <w:t>；</w:t>
      </w:r>
    </w:p>
    <w:p w14:paraId="63751861">
      <w:pPr>
        <w:pStyle w:val="21"/>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现金转账至甲方以下指定账户：</w:t>
      </w:r>
    </w:p>
    <w:p w14:paraId="24F0E23F">
      <w:pPr>
        <w:keepNext w:val="0"/>
        <w:keepLines w:val="0"/>
        <w:pageBreakBefore w:val="0"/>
        <w:widowControl w:val="0"/>
        <w:tabs>
          <w:tab w:val="left" w:pos="1995"/>
        </w:tabs>
        <w:kinsoku/>
        <w:wordWrap/>
        <w:overflowPunct/>
        <w:bidi w:val="0"/>
        <w:spacing w:beforeLines="0" w:afterLines="0" w:line="560" w:lineRule="exact"/>
        <w:ind w:firstLine="560" w:firstLineChars="200"/>
        <w:rPr>
          <w:rFonts w:hint="eastAsia" w:ascii="仿宋_GB2312" w:hAnsi="仿宋_GB2312" w:eastAsia="仿宋_GB2312" w:cs="仿宋_GB2312"/>
          <w:bCs/>
          <w:color w:val="auto"/>
          <w:sz w:val="28"/>
          <w:szCs w:val="28"/>
          <w:highlight w:val="none"/>
          <w:u w:val="single"/>
          <w:lang w:eastAsia="zh-CN"/>
        </w:rPr>
      </w:pPr>
      <w:r>
        <w:rPr>
          <w:rFonts w:hint="eastAsia" w:ascii="仿宋_GB2312" w:hAnsi="仿宋_GB2312" w:eastAsia="仿宋_GB2312" w:cs="仿宋_GB2312"/>
          <w:bCs/>
          <w:color w:val="auto"/>
          <w:sz w:val="28"/>
          <w:szCs w:val="28"/>
          <w:highlight w:val="none"/>
          <w:u w:val="none"/>
        </w:rPr>
        <w:t>户名：</w:t>
      </w:r>
      <w:r>
        <w:rPr>
          <w:rFonts w:hint="eastAsia" w:ascii="仿宋_GB2312" w:hAnsi="仿宋_GB2312" w:eastAsia="仿宋_GB2312" w:cs="仿宋_GB2312"/>
          <w:bCs/>
          <w:color w:val="auto"/>
          <w:sz w:val="28"/>
          <w:szCs w:val="28"/>
          <w:highlight w:val="none"/>
          <w:u w:val="single"/>
          <w:lang w:val="en-US" w:eastAsia="zh-CN"/>
        </w:rPr>
        <w:t xml:space="preserve"> 广州市净水有限公司</w:t>
      </w:r>
    </w:p>
    <w:p w14:paraId="78044500">
      <w:pPr>
        <w:keepNext w:val="0"/>
        <w:keepLines w:val="0"/>
        <w:pageBreakBefore w:val="0"/>
        <w:widowControl w:val="0"/>
        <w:tabs>
          <w:tab w:val="left" w:pos="1995"/>
        </w:tabs>
        <w:kinsoku/>
        <w:wordWrap/>
        <w:overflowPunct/>
        <w:bidi w:val="0"/>
        <w:spacing w:beforeLines="0" w:afterLines="0" w:line="560" w:lineRule="exact"/>
        <w:ind w:firstLine="560" w:firstLineChars="200"/>
        <w:rPr>
          <w:rFonts w:hint="eastAsia" w:ascii="仿宋_GB2312" w:hAnsi="仿宋_GB2312" w:eastAsia="仿宋_GB2312" w:cs="仿宋_GB2312"/>
          <w:bCs/>
          <w:color w:val="auto"/>
          <w:sz w:val="28"/>
          <w:szCs w:val="28"/>
          <w:highlight w:val="none"/>
          <w:u w:val="single"/>
          <w:lang w:eastAsia="zh-CN"/>
        </w:rPr>
      </w:pPr>
      <w:r>
        <w:rPr>
          <w:rFonts w:hint="eastAsia" w:ascii="仿宋_GB2312" w:hAnsi="仿宋_GB2312" w:eastAsia="仿宋_GB2312" w:cs="仿宋_GB2312"/>
          <w:bCs/>
          <w:color w:val="auto"/>
          <w:sz w:val="28"/>
          <w:szCs w:val="28"/>
          <w:highlight w:val="none"/>
          <w:u w:val="none"/>
        </w:rPr>
        <w:t>账号：</w:t>
      </w:r>
      <w:r>
        <w:rPr>
          <w:rFonts w:hint="eastAsia" w:ascii="仿宋_GB2312" w:hAnsi="仿宋_GB2312" w:eastAsia="仿宋_GB2312" w:cs="仿宋_GB2312"/>
          <w:bCs/>
          <w:color w:val="auto"/>
          <w:sz w:val="28"/>
          <w:szCs w:val="28"/>
          <w:highlight w:val="none"/>
          <w:u w:val="single"/>
          <w:lang w:val="en-US" w:eastAsia="zh-CN"/>
        </w:rPr>
        <w:t xml:space="preserve"> 82010154900000342 </w:t>
      </w:r>
    </w:p>
    <w:p w14:paraId="4254B963">
      <w:pPr>
        <w:keepNext w:val="0"/>
        <w:keepLines w:val="0"/>
        <w:pageBreakBefore w:val="0"/>
        <w:widowControl w:val="0"/>
        <w:tabs>
          <w:tab w:val="left" w:pos="1995"/>
        </w:tabs>
        <w:kinsoku/>
        <w:wordWrap/>
        <w:overflowPunct/>
        <w:bidi w:val="0"/>
        <w:spacing w:beforeLines="0" w:afterLines="0" w:line="560" w:lineRule="exact"/>
        <w:ind w:firstLine="560" w:firstLineChars="200"/>
        <w:rPr>
          <w:rFonts w:hint="eastAsia" w:ascii="仿宋_GB2312" w:hAnsi="仿宋_GB2312" w:eastAsia="仿宋_GB2312" w:cs="仿宋_GB2312"/>
          <w:bCs/>
          <w:color w:val="auto"/>
          <w:sz w:val="28"/>
          <w:szCs w:val="28"/>
          <w:highlight w:val="none"/>
          <w:u w:val="single"/>
          <w:lang w:eastAsia="zh-CN"/>
        </w:rPr>
      </w:pPr>
      <w:r>
        <w:rPr>
          <w:rFonts w:hint="eastAsia" w:ascii="仿宋_GB2312" w:hAnsi="仿宋_GB2312" w:eastAsia="仿宋_GB2312" w:cs="仿宋_GB2312"/>
          <w:bCs/>
          <w:color w:val="auto"/>
          <w:sz w:val="28"/>
          <w:szCs w:val="28"/>
          <w:highlight w:val="none"/>
          <w:u w:val="none"/>
        </w:rPr>
        <w:t>开户行：</w:t>
      </w:r>
      <w:r>
        <w:rPr>
          <w:rFonts w:hint="eastAsia" w:ascii="仿宋_GB2312" w:hAnsi="仿宋_GB2312" w:eastAsia="仿宋_GB2312" w:cs="仿宋_GB2312"/>
          <w:bCs/>
          <w:color w:val="auto"/>
          <w:sz w:val="28"/>
          <w:szCs w:val="28"/>
          <w:highlight w:val="none"/>
          <w:u w:val="single"/>
          <w:lang w:val="en-US" w:eastAsia="zh-CN"/>
        </w:rPr>
        <w:t xml:space="preserve"> 浦发银行广州分行 </w:t>
      </w:r>
    </w:p>
    <w:p w14:paraId="3FFC379B">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default"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履约担保的担保期限和返还</w:t>
      </w:r>
    </w:p>
    <w:p w14:paraId="0967043F">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担保期限：从提供履约担保（或转账成功）之日起至</w:t>
      </w:r>
      <w:r>
        <w:rPr>
          <w:rFonts w:hint="eastAsia" w:ascii="仿宋_GB2312" w:hAnsi="仿宋_GB2312" w:eastAsia="仿宋_GB2312" w:cs="仿宋_GB2312"/>
          <w:color w:val="auto"/>
          <w:sz w:val="28"/>
          <w:szCs w:val="28"/>
          <w:highlight w:val="none"/>
          <w:lang w:val="en-US" w:eastAsia="zh-CN"/>
        </w:rPr>
        <w:t>项目（全部子项目）结算完成</w:t>
      </w:r>
      <w:r>
        <w:rPr>
          <w:rFonts w:hint="eastAsia" w:ascii="仿宋_GB2312" w:hAnsi="仿宋_GB2312" w:eastAsia="仿宋_GB2312" w:cs="仿宋_GB2312"/>
          <w:color w:val="auto"/>
          <w:sz w:val="28"/>
          <w:szCs w:val="28"/>
          <w:highlight w:val="none"/>
        </w:rPr>
        <w:t>。</w:t>
      </w:r>
    </w:p>
    <w:p w14:paraId="69D88D2D">
      <w:pPr>
        <w:keepNext w:val="0"/>
        <w:keepLines w:val="0"/>
        <w:pageBreakBefore w:val="0"/>
        <w:widowControl w:val="0"/>
        <w:kinsoku/>
        <w:wordWrap/>
        <w:overflowPunct/>
        <w:bidi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履约银行保函</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担保公司担保、保证保险</w:t>
      </w:r>
      <w:r>
        <w:rPr>
          <w:rFonts w:hint="eastAsia"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sz w:val="28"/>
          <w:szCs w:val="28"/>
          <w:highlight w:val="none"/>
          <w:lang w:val="en-US" w:eastAsia="zh-CN"/>
        </w:rPr>
        <w:t>项目（全部子项目）结算完成</w:t>
      </w:r>
      <w:r>
        <w:rPr>
          <w:rFonts w:hint="eastAsia" w:ascii="仿宋_GB2312" w:hAnsi="仿宋_GB2312" w:eastAsia="仿宋_GB2312" w:cs="仿宋_GB2312"/>
          <w:color w:val="auto"/>
          <w:sz w:val="28"/>
          <w:szCs w:val="28"/>
          <w:highlight w:val="none"/>
        </w:rPr>
        <w:t>后，由乙方提出申请，甲方在28日内返还，不支付利息：</w:t>
      </w:r>
    </w:p>
    <w:p w14:paraId="4ACFEA3D">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延长担保期限。乙方应在履约担保有效期届满之日的7天前，向</w:t>
      </w:r>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rPr>
        <w:t>提交同样格式且更新日期后的有效担保替代原担保，否则，每逾期一天，</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rPr>
        <w:t>应向</w:t>
      </w:r>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rPr>
        <w:t>支付违约金</w:t>
      </w:r>
      <w:r>
        <w:rPr>
          <w:rFonts w:hint="eastAsia" w:ascii="仿宋_GB2312" w:hAnsi="仿宋_GB2312" w:eastAsia="仿宋_GB2312" w:cs="仿宋_GB2312"/>
          <w:color w:val="auto"/>
          <w:sz w:val="28"/>
          <w:szCs w:val="28"/>
          <w:highlight w:val="none"/>
          <w:u w:val="single"/>
        </w:rPr>
        <w:t>2万元/天</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且</w:t>
      </w:r>
      <w:r>
        <w:rPr>
          <w:rFonts w:hint="eastAsia" w:ascii="仿宋_GB2312" w:hAnsi="仿宋_GB2312" w:eastAsia="仿宋_GB2312" w:cs="仿宋_GB2312"/>
          <w:color w:val="auto"/>
          <w:sz w:val="28"/>
          <w:szCs w:val="28"/>
          <w:highlight w:val="none"/>
        </w:rPr>
        <w:t>甲方有权提取全部履约担保金额并解除合同。</w:t>
      </w:r>
    </w:p>
    <w:p w14:paraId="5080EE86">
      <w:pPr>
        <w:pStyle w:val="21"/>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现金履约保证金的退还：</w:t>
      </w:r>
      <w:r>
        <w:rPr>
          <w:rFonts w:hint="eastAsia" w:ascii="仿宋_GB2312" w:hAnsi="仿宋_GB2312" w:eastAsia="仿宋_GB2312" w:cs="仿宋_GB2312"/>
          <w:color w:val="auto"/>
          <w:sz w:val="28"/>
          <w:szCs w:val="28"/>
          <w:highlight w:val="none"/>
          <w:lang w:val="en-US" w:eastAsia="zh-CN"/>
        </w:rPr>
        <w:t>项目（全部子项目）结算完成</w:t>
      </w:r>
      <w:r>
        <w:rPr>
          <w:rFonts w:hint="eastAsia" w:ascii="仿宋_GB2312" w:hAnsi="仿宋_GB2312" w:eastAsia="仿宋_GB2312" w:cs="仿宋_GB2312"/>
          <w:color w:val="auto"/>
          <w:sz w:val="28"/>
          <w:szCs w:val="28"/>
          <w:highlight w:val="none"/>
        </w:rPr>
        <w:t>后，由乙方提出申请，甲方在</w:t>
      </w:r>
      <w:r>
        <w:rPr>
          <w:rFonts w:hint="eastAsia" w:ascii="仿宋_GB2312" w:hAnsi="仿宋_GB2312" w:eastAsia="仿宋_GB2312" w:cs="仿宋_GB2312"/>
          <w:color w:val="auto"/>
          <w:sz w:val="28"/>
          <w:szCs w:val="28"/>
          <w:highlight w:val="none"/>
          <w:u w:val="single"/>
        </w:rPr>
        <w:t>28日</w:t>
      </w:r>
      <w:r>
        <w:rPr>
          <w:rFonts w:hint="eastAsia" w:ascii="仿宋_GB2312" w:hAnsi="仿宋_GB2312" w:eastAsia="仿宋_GB2312" w:cs="仿宋_GB2312"/>
          <w:color w:val="auto"/>
          <w:sz w:val="28"/>
          <w:szCs w:val="28"/>
          <w:highlight w:val="none"/>
        </w:rPr>
        <w:t>内将剩余保证金（无息）返还。</w:t>
      </w:r>
    </w:p>
    <w:p w14:paraId="3929D6EF">
      <w:pPr>
        <w:keepNext w:val="0"/>
        <w:keepLines w:val="0"/>
        <w:pageBreakBefore w:val="0"/>
        <w:widowControl w:val="0"/>
        <w:kinsoku/>
        <w:wordWrap/>
        <w:overflowPunct/>
        <w:bidi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default"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甲方按本合同规定提取履约担保金额后，乙方应在收到甲方通知后</w:t>
      </w:r>
      <w:r>
        <w:rPr>
          <w:rFonts w:hint="eastAsia" w:ascii="仿宋_GB2312" w:hAnsi="仿宋_GB2312" w:eastAsia="仿宋_GB2312" w:cs="仿宋_GB2312"/>
          <w:color w:val="auto"/>
          <w:sz w:val="28"/>
          <w:szCs w:val="28"/>
          <w:highlight w:val="none"/>
          <w:u w:val="single"/>
        </w:rPr>
        <w:t xml:space="preserve">  7  </w:t>
      </w:r>
      <w:r>
        <w:rPr>
          <w:rFonts w:hint="eastAsia" w:ascii="仿宋_GB2312" w:hAnsi="仿宋_GB2312" w:eastAsia="仿宋_GB2312" w:cs="仿宋_GB2312"/>
          <w:color w:val="auto"/>
          <w:sz w:val="28"/>
          <w:szCs w:val="28"/>
          <w:highlight w:val="none"/>
        </w:rPr>
        <w:t>日内补足数额，逾期未补足的，则甲方有权提取履约担保的全部余额并解除合同。</w:t>
      </w:r>
    </w:p>
    <w:p w14:paraId="3326F27C">
      <w:pPr>
        <w:spacing w:beforeLines="0" w:afterLines="0" w:line="560" w:lineRule="exact"/>
        <w:ind w:left="478" w:leftChars="228" w:firstLine="0" w:firstLineChars="0"/>
        <w:rPr>
          <w:rFonts w:hint="eastAsia" w:ascii="仿宋_GB2312" w:hAnsi="仿宋_GB2312" w:eastAsia="仿宋_GB2312" w:cs="仿宋_GB2312"/>
          <w:i w:val="0"/>
          <w:iCs w:val="0"/>
          <w:caps w:val="0"/>
          <w:color w:val="auto"/>
          <w:spacing w:val="0"/>
          <w:sz w:val="28"/>
          <w:szCs w:val="28"/>
          <w:highlight w:val="none"/>
          <w:shd w:val="clear"/>
          <w:lang w:eastAsia="zh-CN"/>
        </w:rPr>
      </w:pPr>
      <w:r>
        <w:rPr>
          <w:rFonts w:hint="eastAsia" w:ascii="仿宋_GB2312" w:hAnsi="仿宋_GB2312" w:eastAsia="仿宋_GB2312" w:cs="仿宋_GB2312"/>
          <w:color w:val="auto"/>
          <w:sz w:val="28"/>
          <w:szCs w:val="28"/>
          <w:highlight w:val="none"/>
        </w:rPr>
        <w:t>8.</w:t>
      </w:r>
      <w:r>
        <w:rPr>
          <w:rFonts w:hint="default"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i w:val="0"/>
          <w:iCs w:val="0"/>
          <w:caps w:val="0"/>
          <w:color w:val="auto"/>
          <w:spacing w:val="0"/>
          <w:sz w:val="28"/>
          <w:szCs w:val="28"/>
          <w:highlight w:val="none"/>
          <w:shd w:val="clear"/>
        </w:rPr>
        <w:t>预付款担保</w:t>
      </w:r>
    </w:p>
    <w:p w14:paraId="37306607">
      <w:pPr>
        <w:spacing w:beforeLines="0" w:afterLines="0" w:line="560" w:lineRule="exact"/>
        <w:ind w:left="0" w:leftChars="0" w:firstLine="560" w:firstLineChars="200"/>
        <w:rPr>
          <w:rFonts w:hint="eastAsia" w:ascii="仿宋_GB2312" w:hAnsi="仿宋_GB2312" w:eastAsia="仿宋_GB2312" w:cs="仿宋_GB2312"/>
          <w:i w:val="0"/>
          <w:iCs w:val="0"/>
          <w:caps w:val="0"/>
          <w:color w:val="auto"/>
          <w:spacing w:val="0"/>
          <w:sz w:val="28"/>
          <w:szCs w:val="28"/>
          <w:highlight w:val="none"/>
          <w:shd w:val="clear"/>
        </w:rPr>
      </w:pPr>
      <w:r>
        <w:rPr>
          <w:rFonts w:hint="eastAsia" w:ascii="仿宋_GB2312" w:hAnsi="仿宋_GB2312" w:eastAsia="仿宋_GB2312" w:cs="仿宋_GB2312"/>
          <w:i w:val="0"/>
          <w:iCs w:val="0"/>
          <w:caps w:val="0"/>
          <w:color w:val="auto"/>
          <w:spacing w:val="0"/>
          <w:sz w:val="28"/>
          <w:szCs w:val="28"/>
          <w:highlight w:val="none"/>
          <w:shd w:val="clear"/>
        </w:rPr>
        <w:t>（1）</w:t>
      </w:r>
      <w:r>
        <w:rPr>
          <w:rFonts w:hint="eastAsia" w:ascii="仿宋_GB2312" w:hAnsi="仿宋_GB2312" w:eastAsia="仿宋_GB2312" w:cs="仿宋_GB2312"/>
          <w:color w:val="auto"/>
          <w:kern w:val="0"/>
          <w:sz w:val="28"/>
          <w:szCs w:val="28"/>
          <w:highlight w:val="none"/>
          <w:lang w:val="en-US" w:eastAsia="zh-CN"/>
        </w:rPr>
        <w:t>乙方向甲方提供无条件、不可撤销的银行独立保函作为预付款担保（预付款保函格式详见附件）。</w:t>
      </w:r>
      <w:r>
        <w:rPr>
          <w:rFonts w:hint="eastAsia" w:ascii="仿宋_GB2312" w:hAnsi="仿宋_GB2312" w:eastAsia="仿宋_GB2312" w:cs="仿宋_GB2312"/>
          <w:i w:val="0"/>
          <w:iCs w:val="0"/>
          <w:caps w:val="0"/>
          <w:color w:val="auto"/>
          <w:spacing w:val="0"/>
          <w:sz w:val="28"/>
          <w:szCs w:val="28"/>
          <w:highlight w:val="none"/>
          <w:shd w:val="clear"/>
        </w:rPr>
        <w:t>预付款担保的担保金额应与预付款金额相同。预付款从应支付给乙方的进度款中扣回。</w:t>
      </w:r>
    </w:p>
    <w:p w14:paraId="1008410B">
      <w:pPr>
        <w:spacing w:beforeLines="0" w:afterLines="0" w:line="560" w:lineRule="exact"/>
        <w:ind w:left="0" w:leftChars="0" w:firstLine="560" w:firstLineChars="200"/>
        <w:rPr>
          <w:rFonts w:hint="eastAsia" w:ascii="仿宋_GB2312" w:hAnsi="仿宋_GB2312" w:eastAsia="仿宋_GB2312" w:cs="仿宋_GB2312"/>
          <w:i w:val="0"/>
          <w:iCs w:val="0"/>
          <w:caps w:val="0"/>
          <w:color w:val="auto"/>
          <w:spacing w:val="0"/>
          <w:sz w:val="28"/>
          <w:szCs w:val="28"/>
          <w:highlight w:val="none"/>
          <w:shd w:val="clear"/>
        </w:rPr>
      </w:pPr>
      <w:r>
        <w:rPr>
          <w:rFonts w:hint="eastAsia" w:ascii="仿宋_GB2312" w:hAnsi="仿宋_GB2312" w:eastAsia="仿宋_GB2312" w:cs="仿宋_GB2312"/>
          <w:i w:val="0"/>
          <w:iCs w:val="0"/>
          <w:caps w:val="0"/>
          <w:color w:val="auto"/>
          <w:spacing w:val="0"/>
          <w:sz w:val="28"/>
          <w:szCs w:val="28"/>
          <w:highlight w:val="none"/>
          <w:shd w:val="clear"/>
        </w:rPr>
        <w:t>（2）预付款担保应在预付款扣清后</w:t>
      </w:r>
      <w:r>
        <w:rPr>
          <w:rFonts w:hint="eastAsia" w:ascii="仿宋_GB2312" w:hAnsi="仿宋_GB2312" w:eastAsia="仿宋_GB2312" w:cs="仿宋_GB2312"/>
          <w:i w:val="0"/>
          <w:iCs w:val="0"/>
          <w:caps w:val="0"/>
          <w:color w:val="auto"/>
          <w:spacing w:val="0"/>
          <w:sz w:val="28"/>
          <w:szCs w:val="28"/>
          <w:highlight w:val="none"/>
          <w:u w:val="single"/>
          <w:shd w:val="clear"/>
          <w:lang w:eastAsia="zh-CN"/>
        </w:rPr>
        <w:t xml:space="preserve"> </w:t>
      </w:r>
      <w:r>
        <w:rPr>
          <w:rFonts w:hint="eastAsia" w:ascii="仿宋_GB2312" w:hAnsi="仿宋_GB2312" w:eastAsia="仿宋_GB2312" w:cs="仿宋_GB2312"/>
          <w:i w:val="0"/>
          <w:iCs w:val="0"/>
          <w:caps w:val="0"/>
          <w:color w:val="auto"/>
          <w:spacing w:val="0"/>
          <w:sz w:val="28"/>
          <w:szCs w:val="28"/>
          <w:highlight w:val="none"/>
          <w:u w:val="single"/>
          <w:shd w:val="clear"/>
          <w:lang w:val="en-US" w:eastAsia="zh-CN"/>
        </w:rPr>
        <w:t>28</w:t>
      </w:r>
      <w:r>
        <w:rPr>
          <w:rFonts w:hint="eastAsia" w:ascii="仿宋_GB2312" w:hAnsi="仿宋_GB2312" w:eastAsia="仿宋_GB2312" w:cs="仿宋_GB2312"/>
          <w:i w:val="0"/>
          <w:iCs w:val="0"/>
          <w:caps w:val="0"/>
          <w:color w:val="auto"/>
          <w:spacing w:val="0"/>
          <w:sz w:val="28"/>
          <w:szCs w:val="28"/>
          <w:highlight w:val="none"/>
          <w:shd w:val="clear"/>
        </w:rPr>
        <w:t>日内退还给乙方。甲方不承</w:t>
      </w:r>
    </w:p>
    <w:p w14:paraId="779573E0">
      <w:pPr>
        <w:spacing w:beforeLines="0" w:afterLines="0" w:line="560" w:lineRule="exact"/>
        <w:ind w:left="0" w:leftChars="0"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sz w:val="28"/>
          <w:szCs w:val="28"/>
          <w:highlight w:val="none"/>
          <w:shd w:val="clear"/>
        </w:rPr>
        <w:t>担乙方与预付款担保有关的任何利息或其他类似的费用或收益</w:t>
      </w:r>
      <w:r>
        <w:rPr>
          <w:rFonts w:hint="eastAsia" w:ascii="仿宋_GB2312" w:hAnsi="仿宋_GB2312" w:eastAsia="仿宋_GB2312" w:cs="仿宋_GB2312"/>
          <w:i w:val="0"/>
          <w:iCs w:val="0"/>
          <w:caps w:val="0"/>
          <w:color w:val="auto"/>
          <w:spacing w:val="0"/>
          <w:sz w:val="28"/>
          <w:szCs w:val="28"/>
          <w:highlight w:val="none"/>
          <w:shd w:val="clear"/>
          <w:lang w:eastAsia="zh-CN"/>
        </w:rPr>
        <w:t>。</w:t>
      </w:r>
    </w:p>
    <w:p w14:paraId="75130295">
      <w:pPr>
        <w:adjustRightInd/>
        <w:snapToGrid/>
        <w:spacing w:beforeLines="0" w:afterLines="0" w:line="560" w:lineRule="exact"/>
        <w:ind w:firstLine="560" w:firstLineChars="200"/>
        <w:jc w:val="left"/>
        <w:outlineLvl w:val="9"/>
        <w:rPr>
          <w:rFonts w:hint="eastAsia" w:ascii="仿宋_GB2312" w:hAnsi="仿宋_GB2312" w:eastAsia="仿宋_GB2312" w:cs="仿宋_GB2312"/>
          <w:bCs/>
          <w:color w:val="auto"/>
          <w:sz w:val="28"/>
          <w:szCs w:val="28"/>
          <w:highlight w:val="none"/>
          <w:bdr w:val="single" w:color="auto" w:sz="4" w:space="0"/>
          <w:lang w:val="en-US" w:eastAsia="zh-CN"/>
        </w:rPr>
      </w:pPr>
      <w:r>
        <w:rPr>
          <w:rFonts w:hint="eastAsia" w:ascii="仿宋_GB2312" w:hAnsi="仿宋_GB2312" w:eastAsia="仿宋_GB2312" w:cs="仿宋_GB2312"/>
          <w:color w:val="auto"/>
          <w:sz w:val="28"/>
          <w:szCs w:val="28"/>
          <w:highlight w:val="none"/>
          <w:lang w:val="en-US" w:eastAsia="zh-CN"/>
        </w:rPr>
        <w:t>8.1</w:t>
      </w:r>
      <w:r>
        <w:rPr>
          <w:rFonts w:hint="default" w:ascii="仿宋_GB2312" w:hAnsi="仿宋_GB2312" w:eastAsia="仿宋_GB2312" w:cs="仿宋_GB2312"/>
          <w:color w:val="auto"/>
          <w:sz w:val="28"/>
          <w:szCs w:val="28"/>
          <w:highlight w:val="none"/>
          <w:lang w:val="en-US" w:eastAsia="zh-CN"/>
        </w:rPr>
        <w:t>0</w:t>
      </w:r>
      <w:r>
        <w:rPr>
          <w:rFonts w:hint="eastAsia" w:ascii="仿宋_GB2312" w:hAnsi="仿宋_GB2312" w:eastAsia="仿宋_GB2312" w:cs="仿宋_GB2312"/>
          <w:color w:val="auto"/>
          <w:sz w:val="28"/>
          <w:szCs w:val="28"/>
          <w:highlight w:val="none"/>
        </w:rPr>
        <w:t xml:space="preserve">付款方式： </w:t>
      </w:r>
      <w:r>
        <w:rPr>
          <w:rFonts w:hint="eastAsia" w:ascii="仿宋_GB2312" w:hAnsi="仿宋_GB2312" w:eastAsia="仿宋_GB2312" w:cs="仿宋_GB2312"/>
          <w:color w:val="auto"/>
          <w:sz w:val="28"/>
          <w:szCs w:val="28"/>
          <w:highlight w:val="none"/>
        </w:rPr>
        <w:sym w:font="Wingdings" w:char="00FE"/>
      </w:r>
      <w:r>
        <w:rPr>
          <w:rFonts w:hint="eastAsia" w:ascii="仿宋_GB2312" w:hAnsi="仿宋_GB2312" w:eastAsia="仿宋_GB2312" w:cs="仿宋_GB2312"/>
          <w:color w:val="auto"/>
          <w:sz w:val="28"/>
          <w:szCs w:val="28"/>
          <w:highlight w:val="none"/>
        </w:rPr>
        <w:t xml:space="preserve">网银支付；  </w:t>
      </w:r>
      <w:r>
        <w:rPr>
          <w:rFonts w:hint="eastAsia" w:ascii="仿宋_GB2312" w:hAnsi="仿宋_GB2312" w:eastAsia="仿宋_GB2312" w:cs="仿宋_GB2312"/>
          <w:color w:val="auto"/>
          <w:sz w:val="28"/>
          <w:szCs w:val="28"/>
          <w:highlight w:val="none"/>
        </w:rPr>
        <w:sym w:font="Wingdings" w:char="00A8"/>
      </w:r>
      <w:r>
        <w:rPr>
          <w:rFonts w:hint="eastAsia" w:ascii="仿宋_GB2312" w:hAnsi="仿宋_GB2312" w:eastAsia="仿宋_GB2312" w:cs="仿宋_GB2312"/>
          <w:color w:val="auto"/>
          <w:sz w:val="28"/>
          <w:szCs w:val="28"/>
          <w:highlight w:val="none"/>
        </w:rPr>
        <w:t xml:space="preserve">支票；   </w:t>
      </w:r>
      <w:r>
        <w:rPr>
          <w:rFonts w:hint="eastAsia" w:ascii="仿宋_GB2312" w:hAnsi="仿宋_GB2312" w:eastAsia="仿宋_GB2312" w:cs="仿宋_GB2312"/>
          <w:color w:val="auto"/>
          <w:sz w:val="28"/>
          <w:szCs w:val="28"/>
          <w:highlight w:val="none"/>
        </w:rPr>
        <w:sym w:font="Wingdings" w:char="00A8"/>
      </w:r>
      <w:r>
        <w:rPr>
          <w:rFonts w:hint="eastAsia" w:ascii="仿宋_GB2312" w:hAnsi="仿宋_GB2312" w:eastAsia="仿宋_GB2312" w:cs="仿宋_GB2312"/>
          <w:color w:val="auto"/>
          <w:sz w:val="28"/>
          <w:szCs w:val="28"/>
          <w:highlight w:val="none"/>
        </w:rPr>
        <w:t>其他</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 xml:space="preserve"> </w:t>
      </w:r>
    </w:p>
    <w:p w14:paraId="307A63E9">
      <w:pPr>
        <w:spacing w:beforeLines="0" w:afterLines="0" w:line="560" w:lineRule="exact"/>
        <w:ind w:firstLine="560"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第九条</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竣工验收</w:t>
      </w:r>
    </w:p>
    <w:p w14:paraId="7BDB9C7F">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9.1乙方应在</w:t>
      </w:r>
      <w:r>
        <w:rPr>
          <w:rFonts w:hint="eastAsia" w:ascii="仿宋_GB2312" w:hAnsi="仿宋_GB2312" w:eastAsia="仿宋_GB2312" w:cs="仿宋_GB2312"/>
          <w:color w:val="auto"/>
          <w:sz w:val="28"/>
          <w:szCs w:val="28"/>
          <w:highlight w:val="none"/>
          <w:lang w:val="en-US" w:eastAsia="zh-CN"/>
        </w:rPr>
        <w:t>子项目</w:t>
      </w:r>
      <w:r>
        <w:rPr>
          <w:rFonts w:hint="eastAsia" w:ascii="仿宋_GB2312" w:hAnsi="仿宋_GB2312" w:eastAsia="仿宋_GB2312" w:cs="仿宋_GB2312"/>
          <w:color w:val="auto"/>
          <w:sz w:val="28"/>
          <w:szCs w:val="28"/>
          <w:highlight w:val="none"/>
        </w:rPr>
        <w:t>工程完工后</w:t>
      </w:r>
      <w:r>
        <w:rPr>
          <w:rFonts w:hint="eastAsia" w:ascii="仿宋_GB2312" w:hAnsi="仿宋_GB2312" w:eastAsia="仿宋_GB2312" w:cs="仿宋_GB2312"/>
          <w:color w:val="auto"/>
          <w:sz w:val="28"/>
          <w:szCs w:val="28"/>
          <w:highlight w:val="none"/>
          <w:u w:val="single"/>
        </w:rPr>
        <w:t>30天</w:t>
      </w:r>
      <w:r>
        <w:rPr>
          <w:rFonts w:hint="eastAsia" w:ascii="仿宋_GB2312" w:hAnsi="仿宋_GB2312" w:eastAsia="仿宋_GB2312" w:cs="仿宋_GB2312"/>
          <w:color w:val="auto"/>
          <w:sz w:val="28"/>
          <w:szCs w:val="28"/>
          <w:highlight w:val="none"/>
        </w:rPr>
        <w:t>内将经甲方审核的完整竣工资料（含竣工图）和竣工验收报告各</w:t>
      </w:r>
      <w:r>
        <w:rPr>
          <w:rFonts w:hint="eastAsia" w:ascii="仿宋_GB2312" w:hAnsi="仿宋_GB2312" w:eastAsia="仿宋_GB2312" w:cs="仿宋_GB2312"/>
          <w:color w:val="auto"/>
          <w:sz w:val="28"/>
          <w:szCs w:val="28"/>
          <w:highlight w:val="none"/>
          <w:u w:val="single"/>
        </w:rPr>
        <w:t>一式四份</w:t>
      </w:r>
      <w:r>
        <w:rPr>
          <w:rFonts w:hint="eastAsia" w:ascii="仿宋_GB2312" w:hAnsi="仿宋_GB2312" w:eastAsia="仿宋_GB2312" w:cs="仿宋_GB2312"/>
          <w:color w:val="auto"/>
          <w:sz w:val="28"/>
          <w:szCs w:val="28"/>
          <w:highlight w:val="none"/>
        </w:rPr>
        <w:t>交甲方，不按时报送工程竣工资料的，每逾期一天，甲方要求乙方支付</w:t>
      </w:r>
      <w:r>
        <w:rPr>
          <w:rFonts w:hint="eastAsia" w:ascii="仿宋_GB2312" w:hAnsi="仿宋_GB2312" w:eastAsia="仿宋_GB2312" w:cs="仿宋_GB2312"/>
          <w:i w:val="0"/>
          <w:iCs w:val="0"/>
          <w:caps w:val="0"/>
          <w:color w:val="auto"/>
          <w:spacing w:val="0"/>
          <w:sz w:val="28"/>
          <w:szCs w:val="28"/>
          <w:highlight w:val="none"/>
          <w:u w:val="single"/>
          <w:shd w:val="clear"/>
          <w:lang w:val="en-US" w:eastAsia="zh-CN" w:bidi="ar"/>
        </w:rPr>
        <w:t>对应子项目</w:t>
      </w:r>
      <w:r>
        <w:rPr>
          <w:rFonts w:hint="eastAsia" w:ascii="仿宋_GB2312" w:hAnsi="仿宋_GB2312" w:eastAsia="仿宋_GB2312" w:cs="仿宋_GB2312"/>
          <w:color w:val="auto"/>
          <w:sz w:val="28"/>
          <w:szCs w:val="28"/>
          <w:highlight w:val="none"/>
          <w:u w:val="single"/>
        </w:rPr>
        <w:t>合同暂定总价</w:t>
      </w:r>
      <w:r>
        <w:rPr>
          <w:rFonts w:hint="eastAsia" w:ascii="仿宋_GB2312" w:hAnsi="仿宋_GB2312" w:eastAsia="仿宋_GB2312" w:cs="仿宋_GB2312"/>
          <w:bCs/>
          <w:color w:val="auto"/>
          <w:sz w:val="28"/>
          <w:szCs w:val="28"/>
          <w:highlight w:val="none"/>
          <w:u w:val="single"/>
        </w:rPr>
        <w:t>万分之五/天</w:t>
      </w:r>
      <w:r>
        <w:rPr>
          <w:rFonts w:hint="eastAsia" w:ascii="仿宋_GB2312" w:hAnsi="仿宋_GB2312" w:eastAsia="仿宋_GB2312" w:cs="仿宋_GB2312"/>
          <w:color w:val="auto"/>
          <w:sz w:val="28"/>
          <w:szCs w:val="28"/>
          <w:highlight w:val="none"/>
        </w:rPr>
        <w:t>，并在支付合同款时抵扣。</w:t>
      </w:r>
    </w:p>
    <w:p w14:paraId="49FE4D68">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9.2甲方收到完整的竣工验收资料（完整的竣工验收资料：施工方案、开工/竣工报告、安全备案整套资料、本合同书、</w:t>
      </w:r>
      <w:r>
        <w:rPr>
          <w:rFonts w:hint="eastAsia" w:ascii="仿宋_GB2312" w:hAnsi="仿宋_GB2312" w:eastAsia="仿宋_GB2312" w:cs="仿宋_GB2312"/>
          <w:color w:val="auto"/>
          <w:sz w:val="28"/>
          <w:szCs w:val="28"/>
          <w:highlight w:val="none"/>
          <w:lang w:val="en-US" w:eastAsia="zh-CN"/>
        </w:rPr>
        <w:t>招标</w:t>
      </w:r>
      <w:r>
        <w:rPr>
          <w:rFonts w:hint="eastAsia" w:ascii="仿宋_GB2312" w:hAnsi="仿宋_GB2312" w:eastAsia="仿宋_GB2312" w:cs="仿宋_GB2312"/>
          <w:color w:val="auto"/>
          <w:sz w:val="28"/>
          <w:szCs w:val="28"/>
          <w:highlight w:val="none"/>
        </w:rPr>
        <w:t>文件/</w:t>
      </w:r>
      <w:r>
        <w:rPr>
          <w:rFonts w:hint="eastAsia" w:ascii="仿宋_GB2312" w:hAnsi="仿宋_GB2312" w:eastAsia="仿宋_GB2312" w:cs="仿宋_GB2312"/>
          <w:color w:val="auto"/>
          <w:sz w:val="28"/>
          <w:szCs w:val="28"/>
          <w:highlight w:val="none"/>
          <w:lang w:val="en-US" w:eastAsia="zh-CN"/>
        </w:rPr>
        <w:t>投标</w:t>
      </w:r>
      <w:r>
        <w:rPr>
          <w:rFonts w:hint="eastAsia" w:ascii="仿宋_GB2312" w:hAnsi="仿宋_GB2312" w:eastAsia="仿宋_GB2312" w:cs="仿宋_GB2312"/>
          <w:color w:val="auto"/>
          <w:sz w:val="28"/>
          <w:szCs w:val="28"/>
          <w:highlight w:val="none"/>
        </w:rPr>
        <w:t>文件、中标通知书/发包通知书/委托书、工程预算送审报告、工程结算书/签证记录、备件开箱记录表或送货单、竣工图等，如有必须提供）和竣工验收报告后</w:t>
      </w:r>
      <w:r>
        <w:rPr>
          <w:rFonts w:hint="eastAsia" w:ascii="仿宋_GB2312" w:hAnsi="仿宋_GB2312" w:eastAsia="仿宋_GB2312" w:cs="仿宋_GB2312"/>
          <w:color w:val="auto"/>
          <w:sz w:val="28"/>
          <w:szCs w:val="28"/>
          <w:highlight w:val="none"/>
          <w:u w:val="single"/>
        </w:rPr>
        <w:t>20天</w:t>
      </w:r>
      <w:r>
        <w:rPr>
          <w:rFonts w:hint="eastAsia" w:ascii="仿宋_GB2312" w:hAnsi="仿宋_GB2312" w:eastAsia="仿宋_GB2312" w:cs="仿宋_GB2312"/>
          <w:color w:val="auto"/>
          <w:sz w:val="28"/>
          <w:szCs w:val="28"/>
          <w:highlight w:val="none"/>
        </w:rPr>
        <w:t>内组织有关单位进行验收，工程竣工验收严格按国家、省、市、部门有关文件执行，并在验收后</w:t>
      </w:r>
      <w:r>
        <w:rPr>
          <w:rFonts w:hint="eastAsia" w:ascii="仿宋_GB2312" w:hAnsi="仿宋_GB2312" w:eastAsia="仿宋_GB2312" w:cs="仿宋_GB2312"/>
          <w:color w:val="auto"/>
          <w:sz w:val="28"/>
          <w:szCs w:val="28"/>
          <w:highlight w:val="none"/>
          <w:u w:val="single"/>
        </w:rPr>
        <w:t>10天</w:t>
      </w:r>
      <w:r>
        <w:rPr>
          <w:rFonts w:hint="eastAsia" w:ascii="仿宋_GB2312" w:hAnsi="仿宋_GB2312" w:eastAsia="仿宋_GB2312" w:cs="仿宋_GB2312"/>
          <w:color w:val="auto"/>
          <w:sz w:val="28"/>
          <w:szCs w:val="28"/>
          <w:highlight w:val="none"/>
        </w:rPr>
        <w:t>内给予认可或提出修改意见。乙方按要求修改，并承担修改的费用。</w:t>
      </w:r>
    </w:p>
    <w:p w14:paraId="0D44E563">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9.3工程竣工验收通过，乙方送交完整的竣工验收资料和竣工验收报告的日期为实际竣工日期。工程按甲方要求修改后通过竣工验收的，实际竣工日期为乙方修改后提请甲方验收的日期。</w:t>
      </w:r>
    </w:p>
    <w:p w14:paraId="0F94ECBF">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auto"/>
          <w:spacing w:val="0"/>
          <w:kern w:val="2"/>
          <w:sz w:val="28"/>
          <w:szCs w:val="28"/>
          <w:highlight w:val="none"/>
          <w:shd w:val="clear" w:fill="auto"/>
          <w:lang w:val="en-US" w:eastAsia="zh-CN" w:bidi="ar"/>
        </w:rPr>
      </w:pPr>
      <w:r>
        <w:rPr>
          <w:rFonts w:hint="eastAsia" w:ascii="仿宋_GB2312" w:hAnsi="仿宋_GB2312" w:eastAsia="仿宋_GB2312" w:cs="仿宋_GB2312"/>
          <w:i w:val="0"/>
          <w:iCs w:val="0"/>
          <w:caps w:val="0"/>
          <w:color w:val="auto"/>
          <w:spacing w:val="0"/>
          <w:kern w:val="2"/>
          <w:sz w:val="28"/>
          <w:szCs w:val="28"/>
          <w:highlight w:val="none"/>
          <w:shd w:val="clear" w:fill="auto"/>
          <w:lang w:val="en-US" w:eastAsia="zh-CN" w:bidi="ar"/>
        </w:rPr>
        <w:t>9.4隐蔽工程验收</w:t>
      </w:r>
    </w:p>
    <w:p w14:paraId="3CBBFE8A">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auto"/>
          <w:spacing w:val="0"/>
          <w:kern w:val="2"/>
          <w:sz w:val="28"/>
          <w:szCs w:val="28"/>
          <w:highlight w:val="none"/>
          <w:shd w:val="clear" w:fill="auto"/>
          <w:lang w:val="en-US" w:eastAsia="zh-CN" w:bidi="ar"/>
        </w:rPr>
      </w:pPr>
      <w:r>
        <w:rPr>
          <w:rFonts w:hint="eastAsia" w:ascii="仿宋_GB2312" w:hAnsi="仿宋_GB2312" w:eastAsia="仿宋_GB2312" w:cs="仿宋_GB2312"/>
          <w:i w:val="0"/>
          <w:iCs w:val="0"/>
          <w:caps w:val="0"/>
          <w:color w:val="auto"/>
          <w:spacing w:val="0"/>
          <w:kern w:val="2"/>
          <w:sz w:val="28"/>
          <w:szCs w:val="28"/>
          <w:highlight w:val="none"/>
          <w:shd w:val="clear" w:fill="auto"/>
          <w:lang w:val="en-US" w:eastAsia="zh-CN" w:bidi="ar"/>
        </w:rPr>
        <w:t>当项目具备覆盖、掩盖条件或达到中间验收部位后，乙方自检，并提前48 小时以书面形式通知甲方参加验收，经甲方验收合格并在验收记录上签字后，方可进行隐蔽和继续施工。</w:t>
      </w:r>
    </w:p>
    <w:p w14:paraId="041D6160">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auto"/>
          <w:spacing w:val="0"/>
          <w:kern w:val="2"/>
          <w:sz w:val="28"/>
          <w:szCs w:val="28"/>
          <w:highlight w:val="none"/>
          <w:shd w:val="clear" w:fill="auto"/>
          <w:lang w:val="en-US" w:eastAsia="zh-CN" w:bidi="ar"/>
        </w:rPr>
      </w:pPr>
      <w:r>
        <w:rPr>
          <w:rFonts w:hint="eastAsia" w:ascii="仿宋_GB2312" w:hAnsi="仿宋_GB2312" w:eastAsia="仿宋_GB2312" w:cs="仿宋_GB2312"/>
          <w:i w:val="0"/>
          <w:iCs w:val="0"/>
          <w:caps w:val="0"/>
          <w:color w:val="auto"/>
          <w:spacing w:val="0"/>
          <w:kern w:val="2"/>
          <w:sz w:val="28"/>
          <w:szCs w:val="28"/>
          <w:highlight w:val="none"/>
          <w:shd w:val="clear"/>
          <w:lang w:val="en-US" w:eastAsia="zh-CN" w:bidi="ar"/>
        </w:rPr>
        <w:t>9.5</w:t>
      </w:r>
      <w:r>
        <w:rPr>
          <w:rFonts w:hint="eastAsia" w:ascii="仿宋_GB2312" w:hAnsi="仿宋_GB2312" w:eastAsia="仿宋_GB2312" w:cs="仿宋_GB2312"/>
          <w:i w:val="0"/>
          <w:iCs w:val="0"/>
          <w:caps w:val="0"/>
          <w:color w:val="auto"/>
          <w:spacing w:val="0"/>
          <w:kern w:val="2"/>
          <w:sz w:val="28"/>
          <w:szCs w:val="28"/>
          <w:highlight w:val="none"/>
          <w:shd w:val="clear" w:fill="auto"/>
          <w:lang w:val="en-US" w:eastAsia="zh-CN" w:bidi="ar"/>
        </w:rPr>
        <w:t xml:space="preserve"> 工程竣工验收通过后</w:t>
      </w:r>
      <w:r>
        <w:rPr>
          <w:rFonts w:hint="eastAsia" w:ascii="仿宋_GB2312" w:hAnsi="仿宋_GB2312" w:eastAsia="仿宋_GB2312" w:cs="仿宋_GB2312"/>
          <w:i w:val="0"/>
          <w:iCs w:val="0"/>
          <w:caps w:val="0"/>
          <w:color w:val="auto"/>
          <w:spacing w:val="0"/>
          <w:kern w:val="2"/>
          <w:sz w:val="28"/>
          <w:szCs w:val="28"/>
          <w:highlight w:val="none"/>
          <w:u w:val="single"/>
          <w:shd w:val="clear" w:fill="auto"/>
          <w:lang w:val="en-US" w:eastAsia="zh-CN" w:bidi="ar"/>
        </w:rPr>
        <w:t xml:space="preserve"> 7 日</w:t>
      </w:r>
      <w:r>
        <w:rPr>
          <w:rFonts w:hint="eastAsia" w:ascii="仿宋_GB2312" w:hAnsi="仿宋_GB2312" w:eastAsia="仿宋_GB2312" w:cs="仿宋_GB2312"/>
          <w:i w:val="0"/>
          <w:iCs w:val="0"/>
          <w:caps w:val="0"/>
          <w:color w:val="auto"/>
          <w:spacing w:val="0"/>
          <w:kern w:val="2"/>
          <w:sz w:val="28"/>
          <w:szCs w:val="28"/>
          <w:highlight w:val="none"/>
          <w:shd w:val="clear" w:fill="auto"/>
          <w:lang w:val="en-US" w:eastAsia="zh-CN" w:bidi="ar"/>
        </w:rPr>
        <w:t>内，乙方应按以下要求对施工场地进行清理，直至甲方检验合格为止。竣工清场费用由乙方承担。</w:t>
      </w:r>
    </w:p>
    <w:p w14:paraId="09EA0687">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auto"/>
          <w:spacing w:val="0"/>
          <w:kern w:val="2"/>
          <w:sz w:val="28"/>
          <w:szCs w:val="28"/>
          <w:highlight w:val="none"/>
          <w:shd w:val="clear" w:fill="auto"/>
          <w:lang w:val="en-US" w:eastAsia="zh-CN" w:bidi="ar"/>
        </w:rPr>
      </w:pPr>
      <w:r>
        <w:rPr>
          <w:rFonts w:hint="eastAsia" w:ascii="仿宋_GB2312" w:hAnsi="仿宋_GB2312" w:eastAsia="仿宋_GB2312" w:cs="仿宋_GB2312"/>
          <w:i w:val="0"/>
          <w:iCs w:val="0"/>
          <w:caps w:val="0"/>
          <w:color w:val="auto"/>
          <w:spacing w:val="0"/>
          <w:kern w:val="2"/>
          <w:sz w:val="28"/>
          <w:szCs w:val="28"/>
          <w:highlight w:val="none"/>
          <w:shd w:val="clear" w:fill="auto"/>
          <w:lang w:val="en-US" w:eastAsia="zh-CN" w:bidi="ar"/>
        </w:rPr>
        <w:t>（1）清除施工场地内残留的垃圾（包括但不限于：施工的淤泥渣土、废弃的施工设备和材料等)。</w:t>
      </w:r>
    </w:p>
    <w:p w14:paraId="6C920C61">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auto"/>
          <w:spacing w:val="0"/>
          <w:kern w:val="2"/>
          <w:sz w:val="28"/>
          <w:szCs w:val="28"/>
          <w:highlight w:val="none"/>
          <w:shd w:val="clear" w:fill="auto"/>
          <w:lang w:val="en-US" w:eastAsia="zh-CN" w:bidi="ar"/>
        </w:rPr>
      </w:pPr>
      <w:r>
        <w:rPr>
          <w:rFonts w:hint="eastAsia" w:ascii="仿宋_GB2312" w:hAnsi="仿宋_GB2312" w:eastAsia="仿宋_GB2312" w:cs="仿宋_GB2312"/>
          <w:i w:val="0"/>
          <w:iCs w:val="0"/>
          <w:caps w:val="0"/>
          <w:color w:val="auto"/>
          <w:spacing w:val="0"/>
          <w:kern w:val="2"/>
          <w:sz w:val="28"/>
          <w:szCs w:val="28"/>
          <w:highlight w:val="none"/>
          <w:shd w:val="clear" w:fill="auto"/>
          <w:lang w:val="en-US" w:eastAsia="zh-CN" w:bidi="ar"/>
        </w:rPr>
        <w:t>（2）如涉及临时工程，乙方负责拆除并对场地进行清理、平整或复原。</w:t>
      </w:r>
    </w:p>
    <w:p w14:paraId="2A606FB5">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478" w:leftChars="228" w:right="0" w:firstLine="0" w:firstLineChars="0"/>
        <w:jc w:val="left"/>
        <w:rPr>
          <w:rFonts w:hint="eastAsia" w:ascii="仿宋_GB2312" w:hAnsi="仿宋_GB2312" w:eastAsia="仿宋_GB2312" w:cs="仿宋_GB2312"/>
          <w:i w:val="0"/>
          <w:iCs w:val="0"/>
          <w:caps w:val="0"/>
          <w:color w:val="auto"/>
          <w:spacing w:val="0"/>
          <w:kern w:val="2"/>
          <w:sz w:val="28"/>
          <w:szCs w:val="28"/>
          <w:highlight w:val="none"/>
          <w:shd w:val="clear" w:fill="auto"/>
          <w:lang w:val="en-US" w:eastAsia="zh-CN" w:bidi="ar"/>
        </w:rPr>
      </w:pPr>
      <w:r>
        <w:rPr>
          <w:rFonts w:hint="eastAsia" w:ascii="仿宋_GB2312" w:hAnsi="仿宋_GB2312" w:eastAsia="仿宋_GB2312" w:cs="仿宋_GB2312"/>
          <w:i w:val="0"/>
          <w:iCs w:val="0"/>
          <w:caps w:val="0"/>
          <w:color w:val="auto"/>
          <w:spacing w:val="0"/>
          <w:kern w:val="2"/>
          <w:sz w:val="28"/>
          <w:szCs w:val="28"/>
          <w:highlight w:val="none"/>
          <w:shd w:val="clear" w:fill="auto"/>
          <w:lang w:val="en-US" w:eastAsia="zh-CN" w:bidi="ar"/>
        </w:rPr>
        <w:t>（3）对乙方设备和剩余的材料进行撤场。</w:t>
      </w:r>
    </w:p>
    <w:p w14:paraId="15022ACA">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leftChars="0" w:right="0" w:firstLine="560" w:firstLineChars="200"/>
        <w:jc w:val="left"/>
        <w:rPr>
          <w:rFonts w:hint="eastAsia" w:ascii="仿宋_GB2312" w:hAnsi="仿宋_GB2312" w:eastAsia="仿宋_GB2312" w:cs="仿宋_GB2312"/>
          <w:i w:val="0"/>
          <w:iCs w:val="0"/>
          <w:caps w:val="0"/>
          <w:color w:val="auto"/>
          <w:spacing w:val="0"/>
          <w:sz w:val="28"/>
          <w:szCs w:val="28"/>
          <w:highlight w:val="none"/>
          <w:lang w:bidi="ar"/>
        </w:rPr>
      </w:pPr>
      <w:r>
        <w:rPr>
          <w:rFonts w:hint="eastAsia" w:ascii="仿宋_GB2312" w:hAnsi="仿宋_GB2312" w:eastAsia="仿宋_GB2312" w:cs="仿宋_GB2312"/>
          <w:i w:val="0"/>
          <w:iCs w:val="0"/>
          <w:caps w:val="0"/>
          <w:color w:val="auto"/>
          <w:spacing w:val="0"/>
          <w:kern w:val="2"/>
          <w:sz w:val="28"/>
          <w:szCs w:val="28"/>
          <w:highlight w:val="none"/>
          <w:shd w:val="clear" w:fill="auto"/>
          <w:lang w:val="en-US" w:eastAsia="zh-CN" w:bidi="ar"/>
        </w:rPr>
        <w:t>如乙方逾期未能对施工场地进行清理，甲方有权委托第三方清理，清理费用由乙方承担，并在应付款项中抵扣。</w:t>
      </w:r>
    </w:p>
    <w:p w14:paraId="29486862">
      <w:pPr>
        <w:widowControl w:val="0"/>
        <w:pBdr>
          <w:top w:val="none" w:color="auto" w:sz="0" w:space="0"/>
          <w:left w:val="none" w:color="auto" w:sz="0" w:space="0"/>
          <w:bottom w:val="none" w:color="auto" w:sz="0" w:space="0"/>
          <w:right w:val="none" w:color="auto" w:sz="0" w:space="0"/>
        </w:pBdr>
        <w:spacing w:beforeLines="0" w:afterLines="0" w:line="560" w:lineRule="exact"/>
        <w:ind w:left="0" w:leftChars="0" w:firstLine="560" w:firstLineChars="200"/>
        <w:jc w:val="left"/>
        <w:rPr>
          <w:rFonts w:hint="eastAsia" w:ascii="仿宋_GB2312" w:hAnsi="仿宋_GB2312" w:eastAsia="仿宋_GB2312" w:cs="仿宋_GB2312"/>
          <w:i w:val="0"/>
          <w:iCs w:val="0"/>
          <w:caps w:val="0"/>
          <w:color w:val="auto"/>
          <w:spacing w:val="0"/>
          <w:sz w:val="28"/>
          <w:szCs w:val="28"/>
          <w:highlight w:val="none"/>
          <w:shd w:val="clear" w:fill="auto"/>
          <w:lang w:bidi="ar"/>
        </w:rPr>
      </w:pPr>
      <w:r>
        <w:rPr>
          <w:rFonts w:hint="eastAsia" w:ascii="仿宋_GB2312" w:hAnsi="仿宋_GB2312" w:eastAsia="仿宋_GB2312" w:cs="仿宋_GB2312"/>
          <w:i w:val="0"/>
          <w:iCs w:val="0"/>
          <w:caps w:val="0"/>
          <w:color w:val="auto"/>
          <w:spacing w:val="0"/>
          <w:sz w:val="28"/>
          <w:szCs w:val="28"/>
          <w:highlight w:val="none"/>
          <w:shd w:val="clear"/>
          <w:lang w:eastAsia="zh-CN" w:bidi="ar"/>
        </w:rPr>
        <w:t>9</w:t>
      </w:r>
      <w:r>
        <w:rPr>
          <w:rFonts w:hint="eastAsia" w:ascii="仿宋_GB2312" w:hAnsi="仿宋_GB2312" w:eastAsia="仿宋_GB2312" w:cs="仿宋_GB2312"/>
          <w:i w:val="0"/>
          <w:iCs w:val="0"/>
          <w:caps w:val="0"/>
          <w:color w:val="auto"/>
          <w:spacing w:val="0"/>
          <w:sz w:val="28"/>
          <w:szCs w:val="28"/>
          <w:highlight w:val="none"/>
          <w:shd w:val="clear"/>
          <w:lang w:val="en-US" w:eastAsia="zh-CN" w:bidi="ar"/>
        </w:rPr>
        <w:t>.6</w:t>
      </w:r>
      <w:r>
        <w:rPr>
          <w:rFonts w:hint="eastAsia" w:ascii="仿宋_GB2312" w:hAnsi="仿宋_GB2312" w:eastAsia="仿宋_GB2312" w:cs="仿宋_GB2312"/>
          <w:i w:val="0"/>
          <w:iCs w:val="0"/>
          <w:caps w:val="0"/>
          <w:color w:val="auto"/>
          <w:spacing w:val="0"/>
          <w:sz w:val="28"/>
          <w:szCs w:val="28"/>
          <w:highlight w:val="none"/>
          <w:shd w:val="clear" w:fill="auto"/>
          <w:lang w:bidi="ar"/>
        </w:rPr>
        <w:t xml:space="preserve"> 竣工档案的整理和移交</w:t>
      </w:r>
    </w:p>
    <w:p w14:paraId="0C96B47A">
      <w:pPr>
        <w:widowControl w:val="0"/>
        <w:pBdr>
          <w:top w:val="none" w:color="auto" w:sz="0" w:space="0"/>
          <w:left w:val="none" w:color="auto" w:sz="0" w:space="0"/>
          <w:bottom w:val="none" w:color="auto" w:sz="0" w:space="0"/>
          <w:right w:val="none" w:color="auto" w:sz="0" w:space="0"/>
        </w:pBdr>
        <w:spacing w:beforeLines="0" w:afterLines="0" w:line="560" w:lineRule="exact"/>
        <w:ind w:left="0" w:leftChars="0" w:firstLine="560" w:firstLineChars="200"/>
        <w:jc w:val="left"/>
        <w:rPr>
          <w:rFonts w:hint="eastAsia" w:ascii="仿宋_GB2312" w:hAnsi="仿宋_GB2312" w:eastAsia="仿宋_GB2312" w:cs="仿宋_GB2312"/>
          <w:i w:val="0"/>
          <w:iCs w:val="0"/>
          <w:caps w:val="0"/>
          <w:color w:val="auto"/>
          <w:spacing w:val="0"/>
          <w:sz w:val="28"/>
          <w:szCs w:val="28"/>
          <w:highlight w:val="none"/>
          <w:shd w:val="clear" w:fill="auto"/>
          <w:lang w:bidi="ar"/>
        </w:rPr>
      </w:pPr>
      <w:r>
        <w:rPr>
          <w:rFonts w:hint="eastAsia" w:ascii="仿宋_GB2312" w:hAnsi="仿宋_GB2312" w:eastAsia="仿宋_GB2312" w:cs="仿宋_GB2312"/>
          <w:i w:val="0"/>
          <w:iCs w:val="0"/>
          <w:caps w:val="0"/>
          <w:color w:val="auto"/>
          <w:spacing w:val="0"/>
          <w:sz w:val="28"/>
          <w:szCs w:val="28"/>
          <w:highlight w:val="none"/>
          <w:shd w:val="clear" w:fill="auto"/>
          <w:lang w:bidi="ar"/>
        </w:rPr>
        <w:t>（1）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14:paraId="49B7CD73">
      <w:pPr>
        <w:widowControl w:val="0"/>
        <w:pBdr>
          <w:top w:val="none" w:color="auto" w:sz="0" w:space="0"/>
          <w:left w:val="none" w:color="auto" w:sz="0" w:space="0"/>
          <w:bottom w:val="none" w:color="auto" w:sz="0" w:space="0"/>
          <w:right w:val="none" w:color="auto" w:sz="0" w:space="0"/>
        </w:pBdr>
        <w:spacing w:beforeLines="0" w:afterLines="0" w:line="560" w:lineRule="exact"/>
        <w:ind w:left="0" w:leftChars="0" w:firstLine="560" w:firstLineChars="200"/>
        <w:jc w:val="left"/>
        <w:rPr>
          <w:rFonts w:hint="eastAsia" w:ascii="仿宋_GB2312" w:hAnsi="仿宋_GB2312" w:eastAsia="仿宋_GB2312" w:cs="仿宋_GB2312"/>
          <w:i w:val="0"/>
          <w:iCs w:val="0"/>
          <w:caps w:val="0"/>
          <w:color w:val="auto"/>
          <w:spacing w:val="0"/>
          <w:sz w:val="28"/>
          <w:szCs w:val="28"/>
          <w:highlight w:val="none"/>
          <w:shd w:val="clear"/>
          <w:lang w:bidi="ar"/>
        </w:rPr>
      </w:pPr>
      <w:r>
        <w:rPr>
          <w:rFonts w:hint="eastAsia" w:ascii="仿宋_GB2312" w:hAnsi="仿宋_GB2312" w:eastAsia="仿宋_GB2312" w:cs="仿宋_GB2312"/>
          <w:i w:val="0"/>
          <w:iCs w:val="0"/>
          <w:caps w:val="0"/>
          <w:color w:val="auto"/>
          <w:spacing w:val="0"/>
          <w:sz w:val="28"/>
          <w:szCs w:val="28"/>
          <w:highlight w:val="none"/>
          <w:shd w:val="clear" w:fill="auto"/>
          <w:lang w:bidi="ar"/>
        </w:rPr>
        <w:t>（a）竣工文件资料、竣工图档案（原件）各一式四份；</w:t>
      </w:r>
      <w:r>
        <w:rPr>
          <w:rFonts w:hint="eastAsia" w:ascii="仿宋_GB2312" w:hAnsi="仿宋_GB2312" w:eastAsia="仿宋_GB2312" w:cs="仿宋_GB2312"/>
          <w:i w:val="0"/>
          <w:iCs w:val="0"/>
          <w:caps w:val="0"/>
          <w:color w:val="auto"/>
          <w:spacing w:val="0"/>
          <w:sz w:val="28"/>
          <w:szCs w:val="28"/>
          <w:highlight w:val="none"/>
          <w:shd w:val="clear" w:fill="auto"/>
          <w:lang w:bidi="ar"/>
        </w:rPr>
        <w:br w:type="textWrapping"/>
      </w:r>
      <w:r>
        <w:rPr>
          <w:rFonts w:hint="eastAsia" w:ascii="仿宋_GB2312" w:hAnsi="仿宋_GB2312" w:eastAsia="仿宋_GB2312" w:cs="仿宋_GB2312"/>
          <w:i w:val="0"/>
          <w:iCs w:val="0"/>
          <w:caps w:val="0"/>
          <w:color w:val="auto"/>
          <w:spacing w:val="0"/>
          <w:sz w:val="28"/>
          <w:szCs w:val="28"/>
          <w:highlight w:val="none"/>
          <w:shd w:val="clear" w:fill="auto"/>
          <w:lang w:val="en-US" w:eastAsia="zh-CN" w:bidi="ar"/>
        </w:rPr>
        <w:t xml:space="preserve">    </w:t>
      </w:r>
      <w:r>
        <w:rPr>
          <w:rFonts w:hint="eastAsia" w:ascii="仿宋_GB2312" w:hAnsi="仿宋_GB2312" w:eastAsia="仿宋_GB2312" w:cs="仿宋_GB2312"/>
          <w:i w:val="0"/>
          <w:iCs w:val="0"/>
          <w:caps w:val="0"/>
          <w:color w:val="auto"/>
          <w:spacing w:val="0"/>
          <w:sz w:val="28"/>
          <w:szCs w:val="28"/>
          <w:highlight w:val="none"/>
          <w:shd w:val="clear" w:fill="auto"/>
          <w:lang w:bidi="ar"/>
        </w:rPr>
        <w:t>（b）与本款（a）项内容相同的电子版档案一式二份；</w:t>
      </w:r>
      <w:r>
        <w:rPr>
          <w:rFonts w:hint="eastAsia" w:ascii="仿宋_GB2312" w:hAnsi="仿宋_GB2312" w:eastAsia="仿宋_GB2312" w:cs="仿宋_GB2312"/>
          <w:i w:val="0"/>
          <w:iCs w:val="0"/>
          <w:caps w:val="0"/>
          <w:color w:val="auto"/>
          <w:spacing w:val="0"/>
          <w:sz w:val="28"/>
          <w:szCs w:val="28"/>
          <w:highlight w:val="none"/>
          <w:shd w:val="clear" w:fill="auto"/>
          <w:lang w:bidi="ar"/>
        </w:rPr>
        <w:br w:type="textWrapping"/>
      </w:r>
      <w:r>
        <w:rPr>
          <w:rFonts w:hint="eastAsia" w:ascii="仿宋_GB2312" w:hAnsi="仿宋_GB2312" w:eastAsia="仿宋_GB2312" w:cs="仿宋_GB2312"/>
          <w:i w:val="0"/>
          <w:iCs w:val="0"/>
          <w:caps w:val="0"/>
          <w:color w:val="auto"/>
          <w:spacing w:val="0"/>
          <w:sz w:val="28"/>
          <w:szCs w:val="28"/>
          <w:highlight w:val="none"/>
          <w:shd w:val="clear" w:fill="auto"/>
          <w:lang w:val="en-US" w:eastAsia="zh-CN" w:bidi="ar"/>
        </w:rPr>
        <w:t xml:space="preserve">    </w:t>
      </w:r>
      <w:r>
        <w:rPr>
          <w:rFonts w:hint="eastAsia" w:ascii="仿宋_GB2312" w:hAnsi="仿宋_GB2312" w:eastAsia="仿宋_GB2312" w:cs="仿宋_GB2312"/>
          <w:i w:val="0"/>
          <w:iCs w:val="0"/>
          <w:caps w:val="0"/>
          <w:color w:val="auto"/>
          <w:spacing w:val="0"/>
          <w:sz w:val="28"/>
          <w:szCs w:val="28"/>
          <w:highlight w:val="none"/>
          <w:shd w:val="clear" w:fill="auto"/>
          <w:lang w:bidi="ar"/>
        </w:rPr>
        <w:t>（2）乙方移交竣工档案的时限：乙方应于工程竣工验收后</w:t>
      </w:r>
      <w:r>
        <w:rPr>
          <w:rFonts w:hint="eastAsia" w:ascii="仿宋_GB2312" w:hAnsi="仿宋_GB2312" w:eastAsia="仿宋_GB2312" w:cs="仿宋_GB2312"/>
          <w:i w:val="0"/>
          <w:iCs w:val="0"/>
          <w:caps w:val="0"/>
          <w:color w:val="auto"/>
          <w:spacing w:val="0"/>
          <w:sz w:val="28"/>
          <w:szCs w:val="28"/>
          <w:highlight w:val="none"/>
          <w:u w:val="single"/>
          <w:shd w:val="clear" w:fill="auto"/>
          <w:lang w:bidi="ar"/>
        </w:rPr>
        <w:t xml:space="preserve"> 30 天</w:t>
      </w:r>
      <w:r>
        <w:rPr>
          <w:rFonts w:hint="eastAsia" w:ascii="仿宋_GB2312" w:hAnsi="仿宋_GB2312" w:eastAsia="仿宋_GB2312" w:cs="仿宋_GB2312"/>
          <w:i w:val="0"/>
          <w:iCs w:val="0"/>
          <w:caps w:val="0"/>
          <w:color w:val="auto"/>
          <w:spacing w:val="0"/>
          <w:sz w:val="28"/>
          <w:szCs w:val="28"/>
          <w:highlight w:val="none"/>
          <w:shd w:val="clear" w:fill="auto"/>
          <w:lang w:bidi="ar"/>
        </w:rPr>
        <w:t xml:space="preserve">内将竣工档案提交甲方签认。乙方应于甲方签认后 </w:t>
      </w:r>
      <w:r>
        <w:rPr>
          <w:rFonts w:hint="eastAsia" w:ascii="仿宋_GB2312" w:hAnsi="仿宋_GB2312" w:eastAsia="仿宋_GB2312" w:cs="仿宋_GB2312"/>
          <w:i w:val="0"/>
          <w:iCs w:val="0"/>
          <w:caps w:val="0"/>
          <w:color w:val="auto"/>
          <w:spacing w:val="0"/>
          <w:sz w:val="28"/>
          <w:szCs w:val="28"/>
          <w:highlight w:val="none"/>
          <w:u w:val="single"/>
          <w:shd w:val="clear" w:fill="auto"/>
          <w:lang w:bidi="ar"/>
        </w:rPr>
        <w:t>10 天</w:t>
      </w:r>
      <w:r>
        <w:rPr>
          <w:rFonts w:hint="eastAsia" w:ascii="仿宋_GB2312" w:hAnsi="仿宋_GB2312" w:eastAsia="仿宋_GB2312" w:cs="仿宋_GB2312"/>
          <w:i w:val="0"/>
          <w:iCs w:val="0"/>
          <w:caps w:val="0"/>
          <w:color w:val="auto"/>
          <w:spacing w:val="0"/>
          <w:sz w:val="28"/>
          <w:szCs w:val="28"/>
          <w:highlight w:val="none"/>
          <w:shd w:val="clear" w:fill="auto"/>
          <w:lang w:bidi="ar"/>
        </w:rPr>
        <w:t>内将竣工档案移交给甲方归档并同时移交有关归档的证明文件。甲方经审查合格的，应在收到竣工档案后</w:t>
      </w:r>
      <w:r>
        <w:rPr>
          <w:rFonts w:hint="eastAsia" w:ascii="仿宋_GB2312" w:hAnsi="仿宋_GB2312" w:eastAsia="仿宋_GB2312" w:cs="仿宋_GB2312"/>
          <w:i w:val="0"/>
          <w:iCs w:val="0"/>
          <w:caps w:val="0"/>
          <w:color w:val="auto"/>
          <w:spacing w:val="0"/>
          <w:sz w:val="28"/>
          <w:szCs w:val="28"/>
          <w:highlight w:val="none"/>
          <w:u w:val="single"/>
          <w:shd w:val="clear" w:fill="auto"/>
          <w:lang w:bidi="ar"/>
        </w:rPr>
        <w:t xml:space="preserve"> 10 天</w:t>
      </w:r>
      <w:r>
        <w:rPr>
          <w:rFonts w:hint="eastAsia" w:ascii="仿宋_GB2312" w:hAnsi="仿宋_GB2312" w:eastAsia="仿宋_GB2312" w:cs="仿宋_GB2312"/>
          <w:i w:val="0"/>
          <w:iCs w:val="0"/>
          <w:caps w:val="0"/>
          <w:color w:val="auto"/>
          <w:spacing w:val="0"/>
          <w:sz w:val="28"/>
          <w:szCs w:val="28"/>
          <w:highlight w:val="none"/>
          <w:shd w:val="clear" w:fill="auto"/>
          <w:lang w:bidi="ar"/>
        </w:rPr>
        <w:t>内签署档案验收意见；不合格的，乙方应按甲方要求限期补正，直至合格为止。乙</w:t>
      </w:r>
      <w:r>
        <w:rPr>
          <w:rFonts w:hint="eastAsia" w:ascii="仿宋_GB2312" w:hAnsi="仿宋_GB2312" w:eastAsia="仿宋_GB2312" w:cs="仿宋_GB2312"/>
          <w:i w:val="0"/>
          <w:iCs w:val="0"/>
          <w:caps w:val="0"/>
          <w:color w:val="auto"/>
          <w:spacing w:val="0"/>
          <w:sz w:val="28"/>
          <w:szCs w:val="28"/>
          <w:highlight w:val="none"/>
          <w:shd w:val="clear" w:fill="auto"/>
          <w:lang w:val="en-US" w:eastAsia="zh-CN" w:bidi="ar"/>
        </w:rPr>
        <w:t>方</w:t>
      </w:r>
      <w:r>
        <w:rPr>
          <w:rFonts w:hint="eastAsia" w:ascii="仿宋_GB2312" w:hAnsi="仿宋_GB2312" w:eastAsia="仿宋_GB2312" w:cs="仿宋_GB2312"/>
          <w:i w:val="0"/>
          <w:iCs w:val="0"/>
          <w:caps w:val="0"/>
          <w:color w:val="auto"/>
          <w:spacing w:val="0"/>
          <w:sz w:val="28"/>
          <w:szCs w:val="28"/>
          <w:highlight w:val="none"/>
          <w:shd w:val="clear" w:fill="auto"/>
          <w:lang w:bidi="ar"/>
        </w:rPr>
        <w:t>超过本条规定的时限，每逾期一天</w:t>
      </w:r>
      <w:r>
        <w:rPr>
          <w:rFonts w:hint="eastAsia" w:ascii="仿宋_GB2312" w:hAnsi="仿宋_GB2312" w:eastAsia="仿宋_GB2312" w:cs="仿宋_GB2312"/>
          <w:i w:val="0"/>
          <w:iCs w:val="0"/>
          <w:caps w:val="0"/>
          <w:color w:val="auto"/>
          <w:spacing w:val="0"/>
          <w:sz w:val="28"/>
          <w:szCs w:val="28"/>
          <w:highlight w:val="none"/>
          <w:shd w:val="clear" w:fill="auto"/>
          <w:lang w:val="en-US" w:eastAsia="zh-CN" w:bidi="ar"/>
        </w:rPr>
        <w:t>支付</w:t>
      </w:r>
      <w:r>
        <w:rPr>
          <w:rFonts w:hint="eastAsia" w:ascii="仿宋_GB2312" w:hAnsi="仿宋_GB2312" w:eastAsia="仿宋_GB2312" w:cs="仿宋_GB2312"/>
          <w:i w:val="0"/>
          <w:iCs w:val="0"/>
          <w:caps w:val="0"/>
          <w:color w:val="auto"/>
          <w:spacing w:val="0"/>
          <w:sz w:val="28"/>
          <w:szCs w:val="28"/>
          <w:highlight w:val="none"/>
          <w:u w:val="single"/>
          <w:shd w:val="clear" w:fill="auto"/>
          <w:lang w:eastAsia="zh-CN" w:bidi="ar"/>
        </w:rPr>
        <w:t>对应子项目合同暂定总价</w:t>
      </w:r>
      <w:r>
        <w:rPr>
          <w:rFonts w:hint="eastAsia" w:ascii="仿宋_GB2312" w:hAnsi="仿宋_GB2312" w:eastAsia="仿宋_GB2312" w:cs="仿宋_GB2312"/>
          <w:i w:val="0"/>
          <w:iCs w:val="0"/>
          <w:caps w:val="0"/>
          <w:color w:val="auto"/>
          <w:spacing w:val="0"/>
          <w:sz w:val="28"/>
          <w:szCs w:val="28"/>
          <w:highlight w:val="none"/>
          <w:u w:val="single"/>
          <w:shd w:val="clear" w:fill="auto"/>
          <w:lang w:bidi="ar"/>
        </w:rPr>
        <w:t>万分之五/天</w:t>
      </w:r>
      <w:r>
        <w:rPr>
          <w:rFonts w:hint="eastAsia" w:ascii="仿宋_GB2312" w:hAnsi="仿宋_GB2312" w:eastAsia="仿宋_GB2312" w:cs="仿宋_GB2312"/>
          <w:i w:val="0"/>
          <w:iCs w:val="0"/>
          <w:caps w:val="0"/>
          <w:color w:val="auto"/>
          <w:spacing w:val="0"/>
          <w:sz w:val="28"/>
          <w:szCs w:val="28"/>
          <w:highlight w:val="none"/>
          <w:u w:val="single"/>
          <w:shd w:val="clear" w:fill="auto"/>
          <w:lang w:val="en-US" w:eastAsia="zh-CN" w:bidi="ar"/>
        </w:rPr>
        <w:t>作为</w:t>
      </w:r>
      <w:r>
        <w:rPr>
          <w:rFonts w:hint="eastAsia" w:ascii="仿宋_GB2312" w:hAnsi="仿宋_GB2312" w:eastAsia="仿宋_GB2312" w:cs="仿宋_GB2312"/>
          <w:i w:val="0"/>
          <w:iCs w:val="0"/>
          <w:caps w:val="0"/>
          <w:color w:val="auto"/>
          <w:spacing w:val="0"/>
          <w:sz w:val="28"/>
          <w:szCs w:val="28"/>
          <w:highlight w:val="none"/>
          <w:shd w:val="clear" w:fill="auto"/>
          <w:lang w:bidi="ar"/>
        </w:rPr>
        <w:t>违约金。</w:t>
      </w:r>
      <w:r>
        <w:rPr>
          <w:rFonts w:hint="eastAsia" w:ascii="仿宋_GB2312" w:hAnsi="仿宋_GB2312" w:eastAsia="仿宋_GB2312" w:cs="仿宋_GB2312"/>
          <w:i w:val="0"/>
          <w:iCs w:val="0"/>
          <w:caps w:val="0"/>
          <w:color w:val="auto"/>
          <w:spacing w:val="0"/>
          <w:sz w:val="28"/>
          <w:szCs w:val="28"/>
          <w:highlight w:val="none"/>
          <w:shd w:val="clear" w:fill="auto"/>
          <w:lang w:bidi="ar"/>
        </w:rPr>
        <w:br w:type="textWrapping"/>
      </w:r>
      <w:r>
        <w:rPr>
          <w:rFonts w:hint="eastAsia" w:ascii="仿宋_GB2312" w:hAnsi="仿宋_GB2312" w:eastAsia="仿宋_GB2312" w:cs="仿宋_GB2312"/>
          <w:i w:val="0"/>
          <w:iCs w:val="0"/>
          <w:caps w:val="0"/>
          <w:color w:val="auto"/>
          <w:spacing w:val="0"/>
          <w:sz w:val="28"/>
          <w:szCs w:val="28"/>
          <w:highlight w:val="none"/>
          <w:shd w:val="clear" w:fill="auto"/>
          <w:lang w:val="en-US" w:eastAsia="zh-CN" w:bidi="ar"/>
        </w:rPr>
        <w:t xml:space="preserve">    </w:t>
      </w:r>
      <w:r>
        <w:rPr>
          <w:rFonts w:hint="eastAsia" w:ascii="仿宋_GB2312" w:hAnsi="仿宋_GB2312" w:eastAsia="仿宋_GB2312" w:cs="仿宋_GB2312"/>
          <w:i w:val="0"/>
          <w:iCs w:val="0"/>
          <w:caps w:val="0"/>
          <w:color w:val="auto"/>
          <w:spacing w:val="0"/>
          <w:sz w:val="28"/>
          <w:szCs w:val="28"/>
          <w:highlight w:val="none"/>
          <w:shd w:val="clear" w:fill="auto"/>
          <w:lang w:bidi="ar"/>
        </w:rPr>
        <w:t>（3）电子版竣工图的编制，以甲方提供的电子版施工图为基础。乙方在移交竣工档案时，应一并移交甲方提供的电子版施工图。电子版施工图和电子版竣工图的知识产权归属甲方所有，非经甲方许可，乙方不得以任何方式复制、备份、转让和利用。否则，由此引起的任何纠纷和责任由乙方承担。</w:t>
      </w:r>
    </w:p>
    <w:p w14:paraId="71C44FFB">
      <w:pPr>
        <w:widowControl w:val="0"/>
        <w:pBdr>
          <w:top w:val="none" w:color="auto" w:sz="0" w:space="0"/>
          <w:left w:val="none" w:color="auto" w:sz="0" w:space="0"/>
          <w:bottom w:val="none" w:color="auto" w:sz="0" w:space="0"/>
          <w:right w:val="none" w:color="auto" w:sz="0" w:space="0"/>
        </w:pBdr>
        <w:spacing w:beforeLines="0" w:afterLines="0" w:line="560" w:lineRule="exact"/>
        <w:ind w:firstLine="560" w:firstLineChars="200"/>
        <w:rPr>
          <w:rFonts w:hint="eastAsia" w:ascii="仿宋_GB2312" w:hAnsi="仿宋_GB2312" w:eastAsia="仿宋_GB2312" w:cs="仿宋_GB2312"/>
          <w:color w:val="auto"/>
          <w:sz w:val="28"/>
          <w:szCs w:val="28"/>
          <w:highlight w:val="none"/>
          <w:u w:val="single"/>
          <w:lang w:val="en-US" w:eastAsia="zh-CN" w:bidi="ar"/>
        </w:rPr>
      </w:pPr>
      <w:r>
        <w:rPr>
          <w:rFonts w:hint="eastAsia" w:ascii="仿宋_GB2312" w:hAnsi="仿宋_GB2312" w:eastAsia="仿宋_GB2312" w:cs="仿宋_GB2312"/>
          <w:color w:val="auto"/>
          <w:sz w:val="28"/>
          <w:szCs w:val="28"/>
          <w:highlight w:val="none"/>
          <w:lang w:val="en-US" w:eastAsia="zh-CN" w:bidi="ar"/>
        </w:rPr>
        <w:t>9.7</w:t>
      </w:r>
      <w:r>
        <w:rPr>
          <w:rFonts w:hint="eastAsia" w:ascii="仿宋_GB2312" w:hAnsi="仿宋_GB2312" w:eastAsia="仿宋_GB2312" w:cs="仿宋_GB2312"/>
          <w:color w:val="auto"/>
          <w:sz w:val="28"/>
          <w:szCs w:val="28"/>
          <w:highlight w:val="none"/>
          <w:lang w:bidi="ar"/>
        </w:rPr>
        <w:t>本合同竣工验收单位为</w:t>
      </w:r>
      <w:r>
        <w:rPr>
          <w:rFonts w:hint="eastAsia" w:ascii="仿宋_GB2312" w:hAnsi="仿宋_GB2312" w:eastAsia="仿宋_GB2312" w:cs="仿宋_GB2312"/>
          <w:color w:val="auto"/>
          <w:sz w:val="28"/>
          <w:szCs w:val="28"/>
          <w:highlight w:val="none"/>
          <w:u w:val="none"/>
          <w:lang w:eastAsia="zh-CN" w:bidi="ar"/>
        </w:rPr>
        <w:t>：</w:t>
      </w:r>
      <w:r>
        <w:rPr>
          <w:rFonts w:hint="eastAsia" w:ascii="仿宋_GB2312" w:hAnsi="仿宋_GB2312" w:eastAsia="仿宋_GB2312" w:cs="仿宋_GB2312"/>
          <w:color w:val="auto"/>
          <w:sz w:val="28"/>
          <w:szCs w:val="28"/>
          <w:highlight w:val="none"/>
          <w:u w:val="single"/>
          <w:lang w:val="en-US" w:eastAsia="zh-CN" w:bidi="ar"/>
        </w:rPr>
        <w:t xml:space="preserve"> </w:t>
      </w:r>
      <w:r>
        <w:rPr>
          <w:rFonts w:hint="eastAsia" w:ascii="仿宋_GB2312" w:hAnsi="仿宋_GB2312" w:eastAsia="仿宋_GB2312" w:cs="仿宋_GB2312"/>
          <w:color w:val="auto"/>
          <w:sz w:val="28"/>
          <w:szCs w:val="28"/>
          <w:highlight w:val="none"/>
          <w:u w:val="single"/>
          <w:lang w:bidi="ar"/>
        </w:rPr>
        <w:t>广州市净水有限公司项目对应分公司</w:t>
      </w:r>
      <w:r>
        <w:rPr>
          <w:rFonts w:hint="eastAsia" w:ascii="仿宋_GB2312" w:hAnsi="仿宋_GB2312" w:eastAsia="仿宋_GB2312" w:cs="仿宋_GB2312"/>
          <w:color w:val="auto"/>
          <w:sz w:val="28"/>
          <w:szCs w:val="28"/>
          <w:highlight w:val="none"/>
          <w:u w:val="single"/>
          <w:lang w:val="en-US" w:eastAsia="zh-CN" w:bidi="ar"/>
        </w:rPr>
        <w:t>。</w:t>
      </w:r>
    </w:p>
    <w:p w14:paraId="55DBE5E7">
      <w:pPr>
        <w:numPr>
          <w:ilvl w:val="0"/>
          <w:numId w:val="1"/>
        </w:numPr>
        <w:spacing w:before="0" w:beforeLines="0" w:afterLines="0" w:line="560" w:lineRule="exact"/>
        <w:ind w:firstLine="560" w:firstLineChars="200"/>
        <w:jc w:val="left"/>
        <w:rPr>
          <w:rFonts w:hint="eastAsia" w:ascii="仿宋_GB2312" w:hAnsi="仿宋_GB2312" w:eastAsia="仿宋_GB2312" w:cs="仿宋_GB2312"/>
          <w:b/>
          <w:bCs/>
          <w:color w:val="auto"/>
          <w:sz w:val="28"/>
          <w:szCs w:val="28"/>
          <w:highlight w:val="none"/>
        </w:rPr>
      </w:pPr>
      <w:bookmarkStart w:id="3" w:name="_Toc518992994"/>
      <w:bookmarkStart w:id="4" w:name="_Toc474245220"/>
      <w:bookmarkStart w:id="5" w:name="_Toc520190034"/>
      <w:r>
        <w:rPr>
          <w:rFonts w:hint="eastAsia" w:ascii="仿宋_GB2312" w:hAnsi="仿宋_GB2312" w:eastAsia="仿宋_GB2312" w:cs="仿宋_GB2312"/>
          <w:b/>
          <w:bCs/>
          <w:color w:val="auto"/>
          <w:sz w:val="28"/>
          <w:szCs w:val="28"/>
          <w:highlight w:val="none"/>
        </w:rPr>
        <w:t>质量保证</w:t>
      </w:r>
      <w:bookmarkEnd w:id="3"/>
      <w:bookmarkEnd w:id="4"/>
      <w:bookmarkEnd w:id="5"/>
    </w:p>
    <w:p w14:paraId="070554A8">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10.1乙方保证所承包的项目质量符合国家相关标准和规范。对产品质量依据原厂商标准及国家标准从严执行。</w:t>
      </w:r>
    </w:p>
    <w:p w14:paraId="655F6E1D">
      <w:pPr>
        <w:autoSpaceDE/>
        <w:autoSpaceDN/>
        <w:adjustRightInd/>
        <w:spacing w:beforeLines="0" w:afterLines="0" w:line="560" w:lineRule="exact"/>
        <w:ind w:left="0" w:firstLine="560" w:firstLineChars="200"/>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bCs/>
          <w:color w:val="auto"/>
          <w:sz w:val="28"/>
          <w:szCs w:val="28"/>
          <w:highlight w:val="none"/>
        </w:rPr>
        <w:t>10.2本项目质量保修期为</w:t>
      </w:r>
      <w:r>
        <w:rPr>
          <w:rFonts w:hint="eastAsia" w:ascii="仿宋_GB2312" w:hAnsi="仿宋_GB2312" w:eastAsia="仿宋_GB2312" w:cs="仿宋_GB2312"/>
          <w:color w:val="auto"/>
          <w:kern w:val="0"/>
          <w:sz w:val="28"/>
          <w:szCs w:val="28"/>
          <w:highlight w:val="none"/>
          <w:lang w:val="zh-CN"/>
        </w:rPr>
        <w:t>自验收合格之日起</w:t>
      </w:r>
      <w:r>
        <w:rPr>
          <w:rFonts w:hint="eastAsia" w:ascii="仿宋_GB2312" w:hAnsi="仿宋_GB2312" w:eastAsia="仿宋_GB2312" w:cs="仿宋_GB2312"/>
          <w:color w:val="auto"/>
          <w:kern w:val="0"/>
          <w:sz w:val="28"/>
          <w:szCs w:val="28"/>
          <w:highlight w:val="none"/>
          <w:u w:val="single"/>
          <w:lang w:val="en-US" w:eastAsia="zh-CN"/>
        </w:rPr>
        <w:t>壹</w:t>
      </w:r>
      <w:r>
        <w:rPr>
          <w:rFonts w:hint="eastAsia" w:ascii="仿宋_GB2312" w:hAnsi="仿宋_GB2312" w:eastAsia="仿宋_GB2312" w:cs="仿宋_GB2312"/>
          <w:color w:val="auto"/>
          <w:kern w:val="0"/>
          <w:sz w:val="28"/>
          <w:szCs w:val="28"/>
          <w:highlight w:val="none"/>
          <w:lang w:val="zh-CN"/>
        </w:rPr>
        <w:t>年</w:t>
      </w:r>
      <w:r>
        <w:rPr>
          <w:rFonts w:hint="eastAsia" w:ascii="仿宋_GB2312" w:hAnsi="仿宋_GB2312" w:eastAsia="仿宋_GB2312" w:cs="仿宋_GB2312"/>
          <w:color w:val="auto"/>
          <w:kern w:val="0"/>
          <w:sz w:val="28"/>
          <w:szCs w:val="28"/>
          <w:highlight w:val="none"/>
          <w:lang w:val="en-US" w:eastAsia="zh-CN"/>
        </w:rPr>
        <w:t>,且不低于法定保修年限。</w:t>
      </w:r>
    </w:p>
    <w:p w14:paraId="64A3729A">
      <w:pPr>
        <w:spacing w:beforeLines="0" w:afterLines="0" w:line="56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10.3质量保修期期间，本项目的质量问题由乙方免费提供保修服务，乙方应在收到甲方通知后</w:t>
      </w:r>
      <w:r>
        <w:rPr>
          <w:rFonts w:hint="eastAsia" w:ascii="仿宋_GB2312" w:hAnsi="仿宋_GB2312" w:eastAsia="仿宋_GB2312" w:cs="仿宋_GB2312"/>
          <w:bCs/>
          <w:color w:val="auto"/>
          <w:sz w:val="28"/>
          <w:szCs w:val="28"/>
          <w:highlight w:val="none"/>
          <w:u w:val="single"/>
          <w:lang w:val="en-US" w:eastAsia="zh-CN"/>
        </w:rPr>
        <w:t>1</w:t>
      </w:r>
      <w:r>
        <w:rPr>
          <w:rFonts w:hint="eastAsia" w:ascii="仿宋_GB2312" w:hAnsi="仿宋_GB2312" w:eastAsia="仿宋_GB2312" w:cs="仿宋_GB2312"/>
          <w:bCs/>
          <w:color w:val="auto"/>
          <w:sz w:val="28"/>
          <w:szCs w:val="28"/>
          <w:highlight w:val="none"/>
        </w:rPr>
        <w:t>日内派人员到场负责解决及维修，如果乙方不按时到场维修或到场后不能修复的，甲方有权委托他人予以维修，乙方承担由此发生的费用并支付</w:t>
      </w:r>
      <w:r>
        <w:rPr>
          <w:rFonts w:hint="eastAsia" w:ascii="仿宋_GB2312" w:hAnsi="仿宋_GB2312" w:eastAsia="仿宋_GB2312" w:cs="仿宋_GB2312"/>
          <w:bCs/>
          <w:color w:val="auto"/>
          <w:sz w:val="28"/>
          <w:szCs w:val="28"/>
          <w:highlight w:val="none"/>
          <w:u w:val="single"/>
        </w:rPr>
        <w:t>合同暂定总价的10%/次</w:t>
      </w:r>
      <w:r>
        <w:rPr>
          <w:rFonts w:hint="eastAsia" w:ascii="仿宋_GB2312" w:hAnsi="仿宋_GB2312" w:eastAsia="仿宋_GB2312" w:cs="仿宋_GB2312"/>
          <w:bCs/>
          <w:color w:val="auto"/>
          <w:sz w:val="28"/>
          <w:szCs w:val="28"/>
          <w:highlight w:val="none"/>
        </w:rPr>
        <w:t>作为违约金。</w:t>
      </w:r>
    </w:p>
    <w:p w14:paraId="1A32DCAF">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10.4</w:t>
      </w:r>
      <w:r>
        <w:rPr>
          <w:rFonts w:hint="eastAsia" w:ascii="仿宋_GB2312" w:hAnsi="仿宋_GB2312" w:eastAsia="仿宋_GB2312" w:cs="仿宋_GB2312"/>
          <w:color w:val="auto"/>
          <w:sz w:val="28"/>
          <w:szCs w:val="28"/>
          <w:highlight w:val="none"/>
        </w:rPr>
        <w:t>约定的保修期限终止后，由乙方提出支付申请，甲方审核后</w:t>
      </w:r>
      <w:r>
        <w:rPr>
          <w:rFonts w:hint="eastAsia" w:ascii="仿宋_GB2312" w:hAnsi="仿宋_GB2312" w:eastAsia="仿宋_GB2312" w:cs="仿宋_GB2312"/>
          <w:color w:val="auto"/>
          <w:sz w:val="28"/>
          <w:szCs w:val="28"/>
          <w:highlight w:val="none"/>
          <w:u w:val="single"/>
        </w:rPr>
        <w:t>28日</w:t>
      </w:r>
      <w:r>
        <w:rPr>
          <w:rFonts w:hint="eastAsia" w:ascii="仿宋_GB2312" w:hAnsi="仿宋_GB2312" w:eastAsia="仿宋_GB2312" w:cs="仿宋_GB2312"/>
          <w:color w:val="auto"/>
          <w:sz w:val="28"/>
          <w:szCs w:val="28"/>
          <w:highlight w:val="none"/>
        </w:rPr>
        <w:t>内将剩余的质量保证金（无息）返还。</w:t>
      </w:r>
    </w:p>
    <w:p w14:paraId="7C19F7CD">
      <w:pPr>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rPr>
      </w:pPr>
      <w:bookmarkStart w:id="6" w:name="_Toc306350467"/>
      <w:bookmarkStart w:id="7" w:name="_Toc518993000"/>
      <w:bookmarkStart w:id="8" w:name="_Toc19692"/>
      <w:bookmarkStart w:id="9" w:name="_Toc107447255"/>
      <w:bookmarkStart w:id="10" w:name="_Toc107446862"/>
      <w:bookmarkStart w:id="11" w:name="_Toc183666531"/>
      <w:bookmarkStart w:id="12" w:name="_Toc474245226"/>
      <w:bookmarkStart w:id="13" w:name="_Toc520190040"/>
      <w:r>
        <w:rPr>
          <w:rFonts w:hint="eastAsia" w:ascii="仿宋_GB2312" w:hAnsi="仿宋_GB2312" w:eastAsia="仿宋_GB2312" w:cs="仿宋_GB2312"/>
          <w:b/>
          <w:bCs/>
          <w:color w:val="auto"/>
          <w:sz w:val="28"/>
          <w:szCs w:val="28"/>
          <w:highlight w:val="none"/>
        </w:rPr>
        <w:t>第十一条</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不可抗力</w:t>
      </w:r>
      <w:bookmarkEnd w:id="6"/>
      <w:bookmarkEnd w:id="7"/>
      <w:bookmarkEnd w:id="8"/>
      <w:bookmarkEnd w:id="9"/>
      <w:bookmarkEnd w:id="10"/>
      <w:bookmarkEnd w:id="11"/>
      <w:bookmarkEnd w:id="12"/>
      <w:bookmarkEnd w:id="13"/>
    </w:p>
    <w:p w14:paraId="2428D684">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auto"/>
          <w:sz w:val="28"/>
          <w:szCs w:val="28"/>
          <w:highlight w:val="none"/>
        </w:rPr>
      </w:pPr>
      <w:bookmarkStart w:id="14" w:name="_Toc183666532"/>
      <w:bookmarkStart w:id="15" w:name="_Toc12010"/>
      <w:bookmarkStart w:id="16" w:name="_Toc306350468"/>
      <w:r>
        <w:rPr>
          <w:rFonts w:hint="eastAsia" w:ascii="仿宋_GB2312" w:hAnsi="仿宋_GB2312" w:eastAsia="仿宋_GB2312" w:cs="仿宋_GB2312"/>
          <w:bCs/>
          <w:color w:val="auto"/>
          <w:sz w:val="28"/>
          <w:szCs w:val="28"/>
          <w:highlight w:val="none"/>
        </w:rPr>
        <w:t>11.1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14:paraId="462419AD">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1</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地震、火山爆发、滑坡、暴雨（橙色预警及以上）、台风（黄色预警及以上）、海啸、龙卷风、大面积流行病(如：非典型性肺炎等)或瘟疫；</w:t>
      </w:r>
    </w:p>
    <w:p w14:paraId="7FFBE254">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2</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战争行为、入侵、武装冲突或外敌行为、封锁、暴乱、恐怖行为或军事演习；</w:t>
      </w:r>
    </w:p>
    <w:p w14:paraId="079CFC97">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11.2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14:paraId="62422D87">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11.3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14:paraId="26033755">
      <w:pPr>
        <w:spacing w:beforeLines="0" w:afterLines="0" w:line="560" w:lineRule="exact"/>
        <w:ind w:firstLine="560" w:firstLineChars="200"/>
        <w:jc w:val="left"/>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11.4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7" w:name="_Toc520190041"/>
      <w:bookmarkStart w:id="18" w:name="_Toc107447257"/>
      <w:bookmarkStart w:id="19" w:name="_Toc118172294"/>
      <w:bookmarkStart w:id="20" w:name="_Toc107446864"/>
      <w:bookmarkStart w:id="21" w:name="_Toc474245227"/>
      <w:bookmarkStart w:id="22" w:name="_Toc518993001"/>
    </w:p>
    <w:p w14:paraId="5D0DAA8C">
      <w:pPr>
        <w:spacing w:beforeLines="0" w:afterLines="0" w:line="560" w:lineRule="exact"/>
        <w:ind w:firstLine="560" w:firstLineChars="200"/>
        <w:jc w:val="lef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第</w:t>
      </w:r>
      <w:r>
        <w:rPr>
          <w:rFonts w:hint="eastAsia" w:ascii="仿宋_GB2312" w:hAnsi="仿宋_GB2312" w:eastAsia="仿宋_GB2312" w:cs="仿宋_GB2312"/>
          <w:b/>
          <w:bCs/>
          <w:color w:val="auto"/>
          <w:sz w:val="28"/>
          <w:szCs w:val="28"/>
          <w:highlight w:val="none"/>
        </w:rPr>
        <w:t>十二条</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争议解决</w:t>
      </w:r>
      <w:bookmarkEnd w:id="14"/>
      <w:bookmarkEnd w:id="15"/>
      <w:bookmarkEnd w:id="16"/>
      <w:bookmarkEnd w:id="17"/>
      <w:bookmarkEnd w:id="18"/>
      <w:bookmarkEnd w:id="19"/>
      <w:bookmarkEnd w:id="20"/>
      <w:bookmarkEnd w:id="21"/>
      <w:bookmarkEnd w:id="22"/>
    </w:p>
    <w:p w14:paraId="4CBC4867">
      <w:pPr>
        <w:spacing w:beforeLines="0" w:afterLines="0" w:line="560" w:lineRule="exact"/>
        <w:ind w:firstLine="560" w:firstLineChars="200"/>
        <w:rPr>
          <w:rFonts w:hint="eastAsia" w:ascii="仿宋_GB2312" w:hAnsi="仿宋_GB2312" w:eastAsia="仿宋_GB2312" w:cs="仿宋_GB2312"/>
          <w:bCs/>
          <w:color w:val="auto"/>
          <w:sz w:val="28"/>
          <w:szCs w:val="28"/>
          <w:highlight w:val="none"/>
        </w:rPr>
      </w:pPr>
      <w:bookmarkStart w:id="23" w:name="_Toc306350469"/>
      <w:bookmarkStart w:id="24" w:name="_Toc183666533"/>
      <w:r>
        <w:rPr>
          <w:rFonts w:hint="eastAsia" w:ascii="仿宋_GB2312" w:hAnsi="仿宋_GB2312" w:eastAsia="仿宋_GB2312" w:cs="仿宋_GB2312"/>
          <w:bCs/>
          <w:color w:val="auto"/>
          <w:sz w:val="28"/>
          <w:szCs w:val="28"/>
          <w:highlight w:val="none"/>
        </w:rPr>
        <w:t>12.1甲乙双方应通过友好协商，解决在执行本合同所发生的或与本合同有关的一切争议。如协商不能解决争议，任何一方均可依法向甲方所在地人民法院提起诉讼。</w:t>
      </w:r>
    </w:p>
    <w:p w14:paraId="3D5E5A81">
      <w:pPr>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 xml:space="preserve">12.2 </w:t>
      </w:r>
      <w:r>
        <w:rPr>
          <w:rFonts w:hint="eastAsia" w:ascii="仿宋_GB2312" w:hAnsi="仿宋_GB2312" w:eastAsia="仿宋_GB2312" w:cs="仿宋_GB2312"/>
          <w:color w:val="auto"/>
          <w:sz w:val="28"/>
          <w:szCs w:val="28"/>
          <w:highlight w:val="none"/>
        </w:rPr>
        <w:t>在甲方同意的情况下，除有争端之外的合同其它部分在争端解决前应继续执行。</w:t>
      </w:r>
      <w:bookmarkEnd w:id="23"/>
      <w:bookmarkEnd w:id="24"/>
      <w:bookmarkStart w:id="25" w:name="_Toc474245229"/>
      <w:bookmarkStart w:id="26" w:name="_Toc520190043"/>
      <w:bookmarkStart w:id="27" w:name="_Toc518993003"/>
    </w:p>
    <w:p w14:paraId="1320D098">
      <w:pPr>
        <w:spacing w:beforeLines="0" w:afterLines="0" w:line="560" w:lineRule="exact"/>
        <w:ind w:firstLine="560" w:firstLineChars="200"/>
        <w:jc w:val="lef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第十三条</w:t>
      </w:r>
      <w:bookmarkStart w:id="28" w:name="_Toc107447264"/>
      <w:bookmarkStart w:id="29" w:name="_Toc107446871"/>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合同生效及其他</w:t>
      </w:r>
      <w:bookmarkEnd w:id="25"/>
      <w:bookmarkEnd w:id="26"/>
      <w:bookmarkEnd w:id="27"/>
      <w:bookmarkEnd w:id="28"/>
      <w:bookmarkEnd w:id="29"/>
    </w:p>
    <w:p w14:paraId="40ABFE07">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13.1本合同经双方法定代表人或授权代表签字并加盖双方公章后生效.</w:t>
      </w:r>
    </w:p>
    <w:p w14:paraId="5ED49A17">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13.2本合同正文一式</w:t>
      </w:r>
      <w:r>
        <w:rPr>
          <w:rFonts w:hint="eastAsia" w:ascii="仿宋_GB2312" w:hAnsi="仿宋_GB2312" w:eastAsia="仿宋_GB2312" w:cs="仿宋_GB2312"/>
          <w:color w:val="auto"/>
          <w:sz w:val="28"/>
          <w:szCs w:val="28"/>
          <w:highlight w:val="none"/>
          <w:lang w:val="en-US" w:eastAsia="zh-CN"/>
        </w:rPr>
        <w:t>肆</w:t>
      </w:r>
      <w:r>
        <w:rPr>
          <w:rFonts w:hint="eastAsia" w:ascii="仿宋_GB2312" w:hAnsi="仿宋_GB2312" w:eastAsia="仿宋_GB2312" w:cs="仿宋_GB2312"/>
          <w:color w:val="auto"/>
          <w:sz w:val="28"/>
          <w:szCs w:val="28"/>
          <w:highlight w:val="none"/>
        </w:rPr>
        <w:t>份，其中：甲方</w:t>
      </w:r>
      <w:r>
        <w:rPr>
          <w:rFonts w:hint="eastAsia" w:ascii="仿宋_GB2312" w:hAnsi="仿宋_GB2312" w:eastAsia="仿宋_GB2312" w:cs="仿宋_GB2312"/>
          <w:color w:val="auto"/>
          <w:sz w:val="28"/>
          <w:szCs w:val="28"/>
          <w:highlight w:val="none"/>
          <w:lang w:val="en-US" w:eastAsia="zh-CN"/>
        </w:rPr>
        <w:t>贰</w:t>
      </w:r>
      <w:r>
        <w:rPr>
          <w:rFonts w:hint="eastAsia" w:ascii="仿宋_GB2312" w:hAnsi="仿宋_GB2312" w:eastAsia="仿宋_GB2312" w:cs="仿宋_GB2312"/>
          <w:color w:val="auto"/>
          <w:sz w:val="28"/>
          <w:szCs w:val="28"/>
          <w:highlight w:val="none"/>
        </w:rPr>
        <w:t>份，乙方</w:t>
      </w:r>
      <w:r>
        <w:rPr>
          <w:rFonts w:hint="eastAsia" w:ascii="仿宋_GB2312" w:hAnsi="仿宋_GB2312" w:eastAsia="仿宋_GB2312" w:cs="仿宋_GB2312"/>
          <w:color w:val="auto"/>
          <w:sz w:val="28"/>
          <w:szCs w:val="28"/>
          <w:highlight w:val="none"/>
          <w:lang w:val="en-US" w:eastAsia="zh-CN"/>
        </w:rPr>
        <w:t>贰</w:t>
      </w:r>
      <w:r>
        <w:rPr>
          <w:rFonts w:hint="eastAsia" w:ascii="仿宋_GB2312" w:hAnsi="仿宋_GB2312" w:eastAsia="仿宋_GB2312" w:cs="仿宋_GB2312"/>
          <w:color w:val="auto"/>
          <w:sz w:val="28"/>
          <w:szCs w:val="28"/>
          <w:highlight w:val="none"/>
        </w:rPr>
        <w:t>份。</w:t>
      </w:r>
    </w:p>
    <w:p w14:paraId="245072D3">
      <w:pPr>
        <w:spacing w:beforeLines="0" w:afterLines="0" w:line="560" w:lineRule="exact"/>
        <w:ind w:firstLine="560" w:firstLineChars="200"/>
        <w:rPr>
          <w:rFonts w:hint="default" w:ascii="仿宋_GB2312" w:hAnsi="仿宋_GB2312" w:eastAsia="仿宋_GB2312" w:cs="仿宋_GB2312"/>
          <w:color w:val="auto"/>
          <w:sz w:val="28"/>
          <w:szCs w:val="28"/>
          <w:highlight w:val="none"/>
          <w:u w:val="single"/>
          <w:lang w:eastAsia="zh-CN"/>
        </w:rPr>
      </w:pPr>
      <w:r>
        <w:rPr>
          <w:rFonts w:hint="eastAsia" w:ascii="仿宋_GB2312" w:hAnsi="仿宋_GB2312" w:eastAsia="仿宋_GB2312" w:cs="仿宋_GB2312"/>
          <w:color w:val="auto"/>
          <w:sz w:val="28"/>
          <w:szCs w:val="28"/>
          <w:highlight w:val="none"/>
        </w:rPr>
        <w:t>13.3补充条款</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u w:val="single"/>
          <w:lang w:val="en-US" w:eastAsia="zh-CN"/>
        </w:rPr>
        <w:t xml:space="preserve">/  </w:t>
      </w:r>
    </w:p>
    <w:p w14:paraId="610DDDEF">
      <w:pPr>
        <w:spacing w:line="560" w:lineRule="exact"/>
        <w:rPr>
          <w:rFonts w:hint="eastAsia" w:ascii="仿宋_GB2312" w:hAnsi="仿宋_GB2312" w:eastAsia="仿宋_GB2312" w:cs="仿宋_GB2312"/>
          <w:color w:val="auto"/>
          <w:sz w:val="28"/>
          <w:szCs w:val="28"/>
          <w:highlight w:val="none"/>
        </w:rPr>
      </w:pPr>
    </w:p>
    <w:p w14:paraId="394FAB50">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附件：1.中标通知书</w:t>
      </w:r>
    </w:p>
    <w:p w14:paraId="4950E260">
      <w:pPr>
        <w:numPr>
          <w:ilvl w:val="-1"/>
          <w:numId w:val="0"/>
        </w:numPr>
        <w:spacing w:line="560" w:lineRule="exact"/>
        <w:ind w:firstLine="1400" w:firstLineChars="5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廉洁协议</w:t>
      </w:r>
    </w:p>
    <w:p w14:paraId="4B1DB67F">
      <w:pPr>
        <w:keepNext w:val="0"/>
        <w:keepLines w:val="0"/>
        <w:pageBreakBefore w:val="0"/>
        <w:kinsoku/>
        <w:wordWrap/>
        <w:overflowPunct/>
        <w:topLinePunct w:val="0"/>
        <w:autoSpaceDE/>
        <w:autoSpaceDN/>
        <w:bidi w:val="0"/>
        <w:spacing w:line="560" w:lineRule="exact"/>
        <w:ind w:firstLine="1400" w:firstLineChars="5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营运场所施工安全及消防安全协议书</w:t>
      </w:r>
    </w:p>
    <w:p w14:paraId="65752FE8">
      <w:pPr>
        <w:spacing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4</w:t>
      </w:r>
      <w:r>
        <w:rPr>
          <w:rFonts w:hint="eastAsia" w:ascii="仿宋_GB2312" w:hAnsi="仿宋_GB2312" w:eastAsia="仿宋_GB2312" w:cs="仿宋_GB2312"/>
          <w:color w:val="auto"/>
          <w:sz w:val="28"/>
          <w:szCs w:val="28"/>
          <w:highlight w:val="none"/>
        </w:rPr>
        <w:t>.工程量清单/工程量清单报价</w:t>
      </w:r>
    </w:p>
    <w:p w14:paraId="0BC8D548">
      <w:pPr>
        <w:spacing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5</w:t>
      </w:r>
      <w:r>
        <w:rPr>
          <w:rFonts w:hint="eastAsia" w:ascii="仿宋_GB2312" w:hAnsi="仿宋_GB2312" w:eastAsia="仿宋_GB2312" w:cs="仿宋_GB2312"/>
          <w:color w:val="auto"/>
          <w:sz w:val="28"/>
          <w:szCs w:val="28"/>
          <w:highlight w:val="none"/>
        </w:rPr>
        <w:t xml:space="preserve">.项目投入人员架构表 </w:t>
      </w:r>
    </w:p>
    <w:p w14:paraId="5DED7255">
      <w:pPr>
        <w:spacing w:line="560" w:lineRule="exact"/>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 xml:space="preserve">     </w:t>
      </w:r>
      <w:r>
        <w:rPr>
          <w:rFonts w:hint="eastAsia" w:ascii="仿宋_GB2312" w:hAnsi="仿宋_GB2312" w:eastAsia="仿宋_GB2312" w:cs="仿宋_GB2312"/>
          <w:b w:val="0"/>
          <w:bCs w:val="0"/>
          <w:color w:val="auto"/>
          <w:sz w:val="28"/>
          <w:szCs w:val="28"/>
          <w:highlight w:val="none"/>
          <w:lang w:val="en-US" w:eastAsia="zh-CN"/>
        </w:rPr>
        <w:t xml:space="preserve">    </w:t>
      </w:r>
      <w:r>
        <w:rPr>
          <w:rFonts w:hint="eastAsia" w:ascii="仿宋_GB2312" w:hAnsi="仿宋_GB2312" w:eastAsia="仿宋_GB2312" w:cs="仿宋_GB2312"/>
          <w:b w:val="0"/>
          <w:bCs w:val="0"/>
          <w:color w:val="auto"/>
          <w:sz w:val="28"/>
          <w:szCs w:val="28"/>
          <w:highlight w:val="none"/>
        </w:rPr>
        <w:t xml:space="preserve"> </w:t>
      </w:r>
      <w:r>
        <w:rPr>
          <w:rFonts w:hint="eastAsia" w:ascii="仿宋_GB2312" w:hAnsi="仿宋_GB2312" w:eastAsia="仿宋_GB2312" w:cs="仿宋_GB2312"/>
          <w:b w:val="0"/>
          <w:bCs w:val="0"/>
          <w:color w:val="auto"/>
          <w:sz w:val="28"/>
          <w:szCs w:val="28"/>
          <w:highlight w:val="none"/>
          <w:lang w:val="en-US" w:eastAsia="zh-CN"/>
        </w:rPr>
        <w:t>6</w:t>
      </w:r>
      <w:r>
        <w:rPr>
          <w:rFonts w:hint="eastAsia" w:ascii="仿宋_GB2312" w:hAnsi="仿宋_GB2312" w:eastAsia="仿宋_GB2312" w:cs="仿宋_GB2312"/>
          <w:b w:val="0"/>
          <w:bCs w:val="0"/>
          <w:color w:val="auto"/>
          <w:sz w:val="28"/>
          <w:szCs w:val="28"/>
          <w:highlight w:val="none"/>
        </w:rPr>
        <w:t>.</w:t>
      </w:r>
      <w:r>
        <w:rPr>
          <w:rFonts w:hint="eastAsia" w:ascii="仿宋_GB2312" w:hAnsi="仿宋_GB2312" w:eastAsia="仿宋_GB2312" w:cs="仿宋_GB2312"/>
          <w:color w:val="auto"/>
          <w:sz w:val="28"/>
          <w:szCs w:val="28"/>
          <w:highlight w:val="none"/>
        </w:rPr>
        <w:t>履约保函（模板）</w:t>
      </w:r>
    </w:p>
    <w:p w14:paraId="35A141C9">
      <w:pPr>
        <w:spacing w:line="560" w:lineRule="exact"/>
        <w:ind w:left="1676" w:leftChars="665" w:hanging="280" w:hangingChars="100"/>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b w:val="0"/>
          <w:bCs w:val="0"/>
          <w:color w:val="auto"/>
          <w:sz w:val="28"/>
          <w:szCs w:val="28"/>
          <w:highlight w:val="none"/>
        </w:rPr>
        <w:t>施工项目危险作业安全作业物资及应急物资清单（承包方/乙方提供）</w:t>
      </w:r>
    </w:p>
    <w:p w14:paraId="184DAAE6">
      <w:pPr>
        <w:pStyle w:val="24"/>
        <w:spacing w:line="560" w:lineRule="exact"/>
        <w:ind w:left="1756" w:leftChars="703" w:hanging="280" w:hangingChars="100"/>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sz w:val="28"/>
          <w:szCs w:val="28"/>
          <w:highlight w:val="none"/>
          <w:u w:val="none"/>
          <w:lang w:val="en-US" w:eastAsia="zh-CN"/>
        </w:rPr>
        <w:t>8.</w:t>
      </w:r>
      <w:r>
        <w:rPr>
          <w:rFonts w:hint="eastAsia" w:ascii="仿宋_GB2312" w:hAnsi="仿宋_GB2312" w:eastAsia="仿宋_GB2312" w:cs="仿宋_GB2312"/>
          <w:color w:val="auto"/>
          <w:kern w:val="2"/>
          <w:sz w:val="28"/>
          <w:szCs w:val="28"/>
          <w:highlight w:val="none"/>
          <w:u w:val="none"/>
          <w:lang w:val="en-US" w:eastAsia="zh-CN" w:bidi="ar-SA"/>
        </w:rPr>
        <w:t>营运项目承包单位日常履约考评参照表（安全）、营运项目承包单位综合履约考评表（安全）</w:t>
      </w:r>
    </w:p>
    <w:p w14:paraId="0593769A">
      <w:pPr>
        <w:pStyle w:val="24"/>
        <w:spacing w:line="560" w:lineRule="exact"/>
        <w:ind w:firstLine="1400" w:firstLineChars="500"/>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9.预付款保函（模板）</w:t>
      </w:r>
    </w:p>
    <w:p w14:paraId="467D8F3B">
      <w:pPr>
        <w:spacing w:line="560" w:lineRule="exact"/>
        <w:ind w:firstLine="1400" w:firstLineChars="5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工人工资结清证明（模板）</w:t>
      </w:r>
    </w:p>
    <w:p w14:paraId="3210D964">
      <w:pPr>
        <w:spacing w:line="560" w:lineRule="exact"/>
        <w:ind w:firstLine="1400" w:firstLineChars="5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不履约行为的情形及相应被暂停参与投标活动的处理标准</w:t>
      </w:r>
    </w:p>
    <w:p w14:paraId="2B79B29C">
      <w:pPr>
        <w:spacing w:line="560" w:lineRule="exact"/>
        <w:ind w:firstLine="1400" w:firstLineChars="5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12.技术需求书</w:t>
      </w:r>
    </w:p>
    <w:p w14:paraId="363952C5">
      <w:pPr>
        <w:spacing w:line="560" w:lineRule="exact"/>
        <w:rPr>
          <w:rFonts w:hint="eastAsia" w:ascii="仿宋_GB2312" w:hAnsi="仿宋_GB2312" w:eastAsia="仿宋_GB2312" w:cs="仿宋_GB2312"/>
          <w:color w:val="auto"/>
          <w:sz w:val="28"/>
          <w:szCs w:val="28"/>
          <w:highlight w:val="none"/>
        </w:rPr>
      </w:pPr>
    </w:p>
    <w:p w14:paraId="52905891">
      <w:pPr>
        <w:spacing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甲方：广州市净水有限公司（盖章）</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581E4A3E">
      <w:pPr>
        <w:spacing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法定代表或</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法定代表人或</w:t>
      </w:r>
    </w:p>
    <w:p w14:paraId="08B36B7C">
      <w:pPr>
        <w:spacing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授权代理人：</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授权代理人：</w:t>
      </w:r>
    </w:p>
    <w:p w14:paraId="54DEADAC">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地址：广州市天河区临江大道501号</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地址：</w:t>
      </w:r>
    </w:p>
    <w:p w14:paraId="05C9D09E">
      <w:pPr>
        <w:spacing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经办人：</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经办人：</w:t>
      </w:r>
    </w:p>
    <w:p w14:paraId="1DC9B966">
      <w:pPr>
        <w:spacing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联系电话：</w:t>
      </w:r>
    </w:p>
    <w:p w14:paraId="02F39D41">
      <w:pPr>
        <w:spacing w:line="560" w:lineRule="exact"/>
        <w:ind w:left="6360" w:hanging="7420" w:hangingChars="26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传真：</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传真：</w:t>
      </w:r>
    </w:p>
    <w:p w14:paraId="30AE68E3">
      <w:pPr>
        <w:spacing w:line="560" w:lineRule="exact"/>
        <w:ind w:left="6360" w:hanging="7420" w:hangingChars="26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签署日期：</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签署日期：</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日</w:t>
      </w:r>
    </w:p>
    <w:p w14:paraId="4F950B1F">
      <w:pPr>
        <w:pStyle w:val="24"/>
        <w:spacing w:beforeLines="0" w:afterLines="0"/>
        <w:ind w:left="0" w:leftChars="0" w:firstLine="720" w:firstLineChars="300"/>
        <w:rPr>
          <w:rFonts w:hint="default" w:ascii="宋体" w:hAnsi="宋体" w:eastAsia="宋体" w:cs="宋体"/>
          <w:color w:val="auto"/>
          <w:sz w:val="24"/>
          <w:szCs w:val="22"/>
          <w:highlight w:val="none"/>
          <w:lang w:val="en-US" w:eastAsia="zh-CN"/>
        </w:rPr>
      </w:pPr>
      <w:bookmarkStart w:id="30" w:name="_Toc387080836"/>
      <w:bookmarkStart w:id="31" w:name="_Toc389815339"/>
      <w:bookmarkStart w:id="32" w:name="_Toc389815031"/>
      <w:r>
        <w:rPr>
          <w:rFonts w:hint="eastAsia" w:ascii="宋体" w:hAnsi="宋体" w:cs="宋体"/>
          <w:color w:val="auto"/>
          <w:sz w:val="24"/>
          <w:szCs w:val="22"/>
          <w:highlight w:val="none"/>
          <w:lang w:val="en-US" w:eastAsia="zh-CN"/>
        </w:rPr>
        <w:t>以下无正文</w:t>
      </w:r>
    </w:p>
    <w:p w14:paraId="07AE934B">
      <w:pPr>
        <w:spacing w:line="360" w:lineRule="auto"/>
        <w:jc w:val="both"/>
        <w:rPr>
          <w:rFonts w:hint="eastAsia" w:ascii="黑体" w:hAnsi="黑体" w:eastAsia="黑体" w:cs="黑体"/>
          <w:b w:val="0"/>
          <w:bCs w:val="0"/>
          <w:color w:val="auto"/>
          <w:sz w:val="32"/>
          <w:szCs w:val="32"/>
          <w:highlight w:val="none"/>
        </w:rPr>
      </w:pPr>
    </w:p>
    <w:p w14:paraId="1D7647B6">
      <w:pPr>
        <w:spacing w:line="360" w:lineRule="auto"/>
        <w:jc w:val="both"/>
        <w:rPr>
          <w:rFonts w:hint="eastAsia" w:ascii="黑体" w:hAnsi="黑体" w:eastAsia="黑体" w:cs="黑体"/>
          <w:b w:val="0"/>
          <w:bCs w:val="0"/>
          <w:color w:val="auto"/>
          <w:sz w:val="32"/>
          <w:szCs w:val="32"/>
          <w:highlight w:val="none"/>
        </w:rPr>
      </w:pPr>
    </w:p>
    <w:p w14:paraId="6C4CB565">
      <w:pPr>
        <w:spacing w:line="360" w:lineRule="auto"/>
        <w:jc w:val="both"/>
        <w:rPr>
          <w:rFonts w:hint="eastAsia" w:ascii="黑体" w:hAnsi="黑体" w:eastAsia="黑体" w:cs="黑体"/>
          <w:b w:val="0"/>
          <w:bCs w:val="0"/>
          <w:color w:val="auto"/>
          <w:sz w:val="32"/>
          <w:szCs w:val="32"/>
          <w:highlight w:val="none"/>
        </w:rPr>
      </w:pPr>
    </w:p>
    <w:p w14:paraId="2A6AB03B">
      <w:pPr>
        <w:spacing w:line="360" w:lineRule="auto"/>
        <w:jc w:val="both"/>
        <w:rPr>
          <w:rFonts w:hint="eastAsia" w:ascii="黑体" w:hAnsi="黑体" w:eastAsia="黑体" w:cs="黑体"/>
          <w:b w:val="0"/>
          <w:bCs w:val="0"/>
          <w:color w:val="auto"/>
          <w:sz w:val="32"/>
          <w:szCs w:val="32"/>
          <w:highlight w:val="none"/>
        </w:rPr>
      </w:pPr>
    </w:p>
    <w:p w14:paraId="4EE2A077">
      <w:pPr>
        <w:spacing w:line="360" w:lineRule="auto"/>
        <w:jc w:val="both"/>
        <w:rPr>
          <w:rFonts w:hint="eastAsia" w:ascii="黑体" w:hAnsi="黑体" w:eastAsia="黑体" w:cs="黑体"/>
          <w:b w:val="0"/>
          <w:bCs w:val="0"/>
          <w:color w:val="auto"/>
          <w:sz w:val="32"/>
          <w:szCs w:val="32"/>
          <w:highlight w:val="none"/>
        </w:rPr>
      </w:pPr>
    </w:p>
    <w:p w14:paraId="53939A27">
      <w:pPr>
        <w:spacing w:line="360" w:lineRule="auto"/>
        <w:jc w:val="both"/>
        <w:rPr>
          <w:rFonts w:hint="eastAsia" w:ascii="黑体" w:hAnsi="黑体" w:eastAsia="黑体" w:cs="黑体"/>
          <w:b w:val="0"/>
          <w:bCs w:val="0"/>
          <w:color w:val="auto"/>
          <w:sz w:val="32"/>
          <w:szCs w:val="32"/>
          <w:highlight w:val="none"/>
        </w:rPr>
      </w:pPr>
    </w:p>
    <w:p w14:paraId="601FE8FD">
      <w:pPr>
        <w:spacing w:line="360" w:lineRule="auto"/>
        <w:jc w:val="both"/>
        <w:rPr>
          <w:rFonts w:hint="eastAsia" w:ascii="黑体" w:hAnsi="黑体" w:eastAsia="黑体" w:cs="黑体"/>
          <w:b w:val="0"/>
          <w:bCs w:val="0"/>
          <w:color w:val="auto"/>
          <w:sz w:val="32"/>
          <w:szCs w:val="32"/>
          <w:highlight w:val="none"/>
        </w:rPr>
      </w:pPr>
    </w:p>
    <w:p w14:paraId="5E2DA777">
      <w:pPr>
        <w:spacing w:line="360" w:lineRule="auto"/>
        <w:jc w:val="both"/>
        <w:rPr>
          <w:rFonts w:hint="eastAsia" w:ascii="黑体" w:hAnsi="黑体" w:eastAsia="黑体" w:cs="黑体"/>
          <w:b w:val="0"/>
          <w:bCs w:val="0"/>
          <w:color w:val="auto"/>
          <w:sz w:val="32"/>
          <w:szCs w:val="32"/>
          <w:highlight w:val="none"/>
        </w:rPr>
      </w:pPr>
    </w:p>
    <w:p w14:paraId="3EF90D60">
      <w:pPr>
        <w:spacing w:line="360" w:lineRule="auto"/>
        <w:jc w:val="both"/>
        <w:rPr>
          <w:rFonts w:hint="eastAsia" w:ascii="黑体" w:hAnsi="黑体" w:eastAsia="黑体" w:cs="黑体"/>
          <w:b w:val="0"/>
          <w:bCs w:val="0"/>
          <w:color w:val="auto"/>
          <w:sz w:val="32"/>
          <w:szCs w:val="32"/>
          <w:highlight w:val="none"/>
        </w:rPr>
      </w:pPr>
    </w:p>
    <w:p w14:paraId="48F6B811">
      <w:pPr>
        <w:spacing w:line="360" w:lineRule="auto"/>
        <w:jc w:val="both"/>
        <w:rPr>
          <w:rFonts w:hint="eastAsia" w:ascii="黑体" w:hAnsi="黑体" w:eastAsia="黑体" w:cs="黑体"/>
          <w:b w:val="0"/>
          <w:bCs w:val="0"/>
          <w:color w:val="auto"/>
          <w:sz w:val="32"/>
          <w:szCs w:val="32"/>
          <w:highlight w:val="none"/>
        </w:rPr>
      </w:pPr>
    </w:p>
    <w:p w14:paraId="60B433CD">
      <w:pPr>
        <w:spacing w:line="360" w:lineRule="auto"/>
        <w:jc w:val="both"/>
        <w:rPr>
          <w:rFonts w:hint="eastAsia" w:ascii="黑体" w:hAnsi="黑体" w:eastAsia="黑体" w:cs="黑体"/>
          <w:b w:val="0"/>
          <w:bCs w:val="0"/>
          <w:color w:val="auto"/>
          <w:sz w:val="32"/>
          <w:szCs w:val="32"/>
          <w:highlight w:val="none"/>
        </w:rPr>
      </w:pPr>
    </w:p>
    <w:p w14:paraId="23156EEA">
      <w:pPr>
        <w:spacing w:line="360" w:lineRule="auto"/>
        <w:jc w:val="both"/>
        <w:rPr>
          <w:rFonts w:hint="eastAsia" w:ascii="黑体" w:hAnsi="黑体" w:eastAsia="黑体" w:cs="黑体"/>
          <w:b w:val="0"/>
          <w:bCs w:val="0"/>
          <w:color w:val="auto"/>
          <w:sz w:val="32"/>
          <w:szCs w:val="32"/>
          <w:highlight w:val="none"/>
        </w:rPr>
      </w:pPr>
    </w:p>
    <w:p w14:paraId="1A1724BD">
      <w:pPr>
        <w:spacing w:line="360" w:lineRule="auto"/>
        <w:jc w:val="both"/>
        <w:rPr>
          <w:rFonts w:hint="eastAsia" w:ascii="黑体" w:hAnsi="黑体" w:eastAsia="黑体" w:cs="黑体"/>
          <w:b w:val="0"/>
          <w:bCs w:val="0"/>
          <w:color w:val="auto"/>
          <w:sz w:val="32"/>
          <w:szCs w:val="32"/>
          <w:highlight w:val="none"/>
        </w:rPr>
      </w:pPr>
    </w:p>
    <w:p w14:paraId="2E1A439E">
      <w:pPr>
        <w:spacing w:line="360" w:lineRule="auto"/>
        <w:jc w:val="both"/>
        <w:rPr>
          <w:rFonts w:hint="eastAsia" w:ascii="黑体" w:hAnsi="黑体" w:eastAsia="黑体" w:cs="黑体"/>
          <w:b w:val="0"/>
          <w:bCs w:val="0"/>
          <w:color w:val="auto"/>
          <w:sz w:val="32"/>
          <w:szCs w:val="32"/>
          <w:highlight w:val="none"/>
        </w:rPr>
      </w:pPr>
    </w:p>
    <w:p w14:paraId="1BDA6046">
      <w:pPr>
        <w:spacing w:line="360" w:lineRule="auto"/>
        <w:jc w:val="both"/>
        <w:rPr>
          <w:rFonts w:hint="eastAsia" w:ascii="黑体" w:hAnsi="黑体" w:eastAsia="黑体" w:cs="黑体"/>
          <w:b w:val="0"/>
          <w:bCs w:val="0"/>
          <w:color w:val="auto"/>
          <w:sz w:val="32"/>
          <w:szCs w:val="32"/>
          <w:highlight w:val="none"/>
        </w:rPr>
      </w:pPr>
    </w:p>
    <w:p w14:paraId="0C34ABEC">
      <w:pPr>
        <w:spacing w:line="360" w:lineRule="auto"/>
        <w:jc w:val="both"/>
        <w:rPr>
          <w:rFonts w:hint="eastAsia" w:ascii="黑体" w:hAnsi="黑体" w:eastAsia="黑体" w:cs="黑体"/>
          <w:b w:val="0"/>
          <w:bCs w:val="0"/>
          <w:color w:val="auto"/>
          <w:sz w:val="32"/>
          <w:szCs w:val="32"/>
          <w:highlight w:val="none"/>
        </w:rPr>
      </w:pPr>
    </w:p>
    <w:p w14:paraId="3A227EC7">
      <w:pPr>
        <w:spacing w:line="360" w:lineRule="auto"/>
        <w:jc w:val="both"/>
        <w:rPr>
          <w:rFonts w:hint="eastAsia" w:ascii="黑体" w:hAnsi="黑体" w:eastAsia="黑体" w:cs="黑体"/>
          <w:b w:val="0"/>
          <w:bCs w:val="0"/>
          <w:color w:val="auto"/>
          <w:sz w:val="32"/>
          <w:szCs w:val="32"/>
          <w:highlight w:val="none"/>
        </w:rPr>
      </w:pPr>
    </w:p>
    <w:p w14:paraId="1A606814">
      <w:pPr>
        <w:spacing w:line="360" w:lineRule="auto"/>
        <w:jc w:val="both"/>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附件2</w:t>
      </w:r>
    </w:p>
    <w:p w14:paraId="5CB8FF01">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廉洁协议</w:t>
      </w:r>
    </w:p>
    <w:p w14:paraId="05CF34DC">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p>
    <w:p w14:paraId="7404708D">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14:paraId="11E63D06">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14:paraId="014FF3B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14:paraId="4BBD2CF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eastAsia="zh-CN"/>
        </w:rPr>
        <w:t>广州净水公司2025年工艺及生产设备设施改造项目</w:t>
      </w:r>
      <w:r>
        <w:rPr>
          <w:rFonts w:hint="eastAsia" w:ascii="仿宋_GB2312" w:hAnsi="仿宋_GB2312" w:eastAsia="仿宋_GB2312" w:cs="仿宋_GB2312"/>
          <w:b w:val="0"/>
          <w:bCs/>
          <w:color w:val="auto"/>
          <w:sz w:val="28"/>
          <w:szCs w:val="28"/>
          <w:highlight w:val="none"/>
          <w:u w:val="single"/>
        </w:rPr>
        <w:t xml:space="preserve">（穗净水合[      ]    号） </w:t>
      </w:r>
      <w:r>
        <w:rPr>
          <w:rFonts w:hint="eastAsia" w:ascii="仿宋_GB2312" w:hAnsi="仿宋_GB2312" w:eastAsia="仿宋_GB2312" w:cs="仿宋_GB2312"/>
          <w:b w:val="0"/>
          <w:bCs/>
          <w:color w:val="auto"/>
          <w:sz w:val="28"/>
          <w:szCs w:val="28"/>
          <w:highlight w:val="none"/>
        </w:rPr>
        <w:t>合同（以下简称：主合同），自觉履行合同约定的相关义务。</w:t>
      </w:r>
    </w:p>
    <w:p w14:paraId="005847EA">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14:paraId="169792F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14:paraId="22FE825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14:paraId="34FC7BE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14:paraId="7582F71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14:paraId="1C8A05B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14:paraId="5C155FD3">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14:paraId="54259583">
      <w:pPr>
        <w:keepNext w:val="0"/>
        <w:keepLines w:val="0"/>
        <w:pageBreakBefore w:val="0"/>
        <w:kinsoku/>
        <w:wordWrap/>
        <w:overflowPunct/>
        <w:topLinePunct w:val="0"/>
        <w:autoSpaceDE/>
        <w:autoSpaceDN/>
        <w:bidi w:val="0"/>
        <w:adjustRightInd/>
        <w:snapToGrid/>
        <w:spacing w:line="560" w:lineRule="exact"/>
        <w:ind w:left="14"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14:paraId="5B938D8B">
      <w:pPr>
        <w:keepNext w:val="0"/>
        <w:keepLines w:val="0"/>
        <w:pageBreakBefore w:val="0"/>
        <w:kinsoku/>
        <w:wordWrap/>
        <w:overflowPunct/>
        <w:topLinePunct w:val="0"/>
        <w:autoSpaceDE/>
        <w:autoSpaceDN/>
        <w:bidi w:val="0"/>
        <w:adjustRightInd/>
        <w:snapToGrid/>
        <w:spacing w:line="560" w:lineRule="exact"/>
        <w:ind w:left="14"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14:paraId="7C9ED333">
      <w:pPr>
        <w:keepNext w:val="0"/>
        <w:keepLines w:val="0"/>
        <w:pageBreakBefore w:val="0"/>
        <w:kinsoku/>
        <w:wordWrap/>
        <w:overflowPunct/>
        <w:topLinePunct w:val="0"/>
        <w:autoSpaceDE/>
        <w:autoSpaceDN/>
        <w:bidi w:val="0"/>
        <w:adjustRightInd/>
        <w:snapToGrid/>
        <w:spacing w:line="560" w:lineRule="exact"/>
        <w:ind w:left="14"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14:paraId="6768EBC0">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14:paraId="19D5F08C">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14:paraId="7006579B">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14:paraId="2A5B753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14:paraId="075AB62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14:paraId="4E2AB983">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14:paraId="606CD310">
      <w:pPr>
        <w:pStyle w:val="15"/>
        <w:keepNext w:val="0"/>
        <w:keepLines w:val="0"/>
        <w:pageBreakBefore w:val="0"/>
        <w:kinsoku/>
        <w:wordWrap/>
        <w:overflowPunct/>
        <w:topLinePunct w:val="0"/>
        <w:autoSpaceDE/>
        <w:autoSpaceDN/>
        <w:bidi w:val="0"/>
        <w:adjustRightInd/>
        <w:snapToGrid/>
        <w:spacing w:after="0" w:line="560" w:lineRule="exact"/>
        <w:ind w:left="0" w:leftChars="0"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14:paraId="4F9D06A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14:paraId="26A3FD31">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14:paraId="69F1364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14:paraId="4044126E">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14:paraId="05F39F4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14:paraId="686AF1A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14:paraId="0C5928B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14:paraId="7AD1496D">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14:paraId="689EA411">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14:paraId="01CF587B">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14:paraId="6ED195A8">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14:paraId="22B8B373">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14:paraId="063335AC">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14:paraId="1F10802C">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14:paraId="52AEF8C4">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14:paraId="25D301D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14:paraId="70DEDF83">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第五条</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14:paraId="131E285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eastAsia="zh-CN"/>
        </w:rPr>
        <w:t>广州净水公司2025年工艺及生产设备设施改造项目（</w:t>
      </w:r>
      <w:r>
        <w:rPr>
          <w:rFonts w:hint="eastAsia" w:ascii="仿宋_GB2312" w:hAnsi="仿宋_GB2312" w:eastAsia="仿宋_GB2312" w:cs="仿宋_GB2312"/>
          <w:color w:val="auto"/>
          <w:sz w:val="28"/>
          <w:szCs w:val="28"/>
          <w:highlight w:val="none"/>
          <w:u w:val="single"/>
        </w:rPr>
        <w:t>穗净水合〔    〕   号</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14:paraId="3924DE96">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第七条本协议一式肆份，甲方</w:t>
      </w:r>
      <w:r>
        <w:rPr>
          <w:rFonts w:hint="eastAsia" w:ascii="仿宋_GB2312" w:hAnsi="仿宋_GB2312" w:eastAsia="仿宋_GB2312" w:cs="仿宋_GB2312"/>
          <w:b w:val="0"/>
          <w:bCs/>
          <w:color w:val="auto"/>
          <w:sz w:val="28"/>
          <w:szCs w:val="28"/>
          <w:highlight w:val="none"/>
          <w:lang w:val="en-US" w:eastAsia="zh-CN"/>
        </w:rPr>
        <w:t>贰</w:t>
      </w:r>
      <w:r>
        <w:rPr>
          <w:rFonts w:hint="eastAsia" w:ascii="仿宋_GB2312" w:hAnsi="仿宋_GB2312" w:eastAsia="仿宋_GB2312" w:cs="仿宋_GB2312"/>
          <w:b w:val="0"/>
          <w:bCs/>
          <w:color w:val="auto"/>
          <w:sz w:val="28"/>
          <w:szCs w:val="28"/>
          <w:highlight w:val="none"/>
        </w:rPr>
        <w:t>份，乙方贰份。</w:t>
      </w:r>
    </w:p>
    <w:p w14:paraId="2C75EA7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14:paraId="3EBF6B10">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14:paraId="7811FE7E">
      <w:pPr>
        <w:pStyle w:val="54"/>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14:paraId="300D5061">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14:paraId="23C69C61">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auto"/>
          <w:sz w:val="24"/>
          <w:szCs w:val="24"/>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14:paraId="2F4EE0D6">
      <w:pPr>
        <w:pStyle w:val="24"/>
        <w:rPr>
          <w:rFonts w:hint="eastAsia" w:ascii="宋体" w:hAnsi="宋体" w:eastAsia="宋体" w:cs="宋体"/>
          <w:b w:val="0"/>
          <w:bCs/>
          <w:color w:val="auto"/>
          <w:sz w:val="24"/>
          <w:szCs w:val="24"/>
          <w:highlight w:val="none"/>
        </w:rPr>
      </w:pPr>
    </w:p>
    <w:p w14:paraId="7A8D1538">
      <w:pPr>
        <w:pStyle w:val="24"/>
        <w:rPr>
          <w:rFonts w:hint="eastAsia" w:ascii="宋体" w:hAnsi="宋体" w:eastAsia="宋体" w:cs="宋体"/>
          <w:b w:val="0"/>
          <w:bCs/>
          <w:color w:val="auto"/>
          <w:sz w:val="24"/>
          <w:szCs w:val="24"/>
          <w:highlight w:val="none"/>
        </w:rPr>
      </w:pPr>
    </w:p>
    <w:p w14:paraId="1FF6A855">
      <w:pPr>
        <w:pStyle w:val="24"/>
        <w:rPr>
          <w:rFonts w:hint="eastAsia" w:ascii="宋体" w:hAnsi="宋体" w:eastAsia="宋体" w:cs="宋体"/>
          <w:b w:val="0"/>
          <w:bCs/>
          <w:color w:val="auto"/>
          <w:sz w:val="24"/>
          <w:szCs w:val="24"/>
          <w:highlight w:val="none"/>
        </w:rPr>
      </w:pPr>
    </w:p>
    <w:p w14:paraId="25933566">
      <w:pPr>
        <w:spacing w:line="440" w:lineRule="exact"/>
        <w:jc w:val="both"/>
        <w:rPr>
          <w:rFonts w:hint="eastAsia" w:ascii="黑体" w:hAnsi="黑体" w:eastAsia="黑体" w:cs="黑体"/>
          <w:b w:val="0"/>
          <w:bCs/>
          <w:color w:val="auto"/>
          <w:sz w:val="32"/>
          <w:szCs w:val="32"/>
          <w:highlight w:val="none"/>
        </w:rPr>
      </w:pPr>
    </w:p>
    <w:p w14:paraId="4144433B">
      <w:pPr>
        <w:spacing w:line="440" w:lineRule="exact"/>
        <w:jc w:val="both"/>
        <w:rPr>
          <w:rFonts w:hint="eastAsia" w:ascii="宋体" w:hAnsi="宋体" w:cs="宋体"/>
          <w:b/>
          <w:bCs/>
          <w:color w:val="auto"/>
          <w:sz w:val="24"/>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3</w:t>
      </w:r>
      <w:bookmarkEnd w:id="30"/>
      <w:bookmarkEnd w:id="31"/>
      <w:bookmarkEnd w:id="32"/>
    </w:p>
    <w:p w14:paraId="3ADCF98A">
      <w:pPr>
        <w:keepNext w:val="0"/>
        <w:keepLines w:val="0"/>
        <w:pageBreakBefore w:val="0"/>
        <w:kinsoku/>
        <w:wordWrap/>
        <w:overflowPunct/>
        <w:topLinePunct w:val="0"/>
        <w:autoSpaceDE/>
        <w:autoSpaceDN/>
        <w:bidi w:val="0"/>
        <w:spacing w:line="24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营运场所施工安全及消防安全协议书</w:t>
      </w:r>
    </w:p>
    <w:p w14:paraId="3F4ABB95">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kern w:val="0"/>
          <w:sz w:val="24"/>
          <w:highlight w:val="none"/>
        </w:rPr>
      </w:pPr>
    </w:p>
    <w:p w14:paraId="5FB97D60">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甲方：</w:t>
      </w:r>
      <w:r>
        <w:rPr>
          <w:rFonts w:hint="eastAsia" w:ascii="仿宋_GB2312" w:hAnsi="仿宋_GB2312" w:eastAsia="仿宋_GB2312" w:cs="仿宋_GB2312"/>
          <w:color w:val="auto"/>
          <w:sz w:val="28"/>
          <w:szCs w:val="28"/>
          <w:highlight w:val="none"/>
        </w:rPr>
        <w:t>广州市净水有限公司</w:t>
      </w:r>
    </w:p>
    <w:p w14:paraId="7935B019">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 xml:space="preserve">乙方： </w:t>
      </w:r>
    </w:p>
    <w:p w14:paraId="52155358">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kern w:val="0"/>
          <w:sz w:val="28"/>
          <w:szCs w:val="28"/>
          <w:highlight w:val="none"/>
        </w:rPr>
      </w:pPr>
    </w:p>
    <w:p w14:paraId="6325543A">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根据《中华人民共和国安全生产法》、</w:t>
      </w:r>
      <w:r>
        <w:rPr>
          <w:rFonts w:hint="eastAsia" w:ascii="仿宋_GB2312" w:hAnsi="仿宋_GB2312" w:eastAsia="仿宋_GB2312" w:cs="仿宋_GB2312"/>
          <w:color w:val="auto"/>
          <w:kern w:val="0"/>
          <w:sz w:val="28"/>
          <w:szCs w:val="28"/>
          <w:highlight w:val="none"/>
          <w:lang w:eastAsia="zh-CN"/>
        </w:rPr>
        <w:t>《中华人民共和国消防法》、</w:t>
      </w:r>
      <w:r>
        <w:rPr>
          <w:rFonts w:hint="eastAsia" w:ascii="仿宋_GB2312" w:hAnsi="仿宋_GB2312" w:eastAsia="仿宋_GB2312" w:cs="仿宋_GB2312"/>
          <w:color w:val="auto"/>
          <w:kern w:val="0"/>
          <w:sz w:val="28"/>
          <w:szCs w:val="28"/>
          <w:highlight w:val="none"/>
        </w:rPr>
        <w:t>《生产安全事故报告和调查处理条例》</w:t>
      </w:r>
      <w:r>
        <w:rPr>
          <w:rFonts w:hint="eastAsia" w:ascii="仿宋_GB2312" w:hAnsi="仿宋_GB2312" w:eastAsia="仿宋_GB2312" w:cs="仿宋_GB2312"/>
          <w:color w:val="auto"/>
          <w:kern w:val="0"/>
          <w:sz w:val="28"/>
          <w:szCs w:val="28"/>
          <w:highlight w:val="none"/>
          <w:lang w:eastAsia="zh-CN"/>
        </w:rPr>
        <w:t>、《建设工程安全生产管理条例》</w:t>
      </w:r>
      <w:r>
        <w:rPr>
          <w:rFonts w:hint="eastAsia" w:ascii="仿宋_GB2312" w:hAnsi="仿宋_GB2312" w:eastAsia="仿宋_GB2312" w:cs="仿宋_GB2312"/>
          <w:color w:val="auto"/>
          <w:kern w:val="0"/>
          <w:sz w:val="28"/>
          <w:szCs w:val="28"/>
          <w:highlight w:val="none"/>
        </w:rPr>
        <w:t>等国家及地方有关安全生产</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消防安全</w:t>
      </w:r>
      <w:r>
        <w:rPr>
          <w:rFonts w:hint="eastAsia" w:ascii="仿宋_GB2312" w:hAnsi="仿宋_GB2312" w:eastAsia="仿宋_GB2312" w:cs="仿宋_GB2312"/>
          <w:color w:val="auto"/>
          <w:kern w:val="0"/>
          <w:sz w:val="28"/>
          <w:szCs w:val="28"/>
          <w:highlight w:val="none"/>
        </w:rPr>
        <w:t>法律法规，甲乙双方就安全</w:t>
      </w:r>
      <w:r>
        <w:rPr>
          <w:rFonts w:hint="eastAsia" w:ascii="仿宋_GB2312" w:hAnsi="仿宋_GB2312" w:eastAsia="仿宋_GB2312" w:cs="仿宋_GB2312"/>
          <w:color w:val="auto"/>
          <w:kern w:val="0"/>
          <w:sz w:val="28"/>
          <w:szCs w:val="28"/>
          <w:highlight w:val="none"/>
          <w:lang w:val="en-US" w:eastAsia="zh-CN"/>
        </w:rPr>
        <w:t>及消防安全</w:t>
      </w:r>
      <w:r>
        <w:rPr>
          <w:rFonts w:hint="eastAsia" w:ascii="仿宋_GB2312" w:hAnsi="仿宋_GB2312" w:eastAsia="仿宋_GB2312" w:cs="仿宋_GB2312"/>
          <w:color w:val="auto"/>
          <w:kern w:val="0"/>
          <w:sz w:val="28"/>
          <w:szCs w:val="28"/>
          <w:highlight w:val="none"/>
        </w:rPr>
        <w:t>事宜，</w:t>
      </w:r>
      <w:r>
        <w:rPr>
          <w:rFonts w:hint="eastAsia" w:ascii="仿宋_GB2312" w:hAnsi="仿宋_GB2312" w:eastAsia="仿宋_GB2312" w:cs="仿宋_GB2312"/>
          <w:color w:val="auto"/>
          <w:sz w:val="28"/>
          <w:szCs w:val="28"/>
          <w:highlight w:val="none"/>
        </w:rPr>
        <w:t>经双方友好协商，达成如下协议</w:t>
      </w:r>
      <w:r>
        <w:rPr>
          <w:rFonts w:hint="eastAsia" w:ascii="仿宋_GB2312" w:hAnsi="仿宋_GB2312" w:eastAsia="仿宋_GB2312" w:cs="仿宋_GB2312"/>
          <w:color w:val="auto"/>
          <w:kern w:val="0"/>
          <w:sz w:val="28"/>
          <w:szCs w:val="28"/>
          <w:highlight w:val="none"/>
        </w:rPr>
        <w:t>。</w:t>
      </w:r>
    </w:p>
    <w:p w14:paraId="1BBD85BB">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一、总则</w:t>
      </w:r>
    </w:p>
    <w:p w14:paraId="7C1B5E2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一</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本协议是合同</w:t>
      </w:r>
      <w:r>
        <w:rPr>
          <w:rFonts w:hint="eastAsia" w:ascii="仿宋_GB2312" w:hAnsi="仿宋_GB2312" w:eastAsia="仿宋_GB2312" w:cs="仿宋_GB2312"/>
          <w:color w:val="auto"/>
          <w:sz w:val="28"/>
          <w:szCs w:val="28"/>
          <w:highlight w:val="none"/>
          <w:u w:val="single"/>
          <w:lang w:eastAsia="zh-CN"/>
        </w:rPr>
        <w:t>广州净水公司2025年工艺及生产设备设施改造项目</w:t>
      </w:r>
      <w:r>
        <w:rPr>
          <w:rFonts w:hint="eastAsia" w:ascii="仿宋_GB2312" w:hAnsi="仿宋_GB2312" w:eastAsia="仿宋_GB2312" w:cs="仿宋_GB2312"/>
          <w:color w:val="auto"/>
          <w:sz w:val="28"/>
          <w:szCs w:val="28"/>
          <w:highlight w:val="none"/>
          <w:u w:val="single"/>
        </w:rPr>
        <w:t xml:space="preserve">（穗净水合〔    〕   号） </w:t>
      </w:r>
      <w:r>
        <w:rPr>
          <w:rFonts w:hint="eastAsia" w:ascii="仿宋_GB2312" w:hAnsi="仿宋_GB2312" w:eastAsia="仿宋_GB2312" w:cs="仿宋_GB2312"/>
          <w:color w:val="auto"/>
          <w:sz w:val="28"/>
          <w:szCs w:val="28"/>
          <w:highlight w:val="none"/>
        </w:rPr>
        <w:t>的组成部分。</w:t>
      </w:r>
    </w:p>
    <w:p w14:paraId="3AC0855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二</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甲</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乙双方应遵守国家、省、市有关安全生产</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消防安全的法律、法规、规章，履行</w:t>
      </w:r>
      <w:r>
        <w:rPr>
          <w:rFonts w:hint="eastAsia" w:ascii="仿宋_GB2312" w:hAnsi="仿宋_GB2312" w:eastAsia="仿宋_GB2312" w:cs="仿宋_GB2312"/>
          <w:color w:val="auto"/>
          <w:kern w:val="0"/>
          <w:sz w:val="28"/>
          <w:szCs w:val="28"/>
          <w:highlight w:val="none"/>
          <w:lang w:val="en-US" w:eastAsia="zh-CN"/>
        </w:rPr>
        <w:t>安全生产、</w:t>
      </w:r>
      <w:r>
        <w:rPr>
          <w:rFonts w:hint="eastAsia" w:ascii="仿宋_GB2312" w:hAnsi="仿宋_GB2312" w:eastAsia="仿宋_GB2312" w:cs="仿宋_GB2312"/>
          <w:color w:val="auto"/>
          <w:kern w:val="0"/>
          <w:sz w:val="28"/>
          <w:szCs w:val="28"/>
          <w:highlight w:val="none"/>
        </w:rPr>
        <w:t>消防安全职责，保障人员生命、财产安全。</w:t>
      </w:r>
    </w:p>
    <w:p w14:paraId="4CB3418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三</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甲</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乙双方应当逐级落实</w:t>
      </w:r>
      <w:r>
        <w:rPr>
          <w:rFonts w:hint="eastAsia" w:ascii="仿宋_GB2312" w:hAnsi="仿宋_GB2312" w:eastAsia="仿宋_GB2312" w:cs="仿宋_GB2312"/>
          <w:color w:val="auto"/>
          <w:kern w:val="0"/>
          <w:sz w:val="28"/>
          <w:szCs w:val="28"/>
          <w:highlight w:val="none"/>
          <w:lang w:val="en-US" w:eastAsia="zh-CN"/>
        </w:rPr>
        <w:t>安全生产、</w:t>
      </w:r>
      <w:r>
        <w:rPr>
          <w:rFonts w:hint="eastAsia" w:ascii="仿宋_GB2312" w:hAnsi="仿宋_GB2312" w:eastAsia="仿宋_GB2312" w:cs="仿宋_GB2312"/>
          <w:color w:val="auto"/>
          <w:kern w:val="0"/>
          <w:sz w:val="28"/>
          <w:szCs w:val="28"/>
          <w:highlight w:val="none"/>
        </w:rPr>
        <w:t>消防安全责任制，明确逐级岗位人员的安全</w:t>
      </w:r>
      <w:r>
        <w:rPr>
          <w:rFonts w:hint="eastAsia" w:ascii="仿宋_GB2312" w:hAnsi="仿宋_GB2312" w:eastAsia="仿宋_GB2312" w:cs="仿宋_GB2312"/>
          <w:color w:val="auto"/>
          <w:kern w:val="0"/>
          <w:sz w:val="28"/>
          <w:szCs w:val="28"/>
          <w:highlight w:val="none"/>
          <w:lang w:val="en-US" w:eastAsia="zh-CN"/>
        </w:rPr>
        <w:t>生产、消防安全</w:t>
      </w:r>
      <w:r>
        <w:rPr>
          <w:rFonts w:hint="eastAsia" w:ascii="仿宋_GB2312" w:hAnsi="仿宋_GB2312" w:eastAsia="仿宋_GB2312" w:cs="仿宋_GB2312"/>
          <w:color w:val="auto"/>
          <w:kern w:val="0"/>
          <w:sz w:val="28"/>
          <w:szCs w:val="28"/>
          <w:highlight w:val="none"/>
        </w:rPr>
        <w:t>职责。</w:t>
      </w:r>
    </w:p>
    <w:p w14:paraId="3F1D9D7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四</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本协议是对在满足法律法规规定的双方安全及消防安全责任的基础上的补充事项。</w:t>
      </w:r>
    </w:p>
    <w:p w14:paraId="5547453D">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（五）当同一个场所、池体内，甲方安排两个或以上的承包单位同时施工的，由甲方组织各承包单位签订《营运场所交叉作业安全及消防安全协议书》。</w:t>
      </w:r>
    </w:p>
    <w:p w14:paraId="64A3610D">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六</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乙方的单位及人员资质（</w:t>
      </w:r>
      <w:r>
        <w:rPr>
          <w:rFonts w:hint="eastAsia" w:ascii="仿宋_GB2312" w:hAnsi="仿宋_GB2312" w:eastAsia="仿宋_GB2312" w:cs="仿宋_GB2312"/>
          <w:b/>
          <w:bCs w:val="0"/>
          <w:color w:val="auto"/>
          <w:kern w:val="0"/>
          <w:sz w:val="28"/>
          <w:szCs w:val="28"/>
          <w:highlight w:val="none"/>
          <w:lang w:val="en-US" w:eastAsia="zh-CN"/>
        </w:rPr>
        <w:t>单项选择并填写</w:t>
      </w:r>
      <w:r>
        <w:rPr>
          <w:rFonts w:hint="eastAsia" w:ascii="仿宋_GB2312" w:hAnsi="仿宋_GB2312" w:eastAsia="仿宋_GB2312" w:cs="仿宋_GB2312"/>
          <w:color w:val="auto"/>
          <w:kern w:val="0"/>
          <w:sz w:val="28"/>
          <w:szCs w:val="28"/>
          <w:highlight w:val="none"/>
          <w:lang w:val="en-US" w:eastAsia="zh-CN"/>
        </w:rPr>
        <w:t>）</w:t>
      </w:r>
    </w:p>
    <w:p w14:paraId="600A9416">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kern w:val="0"/>
          <w:sz w:val="28"/>
          <w:szCs w:val="28"/>
          <w:highlight w:val="none"/>
          <w:lang w:val="en-US" w:eastAsia="zh-CN"/>
        </w:rPr>
        <w:sym w:font="Wingdings 2" w:char="00A3"/>
      </w:r>
      <w:r>
        <w:rPr>
          <w:rFonts w:hint="eastAsia" w:ascii="仿宋_GB2312" w:hAnsi="仿宋_GB2312" w:eastAsia="仿宋_GB2312" w:cs="仿宋_GB2312"/>
          <w:color w:val="auto"/>
          <w:kern w:val="0"/>
          <w:sz w:val="28"/>
          <w:szCs w:val="28"/>
          <w:highlight w:val="none"/>
          <w:lang w:val="en-US" w:eastAsia="zh-CN"/>
        </w:rPr>
        <w:t>1.详见合同第</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lang w:val="en-US" w:eastAsia="zh-CN"/>
        </w:rPr>
        <w:t>条。</w:t>
      </w:r>
    </w:p>
    <w:p w14:paraId="0344C6FD">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sym w:font="Wingdings 2" w:char="0052"/>
      </w:r>
      <w:r>
        <w:rPr>
          <w:rFonts w:hint="eastAsia" w:ascii="仿宋_GB2312" w:hAnsi="仿宋_GB2312" w:eastAsia="仿宋_GB2312" w:cs="仿宋_GB2312"/>
          <w:color w:val="auto"/>
          <w:kern w:val="0"/>
          <w:sz w:val="28"/>
          <w:szCs w:val="28"/>
          <w:highlight w:val="none"/>
          <w:lang w:val="en-US" w:eastAsia="zh-CN"/>
        </w:rPr>
        <w:t>2.详见文件《</w:t>
      </w:r>
      <w:r>
        <w:rPr>
          <w:rFonts w:hint="eastAsia" w:ascii="仿宋_GB2312" w:hAnsi="仿宋_GB2312" w:eastAsia="仿宋_GB2312" w:cs="仿宋_GB2312"/>
          <w:color w:val="auto"/>
          <w:kern w:val="0"/>
          <w:sz w:val="28"/>
          <w:szCs w:val="28"/>
          <w:highlight w:val="none"/>
          <w:u w:val="single"/>
          <w:lang w:val="en-US" w:eastAsia="zh-CN"/>
        </w:rPr>
        <w:t xml:space="preserve"> 附件5</w:t>
      </w:r>
      <w:r>
        <w:rPr>
          <w:rFonts w:hint="eastAsia" w:ascii="仿宋_GB2312" w:hAnsi="仿宋_GB2312" w:eastAsia="仿宋_GB2312" w:cs="仿宋_GB2312"/>
          <w:color w:val="auto"/>
          <w:kern w:val="0"/>
          <w:sz w:val="28"/>
          <w:szCs w:val="28"/>
          <w:highlight w:val="none"/>
          <w:lang w:val="en-US" w:eastAsia="zh-CN"/>
        </w:rPr>
        <w:t>》。</w:t>
      </w:r>
    </w:p>
    <w:p w14:paraId="41B3A2A0">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二、甲方的安全及消防安全责任</w:t>
      </w:r>
    </w:p>
    <w:p w14:paraId="2644FC38">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一</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交底告知</w:t>
      </w:r>
    </w:p>
    <w:p w14:paraId="2A7BA81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1.项目实施前，应告知乙方地面、周边、地下已知存在的设施，特别是涉及影响生产、应急的各类地下管线及保护要求，要求乙方在施工方案明确落实相应的具体措施；甲方规定的安全生产及消防安全管理要求，</w:t>
      </w:r>
      <w:r>
        <w:rPr>
          <w:rFonts w:hint="eastAsia" w:ascii="仿宋_GB2312" w:hAnsi="仿宋_GB2312" w:eastAsia="仿宋_GB2312" w:cs="仿宋_GB2312"/>
          <w:color w:val="auto"/>
          <w:sz w:val="28"/>
          <w:szCs w:val="28"/>
          <w:highlight w:val="none"/>
        </w:rPr>
        <w:t>允许进出及行走的路线、禁止触动甲方设备设施等</w:t>
      </w:r>
      <w:r>
        <w:rPr>
          <w:rFonts w:hint="eastAsia" w:ascii="仿宋_GB2312" w:hAnsi="仿宋_GB2312" w:eastAsia="仿宋_GB2312" w:cs="仿宋_GB2312"/>
          <w:color w:val="auto"/>
          <w:sz w:val="28"/>
          <w:szCs w:val="28"/>
          <w:highlight w:val="none"/>
          <w:lang w:val="en-US" w:eastAsia="zh-CN"/>
        </w:rPr>
        <w:t>；项目备案的要求。</w:t>
      </w:r>
    </w:p>
    <w:p w14:paraId="72148A9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2.乙方进场作业前，</w:t>
      </w:r>
      <w:r>
        <w:rPr>
          <w:rFonts w:hint="eastAsia" w:ascii="仿宋_GB2312" w:hAnsi="仿宋_GB2312" w:eastAsia="仿宋_GB2312" w:cs="仿宋_GB2312"/>
          <w:color w:val="auto"/>
          <w:sz w:val="28"/>
          <w:szCs w:val="28"/>
          <w:highlight w:val="none"/>
        </w:rPr>
        <w:t>应对乙方进行交底</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再次向乙方强调</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val="en-US" w:eastAsia="zh-CN"/>
        </w:rPr>
        <w:t>上述内容，以及施工期间的其他特殊注意事项，如生产方面的调度协调配合等</w:t>
      </w:r>
      <w:r>
        <w:rPr>
          <w:rFonts w:hint="eastAsia" w:ascii="仿宋_GB2312" w:hAnsi="仿宋_GB2312" w:eastAsia="仿宋_GB2312" w:cs="仿宋_GB2312"/>
          <w:color w:val="auto"/>
          <w:sz w:val="28"/>
          <w:szCs w:val="28"/>
          <w:highlight w:val="none"/>
        </w:rPr>
        <w:t>。</w:t>
      </w:r>
    </w:p>
    <w:p w14:paraId="15A9062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3.当乙方提出相关规范或乙方内部管理制度，比甲方规定的</w:t>
      </w:r>
      <w:r>
        <w:rPr>
          <w:rFonts w:hint="eastAsia" w:ascii="仿宋_GB2312" w:hAnsi="仿宋_GB2312" w:eastAsia="仿宋_GB2312" w:cs="仿宋_GB2312"/>
          <w:color w:val="auto"/>
          <w:sz w:val="28"/>
          <w:szCs w:val="28"/>
          <w:highlight w:val="none"/>
        </w:rPr>
        <w:t>安全生产及消防安全管理要求</w:t>
      </w:r>
      <w:r>
        <w:rPr>
          <w:rFonts w:hint="eastAsia" w:ascii="仿宋_GB2312" w:hAnsi="仿宋_GB2312" w:eastAsia="仿宋_GB2312" w:cs="仿宋_GB2312"/>
          <w:color w:val="auto"/>
          <w:sz w:val="28"/>
          <w:szCs w:val="28"/>
          <w:highlight w:val="none"/>
          <w:lang w:val="en-US" w:eastAsia="zh-CN"/>
        </w:rPr>
        <w:t>更严格的，应当接纳乙方的建议。</w:t>
      </w:r>
    </w:p>
    <w:p w14:paraId="0D83575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（二）落实配合措施</w:t>
      </w:r>
    </w:p>
    <w:p w14:paraId="6936FA6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1.落实生产营运等相关配合措施，提供必要的施工条件。</w:t>
      </w:r>
    </w:p>
    <w:p w14:paraId="02B6BE36">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eastAsia="zh-CN"/>
        </w:rPr>
        <w:t>）安全及消防安全隐患</w:t>
      </w:r>
      <w:r>
        <w:rPr>
          <w:rFonts w:hint="eastAsia" w:ascii="仿宋_GB2312" w:hAnsi="仿宋_GB2312" w:eastAsia="仿宋_GB2312" w:cs="仿宋_GB2312"/>
          <w:color w:val="auto"/>
          <w:sz w:val="28"/>
          <w:szCs w:val="28"/>
          <w:highlight w:val="none"/>
          <w:lang w:val="en-US" w:eastAsia="zh-CN"/>
        </w:rPr>
        <w:t>检查与督促整改</w:t>
      </w:r>
    </w:p>
    <w:p w14:paraId="36C731B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在项目施工期，应每天不少于一次对乙方安全措施、消防安全措施投入、现场安全施工情况等进行安全、消防安全监督检查，并提出整改</w:t>
      </w:r>
      <w:r>
        <w:rPr>
          <w:rFonts w:hint="eastAsia" w:ascii="仿宋_GB2312" w:hAnsi="仿宋_GB2312" w:eastAsia="仿宋_GB2312" w:cs="仿宋_GB2312"/>
          <w:color w:val="auto"/>
          <w:sz w:val="28"/>
          <w:szCs w:val="28"/>
          <w:highlight w:val="none"/>
          <w:lang w:val="en-US" w:eastAsia="zh-CN"/>
        </w:rPr>
        <w:t>。</w:t>
      </w:r>
    </w:p>
    <w:p w14:paraId="110EAE86">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四</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重大安全风险、生产安全重大事故隐患（重大火灾隐患）等情况报告及举报</w:t>
      </w:r>
    </w:p>
    <w:p w14:paraId="30A8466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1.对乙方上报的重大安全风险、生产安全重大事故隐患（重大火灾隐患），应当如实向水投集团报告。</w:t>
      </w:r>
    </w:p>
    <w:p w14:paraId="1B4BE1D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2.如发现乙方瞒报重大安全风险、生产安全重大事故隐患（重大火灾隐患），甲方除向水投集团报告外，有权向属地安全应急管理部门、属地行业主管部门举报。</w:t>
      </w:r>
    </w:p>
    <w:p w14:paraId="1127117D">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3.甲方发现乙方在项目范围内（含工地范围内的住宿、办公等区域）开展违法、犯罪活动，向公安部门举报。</w:t>
      </w:r>
    </w:p>
    <w:p w14:paraId="5228A5D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（五）事故报告及举报</w:t>
      </w:r>
    </w:p>
    <w:p w14:paraId="5182B96A">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1.对乙方上报的安全事故及消防安全事故，应当按水投集团有关程序，如实向集团报告。</w:t>
      </w:r>
    </w:p>
    <w:p w14:paraId="311172D8">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2.如发现乙方瞒报安全事故及消防安全事故，甲方除向水投集团报告外，有权向属地安全应急管理部门、属地行业主管部门举报。</w:t>
      </w:r>
    </w:p>
    <w:p w14:paraId="402E52C8">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（六）补充条款</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eastAsia="zh-CN"/>
        </w:rPr>
        <w:t>。</w:t>
      </w:r>
    </w:p>
    <w:p w14:paraId="70E2850F">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三、乙方的安全及消防安全责任</w:t>
      </w:r>
    </w:p>
    <w:p w14:paraId="356F9F46">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一</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接受交底告知并复核确认安全风险，落实管控措施</w:t>
      </w:r>
    </w:p>
    <w:p w14:paraId="37A0338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1.乙方接受甲方交底。</w:t>
      </w:r>
    </w:p>
    <w:p w14:paraId="21BA021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2.编制的方案应响应甲方告知，明确相应的措施。</w:t>
      </w:r>
    </w:p>
    <w:p w14:paraId="12DCB95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3.根据甲方项目备案的要求，提交项目备案材料</w:t>
      </w:r>
    </w:p>
    <w:p w14:paraId="1732E61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4.当甲方规定的安全生产及消防安全管理要求，比相关规范或乙方内部管理制度严格的，按甲方的执行。</w:t>
      </w:r>
    </w:p>
    <w:p w14:paraId="6AB98A6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5.当相关规范或乙方内部管理制度，比甲方规定的安全生产及消防安全管理要求严格的，应明确告知甲方确认，并按相关规范或乙方内部管理制度执行。</w:t>
      </w:r>
    </w:p>
    <w:p w14:paraId="68FCD416">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告知甲方需要配合的事项</w:t>
      </w:r>
    </w:p>
    <w:p w14:paraId="080E35B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1.向甲方告知在施工作业期间，需要甲方配合落实的措施</w:t>
      </w:r>
    </w:p>
    <w:p w14:paraId="5047FF68">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落实安全及消防安全隐患排查与整改，并接受检查</w:t>
      </w:r>
    </w:p>
    <w:p w14:paraId="020C327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乙方应做好的每日安全生产、消防安全巡查及开展人员安全生产、消防安全教育，确保场所、场地、区域、施工、</w:t>
      </w:r>
      <w:r>
        <w:rPr>
          <w:rFonts w:hint="eastAsia" w:ascii="仿宋_GB2312" w:hAnsi="仿宋_GB2312" w:eastAsia="仿宋_GB2312" w:cs="仿宋_GB2312"/>
          <w:color w:val="auto"/>
          <w:sz w:val="28"/>
          <w:szCs w:val="28"/>
          <w:highlight w:val="none"/>
          <w:lang w:val="en-US" w:eastAsia="zh-CN"/>
        </w:rPr>
        <w:t>仓储、住宿、办公</w:t>
      </w:r>
      <w:r>
        <w:rPr>
          <w:rFonts w:hint="eastAsia" w:ascii="仿宋_GB2312" w:hAnsi="仿宋_GB2312" w:eastAsia="仿宋_GB2312" w:cs="仿宋_GB2312"/>
          <w:color w:val="auto"/>
          <w:sz w:val="28"/>
          <w:szCs w:val="28"/>
          <w:highlight w:val="none"/>
          <w:lang w:eastAsia="zh-CN"/>
        </w:rPr>
        <w:t>等，符合国家、行业安全生产、消防安全相关要求，无对甲方、</w:t>
      </w:r>
      <w:r>
        <w:rPr>
          <w:rFonts w:hint="eastAsia" w:ascii="仿宋_GB2312" w:hAnsi="仿宋_GB2312" w:eastAsia="仿宋_GB2312" w:cs="仿宋_GB2312"/>
          <w:color w:val="auto"/>
          <w:sz w:val="28"/>
          <w:szCs w:val="28"/>
          <w:highlight w:val="none"/>
          <w:lang w:val="en-US" w:eastAsia="zh-CN"/>
        </w:rPr>
        <w:t>乙方以及周边第三方</w:t>
      </w:r>
      <w:r>
        <w:rPr>
          <w:rFonts w:hint="eastAsia" w:ascii="仿宋_GB2312" w:hAnsi="仿宋_GB2312" w:eastAsia="仿宋_GB2312" w:cs="仿宋_GB2312"/>
          <w:color w:val="auto"/>
          <w:sz w:val="28"/>
          <w:szCs w:val="28"/>
          <w:highlight w:val="none"/>
          <w:lang w:eastAsia="zh-CN"/>
        </w:rPr>
        <w:t>生产安全、消防安全、</w:t>
      </w:r>
      <w:r>
        <w:rPr>
          <w:rFonts w:hint="eastAsia" w:ascii="仿宋_GB2312" w:hAnsi="仿宋_GB2312" w:eastAsia="仿宋_GB2312" w:cs="仿宋_GB2312"/>
          <w:color w:val="auto"/>
          <w:sz w:val="28"/>
          <w:szCs w:val="28"/>
          <w:highlight w:val="none"/>
          <w:lang w:val="en-US" w:eastAsia="zh-CN"/>
        </w:rPr>
        <w:t>人身安全等</w:t>
      </w:r>
      <w:r>
        <w:rPr>
          <w:rFonts w:hint="eastAsia" w:ascii="仿宋_GB2312" w:hAnsi="仿宋_GB2312" w:eastAsia="仿宋_GB2312" w:cs="仿宋_GB2312"/>
          <w:color w:val="auto"/>
          <w:sz w:val="28"/>
          <w:szCs w:val="28"/>
          <w:highlight w:val="none"/>
          <w:lang w:eastAsia="zh-CN"/>
        </w:rPr>
        <w:t>构成威胁，无开展违法、犯罪活动，无存放易燃易爆危险化学品，无乙方人员擅自进入借用地块范围以外的甲方场所，有按方案落实各项措施以及及时发现并整改安全隐患、消防安全隐患，杜绝安全事故、消防安全事故。</w:t>
      </w:r>
    </w:p>
    <w:p w14:paraId="4EE04F6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2.接受甲方“四不两直”的不定期检查。</w:t>
      </w:r>
    </w:p>
    <w:p w14:paraId="5941934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重大安全风险、生产安全重大事故隐患（重大火灾隐患）报告</w:t>
      </w:r>
    </w:p>
    <w:p w14:paraId="4E2FE97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1.乙方识别存在重大安全风险的，应研究并落实管控措施，降低风险等级，并向甲方、属地安全应急管理部门、属地行业主管部门上报。</w:t>
      </w:r>
    </w:p>
    <w:p w14:paraId="40DACC5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2.乙方自查或被外单位检查发现生产安全重大事故隐患（重大火灾隐患）的，应当立即向甲方、属地安全应急管理部门、属地行业主管部门上报。</w:t>
      </w:r>
    </w:p>
    <w:p w14:paraId="61671308">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3.如甲方未收到乙方关于重大安全风险、生产安全重大事故隐患（重大火灾隐患）的报告，但由其他途径获知信息的，视为瞒报。</w:t>
      </w:r>
    </w:p>
    <w:p w14:paraId="327EBCE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4.不得谎报信息。</w:t>
      </w:r>
    </w:p>
    <w:p w14:paraId="750C8D7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（四）事故报告</w:t>
      </w:r>
    </w:p>
    <w:p w14:paraId="447548C8">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1.项目发生安全事故及消防安全事故的，乙方应当在预案规定时间内立即向甲方上报。否则视为迟报。</w:t>
      </w:r>
    </w:p>
    <w:p w14:paraId="57100B2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2.如甲方未收到乙方关于安全事故及消防安全事故的报告，但由其他途径获知信息的，视为瞒报。</w:t>
      </w:r>
    </w:p>
    <w:p w14:paraId="5FED372A">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3.不得谎报信息。</w:t>
      </w:r>
    </w:p>
    <w:p w14:paraId="22253A8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（五）补充条款</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eastAsia="zh-CN"/>
        </w:rPr>
        <w:t>。</w:t>
      </w:r>
    </w:p>
    <w:p w14:paraId="3370AA85">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四、违约责任</w:t>
      </w:r>
    </w:p>
    <w:p w14:paraId="0E1E8AED">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一</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未发生安全事故或消防安全事故的违约责任</w:t>
      </w:r>
    </w:p>
    <w:p w14:paraId="37524FB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1.乙方未履行安全及消防安全责任的，甲方有权按合同相关条款处理。</w:t>
      </w:r>
    </w:p>
    <w:p w14:paraId="7939A36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2.因甲方未履行安全及消防安全责任，乙方有权按合同相关条款处理。</w:t>
      </w:r>
    </w:p>
    <w:p w14:paraId="5DD24A66">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（二）发生安全事故或消防安全事故的违约责任</w:t>
      </w:r>
    </w:p>
    <w:p w14:paraId="54EF4D1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14:paraId="4E25430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2.如甲方未能提供甲方履职证明的，根据责任调查报告（意见）承担责任。</w:t>
      </w:r>
    </w:p>
    <w:p w14:paraId="0E095C6D">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五、附则</w:t>
      </w:r>
    </w:p>
    <w:p w14:paraId="2C0F34A7">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（一）本协议未尽事宜，依据有关法律、法规、规章处理。法律、法规、规章没有明确规定的，经双方协商处理解决。</w:t>
      </w:r>
    </w:p>
    <w:p w14:paraId="207425A4">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（二）在合同（协议）执行期间，因国家、地方、以及广州市净水有限公司印发有关文件，加强安全管理要求的，乙方应按最新要求无条件执行。如不执行，甲方有权根据合同或有关文件进行处理。</w:t>
      </w:r>
    </w:p>
    <w:p w14:paraId="3E9E00BD">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作为合同的附件</w:t>
      </w:r>
      <w:r>
        <w:rPr>
          <w:rFonts w:hint="eastAsia" w:ascii="仿宋_GB2312" w:hAnsi="仿宋_GB2312" w:eastAsia="仿宋_GB2312" w:cs="仿宋_GB2312"/>
          <w:color w:val="auto"/>
          <w:sz w:val="28"/>
          <w:szCs w:val="28"/>
          <w:highlight w:val="none"/>
        </w:rPr>
        <w:t>同时</w:t>
      </w:r>
      <w:r>
        <w:rPr>
          <w:rFonts w:hint="eastAsia" w:ascii="仿宋_GB2312" w:hAnsi="仿宋_GB2312" w:eastAsia="仿宋_GB2312" w:cs="仿宋_GB2312"/>
          <w:color w:val="auto"/>
          <w:sz w:val="28"/>
          <w:szCs w:val="28"/>
          <w:highlight w:val="none"/>
          <w:lang w:val="en-US" w:eastAsia="zh-CN"/>
        </w:rPr>
        <w:t>签字、同事盖章</w:t>
      </w:r>
      <w:r>
        <w:rPr>
          <w:rFonts w:hint="eastAsia" w:ascii="仿宋_GB2312" w:hAnsi="仿宋_GB2312" w:eastAsia="仿宋_GB2312" w:cs="仿宋_GB2312"/>
          <w:color w:val="auto"/>
          <w:sz w:val="28"/>
          <w:szCs w:val="28"/>
          <w:highlight w:val="none"/>
        </w:rPr>
        <w:t>、同时生效、同时终止，具有</w:t>
      </w:r>
      <w:r>
        <w:rPr>
          <w:rFonts w:hint="eastAsia" w:ascii="仿宋_GB2312" w:hAnsi="仿宋_GB2312" w:eastAsia="仿宋_GB2312" w:cs="仿宋_GB2312"/>
          <w:color w:val="auto"/>
          <w:sz w:val="28"/>
          <w:szCs w:val="28"/>
          <w:highlight w:val="none"/>
          <w:lang w:val="en-US" w:eastAsia="zh-CN"/>
        </w:rPr>
        <w:t>同等</w:t>
      </w:r>
      <w:r>
        <w:rPr>
          <w:rFonts w:hint="eastAsia" w:ascii="仿宋_GB2312" w:hAnsi="仿宋_GB2312" w:eastAsia="仿宋_GB2312" w:cs="仿宋_GB2312"/>
          <w:color w:val="auto"/>
          <w:sz w:val="28"/>
          <w:szCs w:val="28"/>
          <w:highlight w:val="none"/>
        </w:rPr>
        <w:t>的法律效力</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甲方、乙方双方执持数量与合同一致。</w:t>
      </w:r>
    </w:p>
    <w:p w14:paraId="4E2C8FF7">
      <w:pPr>
        <w:spacing w:line="500" w:lineRule="exact"/>
        <w:rPr>
          <w:rFonts w:hint="eastAsia" w:ascii="仿宋_GB2312" w:hAnsi="仿宋_GB2312" w:eastAsia="仿宋_GB2312" w:cs="仿宋_GB2312"/>
          <w:color w:val="auto"/>
          <w:sz w:val="28"/>
          <w:szCs w:val="28"/>
          <w:highlight w:val="none"/>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14:paraId="10DA1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14:paraId="06161929">
            <w:pPr>
              <w:adjustRightInd/>
              <w:snapToGrid/>
              <w:spacing w:line="5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60CAEC80">
            <w:pPr>
              <w:adjustRightInd/>
              <w:snapToGrid/>
              <w:spacing w:line="500" w:lineRule="exac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签约代表：</w:t>
            </w:r>
          </w:p>
          <w:p w14:paraId="15C343E2">
            <w:pPr>
              <w:adjustRightInd/>
              <w:snapToGrid/>
              <w:spacing w:line="500" w:lineRule="exac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p>
          <w:p w14:paraId="77AE79C7">
            <w:pPr>
              <w:adjustRightInd/>
              <w:snapToGrid/>
              <w:spacing w:line="500" w:lineRule="exact"/>
              <w:ind w:firstLine="280" w:firstLineChars="100"/>
              <w:jc w:val="righ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w:t>
            </w:r>
          </w:p>
        </w:tc>
        <w:tc>
          <w:tcPr>
            <w:tcW w:w="4474" w:type="dxa"/>
          </w:tcPr>
          <w:p w14:paraId="373C26DB">
            <w:pPr>
              <w:adjustRightInd/>
              <w:snapToGrid/>
              <w:spacing w:line="5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7FBBA8EF">
            <w:pPr>
              <w:adjustRightInd/>
              <w:snapToGrid/>
              <w:spacing w:line="5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签约代表：</w:t>
            </w:r>
          </w:p>
          <w:p w14:paraId="47C5C2DF">
            <w:pPr>
              <w:adjustRightInd/>
              <w:snapToGrid/>
              <w:spacing w:line="5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14:paraId="1F78C098">
            <w:pPr>
              <w:adjustRightInd/>
              <w:snapToGrid/>
              <w:spacing w:line="500" w:lineRule="exact"/>
              <w:jc w:val="righ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w:t>
            </w:r>
          </w:p>
        </w:tc>
      </w:tr>
    </w:tbl>
    <w:p w14:paraId="286525D3">
      <w:pPr>
        <w:rPr>
          <w:rFonts w:hint="eastAsia" w:ascii="宋体" w:hAnsi="宋体" w:cs="宋体"/>
          <w:color w:val="auto"/>
          <w:sz w:val="24"/>
          <w:highlight w:val="none"/>
        </w:rPr>
      </w:pPr>
    </w:p>
    <w:p w14:paraId="7E3CFC5C">
      <w:pPr>
        <w:spacing w:line="360" w:lineRule="auto"/>
        <w:rPr>
          <w:rFonts w:hint="eastAsia" w:ascii="宋体" w:hAnsi="宋体" w:cs="宋体"/>
          <w:b/>
          <w:bCs/>
          <w:color w:val="auto"/>
          <w:sz w:val="24"/>
          <w:szCs w:val="24"/>
          <w:highlight w:val="none"/>
        </w:rPr>
      </w:pPr>
    </w:p>
    <w:p w14:paraId="68CBCB58">
      <w:pPr>
        <w:spacing w:line="360" w:lineRule="auto"/>
        <w:rPr>
          <w:rFonts w:hint="eastAsia" w:ascii="宋体" w:hAnsi="宋体" w:cs="宋体"/>
          <w:b/>
          <w:bCs/>
          <w:color w:val="auto"/>
          <w:sz w:val="24"/>
          <w:szCs w:val="24"/>
          <w:highlight w:val="none"/>
        </w:rPr>
      </w:pPr>
    </w:p>
    <w:p w14:paraId="414D60F1">
      <w:pPr>
        <w:spacing w:line="360" w:lineRule="auto"/>
        <w:rPr>
          <w:rFonts w:hint="eastAsia" w:ascii="宋体" w:hAnsi="宋体" w:cs="宋体"/>
          <w:b/>
          <w:bCs/>
          <w:color w:val="auto"/>
          <w:sz w:val="24"/>
          <w:szCs w:val="24"/>
          <w:highlight w:val="none"/>
        </w:rPr>
      </w:pPr>
    </w:p>
    <w:p w14:paraId="6DF5BA84">
      <w:pPr>
        <w:spacing w:line="360" w:lineRule="auto"/>
        <w:rPr>
          <w:rFonts w:hint="eastAsia" w:ascii="宋体" w:hAnsi="宋体" w:cs="宋体"/>
          <w:b/>
          <w:bCs/>
          <w:color w:val="auto"/>
          <w:sz w:val="24"/>
          <w:szCs w:val="24"/>
          <w:highlight w:val="none"/>
        </w:rPr>
      </w:pPr>
    </w:p>
    <w:p w14:paraId="2C96FC9B">
      <w:pPr>
        <w:pStyle w:val="24"/>
        <w:rPr>
          <w:rFonts w:hint="eastAsia" w:ascii="宋体" w:hAnsi="宋体" w:eastAsia="宋体" w:cs="宋体"/>
          <w:color w:val="auto"/>
          <w:sz w:val="24"/>
          <w:szCs w:val="24"/>
          <w:highlight w:val="none"/>
          <w:lang w:eastAsia="zh-CN"/>
        </w:rPr>
      </w:pPr>
    </w:p>
    <w:p w14:paraId="1DB9DFCB">
      <w:pPr>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附件4</w:t>
      </w:r>
      <w:r>
        <w:rPr>
          <w:rFonts w:hint="eastAsia" w:ascii="黑体" w:hAnsi="黑体" w:eastAsia="黑体" w:cs="黑体"/>
          <w:color w:val="auto"/>
          <w:sz w:val="32"/>
          <w:szCs w:val="32"/>
          <w:highlight w:val="none"/>
        </w:rPr>
        <w:t>.工程量清单/工程量清单报价</w:t>
      </w:r>
    </w:p>
    <w:p w14:paraId="2B1F8D0E">
      <w:pPr>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附件5</w:t>
      </w:r>
      <w:r>
        <w:rPr>
          <w:rFonts w:hint="eastAsia" w:ascii="黑体" w:hAnsi="黑体" w:eastAsia="黑体" w:cs="黑体"/>
          <w:color w:val="auto"/>
          <w:sz w:val="32"/>
          <w:szCs w:val="32"/>
          <w:highlight w:val="none"/>
        </w:rPr>
        <w:t xml:space="preserve">.项目投入人员架构表 </w:t>
      </w:r>
    </w:p>
    <w:p w14:paraId="1FA0969B">
      <w:pPr>
        <w:spacing w:line="360" w:lineRule="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附件</w:t>
      </w:r>
      <w:r>
        <w:rPr>
          <w:rFonts w:hint="eastAsia" w:ascii="黑体" w:hAnsi="黑体" w:eastAsia="黑体" w:cs="黑体"/>
          <w:b w:val="0"/>
          <w:bCs w:val="0"/>
          <w:color w:val="auto"/>
          <w:sz w:val="32"/>
          <w:szCs w:val="32"/>
          <w:highlight w:val="none"/>
          <w:lang w:val="en-US" w:eastAsia="zh-CN"/>
        </w:rPr>
        <w:t>6</w:t>
      </w:r>
    </w:p>
    <w:p w14:paraId="024916D2">
      <w:pPr>
        <w:jc w:val="center"/>
        <w:rPr>
          <w:rFonts w:hint="eastAsia" w:ascii="宋体" w:hAnsi="宋体" w:eastAsia="宋体" w:cs="宋体"/>
          <w:b/>
          <w:color w:val="auto"/>
          <w:sz w:val="24"/>
          <w:highlight w:val="none"/>
        </w:rPr>
      </w:pPr>
      <w:r>
        <w:rPr>
          <w:rFonts w:hint="eastAsia" w:ascii="方正小标宋简体" w:hAnsi="方正小标宋简体" w:eastAsia="方正小标宋简体" w:cs="方正小标宋简体"/>
          <w:b w:val="0"/>
          <w:bCs/>
          <w:color w:val="auto"/>
          <w:sz w:val="44"/>
          <w:szCs w:val="44"/>
          <w:highlight w:val="none"/>
        </w:rPr>
        <w:t>履约保函模板</w:t>
      </w:r>
    </w:p>
    <w:p w14:paraId="1E76BD7A">
      <w:pPr>
        <w:rPr>
          <w:rFonts w:hint="eastAsia" w:ascii="宋体" w:hAnsi="宋体" w:eastAsia="宋体" w:cs="宋体"/>
          <w:color w:val="auto"/>
          <w:sz w:val="24"/>
          <w:highlight w:val="none"/>
        </w:rPr>
      </w:pPr>
    </w:p>
    <w:p w14:paraId="2470C13C">
      <w:pPr>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w:t>
      </w:r>
      <w:r>
        <w:rPr>
          <w:rFonts w:hint="eastAsia" w:ascii="仿宋_GB2312" w:hAnsi="仿宋_GB2312" w:eastAsia="仿宋_GB2312" w:cs="仿宋_GB2312"/>
          <w:color w:val="auto"/>
          <w:sz w:val="28"/>
          <w:szCs w:val="28"/>
          <w:highlight w:val="none"/>
          <w:u w:val="single"/>
        </w:rPr>
        <w:t xml:space="preserve">               （受益人）</w:t>
      </w:r>
      <w:r>
        <w:rPr>
          <w:rFonts w:hint="eastAsia" w:ascii="仿宋_GB2312" w:hAnsi="仿宋_GB2312" w:eastAsia="仿宋_GB2312" w:cs="仿宋_GB2312"/>
          <w:color w:val="auto"/>
          <w:sz w:val="28"/>
          <w:szCs w:val="28"/>
          <w:highlight w:val="none"/>
        </w:rPr>
        <w:br w:type="textWrapping"/>
      </w:r>
    </w:p>
    <w:p w14:paraId="437E2705">
      <w:pPr>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鉴于（以下简称“委托人”）与贵方于</w:t>
      </w:r>
      <w:r>
        <w:rPr>
          <w:rFonts w:hint="eastAsia" w:ascii="仿宋_GB2312" w:hAnsi="仿宋_GB2312" w:eastAsia="仿宋_GB2312" w:cs="仿宋_GB2312"/>
          <w:color w:val="auto"/>
          <w:sz w:val="28"/>
          <w:szCs w:val="28"/>
          <w:highlight w:val="none"/>
          <w:u w:val="single"/>
        </w:rPr>
        <w:t xml:space="preserve">   年  月  日</w:t>
      </w:r>
      <w:r>
        <w:rPr>
          <w:rFonts w:hint="eastAsia" w:ascii="仿宋_GB2312" w:hAnsi="仿宋_GB2312" w:eastAsia="仿宋_GB2312" w:cs="仿宋_GB2312"/>
          <w:color w:val="auto"/>
          <w:sz w:val="28"/>
          <w:szCs w:val="28"/>
          <w:highlight w:val="none"/>
        </w:rPr>
        <w:t>签订了（以下简称“合同”），我行同意为委托人出具履约保函，作为委托人履行合同义务的担保，以使你方得到履约保函的保障。本保函为不可撤销，见索即付的独立保函。</w:t>
      </w:r>
    </w:p>
    <w:p w14:paraId="54239B4D">
      <w:pPr>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14:paraId="09317619">
      <w:pPr>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二、贵单位的索赔申请应符合下述条件：</w:t>
      </w:r>
    </w:p>
    <w:p w14:paraId="690A81AF">
      <w:pPr>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（一）贵单位法定代表人或其授权代表签字并加盖单位公章；</w:t>
      </w:r>
    </w:p>
    <w:p w14:paraId="25A169B4">
      <w:pPr>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（二）在保函有效期内送达我行；</w:t>
      </w:r>
    </w:p>
    <w:p w14:paraId="54C8337D">
      <w:pPr>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（三）明确的索赔金额（不得超过本保函第一条所列之限额）。</w:t>
      </w:r>
    </w:p>
    <w:p w14:paraId="6A333E2D">
      <w:pPr>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三、本保函自签发之日起生效，有效期至</w:t>
      </w:r>
      <w:r>
        <w:rPr>
          <w:rFonts w:hint="eastAsia" w:ascii="仿宋_GB2312" w:hAnsi="仿宋_GB2312" w:eastAsia="仿宋_GB2312" w:cs="仿宋_GB2312"/>
          <w:color w:val="auto"/>
          <w:sz w:val="28"/>
          <w:szCs w:val="28"/>
          <w:highlight w:val="none"/>
          <w:u w:val="none"/>
        </w:rPr>
        <w:t xml:space="preserve">  年  月  日</w:t>
      </w:r>
      <w:r>
        <w:rPr>
          <w:rFonts w:hint="eastAsia" w:ascii="仿宋_GB2312" w:hAnsi="仿宋_GB2312" w:eastAsia="仿宋_GB2312" w:cs="仿宋_GB2312"/>
          <w:color w:val="auto"/>
          <w:sz w:val="28"/>
          <w:szCs w:val="28"/>
          <w:highlight w:val="none"/>
        </w:rPr>
        <w:t>。本保函于下述任一事项发生之时立即失效，我行在本保函项下的保证义务即刻解除：</w:t>
      </w:r>
    </w:p>
    <w:p w14:paraId="0BEE684C">
      <w:pPr>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（一）本保函有效期限届满；</w:t>
      </w:r>
    </w:p>
    <w:p w14:paraId="6E8C5132">
      <w:pPr>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（二）我行保证的义务履行完毕。</w:t>
      </w:r>
    </w:p>
    <w:p w14:paraId="158957A9">
      <w:pPr>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四、我方受本保函制约的责任是延续的、独立的和无条件的，上述合同的任何修改、变更、解释、不可执行或委托人在合同项下对你方的任何抗辩都不能削弱或影响我行按本保函应承担的责任。</w:t>
      </w:r>
    </w:p>
    <w:p w14:paraId="28D23839">
      <w:pPr>
        <w:spacing w:line="500" w:lineRule="exact"/>
        <w:ind w:firstLine="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五、我行向你方支付索赔金额后，本保函担保金额即按贵方通知的索赔金额予以递减。</w:t>
      </w:r>
    </w:p>
    <w:p w14:paraId="32C151E2">
      <w:pPr>
        <w:spacing w:line="500" w:lineRule="exact"/>
        <w:ind w:firstLine="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六、保函失效后请将保函退回我行注销，无论正本最终退回与否，不影响本保函依上述约定自动失效。</w:t>
      </w:r>
    </w:p>
    <w:p w14:paraId="559BFB05">
      <w:pPr>
        <w:spacing w:line="500" w:lineRule="exact"/>
        <w:ind w:firstLine="0"/>
        <w:rPr>
          <w:rFonts w:hint="eastAsia" w:ascii="仿宋_GB2312" w:hAnsi="仿宋_GB2312" w:eastAsia="仿宋_GB2312" w:cs="仿宋_GB2312"/>
          <w:color w:val="auto"/>
          <w:sz w:val="28"/>
          <w:szCs w:val="28"/>
          <w:highlight w:val="none"/>
        </w:rPr>
      </w:pPr>
    </w:p>
    <w:p w14:paraId="4EC6B1BE">
      <w:pPr>
        <w:spacing w:line="500" w:lineRule="exact"/>
        <w:ind w:firstLine="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落款</w:t>
      </w:r>
    </w:p>
    <w:p w14:paraId="455F8DCE">
      <w:pPr>
        <w:spacing w:line="500" w:lineRule="exact"/>
        <w:ind w:firstLine="0"/>
        <w:rPr>
          <w:rFonts w:hint="eastAsia" w:ascii="仿宋_GB2312" w:hAnsi="仿宋_GB2312" w:eastAsia="仿宋_GB2312" w:cs="仿宋_GB2312"/>
          <w:color w:val="auto"/>
          <w:sz w:val="28"/>
          <w:szCs w:val="28"/>
          <w:highlight w:val="none"/>
        </w:rPr>
      </w:pPr>
    </w:p>
    <w:p w14:paraId="703AE802">
      <w:pPr>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保函说明：</w:t>
      </w:r>
    </w:p>
    <w:p w14:paraId="3F6C8F0A">
      <w:pPr>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保函不得有下列或类似含义的表述：</w:t>
      </w:r>
    </w:p>
    <w:p w14:paraId="2B7C011B">
      <w:pPr>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1.银行承担的为连带责任保证、一般保证。</w:t>
      </w:r>
    </w:p>
    <w:p w14:paraId="4D31F3C8">
      <w:pPr>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2.未经银行书面同意，受益人与申请人修改合同或其项下附件时，银行的保证义务解除。</w:t>
      </w:r>
    </w:p>
    <w:p w14:paraId="7D4F1E89">
      <w:pPr>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3.合同撤销或无效的，保函失效。</w:t>
      </w:r>
    </w:p>
    <w:p w14:paraId="7768542E">
      <w:pPr>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4.申请人对受益人的抗辩，银行有权向受益人主张。</w:t>
      </w:r>
    </w:p>
    <w:p w14:paraId="4E890872">
      <w:pPr>
        <w:spacing w:line="500" w:lineRule="exact"/>
        <w:ind w:firstLine="560" w:firstLineChars="200"/>
        <w:rPr>
          <w:rFonts w:hint="eastAsia" w:ascii="宋体" w:hAnsi="宋体" w:eastAsia="宋体" w:cs="宋体"/>
          <w:color w:val="auto"/>
          <w:sz w:val="24"/>
          <w:highlight w:val="none"/>
        </w:rPr>
      </w:pPr>
      <w:r>
        <w:rPr>
          <w:rFonts w:hint="eastAsia" w:ascii="仿宋_GB2312" w:hAnsi="仿宋_GB2312" w:eastAsia="仿宋_GB2312" w:cs="仿宋_GB2312"/>
          <w:color w:val="auto"/>
          <w:sz w:val="28"/>
          <w:szCs w:val="28"/>
          <w:highlight w:val="none"/>
        </w:rPr>
        <w:t>5.受益人请求付款的请款单据包含法院裁判文书、仲裁裁决、第三方单位出具的鉴定书等申请人违约的证明材料。</w:t>
      </w:r>
    </w:p>
    <w:p w14:paraId="61E42319">
      <w:pPr>
        <w:rPr>
          <w:rFonts w:hint="eastAsia" w:ascii="宋体" w:hAnsi="宋体" w:eastAsia="宋体" w:cs="宋体"/>
          <w:color w:val="auto"/>
          <w:sz w:val="24"/>
          <w:highlight w:val="none"/>
        </w:rPr>
      </w:pPr>
    </w:p>
    <w:p w14:paraId="54B46697">
      <w:pPr>
        <w:rPr>
          <w:rFonts w:hint="eastAsia" w:ascii="宋体" w:hAnsi="宋体" w:eastAsia="宋体" w:cs="宋体"/>
          <w:color w:val="auto"/>
          <w:sz w:val="24"/>
          <w:highlight w:val="none"/>
        </w:rPr>
      </w:pPr>
    </w:p>
    <w:p w14:paraId="4563057D">
      <w:pPr>
        <w:rPr>
          <w:rFonts w:hint="eastAsia" w:ascii="宋体" w:hAnsi="宋体" w:eastAsia="宋体" w:cs="宋体"/>
          <w:color w:val="auto"/>
          <w:sz w:val="24"/>
          <w:highlight w:val="none"/>
        </w:rPr>
      </w:pPr>
    </w:p>
    <w:p w14:paraId="44DF03D9">
      <w:pPr>
        <w:bidi w:val="0"/>
        <w:rPr>
          <w:rFonts w:hint="eastAsia" w:ascii="宋体" w:hAnsi="宋体" w:eastAsia="宋体" w:cs="宋体"/>
          <w:color w:val="auto"/>
          <w:kern w:val="2"/>
          <w:sz w:val="24"/>
          <w:szCs w:val="24"/>
          <w:highlight w:val="none"/>
          <w:lang w:val="en-US" w:eastAsia="zh-CN" w:bidi="ar-SA"/>
        </w:rPr>
      </w:pPr>
    </w:p>
    <w:p w14:paraId="556B28A3">
      <w:pPr>
        <w:bidi w:val="0"/>
        <w:jc w:val="left"/>
        <w:rPr>
          <w:rFonts w:hint="eastAsia" w:ascii="宋体" w:hAnsi="宋体" w:cs="宋体"/>
          <w:color w:val="auto"/>
          <w:sz w:val="24"/>
          <w:highlight w:val="none"/>
          <w:lang w:val="en-US" w:eastAsia="zh-CN"/>
        </w:rPr>
      </w:pPr>
    </w:p>
    <w:p w14:paraId="38C99DDE">
      <w:pPr>
        <w:pStyle w:val="15"/>
        <w:rPr>
          <w:rFonts w:hint="eastAsia" w:ascii="宋体" w:hAnsi="宋体" w:cs="宋体"/>
          <w:color w:val="auto"/>
          <w:sz w:val="24"/>
          <w:highlight w:val="none"/>
          <w:lang w:val="en-US" w:eastAsia="zh-CN"/>
        </w:rPr>
      </w:pPr>
    </w:p>
    <w:p w14:paraId="4386778A">
      <w:pPr>
        <w:pStyle w:val="15"/>
        <w:rPr>
          <w:rFonts w:hint="eastAsia" w:ascii="宋体" w:hAnsi="宋体" w:cs="宋体"/>
          <w:color w:val="auto"/>
          <w:sz w:val="24"/>
          <w:highlight w:val="none"/>
          <w:lang w:val="en-US" w:eastAsia="zh-CN"/>
        </w:rPr>
      </w:pPr>
    </w:p>
    <w:p w14:paraId="205AD652">
      <w:pPr>
        <w:pStyle w:val="15"/>
        <w:rPr>
          <w:rFonts w:hint="eastAsia" w:ascii="宋体" w:hAnsi="宋体" w:cs="宋体"/>
          <w:color w:val="auto"/>
          <w:sz w:val="24"/>
          <w:highlight w:val="none"/>
          <w:lang w:val="en-US" w:eastAsia="zh-CN"/>
        </w:rPr>
      </w:pPr>
    </w:p>
    <w:p w14:paraId="4612D9F0">
      <w:pPr>
        <w:spacing w:line="360" w:lineRule="auto"/>
        <w:ind w:firstLine="0" w:firstLineChars="0"/>
        <w:rPr>
          <w:rFonts w:hint="eastAsia" w:ascii="黑体" w:hAnsi="黑体" w:eastAsia="黑体" w:cs="黑体"/>
          <w:b w:val="0"/>
          <w:bCs w:val="0"/>
          <w:color w:val="auto"/>
          <w:sz w:val="32"/>
          <w:szCs w:val="32"/>
          <w:highlight w:val="none"/>
          <w:lang w:eastAsia="zh-CN"/>
        </w:rPr>
      </w:pPr>
      <w:r>
        <w:rPr>
          <w:rFonts w:hint="eastAsia" w:ascii="黑体" w:hAnsi="黑体" w:eastAsia="黑体" w:cs="黑体"/>
          <w:color w:val="auto"/>
          <w:sz w:val="32"/>
          <w:szCs w:val="32"/>
          <w:highlight w:val="none"/>
          <w:lang w:val="en-US" w:eastAsia="zh-CN"/>
        </w:rPr>
        <w:t>附件7.</w:t>
      </w:r>
      <w:r>
        <w:rPr>
          <w:rFonts w:hint="eastAsia" w:ascii="黑体" w:hAnsi="黑体" w:eastAsia="黑体" w:cs="黑体"/>
          <w:b w:val="0"/>
          <w:bCs w:val="0"/>
          <w:color w:val="auto"/>
          <w:sz w:val="32"/>
          <w:szCs w:val="32"/>
          <w:highlight w:val="none"/>
        </w:rPr>
        <w:t>施工项目危险作业安全作业物资及应急物资清单（承包方/乙方提供）</w:t>
      </w:r>
    </w:p>
    <w:tbl>
      <w:tblPr>
        <w:tblStyle w:val="25"/>
        <w:tblW w:w="10318" w:type="dxa"/>
        <w:tblInd w:w="-1026" w:type="dxa"/>
        <w:tblLayout w:type="autofit"/>
        <w:tblCellMar>
          <w:top w:w="0" w:type="dxa"/>
          <w:left w:w="108" w:type="dxa"/>
          <w:bottom w:w="0" w:type="dxa"/>
          <w:right w:w="108" w:type="dxa"/>
        </w:tblCellMar>
      </w:tblPr>
      <w:tblGrid>
        <w:gridCol w:w="820"/>
        <w:gridCol w:w="709"/>
        <w:gridCol w:w="1417"/>
        <w:gridCol w:w="3119"/>
        <w:gridCol w:w="660"/>
        <w:gridCol w:w="1325"/>
        <w:gridCol w:w="660"/>
        <w:gridCol w:w="1608"/>
      </w:tblGrid>
      <w:tr w14:paraId="5800B59A">
        <w:tblPrEx>
          <w:tblCellMar>
            <w:top w:w="0" w:type="dxa"/>
            <w:left w:w="108" w:type="dxa"/>
            <w:bottom w:w="0" w:type="dxa"/>
            <w:right w:w="108" w:type="dxa"/>
          </w:tblCellMar>
        </w:tblPrEx>
        <w:trPr>
          <w:trHeight w:val="420" w:hRule="atLeast"/>
          <w:tblHeader/>
        </w:trPr>
        <w:tc>
          <w:tcPr>
            <w:tcW w:w="820" w:type="dxa"/>
            <w:vMerge w:val="restart"/>
            <w:tcBorders>
              <w:top w:val="single" w:color="auto" w:sz="4" w:space="0"/>
              <w:left w:val="single" w:color="auto" w:sz="4" w:space="0"/>
              <w:bottom w:val="single" w:color="auto" w:sz="4" w:space="0"/>
              <w:right w:val="single" w:color="auto" w:sz="4" w:space="0"/>
            </w:tcBorders>
            <w:noWrap w:val="0"/>
            <w:vAlign w:val="center"/>
          </w:tcPr>
          <w:p w14:paraId="5193ACDE">
            <w:pPr>
              <w:widowControl/>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风险类型</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690F70DF">
            <w:pPr>
              <w:widowControl/>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物资种类</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14:paraId="6D8E5BB2">
            <w:pPr>
              <w:widowControl/>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物资名称</w:t>
            </w:r>
          </w:p>
        </w:tc>
        <w:tc>
          <w:tcPr>
            <w:tcW w:w="3779" w:type="dxa"/>
            <w:gridSpan w:val="2"/>
            <w:tcBorders>
              <w:top w:val="single" w:color="auto" w:sz="4" w:space="0"/>
              <w:left w:val="nil"/>
              <w:bottom w:val="single" w:color="auto" w:sz="4" w:space="0"/>
              <w:right w:val="single" w:color="auto" w:sz="4" w:space="0"/>
            </w:tcBorders>
            <w:noWrap w:val="0"/>
            <w:vAlign w:val="center"/>
          </w:tcPr>
          <w:p w14:paraId="1C523519">
            <w:pPr>
              <w:widowControl/>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安全作业物资</w:t>
            </w:r>
          </w:p>
        </w:tc>
        <w:tc>
          <w:tcPr>
            <w:tcW w:w="1985" w:type="dxa"/>
            <w:gridSpan w:val="2"/>
            <w:tcBorders>
              <w:top w:val="single" w:color="auto" w:sz="4" w:space="0"/>
              <w:left w:val="nil"/>
              <w:bottom w:val="single" w:color="auto" w:sz="4" w:space="0"/>
              <w:right w:val="single" w:color="auto" w:sz="4" w:space="0"/>
            </w:tcBorders>
            <w:noWrap w:val="0"/>
            <w:vAlign w:val="center"/>
          </w:tcPr>
          <w:p w14:paraId="1FBE5116">
            <w:pPr>
              <w:widowControl/>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应急物资</w:t>
            </w:r>
          </w:p>
        </w:tc>
        <w:tc>
          <w:tcPr>
            <w:tcW w:w="1608" w:type="dxa"/>
            <w:vMerge w:val="restart"/>
            <w:tcBorders>
              <w:top w:val="single" w:color="auto" w:sz="4" w:space="0"/>
              <w:left w:val="single" w:color="auto" w:sz="4" w:space="0"/>
              <w:bottom w:val="single" w:color="auto" w:sz="4" w:space="0"/>
              <w:right w:val="single" w:color="auto" w:sz="4" w:space="0"/>
            </w:tcBorders>
            <w:noWrap w:val="0"/>
            <w:vAlign w:val="center"/>
          </w:tcPr>
          <w:p w14:paraId="668105D9">
            <w:pPr>
              <w:widowControl/>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备注</w:t>
            </w:r>
          </w:p>
        </w:tc>
      </w:tr>
      <w:tr w14:paraId="2A3DC1D0">
        <w:tblPrEx>
          <w:tblCellMar>
            <w:top w:w="0" w:type="dxa"/>
            <w:left w:w="108" w:type="dxa"/>
            <w:bottom w:w="0" w:type="dxa"/>
            <w:right w:w="108" w:type="dxa"/>
          </w:tblCellMar>
        </w:tblPrEx>
        <w:trPr>
          <w:trHeight w:val="420" w:hRule="atLeast"/>
          <w:tblHeader/>
        </w:trPr>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14:paraId="4F495FB1">
            <w:pPr>
              <w:widowControl/>
              <w:jc w:val="left"/>
              <w:rPr>
                <w:rFonts w:ascii="黑体" w:hAnsi="黑体" w:eastAsia="黑体" w:cs="宋体"/>
                <w:color w:val="auto"/>
                <w:kern w:val="0"/>
                <w:szCs w:val="21"/>
                <w:highlight w:val="none"/>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0D29D9E8">
            <w:pPr>
              <w:widowControl/>
              <w:jc w:val="left"/>
              <w:rPr>
                <w:rFonts w:ascii="黑体" w:hAnsi="黑体" w:eastAsia="黑体" w:cs="宋体"/>
                <w:color w:val="auto"/>
                <w:kern w:val="0"/>
                <w:szCs w:val="21"/>
                <w:highlight w:val="none"/>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14:paraId="2F67E6BC">
            <w:pPr>
              <w:widowControl/>
              <w:jc w:val="left"/>
              <w:rPr>
                <w:rFonts w:ascii="黑体" w:hAnsi="黑体" w:eastAsia="黑体" w:cs="宋体"/>
                <w:color w:val="auto"/>
                <w:kern w:val="0"/>
                <w:szCs w:val="21"/>
                <w:highlight w:val="none"/>
              </w:rPr>
            </w:pPr>
          </w:p>
        </w:tc>
        <w:tc>
          <w:tcPr>
            <w:tcW w:w="3119" w:type="dxa"/>
            <w:tcBorders>
              <w:top w:val="nil"/>
              <w:left w:val="nil"/>
              <w:bottom w:val="single" w:color="auto" w:sz="4" w:space="0"/>
              <w:right w:val="single" w:color="auto" w:sz="4" w:space="0"/>
            </w:tcBorders>
            <w:noWrap w:val="0"/>
            <w:vAlign w:val="center"/>
          </w:tcPr>
          <w:p w14:paraId="7257B7C9">
            <w:pPr>
              <w:widowControl/>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数量</w:t>
            </w:r>
          </w:p>
        </w:tc>
        <w:tc>
          <w:tcPr>
            <w:tcW w:w="660" w:type="dxa"/>
            <w:tcBorders>
              <w:top w:val="nil"/>
              <w:left w:val="nil"/>
              <w:bottom w:val="single" w:color="auto" w:sz="4" w:space="0"/>
              <w:right w:val="single" w:color="auto" w:sz="4" w:space="0"/>
            </w:tcBorders>
            <w:noWrap w:val="0"/>
            <w:vAlign w:val="center"/>
          </w:tcPr>
          <w:p w14:paraId="0D4080BA">
            <w:pPr>
              <w:widowControl/>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单位</w:t>
            </w:r>
          </w:p>
        </w:tc>
        <w:tc>
          <w:tcPr>
            <w:tcW w:w="1325" w:type="dxa"/>
            <w:tcBorders>
              <w:top w:val="nil"/>
              <w:left w:val="nil"/>
              <w:bottom w:val="single" w:color="auto" w:sz="4" w:space="0"/>
              <w:right w:val="single" w:color="auto" w:sz="4" w:space="0"/>
            </w:tcBorders>
            <w:noWrap w:val="0"/>
            <w:vAlign w:val="center"/>
          </w:tcPr>
          <w:p w14:paraId="1C7B5F48">
            <w:pPr>
              <w:widowControl/>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数量</w:t>
            </w:r>
          </w:p>
        </w:tc>
        <w:tc>
          <w:tcPr>
            <w:tcW w:w="660" w:type="dxa"/>
            <w:tcBorders>
              <w:top w:val="nil"/>
              <w:left w:val="nil"/>
              <w:bottom w:val="single" w:color="auto" w:sz="4" w:space="0"/>
              <w:right w:val="single" w:color="auto" w:sz="4" w:space="0"/>
            </w:tcBorders>
            <w:noWrap w:val="0"/>
            <w:vAlign w:val="center"/>
          </w:tcPr>
          <w:p w14:paraId="41CAA6FC">
            <w:pPr>
              <w:widowControl/>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单位</w:t>
            </w:r>
          </w:p>
        </w:tc>
        <w:tc>
          <w:tcPr>
            <w:tcW w:w="1608" w:type="dxa"/>
            <w:vMerge w:val="continue"/>
            <w:tcBorders>
              <w:top w:val="single" w:color="auto" w:sz="4" w:space="0"/>
              <w:left w:val="single" w:color="auto" w:sz="4" w:space="0"/>
              <w:bottom w:val="single" w:color="auto" w:sz="4" w:space="0"/>
              <w:right w:val="single" w:color="auto" w:sz="4" w:space="0"/>
            </w:tcBorders>
            <w:noWrap w:val="0"/>
            <w:vAlign w:val="center"/>
          </w:tcPr>
          <w:p w14:paraId="26EB3E51">
            <w:pPr>
              <w:widowControl/>
              <w:jc w:val="left"/>
              <w:rPr>
                <w:rFonts w:ascii="黑体" w:hAnsi="黑体" w:eastAsia="黑体" w:cs="宋体"/>
                <w:color w:val="auto"/>
                <w:kern w:val="0"/>
                <w:szCs w:val="21"/>
                <w:highlight w:val="none"/>
              </w:rPr>
            </w:pPr>
          </w:p>
        </w:tc>
      </w:tr>
      <w:tr w14:paraId="6715CC75">
        <w:trPr>
          <w:trHeight w:val="1140" w:hRule="atLeast"/>
        </w:trPr>
        <w:tc>
          <w:tcPr>
            <w:tcW w:w="820" w:type="dxa"/>
            <w:vMerge w:val="restart"/>
            <w:tcBorders>
              <w:top w:val="nil"/>
              <w:left w:val="single" w:color="auto" w:sz="4" w:space="0"/>
              <w:right w:val="single" w:color="auto" w:sz="4" w:space="0"/>
            </w:tcBorders>
            <w:noWrap w:val="0"/>
            <w:vAlign w:val="center"/>
          </w:tcPr>
          <w:p w14:paraId="45FAD0A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一、通用类</w:t>
            </w:r>
          </w:p>
        </w:tc>
        <w:tc>
          <w:tcPr>
            <w:tcW w:w="709" w:type="dxa"/>
            <w:tcBorders>
              <w:top w:val="nil"/>
              <w:left w:val="nil"/>
              <w:bottom w:val="single" w:color="auto" w:sz="4" w:space="0"/>
              <w:right w:val="single" w:color="auto" w:sz="4" w:space="0"/>
            </w:tcBorders>
            <w:noWrap w:val="0"/>
            <w:vAlign w:val="center"/>
          </w:tcPr>
          <w:p w14:paraId="4510056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通讯</w:t>
            </w:r>
          </w:p>
        </w:tc>
        <w:tc>
          <w:tcPr>
            <w:tcW w:w="1417" w:type="dxa"/>
            <w:tcBorders>
              <w:top w:val="nil"/>
              <w:left w:val="nil"/>
              <w:bottom w:val="single" w:color="auto" w:sz="4" w:space="0"/>
              <w:right w:val="single" w:color="auto" w:sz="4" w:space="0"/>
            </w:tcBorders>
            <w:noWrap w:val="0"/>
            <w:vAlign w:val="center"/>
          </w:tcPr>
          <w:p w14:paraId="05446EB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对讲机</w:t>
            </w:r>
          </w:p>
        </w:tc>
        <w:tc>
          <w:tcPr>
            <w:tcW w:w="3119" w:type="dxa"/>
            <w:tcBorders>
              <w:top w:val="nil"/>
              <w:left w:val="nil"/>
              <w:bottom w:val="single" w:color="auto" w:sz="4" w:space="0"/>
              <w:right w:val="single" w:color="auto" w:sz="4" w:space="0"/>
            </w:tcBorders>
            <w:noWrap w:val="0"/>
            <w:vAlign w:val="center"/>
          </w:tcPr>
          <w:p w14:paraId="1C9931D6">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相隔50米并同时施工的作业点，每个作业点配置至少配置2台</w:t>
            </w:r>
          </w:p>
        </w:tc>
        <w:tc>
          <w:tcPr>
            <w:tcW w:w="660" w:type="dxa"/>
            <w:tcBorders>
              <w:top w:val="nil"/>
              <w:left w:val="nil"/>
              <w:bottom w:val="single" w:color="auto" w:sz="4" w:space="0"/>
              <w:right w:val="single" w:color="auto" w:sz="4" w:space="0"/>
            </w:tcBorders>
            <w:noWrap w:val="0"/>
            <w:vAlign w:val="center"/>
          </w:tcPr>
          <w:p w14:paraId="7703269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台</w:t>
            </w:r>
          </w:p>
        </w:tc>
        <w:tc>
          <w:tcPr>
            <w:tcW w:w="1325" w:type="dxa"/>
            <w:tcBorders>
              <w:top w:val="nil"/>
              <w:left w:val="nil"/>
              <w:bottom w:val="single" w:color="auto" w:sz="4" w:space="0"/>
              <w:right w:val="single" w:color="auto" w:sz="4" w:space="0"/>
            </w:tcBorders>
            <w:noWrap w:val="0"/>
            <w:vAlign w:val="center"/>
          </w:tcPr>
          <w:p w14:paraId="1EAC79D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按作业人数的2</w:t>
            </w:r>
            <w:r>
              <w:rPr>
                <w:rFonts w:ascii="仿宋_GB2312" w:hAnsi="宋体" w:eastAsia="仿宋_GB2312" w:cs="宋体"/>
                <w:color w:val="auto"/>
                <w:kern w:val="0"/>
                <w:szCs w:val="21"/>
                <w:highlight w:val="none"/>
              </w:rPr>
              <w:t>0%</w:t>
            </w:r>
          </w:p>
        </w:tc>
        <w:tc>
          <w:tcPr>
            <w:tcW w:w="660" w:type="dxa"/>
            <w:tcBorders>
              <w:top w:val="nil"/>
              <w:left w:val="nil"/>
              <w:bottom w:val="single" w:color="auto" w:sz="4" w:space="0"/>
              <w:right w:val="single" w:color="auto" w:sz="4" w:space="0"/>
            </w:tcBorders>
            <w:noWrap w:val="0"/>
            <w:vAlign w:val="center"/>
          </w:tcPr>
          <w:p w14:paraId="3FD94E2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台</w:t>
            </w:r>
          </w:p>
        </w:tc>
        <w:tc>
          <w:tcPr>
            <w:tcW w:w="1608" w:type="dxa"/>
            <w:tcBorders>
              <w:top w:val="nil"/>
              <w:left w:val="nil"/>
              <w:bottom w:val="single" w:color="auto" w:sz="4" w:space="0"/>
              <w:right w:val="single" w:color="auto" w:sz="4" w:space="0"/>
            </w:tcBorders>
            <w:noWrap w:val="0"/>
            <w:vAlign w:val="center"/>
          </w:tcPr>
          <w:p w14:paraId="34AAFED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741076E5">
        <w:tblPrEx>
          <w:tblCellMar>
            <w:top w:w="0" w:type="dxa"/>
            <w:left w:w="108" w:type="dxa"/>
            <w:bottom w:w="0" w:type="dxa"/>
            <w:right w:w="108" w:type="dxa"/>
          </w:tblCellMar>
        </w:tblPrEx>
        <w:trPr>
          <w:trHeight w:val="840" w:hRule="atLeast"/>
        </w:trPr>
        <w:tc>
          <w:tcPr>
            <w:tcW w:w="820" w:type="dxa"/>
            <w:vMerge w:val="continue"/>
            <w:tcBorders>
              <w:left w:val="single" w:color="auto" w:sz="4" w:space="0"/>
              <w:right w:val="single" w:color="auto" w:sz="4" w:space="0"/>
            </w:tcBorders>
            <w:noWrap w:val="0"/>
            <w:vAlign w:val="center"/>
          </w:tcPr>
          <w:p w14:paraId="2EE82437">
            <w:pPr>
              <w:widowControl/>
              <w:jc w:val="left"/>
              <w:rPr>
                <w:rFonts w:ascii="仿宋_GB2312" w:hAnsi="宋体" w:eastAsia="仿宋_GB2312" w:cs="宋体"/>
                <w:color w:val="auto"/>
                <w:kern w:val="0"/>
                <w:szCs w:val="21"/>
                <w:highlight w:val="none"/>
              </w:rPr>
            </w:pPr>
          </w:p>
        </w:tc>
        <w:tc>
          <w:tcPr>
            <w:tcW w:w="709" w:type="dxa"/>
            <w:vMerge w:val="restart"/>
            <w:tcBorders>
              <w:top w:val="nil"/>
              <w:left w:val="single" w:color="auto" w:sz="4" w:space="0"/>
              <w:bottom w:val="single" w:color="auto" w:sz="4" w:space="0"/>
              <w:right w:val="single" w:color="auto" w:sz="4" w:space="0"/>
            </w:tcBorders>
            <w:noWrap w:val="0"/>
            <w:vAlign w:val="center"/>
          </w:tcPr>
          <w:p w14:paraId="4B39B91F">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个人防护</w:t>
            </w:r>
          </w:p>
        </w:tc>
        <w:tc>
          <w:tcPr>
            <w:tcW w:w="1417" w:type="dxa"/>
            <w:tcBorders>
              <w:top w:val="nil"/>
              <w:left w:val="nil"/>
              <w:bottom w:val="single" w:color="auto" w:sz="4" w:space="0"/>
              <w:right w:val="single" w:color="auto" w:sz="4" w:space="0"/>
            </w:tcBorders>
            <w:noWrap w:val="0"/>
            <w:vAlign w:val="center"/>
          </w:tcPr>
          <w:p w14:paraId="4545F12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安全帽</w:t>
            </w:r>
          </w:p>
        </w:tc>
        <w:tc>
          <w:tcPr>
            <w:tcW w:w="3119" w:type="dxa"/>
            <w:tcBorders>
              <w:top w:val="nil"/>
              <w:left w:val="nil"/>
              <w:bottom w:val="single" w:color="auto" w:sz="4" w:space="0"/>
              <w:right w:val="single" w:color="auto" w:sz="4" w:space="0"/>
            </w:tcBorders>
            <w:noWrap w:val="0"/>
            <w:vAlign w:val="center"/>
          </w:tcPr>
          <w:p w14:paraId="7EE1527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每个进入施工区域人员都需佩戴</w:t>
            </w:r>
          </w:p>
        </w:tc>
        <w:tc>
          <w:tcPr>
            <w:tcW w:w="660" w:type="dxa"/>
            <w:tcBorders>
              <w:top w:val="nil"/>
              <w:left w:val="nil"/>
              <w:bottom w:val="single" w:color="auto" w:sz="4" w:space="0"/>
              <w:right w:val="single" w:color="auto" w:sz="4" w:space="0"/>
            </w:tcBorders>
            <w:noWrap w:val="0"/>
            <w:vAlign w:val="center"/>
          </w:tcPr>
          <w:p w14:paraId="1F7CE83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09CA88D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07D9E26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1B1B558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5962FF9E">
        <w:tblPrEx>
          <w:tblCellMar>
            <w:top w:w="0" w:type="dxa"/>
            <w:left w:w="108" w:type="dxa"/>
            <w:bottom w:w="0" w:type="dxa"/>
            <w:right w:w="108" w:type="dxa"/>
          </w:tblCellMar>
        </w:tblPrEx>
        <w:trPr>
          <w:trHeight w:val="480" w:hRule="atLeast"/>
        </w:trPr>
        <w:tc>
          <w:tcPr>
            <w:tcW w:w="820" w:type="dxa"/>
            <w:vMerge w:val="continue"/>
            <w:tcBorders>
              <w:left w:val="single" w:color="auto" w:sz="4" w:space="0"/>
              <w:right w:val="single" w:color="auto" w:sz="4" w:space="0"/>
            </w:tcBorders>
            <w:noWrap w:val="0"/>
            <w:vAlign w:val="center"/>
          </w:tcPr>
          <w:p w14:paraId="4F06299A">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6FC45DF1">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23B0555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五点式安全带</w:t>
            </w:r>
          </w:p>
        </w:tc>
        <w:tc>
          <w:tcPr>
            <w:tcW w:w="3119" w:type="dxa"/>
            <w:tcBorders>
              <w:top w:val="nil"/>
              <w:left w:val="nil"/>
              <w:bottom w:val="single" w:color="auto" w:sz="4" w:space="0"/>
              <w:right w:val="single" w:color="auto" w:sz="4" w:space="0"/>
            </w:tcBorders>
            <w:noWrap w:val="0"/>
            <w:vAlign w:val="center"/>
          </w:tcPr>
          <w:p w14:paraId="4294C08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按实际作业和监护人员数</w:t>
            </w:r>
          </w:p>
        </w:tc>
        <w:tc>
          <w:tcPr>
            <w:tcW w:w="660" w:type="dxa"/>
            <w:tcBorders>
              <w:top w:val="nil"/>
              <w:left w:val="nil"/>
              <w:bottom w:val="single" w:color="auto" w:sz="4" w:space="0"/>
              <w:right w:val="single" w:color="auto" w:sz="4" w:space="0"/>
            </w:tcBorders>
            <w:noWrap w:val="0"/>
            <w:vAlign w:val="center"/>
          </w:tcPr>
          <w:p w14:paraId="5F18F6C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条</w:t>
            </w:r>
          </w:p>
        </w:tc>
        <w:tc>
          <w:tcPr>
            <w:tcW w:w="1325" w:type="dxa"/>
            <w:tcBorders>
              <w:top w:val="nil"/>
              <w:left w:val="nil"/>
              <w:bottom w:val="single" w:color="auto" w:sz="4" w:space="0"/>
              <w:right w:val="single" w:color="auto" w:sz="4" w:space="0"/>
            </w:tcBorders>
            <w:noWrap w:val="0"/>
            <w:vAlign w:val="center"/>
          </w:tcPr>
          <w:p w14:paraId="66F1D3D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7CD9973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条</w:t>
            </w:r>
          </w:p>
        </w:tc>
        <w:tc>
          <w:tcPr>
            <w:tcW w:w="1608" w:type="dxa"/>
            <w:tcBorders>
              <w:top w:val="nil"/>
              <w:left w:val="nil"/>
              <w:bottom w:val="single" w:color="auto" w:sz="4" w:space="0"/>
              <w:right w:val="single" w:color="auto" w:sz="4" w:space="0"/>
            </w:tcBorders>
            <w:noWrap w:val="0"/>
            <w:vAlign w:val="center"/>
          </w:tcPr>
          <w:p w14:paraId="1BD285A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19D60977">
        <w:tblPrEx>
          <w:tblCellMar>
            <w:top w:w="0" w:type="dxa"/>
            <w:left w:w="108" w:type="dxa"/>
            <w:bottom w:w="0" w:type="dxa"/>
            <w:right w:w="108" w:type="dxa"/>
          </w:tblCellMar>
        </w:tblPrEx>
        <w:trPr>
          <w:trHeight w:val="1110" w:hRule="atLeast"/>
        </w:trPr>
        <w:tc>
          <w:tcPr>
            <w:tcW w:w="820" w:type="dxa"/>
            <w:vMerge w:val="continue"/>
            <w:tcBorders>
              <w:left w:val="single" w:color="auto" w:sz="4" w:space="0"/>
              <w:right w:val="single" w:color="auto" w:sz="4" w:space="0"/>
            </w:tcBorders>
            <w:noWrap w:val="0"/>
            <w:vAlign w:val="center"/>
          </w:tcPr>
          <w:p w14:paraId="459FC66B">
            <w:pPr>
              <w:widowControl/>
              <w:jc w:val="left"/>
              <w:rPr>
                <w:rFonts w:ascii="仿宋_GB2312" w:hAnsi="宋体" w:eastAsia="仿宋_GB2312" w:cs="宋体"/>
                <w:color w:val="auto"/>
                <w:kern w:val="0"/>
                <w:szCs w:val="21"/>
                <w:highlight w:val="none"/>
              </w:rPr>
            </w:pPr>
          </w:p>
        </w:tc>
        <w:tc>
          <w:tcPr>
            <w:tcW w:w="709" w:type="dxa"/>
            <w:vMerge w:val="restart"/>
            <w:tcBorders>
              <w:top w:val="nil"/>
              <w:left w:val="single" w:color="auto" w:sz="4" w:space="0"/>
              <w:bottom w:val="single" w:color="auto" w:sz="4" w:space="0"/>
              <w:right w:val="single" w:color="auto" w:sz="4" w:space="0"/>
            </w:tcBorders>
            <w:noWrap w:val="0"/>
            <w:vAlign w:val="center"/>
          </w:tcPr>
          <w:p w14:paraId="67803E9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照明</w:t>
            </w:r>
          </w:p>
        </w:tc>
        <w:tc>
          <w:tcPr>
            <w:tcW w:w="1417" w:type="dxa"/>
            <w:tcBorders>
              <w:top w:val="nil"/>
              <w:left w:val="nil"/>
              <w:bottom w:val="single" w:color="auto" w:sz="4" w:space="0"/>
              <w:right w:val="single" w:color="auto" w:sz="4" w:space="0"/>
            </w:tcBorders>
            <w:noWrap w:val="0"/>
            <w:vAlign w:val="center"/>
          </w:tcPr>
          <w:p w14:paraId="27B0D06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手持式应急灯</w:t>
            </w:r>
          </w:p>
        </w:tc>
        <w:tc>
          <w:tcPr>
            <w:tcW w:w="3119" w:type="dxa"/>
            <w:tcBorders>
              <w:top w:val="nil"/>
              <w:left w:val="nil"/>
              <w:bottom w:val="single" w:color="auto" w:sz="4" w:space="0"/>
              <w:right w:val="single" w:color="auto" w:sz="4" w:space="0"/>
            </w:tcBorders>
            <w:noWrap w:val="0"/>
            <w:vAlign w:val="center"/>
          </w:tcPr>
          <w:p w14:paraId="1A2FFF5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77CF1D1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69176B2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660" w:type="dxa"/>
            <w:tcBorders>
              <w:top w:val="nil"/>
              <w:left w:val="nil"/>
              <w:bottom w:val="single" w:color="auto" w:sz="4" w:space="0"/>
              <w:right w:val="single" w:color="auto" w:sz="4" w:space="0"/>
            </w:tcBorders>
            <w:noWrap w:val="0"/>
            <w:vAlign w:val="center"/>
          </w:tcPr>
          <w:p w14:paraId="4A78F00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vMerge w:val="restart"/>
            <w:tcBorders>
              <w:top w:val="nil"/>
              <w:left w:val="single" w:color="auto" w:sz="4" w:space="0"/>
              <w:bottom w:val="single" w:color="auto" w:sz="4" w:space="0"/>
              <w:right w:val="single" w:color="auto" w:sz="4" w:space="0"/>
            </w:tcBorders>
            <w:noWrap w:val="0"/>
            <w:vAlign w:val="center"/>
          </w:tcPr>
          <w:p w14:paraId="6E14DB2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手持、非手持式应急灯有一项即可</w:t>
            </w:r>
          </w:p>
        </w:tc>
      </w:tr>
      <w:tr w14:paraId="36EBE473">
        <w:tblPrEx>
          <w:tblCellMar>
            <w:top w:w="0" w:type="dxa"/>
            <w:left w:w="108" w:type="dxa"/>
            <w:bottom w:w="0" w:type="dxa"/>
            <w:right w:w="108" w:type="dxa"/>
          </w:tblCellMar>
        </w:tblPrEx>
        <w:trPr>
          <w:trHeight w:val="1110" w:hRule="atLeast"/>
        </w:trPr>
        <w:tc>
          <w:tcPr>
            <w:tcW w:w="820" w:type="dxa"/>
            <w:vMerge w:val="continue"/>
            <w:tcBorders>
              <w:left w:val="single" w:color="auto" w:sz="4" w:space="0"/>
              <w:right w:val="single" w:color="auto" w:sz="4" w:space="0"/>
            </w:tcBorders>
            <w:noWrap w:val="0"/>
            <w:vAlign w:val="center"/>
          </w:tcPr>
          <w:p w14:paraId="5A05DE9E">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07536B1">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72424E7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非手持式应急灯（如头戴式电筒）</w:t>
            </w:r>
          </w:p>
        </w:tc>
        <w:tc>
          <w:tcPr>
            <w:tcW w:w="3119" w:type="dxa"/>
            <w:tcBorders>
              <w:top w:val="nil"/>
              <w:left w:val="nil"/>
              <w:bottom w:val="single" w:color="auto" w:sz="4" w:space="0"/>
              <w:right w:val="single" w:color="auto" w:sz="4" w:space="0"/>
            </w:tcBorders>
            <w:noWrap w:val="0"/>
            <w:vAlign w:val="center"/>
          </w:tcPr>
          <w:p w14:paraId="15FA369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64F90C1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325" w:type="dxa"/>
            <w:tcBorders>
              <w:top w:val="nil"/>
              <w:left w:val="nil"/>
              <w:bottom w:val="single" w:color="auto" w:sz="4" w:space="0"/>
              <w:right w:val="single" w:color="auto" w:sz="4" w:space="0"/>
            </w:tcBorders>
            <w:noWrap w:val="0"/>
            <w:vAlign w:val="center"/>
          </w:tcPr>
          <w:p w14:paraId="44C698C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660" w:type="dxa"/>
            <w:tcBorders>
              <w:top w:val="nil"/>
              <w:left w:val="nil"/>
              <w:bottom w:val="single" w:color="auto" w:sz="4" w:space="0"/>
              <w:right w:val="single" w:color="auto" w:sz="4" w:space="0"/>
            </w:tcBorders>
            <w:noWrap w:val="0"/>
            <w:vAlign w:val="center"/>
          </w:tcPr>
          <w:p w14:paraId="5010B07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608" w:type="dxa"/>
            <w:vMerge w:val="continue"/>
            <w:tcBorders>
              <w:top w:val="nil"/>
              <w:left w:val="single" w:color="auto" w:sz="4" w:space="0"/>
              <w:bottom w:val="single" w:color="auto" w:sz="4" w:space="0"/>
              <w:right w:val="single" w:color="auto" w:sz="4" w:space="0"/>
            </w:tcBorders>
            <w:noWrap w:val="0"/>
            <w:vAlign w:val="center"/>
          </w:tcPr>
          <w:p w14:paraId="423FF54E">
            <w:pPr>
              <w:widowControl/>
              <w:jc w:val="left"/>
              <w:rPr>
                <w:rFonts w:ascii="仿宋_GB2312" w:hAnsi="宋体" w:eastAsia="仿宋_GB2312" w:cs="宋体"/>
                <w:color w:val="auto"/>
                <w:kern w:val="0"/>
                <w:szCs w:val="21"/>
                <w:highlight w:val="none"/>
              </w:rPr>
            </w:pPr>
          </w:p>
        </w:tc>
      </w:tr>
      <w:tr w14:paraId="3ECE87BB">
        <w:tblPrEx>
          <w:tblCellMar>
            <w:top w:w="0" w:type="dxa"/>
            <w:left w:w="108" w:type="dxa"/>
            <w:bottom w:w="0" w:type="dxa"/>
            <w:right w:w="108" w:type="dxa"/>
          </w:tblCellMar>
        </w:tblPrEx>
        <w:trPr>
          <w:trHeight w:val="1110" w:hRule="atLeast"/>
        </w:trPr>
        <w:tc>
          <w:tcPr>
            <w:tcW w:w="820" w:type="dxa"/>
            <w:vMerge w:val="continue"/>
            <w:tcBorders>
              <w:left w:val="single" w:color="auto" w:sz="4" w:space="0"/>
              <w:right w:val="single" w:color="auto" w:sz="4" w:space="0"/>
            </w:tcBorders>
            <w:noWrap w:val="0"/>
            <w:vAlign w:val="center"/>
          </w:tcPr>
          <w:p w14:paraId="2D6D8DC8">
            <w:pPr>
              <w:widowControl/>
              <w:jc w:val="left"/>
              <w:rPr>
                <w:rFonts w:ascii="仿宋_GB2312" w:hAnsi="宋体" w:eastAsia="仿宋_GB2312" w:cs="宋体"/>
                <w:color w:val="auto"/>
                <w:kern w:val="0"/>
                <w:szCs w:val="21"/>
                <w:highlight w:val="none"/>
              </w:rPr>
            </w:pPr>
          </w:p>
        </w:tc>
        <w:tc>
          <w:tcPr>
            <w:tcW w:w="709" w:type="dxa"/>
            <w:vMerge w:val="restart"/>
            <w:tcBorders>
              <w:top w:val="nil"/>
              <w:left w:val="single" w:color="auto" w:sz="4" w:space="0"/>
              <w:bottom w:val="single" w:color="auto" w:sz="4" w:space="0"/>
              <w:right w:val="single" w:color="auto" w:sz="4" w:space="0"/>
            </w:tcBorders>
            <w:noWrap w:val="0"/>
            <w:vAlign w:val="center"/>
          </w:tcPr>
          <w:p w14:paraId="7141738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医疗急救</w:t>
            </w:r>
          </w:p>
        </w:tc>
        <w:tc>
          <w:tcPr>
            <w:tcW w:w="1417" w:type="dxa"/>
            <w:tcBorders>
              <w:top w:val="nil"/>
              <w:left w:val="nil"/>
              <w:bottom w:val="single" w:color="auto" w:sz="4" w:space="0"/>
              <w:right w:val="single" w:color="auto" w:sz="4" w:space="0"/>
            </w:tcBorders>
            <w:noWrap w:val="0"/>
            <w:vAlign w:val="center"/>
          </w:tcPr>
          <w:p w14:paraId="1676CAB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急救药箱</w:t>
            </w:r>
          </w:p>
        </w:tc>
        <w:tc>
          <w:tcPr>
            <w:tcW w:w="3119" w:type="dxa"/>
            <w:tcBorders>
              <w:top w:val="nil"/>
              <w:left w:val="nil"/>
              <w:bottom w:val="single" w:color="auto" w:sz="4" w:space="0"/>
              <w:right w:val="single" w:color="auto" w:sz="4" w:space="0"/>
            </w:tcBorders>
            <w:noWrap w:val="0"/>
            <w:vAlign w:val="center"/>
          </w:tcPr>
          <w:p w14:paraId="3C8C135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338054C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325" w:type="dxa"/>
            <w:tcBorders>
              <w:top w:val="nil"/>
              <w:left w:val="nil"/>
              <w:bottom w:val="single" w:color="auto" w:sz="4" w:space="0"/>
              <w:right w:val="single" w:color="auto" w:sz="4" w:space="0"/>
            </w:tcBorders>
            <w:noWrap w:val="0"/>
            <w:vAlign w:val="center"/>
          </w:tcPr>
          <w:p w14:paraId="43358CC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相隔50米并同时施工的作业点，每个作业点配置至少配置1套</w:t>
            </w:r>
          </w:p>
        </w:tc>
        <w:tc>
          <w:tcPr>
            <w:tcW w:w="660" w:type="dxa"/>
            <w:tcBorders>
              <w:top w:val="nil"/>
              <w:left w:val="nil"/>
              <w:bottom w:val="single" w:color="auto" w:sz="4" w:space="0"/>
              <w:right w:val="single" w:color="auto" w:sz="4" w:space="0"/>
            </w:tcBorders>
            <w:noWrap w:val="0"/>
            <w:vAlign w:val="center"/>
          </w:tcPr>
          <w:p w14:paraId="2E8D867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608" w:type="dxa"/>
            <w:tcBorders>
              <w:top w:val="nil"/>
              <w:left w:val="nil"/>
              <w:bottom w:val="single" w:color="auto" w:sz="4" w:space="0"/>
              <w:right w:val="single" w:color="auto" w:sz="4" w:space="0"/>
            </w:tcBorders>
            <w:noWrap w:val="0"/>
            <w:vAlign w:val="center"/>
          </w:tcPr>
          <w:p w14:paraId="0823F8B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4F065622">
        <w:tblPrEx>
          <w:tblCellMar>
            <w:top w:w="0" w:type="dxa"/>
            <w:left w:w="108" w:type="dxa"/>
            <w:bottom w:w="0" w:type="dxa"/>
            <w:right w:w="108" w:type="dxa"/>
          </w:tblCellMar>
        </w:tblPrEx>
        <w:trPr>
          <w:trHeight w:val="480" w:hRule="atLeast"/>
        </w:trPr>
        <w:tc>
          <w:tcPr>
            <w:tcW w:w="820" w:type="dxa"/>
            <w:vMerge w:val="continue"/>
            <w:tcBorders>
              <w:left w:val="single" w:color="auto" w:sz="4" w:space="0"/>
              <w:right w:val="single" w:color="auto" w:sz="4" w:space="0"/>
            </w:tcBorders>
            <w:noWrap w:val="0"/>
            <w:vAlign w:val="center"/>
          </w:tcPr>
          <w:p w14:paraId="7817442C">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FFF36B8">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6150ED8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多功能担架</w:t>
            </w:r>
          </w:p>
        </w:tc>
        <w:tc>
          <w:tcPr>
            <w:tcW w:w="3119" w:type="dxa"/>
            <w:tcBorders>
              <w:top w:val="nil"/>
              <w:left w:val="nil"/>
              <w:bottom w:val="single" w:color="auto" w:sz="4" w:space="0"/>
              <w:right w:val="single" w:color="auto" w:sz="4" w:space="0"/>
            </w:tcBorders>
            <w:noWrap w:val="0"/>
            <w:vAlign w:val="center"/>
          </w:tcPr>
          <w:p w14:paraId="69E4E7B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776C5A2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0DD6A04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660" w:type="dxa"/>
            <w:tcBorders>
              <w:top w:val="nil"/>
              <w:left w:val="nil"/>
              <w:bottom w:val="single" w:color="auto" w:sz="4" w:space="0"/>
              <w:right w:val="single" w:color="auto" w:sz="4" w:space="0"/>
            </w:tcBorders>
            <w:noWrap w:val="0"/>
            <w:vAlign w:val="center"/>
          </w:tcPr>
          <w:p w14:paraId="1AA27B6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6225ACA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5ED59C2A">
        <w:tblPrEx>
          <w:tblCellMar>
            <w:top w:w="0" w:type="dxa"/>
            <w:left w:w="108" w:type="dxa"/>
            <w:bottom w:w="0" w:type="dxa"/>
            <w:right w:w="108" w:type="dxa"/>
          </w:tblCellMar>
        </w:tblPrEx>
        <w:trPr>
          <w:trHeight w:val="480" w:hRule="atLeast"/>
        </w:trPr>
        <w:tc>
          <w:tcPr>
            <w:tcW w:w="820" w:type="dxa"/>
            <w:vMerge w:val="continue"/>
            <w:tcBorders>
              <w:left w:val="single" w:color="auto" w:sz="4" w:space="0"/>
              <w:right w:val="single" w:color="auto" w:sz="4" w:space="0"/>
            </w:tcBorders>
            <w:noWrap w:val="0"/>
            <w:vAlign w:val="center"/>
          </w:tcPr>
          <w:p w14:paraId="36FEC143">
            <w:pPr>
              <w:widowControl/>
              <w:jc w:val="left"/>
              <w:rPr>
                <w:rFonts w:ascii="仿宋_GB2312" w:hAnsi="宋体" w:eastAsia="仿宋_GB2312" w:cs="宋体"/>
                <w:color w:val="auto"/>
                <w:kern w:val="0"/>
                <w:szCs w:val="21"/>
                <w:highlight w:val="none"/>
              </w:rPr>
            </w:pPr>
          </w:p>
        </w:tc>
        <w:tc>
          <w:tcPr>
            <w:tcW w:w="709" w:type="dxa"/>
            <w:vMerge w:val="restart"/>
            <w:tcBorders>
              <w:top w:val="nil"/>
              <w:left w:val="single" w:color="auto" w:sz="4" w:space="0"/>
              <w:right w:val="single" w:color="auto" w:sz="4" w:space="0"/>
            </w:tcBorders>
            <w:noWrap w:val="0"/>
            <w:vAlign w:val="center"/>
          </w:tcPr>
          <w:p w14:paraId="6472697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围蔽警示</w:t>
            </w:r>
          </w:p>
        </w:tc>
        <w:tc>
          <w:tcPr>
            <w:tcW w:w="1417" w:type="dxa"/>
            <w:tcBorders>
              <w:top w:val="nil"/>
              <w:left w:val="nil"/>
              <w:bottom w:val="single" w:color="auto" w:sz="4" w:space="0"/>
              <w:right w:val="single" w:color="auto" w:sz="4" w:space="0"/>
            </w:tcBorders>
            <w:noWrap w:val="0"/>
            <w:vAlign w:val="center"/>
          </w:tcPr>
          <w:p w14:paraId="7DC08B5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警戒带</w:t>
            </w:r>
          </w:p>
        </w:tc>
        <w:tc>
          <w:tcPr>
            <w:tcW w:w="3119" w:type="dxa"/>
            <w:tcBorders>
              <w:top w:val="nil"/>
              <w:left w:val="nil"/>
              <w:bottom w:val="single" w:color="auto" w:sz="4" w:space="0"/>
              <w:right w:val="single" w:color="auto" w:sz="4" w:space="0"/>
            </w:tcBorders>
            <w:noWrap/>
            <w:vAlign w:val="center"/>
          </w:tcPr>
          <w:p w14:paraId="5218577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w:t>
            </w:r>
          </w:p>
        </w:tc>
        <w:tc>
          <w:tcPr>
            <w:tcW w:w="660" w:type="dxa"/>
            <w:tcBorders>
              <w:top w:val="nil"/>
              <w:left w:val="nil"/>
              <w:bottom w:val="single" w:color="auto" w:sz="4" w:space="0"/>
              <w:right w:val="single" w:color="auto" w:sz="4" w:space="0"/>
            </w:tcBorders>
            <w:noWrap w:val="0"/>
            <w:vAlign w:val="center"/>
          </w:tcPr>
          <w:p w14:paraId="14ACC4A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卷</w:t>
            </w:r>
          </w:p>
        </w:tc>
        <w:tc>
          <w:tcPr>
            <w:tcW w:w="1325" w:type="dxa"/>
            <w:tcBorders>
              <w:top w:val="nil"/>
              <w:left w:val="nil"/>
              <w:bottom w:val="single" w:color="auto" w:sz="4" w:space="0"/>
              <w:right w:val="single" w:color="auto" w:sz="4" w:space="0"/>
            </w:tcBorders>
            <w:noWrap w:val="0"/>
            <w:vAlign w:val="center"/>
          </w:tcPr>
          <w:p w14:paraId="1A69DBD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6C5DD2B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卷</w:t>
            </w:r>
          </w:p>
        </w:tc>
        <w:tc>
          <w:tcPr>
            <w:tcW w:w="1608" w:type="dxa"/>
            <w:tcBorders>
              <w:top w:val="nil"/>
              <w:left w:val="nil"/>
              <w:bottom w:val="single" w:color="auto" w:sz="4" w:space="0"/>
              <w:right w:val="single" w:color="auto" w:sz="4" w:space="0"/>
            </w:tcBorders>
            <w:noWrap w:val="0"/>
            <w:vAlign w:val="center"/>
          </w:tcPr>
          <w:p w14:paraId="5451FF6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2C10ED73">
        <w:tblPrEx>
          <w:tblCellMar>
            <w:top w:w="0" w:type="dxa"/>
            <w:left w:w="108" w:type="dxa"/>
            <w:bottom w:w="0" w:type="dxa"/>
            <w:right w:w="108" w:type="dxa"/>
          </w:tblCellMar>
        </w:tblPrEx>
        <w:trPr>
          <w:trHeight w:val="480" w:hRule="atLeast"/>
        </w:trPr>
        <w:tc>
          <w:tcPr>
            <w:tcW w:w="820" w:type="dxa"/>
            <w:vMerge w:val="continue"/>
            <w:tcBorders>
              <w:left w:val="single" w:color="auto" w:sz="4" w:space="0"/>
              <w:right w:val="single" w:color="auto" w:sz="4" w:space="0"/>
            </w:tcBorders>
            <w:noWrap w:val="0"/>
            <w:vAlign w:val="center"/>
          </w:tcPr>
          <w:p w14:paraId="3E7A63B0">
            <w:pPr>
              <w:widowControl/>
              <w:jc w:val="left"/>
              <w:rPr>
                <w:rFonts w:ascii="仿宋_GB2312" w:hAnsi="宋体" w:eastAsia="仿宋_GB2312" w:cs="宋体"/>
                <w:color w:val="auto"/>
                <w:kern w:val="0"/>
                <w:szCs w:val="21"/>
                <w:highlight w:val="none"/>
              </w:rPr>
            </w:pPr>
          </w:p>
        </w:tc>
        <w:tc>
          <w:tcPr>
            <w:tcW w:w="709" w:type="dxa"/>
            <w:vMerge w:val="continue"/>
            <w:tcBorders>
              <w:left w:val="single" w:color="auto" w:sz="4" w:space="0"/>
              <w:right w:val="single" w:color="auto" w:sz="4" w:space="0"/>
            </w:tcBorders>
            <w:noWrap w:val="0"/>
            <w:vAlign w:val="center"/>
          </w:tcPr>
          <w:p w14:paraId="2B3BE191">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43B8AF8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夜间警示灯</w:t>
            </w:r>
          </w:p>
        </w:tc>
        <w:tc>
          <w:tcPr>
            <w:tcW w:w="3119" w:type="dxa"/>
            <w:tcBorders>
              <w:top w:val="nil"/>
              <w:left w:val="nil"/>
              <w:bottom w:val="single" w:color="auto" w:sz="4" w:space="0"/>
              <w:right w:val="single" w:color="auto" w:sz="4" w:space="0"/>
            </w:tcBorders>
            <w:noWrap/>
            <w:vAlign w:val="center"/>
          </w:tcPr>
          <w:p w14:paraId="1847415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w:t>
            </w:r>
          </w:p>
        </w:tc>
        <w:tc>
          <w:tcPr>
            <w:tcW w:w="660" w:type="dxa"/>
            <w:tcBorders>
              <w:top w:val="nil"/>
              <w:left w:val="nil"/>
              <w:bottom w:val="single" w:color="auto" w:sz="4" w:space="0"/>
              <w:right w:val="single" w:color="auto" w:sz="4" w:space="0"/>
            </w:tcBorders>
            <w:noWrap w:val="0"/>
            <w:vAlign w:val="center"/>
          </w:tcPr>
          <w:p w14:paraId="4B4B685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3DA78EB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01A4EC0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592A590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18991010">
        <w:tblPrEx>
          <w:tblCellMar>
            <w:top w:w="0" w:type="dxa"/>
            <w:left w:w="108" w:type="dxa"/>
            <w:bottom w:w="0" w:type="dxa"/>
            <w:right w:w="108" w:type="dxa"/>
          </w:tblCellMar>
        </w:tblPrEx>
        <w:trPr>
          <w:trHeight w:val="480" w:hRule="atLeast"/>
        </w:trPr>
        <w:tc>
          <w:tcPr>
            <w:tcW w:w="820" w:type="dxa"/>
            <w:vMerge w:val="continue"/>
            <w:tcBorders>
              <w:left w:val="single" w:color="auto" w:sz="4" w:space="0"/>
              <w:right w:val="single" w:color="auto" w:sz="4" w:space="0"/>
            </w:tcBorders>
            <w:noWrap w:val="0"/>
            <w:vAlign w:val="center"/>
          </w:tcPr>
          <w:p w14:paraId="7F3CE9E6">
            <w:pPr>
              <w:widowControl/>
              <w:jc w:val="left"/>
              <w:rPr>
                <w:rFonts w:ascii="仿宋_GB2312" w:hAnsi="宋体" w:eastAsia="仿宋_GB2312" w:cs="宋体"/>
                <w:color w:val="auto"/>
                <w:kern w:val="0"/>
                <w:szCs w:val="21"/>
                <w:highlight w:val="none"/>
              </w:rPr>
            </w:pPr>
          </w:p>
        </w:tc>
        <w:tc>
          <w:tcPr>
            <w:tcW w:w="709" w:type="dxa"/>
            <w:vMerge w:val="continue"/>
            <w:tcBorders>
              <w:left w:val="single" w:color="auto" w:sz="4" w:space="0"/>
              <w:right w:val="single" w:color="auto" w:sz="4" w:space="0"/>
            </w:tcBorders>
            <w:noWrap w:val="0"/>
            <w:vAlign w:val="center"/>
          </w:tcPr>
          <w:p w14:paraId="07E2331D">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2F5BD6CF">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危险警示牌</w:t>
            </w:r>
          </w:p>
        </w:tc>
        <w:tc>
          <w:tcPr>
            <w:tcW w:w="3119" w:type="dxa"/>
            <w:tcBorders>
              <w:top w:val="nil"/>
              <w:left w:val="nil"/>
              <w:bottom w:val="single" w:color="auto" w:sz="4" w:space="0"/>
              <w:right w:val="single" w:color="auto" w:sz="4" w:space="0"/>
            </w:tcBorders>
            <w:noWrap w:val="0"/>
            <w:vAlign w:val="center"/>
          </w:tcPr>
          <w:p w14:paraId="4E7C806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施工区域每个出入口1个</w:t>
            </w:r>
          </w:p>
        </w:tc>
        <w:tc>
          <w:tcPr>
            <w:tcW w:w="660" w:type="dxa"/>
            <w:tcBorders>
              <w:top w:val="nil"/>
              <w:left w:val="nil"/>
              <w:bottom w:val="single" w:color="auto" w:sz="4" w:space="0"/>
              <w:right w:val="single" w:color="auto" w:sz="4" w:space="0"/>
            </w:tcBorders>
            <w:noWrap w:val="0"/>
            <w:vAlign w:val="center"/>
          </w:tcPr>
          <w:p w14:paraId="37ABFE9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7A413DE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30D1863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376EDFE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13A94DF4">
        <w:tblPrEx>
          <w:tblCellMar>
            <w:top w:w="0" w:type="dxa"/>
            <w:left w:w="108" w:type="dxa"/>
            <w:bottom w:w="0" w:type="dxa"/>
            <w:right w:w="108" w:type="dxa"/>
          </w:tblCellMar>
        </w:tblPrEx>
        <w:trPr>
          <w:trHeight w:val="480" w:hRule="atLeast"/>
        </w:trPr>
        <w:tc>
          <w:tcPr>
            <w:tcW w:w="820" w:type="dxa"/>
            <w:vMerge w:val="continue"/>
            <w:tcBorders>
              <w:left w:val="single" w:color="auto" w:sz="4" w:space="0"/>
              <w:right w:val="single" w:color="auto" w:sz="4" w:space="0"/>
            </w:tcBorders>
            <w:noWrap w:val="0"/>
            <w:vAlign w:val="center"/>
          </w:tcPr>
          <w:p w14:paraId="19E0ED3B">
            <w:pPr>
              <w:widowControl/>
              <w:jc w:val="left"/>
              <w:rPr>
                <w:rFonts w:ascii="仿宋_GB2312" w:hAnsi="宋体" w:eastAsia="仿宋_GB2312" w:cs="宋体"/>
                <w:color w:val="auto"/>
                <w:kern w:val="0"/>
                <w:szCs w:val="21"/>
                <w:highlight w:val="none"/>
              </w:rPr>
            </w:pPr>
          </w:p>
        </w:tc>
        <w:tc>
          <w:tcPr>
            <w:tcW w:w="709" w:type="dxa"/>
            <w:vMerge w:val="continue"/>
            <w:tcBorders>
              <w:left w:val="single" w:color="auto" w:sz="4" w:space="0"/>
              <w:right w:val="single" w:color="auto" w:sz="4" w:space="0"/>
            </w:tcBorders>
            <w:noWrap w:val="0"/>
            <w:vAlign w:val="center"/>
          </w:tcPr>
          <w:p w14:paraId="0361E7DD">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64E58C3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路锥（雪糕筒）</w:t>
            </w:r>
          </w:p>
        </w:tc>
        <w:tc>
          <w:tcPr>
            <w:tcW w:w="3119" w:type="dxa"/>
            <w:tcBorders>
              <w:top w:val="nil"/>
              <w:left w:val="nil"/>
              <w:bottom w:val="single" w:color="auto" w:sz="4" w:space="0"/>
              <w:right w:val="single" w:color="auto" w:sz="4" w:space="0"/>
            </w:tcBorders>
            <w:noWrap/>
            <w:vAlign w:val="center"/>
          </w:tcPr>
          <w:p w14:paraId="7447EBD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w:t>
            </w:r>
          </w:p>
        </w:tc>
        <w:tc>
          <w:tcPr>
            <w:tcW w:w="660" w:type="dxa"/>
            <w:tcBorders>
              <w:top w:val="nil"/>
              <w:left w:val="nil"/>
              <w:bottom w:val="single" w:color="auto" w:sz="4" w:space="0"/>
              <w:right w:val="single" w:color="auto" w:sz="4" w:space="0"/>
            </w:tcBorders>
            <w:noWrap w:val="0"/>
            <w:vAlign w:val="center"/>
          </w:tcPr>
          <w:p w14:paraId="5C0E984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057FA94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72396F0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7A189E7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357A3FC5">
        <w:tblPrEx>
          <w:tblCellMar>
            <w:top w:w="0" w:type="dxa"/>
            <w:left w:w="108" w:type="dxa"/>
            <w:bottom w:w="0" w:type="dxa"/>
            <w:right w:w="108" w:type="dxa"/>
          </w:tblCellMar>
        </w:tblPrEx>
        <w:trPr>
          <w:trHeight w:val="480" w:hRule="atLeast"/>
        </w:trPr>
        <w:tc>
          <w:tcPr>
            <w:tcW w:w="820" w:type="dxa"/>
            <w:vMerge w:val="continue"/>
            <w:tcBorders>
              <w:left w:val="single" w:color="auto" w:sz="4" w:space="0"/>
              <w:bottom w:val="single" w:color="auto" w:sz="4" w:space="0"/>
              <w:right w:val="single" w:color="auto" w:sz="4" w:space="0"/>
            </w:tcBorders>
            <w:noWrap w:val="0"/>
            <w:vAlign w:val="center"/>
          </w:tcPr>
          <w:p w14:paraId="217825F8">
            <w:pPr>
              <w:widowControl/>
              <w:jc w:val="left"/>
              <w:rPr>
                <w:rFonts w:ascii="仿宋_GB2312" w:hAnsi="宋体" w:eastAsia="仿宋_GB2312" w:cs="宋体"/>
                <w:color w:val="auto"/>
                <w:kern w:val="0"/>
                <w:szCs w:val="21"/>
                <w:highlight w:val="none"/>
              </w:rPr>
            </w:pPr>
          </w:p>
        </w:tc>
        <w:tc>
          <w:tcPr>
            <w:tcW w:w="709" w:type="dxa"/>
            <w:vMerge w:val="continue"/>
            <w:tcBorders>
              <w:left w:val="single" w:color="auto" w:sz="4" w:space="0"/>
              <w:bottom w:val="single" w:color="auto" w:sz="4" w:space="0"/>
              <w:right w:val="single" w:color="auto" w:sz="4" w:space="0"/>
            </w:tcBorders>
            <w:noWrap w:val="0"/>
            <w:vAlign w:val="center"/>
          </w:tcPr>
          <w:p w14:paraId="2A3B9C0F">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17D9818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密目网</w:t>
            </w:r>
          </w:p>
        </w:tc>
        <w:tc>
          <w:tcPr>
            <w:tcW w:w="3119" w:type="dxa"/>
            <w:tcBorders>
              <w:top w:val="nil"/>
              <w:left w:val="nil"/>
              <w:bottom w:val="single" w:color="auto" w:sz="4" w:space="0"/>
              <w:right w:val="single" w:color="auto" w:sz="4" w:space="0"/>
            </w:tcBorders>
            <w:noWrap/>
            <w:vAlign w:val="center"/>
          </w:tcPr>
          <w:p w14:paraId="0764A93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w:t>
            </w:r>
          </w:p>
        </w:tc>
        <w:tc>
          <w:tcPr>
            <w:tcW w:w="660" w:type="dxa"/>
            <w:tcBorders>
              <w:top w:val="nil"/>
              <w:left w:val="nil"/>
              <w:bottom w:val="single" w:color="auto" w:sz="4" w:space="0"/>
              <w:right w:val="single" w:color="auto" w:sz="4" w:space="0"/>
            </w:tcBorders>
            <w:noWrap w:val="0"/>
            <w:vAlign w:val="center"/>
          </w:tcPr>
          <w:p w14:paraId="0FAC2510">
            <w:pPr>
              <w:widowControl/>
              <w:jc w:val="center"/>
              <w:rPr>
                <w:rFonts w:ascii="仿宋_GB2312" w:hAnsi="宋体" w:eastAsia="仿宋_GB2312" w:cs="宋体"/>
                <w:color w:val="auto"/>
                <w:kern w:val="0"/>
                <w:szCs w:val="21"/>
                <w:highlight w:val="none"/>
              </w:rPr>
            </w:pPr>
          </w:p>
        </w:tc>
        <w:tc>
          <w:tcPr>
            <w:tcW w:w="1325" w:type="dxa"/>
            <w:tcBorders>
              <w:top w:val="nil"/>
              <w:left w:val="nil"/>
              <w:bottom w:val="single" w:color="auto" w:sz="4" w:space="0"/>
              <w:right w:val="single" w:color="auto" w:sz="4" w:space="0"/>
            </w:tcBorders>
            <w:noWrap w:val="0"/>
            <w:vAlign w:val="center"/>
          </w:tcPr>
          <w:p w14:paraId="01178266">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04FA4F0F">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1608" w:type="dxa"/>
            <w:tcBorders>
              <w:top w:val="nil"/>
              <w:left w:val="nil"/>
              <w:bottom w:val="single" w:color="auto" w:sz="4" w:space="0"/>
              <w:right w:val="single" w:color="auto" w:sz="4" w:space="0"/>
            </w:tcBorders>
            <w:noWrap w:val="0"/>
            <w:vAlign w:val="center"/>
          </w:tcPr>
          <w:p w14:paraId="1E776E98">
            <w:pPr>
              <w:widowControl/>
              <w:jc w:val="center"/>
              <w:rPr>
                <w:rFonts w:ascii="仿宋_GB2312" w:hAnsi="宋体" w:eastAsia="仿宋_GB2312" w:cs="宋体"/>
                <w:color w:val="auto"/>
                <w:kern w:val="0"/>
                <w:szCs w:val="21"/>
                <w:highlight w:val="none"/>
              </w:rPr>
            </w:pPr>
          </w:p>
        </w:tc>
      </w:tr>
      <w:tr w14:paraId="044E663E">
        <w:tblPrEx>
          <w:tblCellMar>
            <w:top w:w="0" w:type="dxa"/>
            <w:left w:w="108" w:type="dxa"/>
            <w:bottom w:w="0" w:type="dxa"/>
            <w:right w:w="108" w:type="dxa"/>
          </w:tblCellMar>
        </w:tblPrEx>
        <w:trPr>
          <w:trHeight w:val="3060" w:hRule="atLeast"/>
        </w:trPr>
        <w:tc>
          <w:tcPr>
            <w:tcW w:w="820" w:type="dxa"/>
            <w:vMerge w:val="restart"/>
            <w:tcBorders>
              <w:top w:val="nil"/>
              <w:left w:val="single" w:color="auto" w:sz="4" w:space="0"/>
              <w:bottom w:val="single" w:color="auto" w:sz="4" w:space="0"/>
              <w:right w:val="single" w:color="auto" w:sz="4" w:space="0"/>
            </w:tcBorders>
            <w:noWrap w:val="0"/>
            <w:vAlign w:val="center"/>
          </w:tcPr>
          <w:p w14:paraId="6BD96E7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二、有限空间</w:t>
            </w:r>
          </w:p>
        </w:tc>
        <w:tc>
          <w:tcPr>
            <w:tcW w:w="709" w:type="dxa"/>
            <w:vMerge w:val="restart"/>
            <w:tcBorders>
              <w:top w:val="nil"/>
              <w:left w:val="single" w:color="auto" w:sz="4" w:space="0"/>
              <w:bottom w:val="single" w:color="auto" w:sz="4" w:space="0"/>
              <w:right w:val="single" w:color="auto" w:sz="4" w:space="0"/>
            </w:tcBorders>
            <w:noWrap w:val="0"/>
            <w:vAlign w:val="center"/>
          </w:tcPr>
          <w:p w14:paraId="11777E8F">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通风设备</w:t>
            </w:r>
          </w:p>
        </w:tc>
        <w:tc>
          <w:tcPr>
            <w:tcW w:w="1417" w:type="dxa"/>
            <w:tcBorders>
              <w:top w:val="nil"/>
              <w:left w:val="nil"/>
              <w:bottom w:val="single" w:color="auto" w:sz="4" w:space="0"/>
              <w:right w:val="single" w:color="auto" w:sz="4" w:space="0"/>
            </w:tcBorders>
            <w:noWrap w:val="0"/>
            <w:vAlign w:val="center"/>
          </w:tcPr>
          <w:p w14:paraId="1D8CED1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轴流风机（配风管）</w:t>
            </w:r>
          </w:p>
        </w:tc>
        <w:tc>
          <w:tcPr>
            <w:tcW w:w="3119" w:type="dxa"/>
            <w:tcBorders>
              <w:top w:val="nil"/>
              <w:left w:val="nil"/>
              <w:bottom w:val="single" w:color="auto" w:sz="4" w:space="0"/>
              <w:right w:val="single" w:color="auto" w:sz="4" w:space="0"/>
            </w:tcBorders>
            <w:noWrap w:val="0"/>
            <w:vAlign w:val="center"/>
          </w:tcPr>
          <w:p w14:paraId="1181D7B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所有清淤场所通风换气的频次不得低于5次/小时（每小时5次），对于气体检测不合格、地下厂清淤、加盖池体清淤、提升泵房清淤以及其他纵深较大的池、井等场所的清淤和大修作业，应加大通风换气频次，直至气体检测合格后作业</w:t>
            </w:r>
          </w:p>
        </w:tc>
        <w:tc>
          <w:tcPr>
            <w:tcW w:w="660" w:type="dxa"/>
            <w:tcBorders>
              <w:top w:val="nil"/>
              <w:left w:val="nil"/>
              <w:bottom w:val="single" w:color="auto" w:sz="4" w:space="0"/>
              <w:right w:val="single" w:color="auto" w:sz="4" w:space="0"/>
            </w:tcBorders>
            <w:noWrap w:val="0"/>
            <w:vAlign w:val="center"/>
          </w:tcPr>
          <w:p w14:paraId="104BE15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325" w:type="dxa"/>
            <w:tcBorders>
              <w:top w:val="nil"/>
              <w:left w:val="nil"/>
              <w:bottom w:val="single" w:color="auto" w:sz="4" w:space="0"/>
              <w:right w:val="single" w:color="auto" w:sz="4" w:space="0"/>
            </w:tcBorders>
            <w:noWrap w:val="0"/>
            <w:vAlign w:val="center"/>
          </w:tcPr>
          <w:p w14:paraId="373AFF2F">
            <w:pPr>
              <w:widowControl/>
              <w:jc w:val="center"/>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2</w:t>
            </w:r>
          </w:p>
        </w:tc>
        <w:tc>
          <w:tcPr>
            <w:tcW w:w="660" w:type="dxa"/>
            <w:tcBorders>
              <w:top w:val="nil"/>
              <w:left w:val="nil"/>
              <w:bottom w:val="single" w:color="auto" w:sz="4" w:space="0"/>
              <w:right w:val="single" w:color="auto" w:sz="4" w:space="0"/>
            </w:tcBorders>
            <w:noWrap w:val="0"/>
            <w:vAlign w:val="center"/>
          </w:tcPr>
          <w:p w14:paraId="7540AF6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608" w:type="dxa"/>
            <w:tcBorders>
              <w:top w:val="nil"/>
              <w:left w:val="nil"/>
              <w:bottom w:val="single" w:color="auto" w:sz="4" w:space="0"/>
              <w:right w:val="single" w:color="auto" w:sz="4" w:space="0"/>
            </w:tcBorders>
            <w:noWrap w:val="0"/>
            <w:vAlign w:val="center"/>
          </w:tcPr>
          <w:p w14:paraId="1F32338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110D0503">
        <w:tblPrEx>
          <w:tblCellMar>
            <w:top w:w="0" w:type="dxa"/>
            <w:left w:w="108" w:type="dxa"/>
            <w:bottom w:w="0" w:type="dxa"/>
            <w:right w:w="108" w:type="dxa"/>
          </w:tblCellMar>
        </w:tblPrEx>
        <w:trPr>
          <w:trHeight w:val="132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25304978">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287D41D0">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662C56E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有限空间作业风机配套风管10米（同型号采购2条接驳）</w:t>
            </w:r>
          </w:p>
        </w:tc>
        <w:tc>
          <w:tcPr>
            <w:tcW w:w="3119" w:type="dxa"/>
            <w:tcBorders>
              <w:top w:val="nil"/>
              <w:left w:val="nil"/>
              <w:bottom w:val="single" w:color="auto" w:sz="4" w:space="0"/>
              <w:right w:val="single" w:color="auto" w:sz="4" w:space="0"/>
            </w:tcBorders>
            <w:noWrap w:val="0"/>
            <w:vAlign w:val="center"/>
          </w:tcPr>
          <w:p w14:paraId="023081C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按实际情况</w:t>
            </w:r>
            <w:r>
              <w:rPr>
                <w:rFonts w:hint="eastAsia" w:ascii="仿宋_GB2312" w:hAnsi="宋体" w:eastAsia="仿宋_GB2312" w:cs="宋体"/>
                <w:color w:val="auto"/>
                <w:kern w:val="0"/>
                <w:szCs w:val="21"/>
                <w:highlight w:val="none"/>
              </w:rPr>
              <w:br w:type="textWrapping"/>
            </w:r>
            <w:r>
              <w:rPr>
                <w:rFonts w:hint="eastAsia" w:ascii="仿宋_GB2312" w:hAnsi="宋体" w:eastAsia="仿宋_GB2312" w:cs="宋体"/>
                <w:color w:val="auto"/>
                <w:kern w:val="0"/>
                <w:szCs w:val="21"/>
                <w:highlight w:val="none"/>
              </w:rPr>
              <w:t>(风管必须延至作业面)</w:t>
            </w:r>
          </w:p>
        </w:tc>
        <w:tc>
          <w:tcPr>
            <w:tcW w:w="660" w:type="dxa"/>
            <w:tcBorders>
              <w:top w:val="nil"/>
              <w:left w:val="nil"/>
              <w:bottom w:val="single" w:color="auto" w:sz="4" w:space="0"/>
              <w:right w:val="single" w:color="auto" w:sz="4" w:space="0"/>
            </w:tcBorders>
            <w:noWrap w:val="0"/>
            <w:vAlign w:val="center"/>
          </w:tcPr>
          <w:p w14:paraId="5D5BD8E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476DE35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与风机配套</w:t>
            </w:r>
          </w:p>
        </w:tc>
        <w:tc>
          <w:tcPr>
            <w:tcW w:w="660" w:type="dxa"/>
            <w:tcBorders>
              <w:top w:val="nil"/>
              <w:left w:val="nil"/>
              <w:bottom w:val="single" w:color="auto" w:sz="4" w:space="0"/>
              <w:right w:val="single" w:color="auto" w:sz="4" w:space="0"/>
            </w:tcBorders>
            <w:noWrap w:val="0"/>
            <w:vAlign w:val="center"/>
          </w:tcPr>
          <w:p w14:paraId="5046A27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0C6B4FE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3E73C872">
        <w:tblPrEx>
          <w:tblCellMar>
            <w:top w:w="0" w:type="dxa"/>
            <w:left w:w="108" w:type="dxa"/>
            <w:bottom w:w="0" w:type="dxa"/>
            <w:right w:w="108" w:type="dxa"/>
          </w:tblCellMar>
        </w:tblPrEx>
        <w:trPr>
          <w:trHeight w:val="435"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674CC518">
            <w:pPr>
              <w:widowControl/>
              <w:jc w:val="left"/>
              <w:rPr>
                <w:rFonts w:ascii="仿宋_GB2312" w:hAnsi="宋体" w:eastAsia="仿宋_GB2312" w:cs="宋体"/>
                <w:color w:val="auto"/>
                <w:kern w:val="0"/>
                <w:szCs w:val="21"/>
                <w:highlight w:val="none"/>
              </w:rPr>
            </w:pPr>
          </w:p>
        </w:tc>
        <w:tc>
          <w:tcPr>
            <w:tcW w:w="709" w:type="dxa"/>
            <w:vMerge w:val="restart"/>
            <w:tcBorders>
              <w:top w:val="nil"/>
              <w:left w:val="single" w:color="auto" w:sz="4" w:space="0"/>
              <w:bottom w:val="single" w:color="000000" w:sz="4" w:space="0"/>
              <w:right w:val="single" w:color="auto" w:sz="4" w:space="0"/>
            </w:tcBorders>
            <w:noWrap w:val="0"/>
            <w:vAlign w:val="center"/>
          </w:tcPr>
          <w:p w14:paraId="285AF1A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防坠落</w:t>
            </w:r>
          </w:p>
        </w:tc>
        <w:tc>
          <w:tcPr>
            <w:tcW w:w="1417" w:type="dxa"/>
            <w:tcBorders>
              <w:top w:val="nil"/>
              <w:left w:val="nil"/>
              <w:bottom w:val="single" w:color="auto" w:sz="4" w:space="0"/>
              <w:right w:val="single" w:color="auto" w:sz="4" w:space="0"/>
            </w:tcBorders>
            <w:noWrap w:val="0"/>
            <w:vAlign w:val="center"/>
          </w:tcPr>
          <w:p w14:paraId="6F794D5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速差式防坠器</w:t>
            </w:r>
          </w:p>
        </w:tc>
        <w:tc>
          <w:tcPr>
            <w:tcW w:w="3119" w:type="dxa"/>
            <w:tcBorders>
              <w:top w:val="nil"/>
              <w:left w:val="nil"/>
              <w:bottom w:val="single" w:color="auto" w:sz="4" w:space="0"/>
              <w:right w:val="single" w:color="auto" w:sz="4" w:space="0"/>
            </w:tcBorders>
            <w:noWrap w:val="0"/>
            <w:vAlign w:val="center"/>
          </w:tcPr>
          <w:p w14:paraId="583342B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每个作业点得上下口配置1个</w:t>
            </w:r>
          </w:p>
        </w:tc>
        <w:tc>
          <w:tcPr>
            <w:tcW w:w="660" w:type="dxa"/>
            <w:tcBorders>
              <w:top w:val="nil"/>
              <w:left w:val="nil"/>
              <w:bottom w:val="single" w:color="auto" w:sz="4" w:space="0"/>
              <w:right w:val="single" w:color="auto" w:sz="4" w:space="0"/>
            </w:tcBorders>
            <w:noWrap w:val="0"/>
            <w:vAlign w:val="center"/>
          </w:tcPr>
          <w:p w14:paraId="2E38D57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0D00376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660" w:type="dxa"/>
            <w:tcBorders>
              <w:top w:val="nil"/>
              <w:left w:val="nil"/>
              <w:bottom w:val="single" w:color="auto" w:sz="4" w:space="0"/>
              <w:right w:val="single" w:color="auto" w:sz="4" w:space="0"/>
            </w:tcBorders>
            <w:noWrap w:val="0"/>
            <w:vAlign w:val="center"/>
          </w:tcPr>
          <w:p w14:paraId="456DC986">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23B3C7C6">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14AD9C84">
        <w:tblPrEx>
          <w:tblCellMar>
            <w:top w:w="0" w:type="dxa"/>
            <w:left w:w="108" w:type="dxa"/>
            <w:bottom w:w="0" w:type="dxa"/>
            <w:right w:w="108" w:type="dxa"/>
          </w:tblCellMar>
        </w:tblPrEx>
        <w:trPr>
          <w:trHeight w:val="1035" w:hRule="atLeast"/>
        </w:trPr>
        <w:tc>
          <w:tcPr>
            <w:tcW w:w="82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A895F79">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33BCC808">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shd w:val="clear" w:color="000000" w:fill="FFFFFF"/>
            <w:noWrap w:val="0"/>
            <w:vAlign w:val="center"/>
          </w:tcPr>
          <w:p w14:paraId="0FBC6C1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之字安全爬梯</w:t>
            </w:r>
          </w:p>
        </w:tc>
        <w:tc>
          <w:tcPr>
            <w:tcW w:w="3119" w:type="dxa"/>
            <w:tcBorders>
              <w:top w:val="nil"/>
              <w:left w:val="nil"/>
              <w:bottom w:val="single" w:color="auto" w:sz="4" w:space="0"/>
              <w:right w:val="single" w:color="auto" w:sz="4" w:space="0"/>
            </w:tcBorders>
            <w:shd w:val="clear" w:color="000000" w:fill="FFFFFF"/>
            <w:noWrap w:val="0"/>
            <w:vAlign w:val="center"/>
          </w:tcPr>
          <w:p w14:paraId="18C7D17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如条件允可，每个有限空间作业点配备1个（因地制宜）</w:t>
            </w:r>
          </w:p>
        </w:tc>
        <w:tc>
          <w:tcPr>
            <w:tcW w:w="660" w:type="dxa"/>
            <w:tcBorders>
              <w:top w:val="nil"/>
              <w:left w:val="nil"/>
              <w:bottom w:val="single" w:color="auto" w:sz="4" w:space="0"/>
              <w:right w:val="single" w:color="auto" w:sz="4" w:space="0"/>
            </w:tcBorders>
            <w:shd w:val="clear" w:color="000000" w:fill="FFFFFF"/>
            <w:noWrap w:val="0"/>
            <w:vAlign w:val="center"/>
          </w:tcPr>
          <w:p w14:paraId="7B422EF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shd w:val="clear" w:color="000000" w:fill="FFFFFF"/>
            <w:noWrap w:val="0"/>
            <w:vAlign w:val="center"/>
          </w:tcPr>
          <w:p w14:paraId="3FCC7E0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shd w:val="clear" w:color="000000" w:fill="FFFFFF"/>
            <w:noWrap w:val="0"/>
            <w:vAlign w:val="center"/>
          </w:tcPr>
          <w:p w14:paraId="6AE498B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shd w:val="clear" w:color="000000" w:fill="FFFFFF"/>
            <w:noWrap w:val="0"/>
            <w:vAlign w:val="center"/>
          </w:tcPr>
          <w:p w14:paraId="17C5C79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包括设施的安装、拆除、租赁、搬运</w:t>
            </w:r>
          </w:p>
        </w:tc>
      </w:tr>
      <w:tr w14:paraId="02537215">
        <w:tblPrEx>
          <w:tblCellMar>
            <w:top w:w="0" w:type="dxa"/>
            <w:left w:w="108" w:type="dxa"/>
            <w:bottom w:w="0" w:type="dxa"/>
            <w:right w:w="108" w:type="dxa"/>
          </w:tblCellMar>
        </w:tblPrEx>
        <w:trPr>
          <w:trHeight w:val="1035" w:hRule="atLeast"/>
        </w:trPr>
        <w:tc>
          <w:tcPr>
            <w:tcW w:w="82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D423A8A">
            <w:pPr>
              <w:widowControl/>
              <w:jc w:val="left"/>
              <w:rPr>
                <w:rFonts w:ascii="仿宋_GB2312" w:hAnsi="宋体" w:eastAsia="仿宋_GB2312" w:cs="宋体"/>
                <w:color w:val="auto"/>
                <w:kern w:val="0"/>
                <w:szCs w:val="21"/>
                <w:highlight w:val="none"/>
              </w:rPr>
            </w:pPr>
          </w:p>
        </w:tc>
        <w:tc>
          <w:tcPr>
            <w:tcW w:w="709" w:type="dxa"/>
            <w:tcBorders>
              <w:top w:val="nil"/>
              <w:left w:val="nil"/>
              <w:bottom w:val="single" w:color="auto" w:sz="4" w:space="0"/>
              <w:right w:val="single" w:color="auto" w:sz="4" w:space="0"/>
            </w:tcBorders>
            <w:shd w:val="clear" w:color="auto" w:fill="auto"/>
            <w:noWrap w:val="0"/>
            <w:vAlign w:val="center"/>
          </w:tcPr>
          <w:p w14:paraId="4CECAFD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围蔽警示</w:t>
            </w:r>
          </w:p>
        </w:tc>
        <w:tc>
          <w:tcPr>
            <w:tcW w:w="1417" w:type="dxa"/>
            <w:tcBorders>
              <w:top w:val="nil"/>
              <w:left w:val="nil"/>
              <w:bottom w:val="single" w:color="auto" w:sz="4" w:space="0"/>
              <w:right w:val="single" w:color="auto" w:sz="4" w:space="0"/>
            </w:tcBorders>
            <w:shd w:val="clear" w:color="auto" w:fill="auto"/>
            <w:noWrap w:val="0"/>
            <w:vAlign w:val="center"/>
          </w:tcPr>
          <w:p w14:paraId="1968A59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有限空间警示牌</w:t>
            </w:r>
          </w:p>
        </w:tc>
        <w:tc>
          <w:tcPr>
            <w:tcW w:w="3119" w:type="dxa"/>
            <w:tcBorders>
              <w:top w:val="nil"/>
              <w:left w:val="nil"/>
              <w:bottom w:val="single" w:color="auto" w:sz="4" w:space="0"/>
              <w:right w:val="single" w:color="auto" w:sz="4" w:space="0"/>
            </w:tcBorders>
            <w:shd w:val="clear" w:color="auto" w:fill="auto"/>
            <w:noWrap/>
            <w:vAlign w:val="center"/>
          </w:tcPr>
          <w:p w14:paraId="496552C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施工区域每个出入口1个</w:t>
            </w:r>
          </w:p>
        </w:tc>
        <w:tc>
          <w:tcPr>
            <w:tcW w:w="660" w:type="dxa"/>
            <w:tcBorders>
              <w:top w:val="nil"/>
              <w:left w:val="nil"/>
              <w:bottom w:val="single" w:color="auto" w:sz="4" w:space="0"/>
              <w:right w:val="single" w:color="auto" w:sz="4" w:space="0"/>
            </w:tcBorders>
            <w:shd w:val="clear" w:color="auto" w:fill="auto"/>
            <w:noWrap/>
            <w:vAlign w:val="center"/>
          </w:tcPr>
          <w:p w14:paraId="1FF8590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shd w:val="clear" w:color="auto" w:fill="auto"/>
            <w:noWrap w:val="0"/>
            <w:vAlign w:val="center"/>
          </w:tcPr>
          <w:p w14:paraId="7182A92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shd w:val="clear" w:color="auto" w:fill="auto"/>
            <w:noWrap w:val="0"/>
            <w:vAlign w:val="center"/>
          </w:tcPr>
          <w:p w14:paraId="65B34BD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shd w:val="clear" w:color="000000" w:fill="FFFFFF"/>
            <w:noWrap w:val="0"/>
            <w:vAlign w:val="center"/>
          </w:tcPr>
          <w:p w14:paraId="1D26BCC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7C660832">
        <w:tblPrEx>
          <w:tblCellMar>
            <w:top w:w="0" w:type="dxa"/>
            <w:left w:w="108" w:type="dxa"/>
            <w:bottom w:w="0" w:type="dxa"/>
            <w:right w:w="108" w:type="dxa"/>
          </w:tblCellMar>
        </w:tblPrEx>
        <w:trPr>
          <w:trHeight w:val="1035" w:hRule="atLeast"/>
        </w:trPr>
        <w:tc>
          <w:tcPr>
            <w:tcW w:w="82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1362243">
            <w:pPr>
              <w:widowControl/>
              <w:jc w:val="left"/>
              <w:rPr>
                <w:rFonts w:ascii="仿宋_GB2312" w:hAnsi="宋体" w:eastAsia="仿宋_GB2312" w:cs="宋体"/>
                <w:color w:val="auto"/>
                <w:kern w:val="0"/>
                <w:szCs w:val="21"/>
                <w:highlight w:val="none"/>
              </w:rPr>
            </w:pPr>
          </w:p>
        </w:tc>
        <w:tc>
          <w:tcPr>
            <w:tcW w:w="709" w:type="dxa"/>
            <w:vMerge w:val="restart"/>
            <w:tcBorders>
              <w:top w:val="nil"/>
              <w:left w:val="single" w:color="auto" w:sz="4" w:space="0"/>
              <w:bottom w:val="single" w:color="000000" w:sz="4" w:space="0"/>
              <w:right w:val="single" w:color="auto" w:sz="4" w:space="0"/>
            </w:tcBorders>
            <w:shd w:val="clear" w:color="auto" w:fill="auto"/>
            <w:noWrap w:val="0"/>
            <w:vAlign w:val="center"/>
          </w:tcPr>
          <w:p w14:paraId="72FEF8A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检测</w:t>
            </w:r>
          </w:p>
        </w:tc>
        <w:tc>
          <w:tcPr>
            <w:tcW w:w="1417" w:type="dxa"/>
            <w:tcBorders>
              <w:top w:val="nil"/>
              <w:left w:val="nil"/>
              <w:bottom w:val="single" w:color="auto" w:sz="4" w:space="0"/>
              <w:right w:val="single" w:color="auto" w:sz="4" w:space="0"/>
            </w:tcBorders>
            <w:shd w:val="clear" w:color="auto" w:fill="auto"/>
            <w:noWrap w:val="0"/>
            <w:vAlign w:val="center"/>
          </w:tcPr>
          <w:p w14:paraId="6419D00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泵吸式气体检测仪</w:t>
            </w:r>
          </w:p>
        </w:tc>
        <w:tc>
          <w:tcPr>
            <w:tcW w:w="3119" w:type="dxa"/>
            <w:tcBorders>
              <w:top w:val="nil"/>
              <w:left w:val="nil"/>
              <w:bottom w:val="single" w:color="auto" w:sz="4" w:space="0"/>
              <w:right w:val="single" w:color="auto" w:sz="4" w:space="0"/>
            </w:tcBorders>
            <w:shd w:val="clear" w:color="auto" w:fill="auto"/>
            <w:noWrap w:val="0"/>
            <w:vAlign w:val="center"/>
          </w:tcPr>
          <w:p w14:paraId="64C7E56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相隔50米作业点，每个作业点配置至少配置2台</w:t>
            </w:r>
          </w:p>
        </w:tc>
        <w:tc>
          <w:tcPr>
            <w:tcW w:w="660" w:type="dxa"/>
            <w:tcBorders>
              <w:top w:val="nil"/>
              <w:left w:val="nil"/>
              <w:bottom w:val="single" w:color="auto" w:sz="4" w:space="0"/>
              <w:right w:val="single" w:color="auto" w:sz="4" w:space="0"/>
            </w:tcBorders>
            <w:shd w:val="clear" w:color="auto" w:fill="auto"/>
            <w:noWrap/>
            <w:vAlign w:val="center"/>
          </w:tcPr>
          <w:p w14:paraId="1B80A44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325" w:type="dxa"/>
            <w:tcBorders>
              <w:top w:val="nil"/>
              <w:left w:val="nil"/>
              <w:bottom w:val="single" w:color="auto" w:sz="4" w:space="0"/>
              <w:right w:val="single" w:color="auto" w:sz="4" w:space="0"/>
            </w:tcBorders>
            <w:shd w:val="clear" w:color="auto" w:fill="auto"/>
            <w:noWrap w:val="0"/>
            <w:vAlign w:val="center"/>
          </w:tcPr>
          <w:p w14:paraId="19DF531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660" w:type="dxa"/>
            <w:tcBorders>
              <w:top w:val="nil"/>
              <w:left w:val="nil"/>
              <w:bottom w:val="single" w:color="auto" w:sz="4" w:space="0"/>
              <w:right w:val="single" w:color="auto" w:sz="4" w:space="0"/>
            </w:tcBorders>
            <w:shd w:val="clear" w:color="auto" w:fill="auto"/>
            <w:noWrap w:val="0"/>
            <w:vAlign w:val="center"/>
          </w:tcPr>
          <w:p w14:paraId="0B901546">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608" w:type="dxa"/>
            <w:vMerge w:val="restart"/>
            <w:tcBorders>
              <w:top w:val="nil"/>
              <w:left w:val="nil"/>
              <w:right w:val="single" w:color="auto" w:sz="4" w:space="0"/>
            </w:tcBorders>
            <w:shd w:val="clear" w:color="000000" w:fill="FFFFFF"/>
            <w:noWrap w:val="0"/>
            <w:vAlign w:val="center"/>
          </w:tcPr>
          <w:p w14:paraId="6C0F119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两者取一，至少四合一，建议配置泵吸式</w:t>
            </w:r>
          </w:p>
        </w:tc>
      </w:tr>
      <w:tr w14:paraId="06CD8B1F">
        <w:tblPrEx>
          <w:tblCellMar>
            <w:top w:w="0" w:type="dxa"/>
            <w:left w:w="108" w:type="dxa"/>
            <w:bottom w:w="0" w:type="dxa"/>
            <w:right w:w="108" w:type="dxa"/>
          </w:tblCellMar>
        </w:tblPrEx>
        <w:trPr>
          <w:trHeight w:val="1035" w:hRule="atLeast"/>
        </w:trPr>
        <w:tc>
          <w:tcPr>
            <w:tcW w:w="82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72C0CF7">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23F0423C">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shd w:val="clear" w:color="auto" w:fill="auto"/>
            <w:noWrap w:val="0"/>
            <w:vAlign w:val="center"/>
          </w:tcPr>
          <w:p w14:paraId="70D0613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扩散式气体检测仪</w:t>
            </w:r>
          </w:p>
        </w:tc>
        <w:tc>
          <w:tcPr>
            <w:tcW w:w="3119" w:type="dxa"/>
            <w:tcBorders>
              <w:top w:val="nil"/>
              <w:left w:val="nil"/>
              <w:bottom w:val="single" w:color="auto" w:sz="4" w:space="0"/>
              <w:right w:val="single" w:color="auto" w:sz="4" w:space="0"/>
            </w:tcBorders>
            <w:shd w:val="clear" w:color="auto" w:fill="auto"/>
            <w:noWrap w:val="0"/>
            <w:vAlign w:val="center"/>
          </w:tcPr>
          <w:p w14:paraId="4AC07A0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相隔50米作业点，每个作业点配置至少配置2台</w:t>
            </w:r>
          </w:p>
        </w:tc>
        <w:tc>
          <w:tcPr>
            <w:tcW w:w="660" w:type="dxa"/>
            <w:tcBorders>
              <w:top w:val="nil"/>
              <w:left w:val="nil"/>
              <w:bottom w:val="single" w:color="auto" w:sz="4" w:space="0"/>
              <w:right w:val="single" w:color="auto" w:sz="4" w:space="0"/>
            </w:tcBorders>
            <w:shd w:val="clear" w:color="auto" w:fill="auto"/>
            <w:noWrap/>
            <w:vAlign w:val="center"/>
          </w:tcPr>
          <w:p w14:paraId="0DFF062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325" w:type="dxa"/>
            <w:tcBorders>
              <w:top w:val="nil"/>
              <w:left w:val="nil"/>
              <w:bottom w:val="single" w:color="auto" w:sz="4" w:space="0"/>
              <w:right w:val="single" w:color="auto" w:sz="4" w:space="0"/>
            </w:tcBorders>
            <w:shd w:val="clear" w:color="auto" w:fill="auto"/>
            <w:noWrap w:val="0"/>
            <w:vAlign w:val="center"/>
          </w:tcPr>
          <w:p w14:paraId="4CF9E81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660" w:type="dxa"/>
            <w:tcBorders>
              <w:top w:val="nil"/>
              <w:left w:val="nil"/>
              <w:bottom w:val="single" w:color="auto" w:sz="4" w:space="0"/>
              <w:right w:val="single" w:color="auto" w:sz="4" w:space="0"/>
            </w:tcBorders>
            <w:shd w:val="clear" w:color="auto" w:fill="auto"/>
            <w:noWrap w:val="0"/>
            <w:vAlign w:val="center"/>
          </w:tcPr>
          <w:p w14:paraId="5981025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608" w:type="dxa"/>
            <w:vMerge w:val="continue"/>
            <w:tcBorders>
              <w:left w:val="nil"/>
              <w:bottom w:val="single" w:color="auto" w:sz="4" w:space="0"/>
              <w:right w:val="single" w:color="auto" w:sz="4" w:space="0"/>
            </w:tcBorders>
            <w:shd w:val="clear" w:color="000000" w:fill="FFFFFF"/>
            <w:noWrap w:val="0"/>
            <w:vAlign w:val="center"/>
          </w:tcPr>
          <w:p w14:paraId="426E54AB">
            <w:pPr>
              <w:widowControl/>
              <w:jc w:val="center"/>
              <w:rPr>
                <w:rFonts w:ascii="仿宋_GB2312" w:hAnsi="宋体" w:eastAsia="仿宋_GB2312" w:cs="宋体"/>
                <w:color w:val="auto"/>
                <w:kern w:val="0"/>
                <w:szCs w:val="21"/>
                <w:highlight w:val="none"/>
              </w:rPr>
            </w:pPr>
          </w:p>
        </w:tc>
      </w:tr>
      <w:tr w14:paraId="78D07182">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58C693E5">
            <w:pPr>
              <w:widowControl/>
              <w:jc w:val="left"/>
              <w:rPr>
                <w:rFonts w:ascii="仿宋_GB2312" w:hAnsi="宋体" w:eastAsia="仿宋_GB2312" w:cs="宋体"/>
                <w:color w:val="auto"/>
                <w:kern w:val="0"/>
                <w:szCs w:val="21"/>
                <w:highlight w:val="none"/>
              </w:rPr>
            </w:pPr>
          </w:p>
        </w:tc>
        <w:tc>
          <w:tcPr>
            <w:tcW w:w="709" w:type="dxa"/>
            <w:vMerge w:val="restart"/>
            <w:tcBorders>
              <w:top w:val="nil"/>
              <w:left w:val="single" w:color="auto" w:sz="4" w:space="0"/>
              <w:bottom w:val="single" w:color="auto" w:sz="4" w:space="0"/>
              <w:right w:val="single" w:color="auto" w:sz="4" w:space="0"/>
            </w:tcBorders>
            <w:noWrap w:val="0"/>
            <w:vAlign w:val="center"/>
          </w:tcPr>
          <w:p w14:paraId="19DBFC9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个人防护</w:t>
            </w:r>
          </w:p>
        </w:tc>
        <w:tc>
          <w:tcPr>
            <w:tcW w:w="1417" w:type="dxa"/>
            <w:tcBorders>
              <w:top w:val="nil"/>
              <w:left w:val="nil"/>
              <w:bottom w:val="single" w:color="auto" w:sz="4" w:space="0"/>
              <w:right w:val="single" w:color="auto" w:sz="4" w:space="0"/>
            </w:tcBorders>
            <w:noWrap/>
            <w:vAlign w:val="center"/>
          </w:tcPr>
          <w:p w14:paraId="4E007E2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安全绳</w:t>
            </w:r>
          </w:p>
        </w:tc>
        <w:tc>
          <w:tcPr>
            <w:tcW w:w="3119" w:type="dxa"/>
            <w:tcBorders>
              <w:top w:val="nil"/>
              <w:left w:val="nil"/>
              <w:bottom w:val="single" w:color="auto" w:sz="4" w:space="0"/>
              <w:right w:val="single" w:color="auto" w:sz="4" w:space="0"/>
            </w:tcBorders>
            <w:noWrap/>
            <w:vAlign w:val="center"/>
          </w:tcPr>
          <w:p w14:paraId="0F5716F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按实际作业人员</w:t>
            </w:r>
          </w:p>
        </w:tc>
        <w:tc>
          <w:tcPr>
            <w:tcW w:w="660" w:type="dxa"/>
            <w:tcBorders>
              <w:top w:val="nil"/>
              <w:left w:val="nil"/>
              <w:bottom w:val="single" w:color="auto" w:sz="4" w:space="0"/>
              <w:right w:val="single" w:color="auto" w:sz="4" w:space="0"/>
            </w:tcBorders>
            <w:noWrap w:val="0"/>
            <w:vAlign w:val="center"/>
          </w:tcPr>
          <w:p w14:paraId="1A12C64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条</w:t>
            </w:r>
          </w:p>
        </w:tc>
        <w:tc>
          <w:tcPr>
            <w:tcW w:w="1325" w:type="dxa"/>
            <w:tcBorders>
              <w:top w:val="nil"/>
              <w:left w:val="nil"/>
              <w:bottom w:val="single" w:color="auto" w:sz="4" w:space="0"/>
              <w:right w:val="single" w:color="auto" w:sz="4" w:space="0"/>
            </w:tcBorders>
            <w:noWrap w:val="0"/>
            <w:vAlign w:val="center"/>
          </w:tcPr>
          <w:p w14:paraId="34B50B6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660" w:type="dxa"/>
            <w:tcBorders>
              <w:top w:val="nil"/>
              <w:left w:val="nil"/>
              <w:bottom w:val="single" w:color="auto" w:sz="4" w:space="0"/>
              <w:right w:val="single" w:color="auto" w:sz="4" w:space="0"/>
            </w:tcBorders>
            <w:noWrap w:val="0"/>
            <w:vAlign w:val="center"/>
          </w:tcPr>
          <w:p w14:paraId="2E879B2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条</w:t>
            </w:r>
          </w:p>
        </w:tc>
        <w:tc>
          <w:tcPr>
            <w:tcW w:w="1608" w:type="dxa"/>
            <w:tcBorders>
              <w:top w:val="nil"/>
              <w:left w:val="nil"/>
              <w:bottom w:val="single" w:color="auto" w:sz="4" w:space="0"/>
              <w:right w:val="single" w:color="auto" w:sz="4" w:space="0"/>
            </w:tcBorders>
            <w:noWrap w:val="0"/>
            <w:vAlign w:val="center"/>
          </w:tcPr>
          <w:p w14:paraId="1BBEFBA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081BCCD3">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079FB444">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41D0D40">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102802F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救生衣</w:t>
            </w:r>
          </w:p>
        </w:tc>
        <w:tc>
          <w:tcPr>
            <w:tcW w:w="3119" w:type="dxa"/>
            <w:tcBorders>
              <w:top w:val="nil"/>
              <w:left w:val="nil"/>
              <w:bottom w:val="single" w:color="auto" w:sz="4" w:space="0"/>
              <w:right w:val="single" w:color="auto" w:sz="4" w:space="0"/>
            </w:tcBorders>
            <w:noWrap/>
            <w:vAlign w:val="center"/>
          </w:tcPr>
          <w:p w14:paraId="7050F05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按实际作业人员</w:t>
            </w:r>
          </w:p>
        </w:tc>
        <w:tc>
          <w:tcPr>
            <w:tcW w:w="660" w:type="dxa"/>
            <w:tcBorders>
              <w:top w:val="nil"/>
              <w:left w:val="nil"/>
              <w:bottom w:val="single" w:color="auto" w:sz="4" w:space="0"/>
              <w:right w:val="single" w:color="auto" w:sz="4" w:space="0"/>
            </w:tcBorders>
            <w:noWrap w:val="0"/>
            <w:vAlign w:val="center"/>
          </w:tcPr>
          <w:p w14:paraId="032353C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件</w:t>
            </w:r>
          </w:p>
        </w:tc>
        <w:tc>
          <w:tcPr>
            <w:tcW w:w="1325" w:type="dxa"/>
            <w:tcBorders>
              <w:top w:val="nil"/>
              <w:left w:val="nil"/>
              <w:bottom w:val="single" w:color="auto" w:sz="4" w:space="0"/>
              <w:right w:val="single" w:color="auto" w:sz="4" w:space="0"/>
            </w:tcBorders>
            <w:noWrap w:val="0"/>
            <w:vAlign w:val="center"/>
          </w:tcPr>
          <w:p w14:paraId="7A5D351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660" w:type="dxa"/>
            <w:tcBorders>
              <w:top w:val="nil"/>
              <w:left w:val="nil"/>
              <w:bottom w:val="single" w:color="auto" w:sz="4" w:space="0"/>
              <w:right w:val="single" w:color="auto" w:sz="4" w:space="0"/>
            </w:tcBorders>
            <w:noWrap w:val="0"/>
            <w:vAlign w:val="center"/>
          </w:tcPr>
          <w:p w14:paraId="4459447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件</w:t>
            </w:r>
          </w:p>
        </w:tc>
        <w:tc>
          <w:tcPr>
            <w:tcW w:w="1608" w:type="dxa"/>
            <w:tcBorders>
              <w:top w:val="nil"/>
              <w:left w:val="nil"/>
              <w:bottom w:val="single" w:color="auto" w:sz="4" w:space="0"/>
              <w:right w:val="single" w:color="auto" w:sz="4" w:space="0"/>
            </w:tcBorders>
            <w:noWrap w:val="0"/>
            <w:vAlign w:val="center"/>
          </w:tcPr>
          <w:p w14:paraId="1E09D81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47B3784F">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10FF14C5">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1DEF4FA">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6C0FAD6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防毒面具</w:t>
            </w:r>
          </w:p>
        </w:tc>
        <w:tc>
          <w:tcPr>
            <w:tcW w:w="3119" w:type="dxa"/>
            <w:tcBorders>
              <w:top w:val="nil"/>
              <w:left w:val="nil"/>
              <w:bottom w:val="single" w:color="auto" w:sz="4" w:space="0"/>
              <w:right w:val="single" w:color="auto" w:sz="4" w:space="0"/>
            </w:tcBorders>
            <w:noWrap/>
            <w:vAlign w:val="center"/>
          </w:tcPr>
          <w:p w14:paraId="70B8786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按实际作业和监护人员</w:t>
            </w:r>
          </w:p>
        </w:tc>
        <w:tc>
          <w:tcPr>
            <w:tcW w:w="660" w:type="dxa"/>
            <w:tcBorders>
              <w:top w:val="nil"/>
              <w:left w:val="nil"/>
              <w:bottom w:val="single" w:color="auto" w:sz="4" w:space="0"/>
              <w:right w:val="single" w:color="auto" w:sz="4" w:space="0"/>
            </w:tcBorders>
            <w:noWrap/>
            <w:vAlign w:val="center"/>
          </w:tcPr>
          <w:p w14:paraId="1BCA82A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325" w:type="dxa"/>
            <w:tcBorders>
              <w:top w:val="nil"/>
              <w:left w:val="nil"/>
              <w:bottom w:val="single" w:color="auto" w:sz="4" w:space="0"/>
              <w:right w:val="single" w:color="auto" w:sz="4" w:space="0"/>
            </w:tcBorders>
            <w:noWrap w:val="0"/>
            <w:vAlign w:val="center"/>
          </w:tcPr>
          <w:p w14:paraId="1FF45AF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660" w:type="dxa"/>
            <w:tcBorders>
              <w:top w:val="nil"/>
              <w:left w:val="nil"/>
              <w:bottom w:val="single" w:color="auto" w:sz="4" w:space="0"/>
              <w:right w:val="single" w:color="auto" w:sz="4" w:space="0"/>
            </w:tcBorders>
            <w:noWrap/>
            <w:vAlign w:val="center"/>
          </w:tcPr>
          <w:p w14:paraId="5E7A097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608" w:type="dxa"/>
            <w:tcBorders>
              <w:top w:val="nil"/>
              <w:left w:val="nil"/>
              <w:bottom w:val="single" w:color="auto" w:sz="4" w:space="0"/>
              <w:right w:val="single" w:color="auto" w:sz="4" w:space="0"/>
            </w:tcBorders>
            <w:noWrap w:val="0"/>
            <w:vAlign w:val="center"/>
          </w:tcPr>
          <w:p w14:paraId="5B991B8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10033AF1">
        <w:tblPrEx>
          <w:tblCellMar>
            <w:top w:w="0" w:type="dxa"/>
            <w:left w:w="108" w:type="dxa"/>
            <w:bottom w:w="0" w:type="dxa"/>
            <w:right w:w="108" w:type="dxa"/>
          </w:tblCellMar>
        </w:tblPrEx>
        <w:trPr>
          <w:trHeight w:val="120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7BBA1D19">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2E65C6C3">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67D59BE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防毒面具配套滤毒盒</w:t>
            </w:r>
          </w:p>
        </w:tc>
        <w:tc>
          <w:tcPr>
            <w:tcW w:w="3119" w:type="dxa"/>
            <w:tcBorders>
              <w:top w:val="nil"/>
              <w:left w:val="nil"/>
              <w:bottom w:val="single" w:color="auto" w:sz="4" w:space="0"/>
              <w:right w:val="single" w:color="auto" w:sz="4" w:space="0"/>
            </w:tcBorders>
            <w:noWrap w:val="0"/>
            <w:vAlign w:val="center"/>
          </w:tcPr>
          <w:p w14:paraId="001D53C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按实际作业和监护人员</w:t>
            </w:r>
          </w:p>
        </w:tc>
        <w:tc>
          <w:tcPr>
            <w:tcW w:w="660" w:type="dxa"/>
            <w:tcBorders>
              <w:top w:val="nil"/>
              <w:left w:val="nil"/>
              <w:bottom w:val="single" w:color="auto" w:sz="4" w:space="0"/>
              <w:right w:val="single" w:color="auto" w:sz="4" w:space="0"/>
            </w:tcBorders>
            <w:noWrap w:val="0"/>
            <w:vAlign w:val="center"/>
          </w:tcPr>
          <w:p w14:paraId="1610922F">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18C8E4AF">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6</w:t>
            </w:r>
          </w:p>
        </w:tc>
        <w:tc>
          <w:tcPr>
            <w:tcW w:w="660" w:type="dxa"/>
            <w:tcBorders>
              <w:top w:val="nil"/>
              <w:left w:val="nil"/>
              <w:bottom w:val="single" w:color="auto" w:sz="4" w:space="0"/>
              <w:right w:val="single" w:color="auto" w:sz="4" w:space="0"/>
            </w:tcBorders>
            <w:noWrap w:val="0"/>
            <w:vAlign w:val="center"/>
          </w:tcPr>
          <w:p w14:paraId="4B2C34D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466A95A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至少防护硫化氢，建议五合一</w:t>
            </w:r>
          </w:p>
        </w:tc>
      </w:tr>
      <w:tr w14:paraId="06F25BAB">
        <w:tblPrEx>
          <w:tblCellMar>
            <w:top w:w="0" w:type="dxa"/>
            <w:left w:w="108" w:type="dxa"/>
            <w:bottom w:w="0" w:type="dxa"/>
            <w:right w:w="108" w:type="dxa"/>
          </w:tblCellMar>
        </w:tblPrEx>
        <w:trPr>
          <w:trHeight w:val="132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53C154F5">
            <w:pPr>
              <w:widowControl/>
              <w:jc w:val="left"/>
              <w:rPr>
                <w:rFonts w:ascii="仿宋_GB2312" w:hAnsi="宋体" w:eastAsia="仿宋_GB2312" w:cs="宋体"/>
                <w:color w:val="auto"/>
                <w:kern w:val="0"/>
                <w:szCs w:val="21"/>
                <w:highlight w:val="none"/>
              </w:rPr>
            </w:pPr>
          </w:p>
        </w:tc>
        <w:tc>
          <w:tcPr>
            <w:tcW w:w="709" w:type="dxa"/>
            <w:vMerge w:val="restart"/>
            <w:tcBorders>
              <w:top w:val="nil"/>
              <w:left w:val="single" w:color="auto" w:sz="4" w:space="0"/>
              <w:bottom w:val="single" w:color="auto" w:sz="4" w:space="0"/>
              <w:right w:val="single" w:color="auto" w:sz="4" w:space="0"/>
            </w:tcBorders>
            <w:noWrap w:val="0"/>
            <w:vAlign w:val="center"/>
          </w:tcPr>
          <w:p w14:paraId="70B09FA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应急救援</w:t>
            </w:r>
          </w:p>
        </w:tc>
        <w:tc>
          <w:tcPr>
            <w:tcW w:w="1417" w:type="dxa"/>
            <w:tcBorders>
              <w:top w:val="nil"/>
              <w:left w:val="nil"/>
              <w:bottom w:val="single" w:color="auto" w:sz="4" w:space="0"/>
              <w:right w:val="single" w:color="auto" w:sz="4" w:space="0"/>
            </w:tcBorders>
            <w:noWrap/>
            <w:vAlign w:val="center"/>
          </w:tcPr>
          <w:p w14:paraId="6BB619E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正压式空气呼吸器</w:t>
            </w:r>
          </w:p>
        </w:tc>
        <w:tc>
          <w:tcPr>
            <w:tcW w:w="3119" w:type="dxa"/>
            <w:tcBorders>
              <w:top w:val="nil"/>
              <w:left w:val="nil"/>
              <w:bottom w:val="single" w:color="auto" w:sz="4" w:space="0"/>
              <w:right w:val="single" w:color="auto" w:sz="4" w:space="0"/>
            </w:tcBorders>
            <w:noWrap w:val="0"/>
            <w:vAlign w:val="center"/>
          </w:tcPr>
          <w:p w14:paraId="66864F8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2A40452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325" w:type="dxa"/>
            <w:tcBorders>
              <w:top w:val="nil"/>
              <w:left w:val="nil"/>
              <w:bottom w:val="single" w:color="auto" w:sz="4" w:space="0"/>
              <w:right w:val="single" w:color="auto" w:sz="4" w:space="0"/>
            </w:tcBorders>
            <w:noWrap w:val="0"/>
            <w:vAlign w:val="center"/>
          </w:tcPr>
          <w:p w14:paraId="60EF234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相隔50米并同时施工的作业点，每个作业点配置至少配置2套</w:t>
            </w:r>
          </w:p>
        </w:tc>
        <w:tc>
          <w:tcPr>
            <w:tcW w:w="660" w:type="dxa"/>
            <w:tcBorders>
              <w:top w:val="nil"/>
              <w:left w:val="nil"/>
              <w:bottom w:val="single" w:color="auto" w:sz="4" w:space="0"/>
              <w:right w:val="single" w:color="auto" w:sz="4" w:space="0"/>
            </w:tcBorders>
            <w:noWrap/>
            <w:vAlign w:val="center"/>
          </w:tcPr>
          <w:p w14:paraId="6259AB36">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608" w:type="dxa"/>
            <w:tcBorders>
              <w:top w:val="nil"/>
              <w:left w:val="nil"/>
              <w:bottom w:val="single" w:color="auto" w:sz="4" w:space="0"/>
              <w:right w:val="single" w:color="auto" w:sz="4" w:space="0"/>
            </w:tcBorders>
            <w:noWrap w:val="0"/>
            <w:vAlign w:val="center"/>
          </w:tcPr>
          <w:p w14:paraId="10FC7F9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4C92AD66">
        <w:tblPrEx>
          <w:tblCellMar>
            <w:top w:w="0" w:type="dxa"/>
            <w:left w:w="108" w:type="dxa"/>
            <w:bottom w:w="0" w:type="dxa"/>
            <w:right w:w="108" w:type="dxa"/>
          </w:tblCellMar>
        </w:tblPrEx>
        <w:trPr>
          <w:trHeight w:val="7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61FF0B45">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71E39110">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20CCD80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起吊设备</w:t>
            </w:r>
            <w:r>
              <w:rPr>
                <w:rFonts w:hint="eastAsia" w:ascii="仿宋_GB2312" w:hAnsi="宋体" w:eastAsia="仿宋_GB2312" w:cs="宋体"/>
                <w:color w:val="auto"/>
                <w:kern w:val="0"/>
                <w:szCs w:val="21"/>
                <w:highlight w:val="none"/>
              </w:rPr>
              <w:br w:type="textWrapping"/>
            </w:r>
            <w:r>
              <w:rPr>
                <w:rFonts w:hint="eastAsia" w:ascii="仿宋_GB2312" w:hAnsi="宋体" w:eastAsia="仿宋_GB2312" w:cs="宋体"/>
                <w:color w:val="auto"/>
                <w:kern w:val="0"/>
                <w:szCs w:val="21"/>
                <w:highlight w:val="none"/>
              </w:rPr>
              <w:t>（三脚架）</w:t>
            </w:r>
          </w:p>
        </w:tc>
        <w:tc>
          <w:tcPr>
            <w:tcW w:w="3119" w:type="dxa"/>
            <w:tcBorders>
              <w:top w:val="nil"/>
              <w:left w:val="nil"/>
              <w:bottom w:val="single" w:color="auto" w:sz="4" w:space="0"/>
              <w:right w:val="single" w:color="auto" w:sz="4" w:space="0"/>
            </w:tcBorders>
            <w:noWrap w:val="0"/>
            <w:vAlign w:val="center"/>
          </w:tcPr>
          <w:p w14:paraId="458155A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79B9540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325" w:type="dxa"/>
            <w:tcBorders>
              <w:top w:val="nil"/>
              <w:left w:val="nil"/>
              <w:bottom w:val="single" w:color="auto" w:sz="4" w:space="0"/>
              <w:right w:val="single" w:color="auto" w:sz="4" w:space="0"/>
            </w:tcBorders>
            <w:noWrap w:val="0"/>
            <w:vAlign w:val="center"/>
          </w:tcPr>
          <w:p w14:paraId="38CD04A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660" w:type="dxa"/>
            <w:tcBorders>
              <w:top w:val="nil"/>
              <w:left w:val="nil"/>
              <w:bottom w:val="single" w:color="auto" w:sz="4" w:space="0"/>
              <w:right w:val="single" w:color="auto" w:sz="4" w:space="0"/>
            </w:tcBorders>
            <w:noWrap/>
            <w:vAlign w:val="center"/>
          </w:tcPr>
          <w:p w14:paraId="24D80E1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608" w:type="dxa"/>
            <w:tcBorders>
              <w:top w:val="nil"/>
              <w:left w:val="nil"/>
              <w:bottom w:val="single" w:color="auto" w:sz="4" w:space="0"/>
              <w:right w:val="single" w:color="auto" w:sz="4" w:space="0"/>
            </w:tcBorders>
            <w:noWrap w:val="0"/>
            <w:vAlign w:val="center"/>
          </w:tcPr>
          <w:p w14:paraId="5B9A110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62504AEE">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7071BFEA">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66599CA5">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23D18D1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绳梯</w:t>
            </w:r>
          </w:p>
        </w:tc>
        <w:tc>
          <w:tcPr>
            <w:tcW w:w="3119" w:type="dxa"/>
            <w:tcBorders>
              <w:top w:val="nil"/>
              <w:left w:val="nil"/>
              <w:bottom w:val="single" w:color="auto" w:sz="4" w:space="0"/>
              <w:right w:val="single" w:color="auto" w:sz="4" w:space="0"/>
            </w:tcBorders>
            <w:noWrap/>
            <w:vAlign w:val="center"/>
          </w:tcPr>
          <w:p w14:paraId="2E325AD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0505D39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325" w:type="dxa"/>
            <w:tcBorders>
              <w:top w:val="nil"/>
              <w:left w:val="nil"/>
              <w:bottom w:val="single" w:color="auto" w:sz="4" w:space="0"/>
              <w:right w:val="single" w:color="auto" w:sz="4" w:space="0"/>
            </w:tcBorders>
            <w:noWrap w:val="0"/>
            <w:vAlign w:val="center"/>
          </w:tcPr>
          <w:p w14:paraId="734C119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660" w:type="dxa"/>
            <w:tcBorders>
              <w:top w:val="nil"/>
              <w:left w:val="nil"/>
              <w:bottom w:val="single" w:color="auto" w:sz="4" w:space="0"/>
              <w:right w:val="single" w:color="auto" w:sz="4" w:space="0"/>
            </w:tcBorders>
            <w:noWrap/>
            <w:vAlign w:val="center"/>
          </w:tcPr>
          <w:p w14:paraId="10CA575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608" w:type="dxa"/>
            <w:tcBorders>
              <w:top w:val="nil"/>
              <w:left w:val="nil"/>
              <w:bottom w:val="single" w:color="auto" w:sz="4" w:space="0"/>
              <w:right w:val="single" w:color="auto" w:sz="4" w:space="0"/>
            </w:tcBorders>
            <w:noWrap w:val="0"/>
            <w:vAlign w:val="center"/>
          </w:tcPr>
          <w:p w14:paraId="7B26786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36F7CD8F">
        <w:tblPrEx>
          <w:tblCellMar>
            <w:top w:w="0" w:type="dxa"/>
            <w:left w:w="108" w:type="dxa"/>
            <w:bottom w:w="0" w:type="dxa"/>
            <w:right w:w="108" w:type="dxa"/>
          </w:tblCellMar>
        </w:tblPrEx>
        <w:trPr>
          <w:trHeight w:val="480" w:hRule="atLeast"/>
        </w:trPr>
        <w:tc>
          <w:tcPr>
            <w:tcW w:w="820" w:type="dxa"/>
            <w:vMerge w:val="restart"/>
            <w:tcBorders>
              <w:top w:val="nil"/>
              <w:left w:val="single" w:color="auto" w:sz="4" w:space="0"/>
              <w:bottom w:val="single" w:color="auto" w:sz="4" w:space="0"/>
              <w:right w:val="single" w:color="auto" w:sz="4" w:space="0"/>
            </w:tcBorders>
            <w:noWrap w:val="0"/>
            <w:vAlign w:val="center"/>
          </w:tcPr>
          <w:p w14:paraId="214210D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三、高空作业</w:t>
            </w:r>
          </w:p>
        </w:tc>
        <w:tc>
          <w:tcPr>
            <w:tcW w:w="709" w:type="dxa"/>
            <w:vMerge w:val="restart"/>
            <w:tcBorders>
              <w:top w:val="nil"/>
              <w:left w:val="single" w:color="auto" w:sz="4" w:space="0"/>
              <w:bottom w:val="single" w:color="000000" w:sz="4" w:space="0"/>
              <w:right w:val="single" w:color="auto" w:sz="4" w:space="0"/>
            </w:tcBorders>
            <w:noWrap w:val="0"/>
            <w:vAlign w:val="center"/>
          </w:tcPr>
          <w:p w14:paraId="5E4A71A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防坠落</w:t>
            </w:r>
          </w:p>
        </w:tc>
        <w:tc>
          <w:tcPr>
            <w:tcW w:w="1417" w:type="dxa"/>
            <w:tcBorders>
              <w:top w:val="nil"/>
              <w:left w:val="nil"/>
              <w:bottom w:val="single" w:color="auto" w:sz="4" w:space="0"/>
              <w:right w:val="single" w:color="auto" w:sz="4" w:space="0"/>
            </w:tcBorders>
            <w:noWrap w:val="0"/>
            <w:vAlign w:val="center"/>
          </w:tcPr>
          <w:p w14:paraId="4E47913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防坠网</w:t>
            </w:r>
          </w:p>
        </w:tc>
        <w:tc>
          <w:tcPr>
            <w:tcW w:w="3119" w:type="dxa"/>
            <w:tcBorders>
              <w:top w:val="nil"/>
              <w:left w:val="nil"/>
              <w:bottom w:val="single" w:color="auto" w:sz="4" w:space="0"/>
              <w:right w:val="single" w:color="auto" w:sz="4" w:space="0"/>
            </w:tcBorders>
            <w:noWrap w:val="0"/>
            <w:vAlign w:val="center"/>
          </w:tcPr>
          <w:p w14:paraId="14DE0FB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按实际作业临边数量</w:t>
            </w:r>
          </w:p>
        </w:tc>
        <w:tc>
          <w:tcPr>
            <w:tcW w:w="660" w:type="dxa"/>
            <w:tcBorders>
              <w:top w:val="nil"/>
              <w:left w:val="nil"/>
              <w:bottom w:val="single" w:color="auto" w:sz="4" w:space="0"/>
              <w:right w:val="single" w:color="auto" w:sz="4" w:space="0"/>
            </w:tcBorders>
            <w:noWrap w:val="0"/>
            <w:vAlign w:val="center"/>
          </w:tcPr>
          <w:p w14:paraId="0EC83CE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6992130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11846DB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334FBAA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0CC30622">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7FC693A9">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000000" w:sz="4" w:space="0"/>
              <w:right w:val="single" w:color="auto" w:sz="4" w:space="0"/>
            </w:tcBorders>
            <w:noWrap w:val="0"/>
            <w:vAlign w:val="center"/>
          </w:tcPr>
          <w:p w14:paraId="758492FF">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0B37FDA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速差式防坠器</w:t>
            </w:r>
          </w:p>
        </w:tc>
        <w:tc>
          <w:tcPr>
            <w:tcW w:w="3119" w:type="dxa"/>
            <w:tcBorders>
              <w:top w:val="nil"/>
              <w:left w:val="nil"/>
              <w:bottom w:val="single" w:color="auto" w:sz="4" w:space="0"/>
              <w:right w:val="single" w:color="auto" w:sz="4" w:space="0"/>
            </w:tcBorders>
            <w:noWrap w:val="0"/>
            <w:vAlign w:val="center"/>
          </w:tcPr>
          <w:p w14:paraId="052A113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每个作业点得上下口配置1个</w:t>
            </w:r>
          </w:p>
        </w:tc>
        <w:tc>
          <w:tcPr>
            <w:tcW w:w="660" w:type="dxa"/>
            <w:tcBorders>
              <w:top w:val="nil"/>
              <w:left w:val="nil"/>
              <w:bottom w:val="single" w:color="auto" w:sz="4" w:space="0"/>
              <w:right w:val="single" w:color="auto" w:sz="4" w:space="0"/>
            </w:tcBorders>
            <w:noWrap w:val="0"/>
            <w:vAlign w:val="center"/>
          </w:tcPr>
          <w:p w14:paraId="51DD786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5C76049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660" w:type="dxa"/>
            <w:tcBorders>
              <w:top w:val="nil"/>
              <w:left w:val="nil"/>
              <w:bottom w:val="single" w:color="auto" w:sz="4" w:space="0"/>
              <w:right w:val="single" w:color="auto" w:sz="4" w:space="0"/>
            </w:tcBorders>
            <w:noWrap w:val="0"/>
            <w:vAlign w:val="center"/>
          </w:tcPr>
          <w:p w14:paraId="0808498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07A6AD2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如有需要</w:t>
            </w:r>
          </w:p>
        </w:tc>
      </w:tr>
      <w:tr w14:paraId="11BCFCDB">
        <w:tblPrEx>
          <w:tblCellMar>
            <w:top w:w="0" w:type="dxa"/>
            <w:left w:w="108" w:type="dxa"/>
            <w:bottom w:w="0" w:type="dxa"/>
            <w:right w:w="108" w:type="dxa"/>
          </w:tblCellMar>
        </w:tblPrEx>
        <w:trPr>
          <w:trHeight w:val="54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41B15F07">
            <w:pPr>
              <w:widowControl/>
              <w:jc w:val="left"/>
              <w:rPr>
                <w:rFonts w:ascii="仿宋_GB2312" w:hAnsi="宋体" w:eastAsia="仿宋_GB2312" w:cs="宋体"/>
                <w:color w:val="auto"/>
                <w:kern w:val="0"/>
                <w:szCs w:val="21"/>
                <w:highlight w:val="none"/>
              </w:rPr>
            </w:pPr>
          </w:p>
        </w:tc>
        <w:tc>
          <w:tcPr>
            <w:tcW w:w="709" w:type="dxa"/>
            <w:vMerge w:val="restart"/>
            <w:tcBorders>
              <w:top w:val="nil"/>
              <w:left w:val="single" w:color="auto" w:sz="4" w:space="0"/>
              <w:bottom w:val="single" w:color="000000" w:sz="4" w:space="0"/>
              <w:right w:val="single" w:color="auto" w:sz="4" w:space="0"/>
            </w:tcBorders>
            <w:noWrap w:val="0"/>
            <w:vAlign w:val="center"/>
          </w:tcPr>
          <w:p w14:paraId="0112255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作业平台</w:t>
            </w:r>
          </w:p>
        </w:tc>
        <w:tc>
          <w:tcPr>
            <w:tcW w:w="1417" w:type="dxa"/>
            <w:tcBorders>
              <w:top w:val="nil"/>
              <w:left w:val="nil"/>
              <w:bottom w:val="single" w:color="auto" w:sz="4" w:space="0"/>
              <w:right w:val="single" w:color="auto" w:sz="4" w:space="0"/>
            </w:tcBorders>
            <w:noWrap w:val="0"/>
            <w:vAlign w:val="center"/>
          </w:tcPr>
          <w:p w14:paraId="47A4A80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脚手架平台</w:t>
            </w:r>
          </w:p>
        </w:tc>
        <w:tc>
          <w:tcPr>
            <w:tcW w:w="3119" w:type="dxa"/>
            <w:tcBorders>
              <w:top w:val="nil"/>
              <w:left w:val="nil"/>
              <w:bottom w:val="single" w:color="auto" w:sz="4" w:space="0"/>
              <w:right w:val="single" w:color="auto" w:sz="4" w:space="0"/>
            </w:tcBorders>
            <w:noWrap w:val="0"/>
            <w:vAlign w:val="center"/>
          </w:tcPr>
          <w:p w14:paraId="7F9F3EA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如有需要，按实际作业点配置</w:t>
            </w:r>
          </w:p>
        </w:tc>
        <w:tc>
          <w:tcPr>
            <w:tcW w:w="660" w:type="dxa"/>
            <w:tcBorders>
              <w:top w:val="nil"/>
              <w:left w:val="nil"/>
              <w:bottom w:val="single" w:color="auto" w:sz="4" w:space="0"/>
              <w:right w:val="single" w:color="auto" w:sz="4" w:space="0"/>
            </w:tcBorders>
            <w:noWrap w:val="0"/>
            <w:vAlign w:val="center"/>
          </w:tcPr>
          <w:p w14:paraId="59A6C91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325" w:type="dxa"/>
            <w:tcBorders>
              <w:top w:val="nil"/>
              <w:left w:val="nil"/>
              <w:bottom w:val="single" w:color="auto" w:sz="4" w:space="0"/>
              <w:right w:val="single" w:color="auto" w:sz="4" w:space="0"/>
            </w:tcBorders>
            <w:noWrap w:val="0"/>
            <w:vAlign w:val="center"/>
          </w:tcPr>
          <w:p w14:paraId="1D17CD7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3E141D0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608" w:type="dxa"/>
            <w:tcBorders>
              <w:top w:val="nil"/>
              <w:left w:val="nil"/>
              <w:bottom w:val="single" w:color="auto" w:sz="4" w:space="0"/>
              <w:right w:val="single" w:color="auto" w:sz="4" w:space="0"/>
            </w:tcBorders>
            <w:noWrap w:val="0"/>
            <w:vAlign w:val="center"/>
          </w:tcPr>
          <w:p w14:paraId="7A80D93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包括设施的安装、拆除、租赁、搬运</w:t>
            </w:r>
          </w:p>
        </w:tc>
      </w:tr>
      <w:tr w14:paraId="5EE3DE4F">
        <w:tblPrEx>
          <w:tblCellMar>
            <w:top w:w="0" w:type="dxa"/>
            <w:left w:w="108" w:type="dxa"/>
            <w:bottom w:w="0" w:type="dxa"/>
            <w:right w:w="108" w:type="dxa"/>
          </w:tblCellMar>
        </w:tblPrEx>
        <w:trPr>
          <w:trHeight w:val="465" w:hRule="atLeast"/>
        </w:trPr>
        <w:tc>
          <w:tcPr>
            <w:tcW w:w="82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6798DAC">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3C6D1396">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shd w:val="clear" w:color="000000" w:fill="FFFFFF"/>
            <w:noWrap w:val="0"/>
            <w:vAlign w:val="center"/>
          </w:tcPr>
          <w:p w14:paraId="390DA77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液压升降作业车</w:t>
            </w:r>
          </w:p>
        </w:tc>
        <w:tc>
          <w:tcPr>
            <w:tcW w:w="3119" w:type="dxa"/>
            <w:tcBorders>
              <w:top w:val="nil"/>
              <w:left w:val="nil"/>
              <w:bottom w:val="single" w:color="auto" w:sz="4" w:space="0"/>
              <w:right w:val="single" w:color="auto" w:sz="4" w:space="0"/>
            </w:tcBorders>
            <w:shd w:val="clear" w:color="000000" w:fill="FFFFFF"/>
            <w:noWrap w:val="0"/>
            <w:vAlign w:val="center"/>
          </w:tcPr>
          <w:p w14:paraId="19B1D86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如有需要，按实际作业点配置</w:t>
            </w:r>
          </w:p>
        </w:tc>
        <w:tc>
          <w:tcPr>
            <w:tcW w:w="660" w:type="dxa"/>
            <w:tcBorders>
              <w:top w:val="nil"/>
              <w:left w:val="nil"/>
              <w:bottom w:val="single" w:color="auto" w:sz="4" w:space="0"/>
              <w:right w:val="single" w:color="auto" w:sz="4" w:space="0"/>
            </w:tcBorders>
            <w:shd w:val="clear" w:color="000000" w:fill="FFFFFF"/>
            <w:noWrap w:val="0"/>
            <w:vAlign w:val="center"/>
          </w:tcPr>
          <w:p w14:paraId="58577AC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台</w:t>
            </w:r>
          </w:p>
        </w:tc>
        <w:tc>
          <w:tcPr>
            <w:tcW w:w="1325" w:type="dxa"/>
            <w:tcBorders>
              <w:top w:val="nil"/>
              <w:left w:val="nil"/>
              <w:bottom w:val="single" w:color="auto" w:sz="4" w:space="0"/>
              <w:right w:val="single" w:color="auto" w:sz="4" w:space="0"/>
            </w:tcBorders>
            <w:shd w:val="clear" w:color="000000" w:fill="FFFFFF"/>
            <w:noWrap w:val="0"/>
            <w:vAlign w:val="center"/>
          </w:tcPr>
          <w:p w14:paraId="1303634F">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shd w:val="clear" w:color="000000" w:fill="FFFFFF"/>
            <w:noWrap w:val="0"/>
            <w:vAlign w:val="center"/>
          </w:tcPr>
          <w:p w14:paraId="0F9176E6">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台</w:t>
            </w:r>
          </w:p>
        </w:tc>
        <w:tc>
          <w:tcPr>
            <w:tcW w:w="1608" w:type="dxa"/>
            <w:tcBorders>
              <w:top w:val="nil"/>
              <w:left w:val="nil"/>
              <w:bottom w:val="single" w:color="auto" w:sz="4" w:space="0"/>
              <w:right w:val="single" w:color="auto" w:sz="4" w:space="0"/>
            </w:tcBorders>
            <w:shd w:val="clear" w:color="000000" w:fill="FFFFFF"/>
            <w:noWrap w:val="0"/>
            <w:vAlign w:val="center"/>
          </w:tcPr>
          <w:p w14:paraId="0526FEF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4C6A41B3">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28BD196C">
            <w:pPr>
              <w:widowControl/>
              <w:jc w:val="left"/>
              <w:rPr>
                <w:rFonts w:ascii="仿宋_GB2312" w:hAnsi="宋体" w:eastAsia="仿宋_GB2312" w:cs="宋体"/>
                <w:color w:val="auto"/>
                <w:kern w:val="0"/>
                <w:szCs w:val="21"/>
                <w:highlight w:val="none"/>
              </w:rPr>
            </w:pPr>
          </w:p>
        </w:tc>
        <w:tc>
          <w:tcPr>
            <w:tcW w:w="709" w:type="dxa"/>
            <w:vMerge w:val="restart"/>
            <w:tcBorders>
              <w:top w:val="nil"/>
              <w:left w:val="single" w:color="auto" w:sz="4" w:space="0"/>
              <w:bottom w:val="single" w:color="auto" w:sz="4" w:space="0"/>
              <w:right w:val="single" w:color="auto" w:sz="4" w:space="0"/>
            </w:tcBorders>
            <w:noWrap w:val="0"/>
            <w:vAlign w:val="center"/>
          </w:tcPr>
          <w:p w14:paraId="4875F50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个人防护</w:t>
            </w:r>
          </w:p>
        </w:tc>
        <w:tc>
          <w:tcPr>
            <w:tcW w:w="1417" w:type="dxa"/>
            <w:tcBorders>
              <w:top w:val="nil"/>
              <w:left w:val="nil"/>
              <w:bottom w:val="single" w:color="auto" w:sz="4" w:space="0"/>
              <w:right w:val="single" w:color="auto" w:sz="4" w:space="0"/>
            </w:tcBorders>
            <w:noWrap/>
            <w:vAlign w:val="center"/>
          </w:tcPr>
          <w:p w14:paraId="6088D17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五点式安全带</w:t>
            </w:r>
          </w:p>
        </w:tc>
        <w:tc>
          <w:tcPr>
            <w:tcW w:w="3119" w:type="dxa"/>
            <w:tcBorders>
              <w:top w:val="nil"/>
              <w:left w:val="nil"/>
              <w:bottom w:val="single" w:color="auto" w:sz="4" w:space="0"/>
              <w:right w:val="single" w:color="auto" w:sz="4" w:space="0"/>
            </w:tcBorders>
            <w:noWrap/>
            <w:vAlign w:val="center"/>
          </w:tcPr>
          <w:p w14:paraId="77C20F7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按实际作业和监护人员</w:t>
            </w:r>
          </w:p>
        </w:tc>
        <w:tc>
          <w:tcPr>
            <w:tcW w:w="660" w:type="dxa"/>
            <w:tcBorders>
              <w:top w:val="nil"/>
              <w:left w:val="nil"/>
              <w:bottom w:val="single" w:color="auto" w:sz="4" w:space="0"/>
              <w:right w:val="single" w:color="auto" w:sz="4" w:space="0"/>
            </w:tcBorders>
            <w:noWrap w:val="0"/>
            <w:vAlign w:val="center"/>
          </w:tcPr>
          <w:p w14:paraId="1EA436B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条</w:t>
            </w:r>
          </w:p>
        </w:tc>
        <w:tc>
          <w:tcPr>
            <w:tcW w:w="1325" w:type="dxa"/>
            <w:tcBorders>
              <w:top w:val="nil"/>
              <w:left w:val="nil"/>
              <w:bottom w:val="single" w:color="auto" w:sz="4" w:space="0"/>
              <w:right w:val="single" w:color="auto" w:sz="4" w:space="0"/>
            </w:tcBorders>
            <w:noWrap w:val="0"/>
            <w:vAlign w:val="center"/>
          </w:tcPr>
          <w:p w14:paraId="46AAD5A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660" w:type="dxa"/>
            <w:tcBorders>
              <w:top w:val="nil"/>
              <w:left w:val="nil"/>
              <w:bottom w:val="single" w:color="auto" w:sz="4" w:space="0"/>
              <w:right w:val="single" w:color="auto" w:sz="4" w:space="0"/>
            </w:tcBorders>
            <w:noWrap w:val="0"/>
            <w:vAlign w:val="center"/>
          </w:tcPr>
          <w:p w14:paraId="24FFA9E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条</w:t>
            </w:r>
          </w:p>
        </w:tc>
        <w:tc>
          <w:tcPr>
            <w:tcW w:w="1608" w:type="dxa"/>
            <w:tcBorders>
              <w:top w:val="nil"/>
              <w:left w:val="nil"/>
              <w:bottom w:val="single" w:color="auto" w:sz="4" w:space="0"/>
              <w:right w:val="single" w:color="auto" w:sz="4" w:space="0"/>
            </w:tcBorders>
            <w:noWrap w:val="0"/>
            <w:vAlign w:val="center"/>
          </w:tcPr>
          <w:p w14:paraId="12859D7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3DE597C7">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6736C896">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63073E3E">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073BDCE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安全绳</w:t>
            </w:r>
          </w:p>
        </w:tc>
        <w:tc>
          <w:tcPr>
            <w:tcW w:w="3119" w:type="dxa"/>
            <w:tcBorders>
              <w:top w:val="nil"/>
              <w:left w:val="nil"/>
              <w:bottom w:val="single" w:color="auto" w:sz="4" w:space="0"/>
              <w:right w:val="single" w:color="auto" w:sz="4" w:space="0"/>
            </w:tcBorders>
            <w:noWrap/>
            <w:vAlign w:val="center"/>
          </w:tcPr>
          <w:p w14:paraId="761FEA16">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按实际作业人员</w:t>
            </w:r>
          </w:p>
        </w:tc>
        <w:tc>
          <w:tcPr>
            <w:tcW w:w="660" w:type="dxa"/>
            <w:tcBorders>
              <w:top w:val="nil"/>
              <w:left w:val="nil"/>
              <w:bottom w:val="single" w:color="auto" w:sz="4" w:space="0"/>
              <w:right w:val="single" w:color="auto" w:sz="4" w:space="0"/>
            </w:tcBorders>
            <w:noWrap w:val="0"/>
            <w:vAlign w:val="center"/>
          </w:tcPr>
          <w:p w14:paraId="0EFC9F1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条</w:t>
            </w:r>
          </w:p>
        </w:tc>
        <w:tc>
          <w:tcPr>
            <w:tcW w:w="1325" w:type="dxa"/>
            <w:tcBorders>
              <w:top w:val="nil"/>
              <w:left w:val="nil"/>
              <w:bottom w:val="single" w:color="auto" w:sz="4" w:space="0"/>
              <w:right w:val="single" w:color="auto" w:sz="4" w:space="0"/>
            </w:tcBorders>
            <w:noWrap w:val="0"/>
            <w:vAlign w:val="center"/>
          </w:tcPr>
          <w:p w14:paraId="75175FD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660" w:type="dxa"/>
            <w:tcBorders>
              <w:top w:val="nil"/>
              <w:left w:val="nil"/>
              <w:bottom w:val="single" w:color="auto" w:sz="4" w:space="0"/>
              <w:right w:val="single" w:color="auto" w:sz="4" w:space="0"/>
            </w:tcBorders>
            <w:noWrap w:val="0"/>
            <w:vAlign w:val="center"/>
          </w:tcPr>
          <w:p w14:paraId="6CC8AB2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条</w:t>
            </w:r>
          </w:p>
        </w:tc>
        <w:tc>
          <w:tcPr>
            <w:tcW w:w="1608" w:type="dxa"/>
            <w:tcBorders>
              <w:top w:val="nil"/>
              <w:left w:val="nil"/>
              <w:bottom w:val="single" w:color="auto" w:sz="4" w:space="0"/>
              <w:right w:val="single" w:color="auto" w:sz="4" w:space="0"/>
            </w:tcBorders>
            <w:noWrap w:val="0"/>
            <w:vAlign w:val="center"/>
          </w:tcPr>
          <w:p w14:paraId="35FA57E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3DBC142E">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5C1601FA">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7B9C5B41">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308B409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防滑鞋</w:t>
            </w:r>
          </w:p>
        </w:tc>
        <w:tc>
          <w:tcPr>
            <w:tcW w:w="3119" w:type="dxa"/>
            <w:tcBorders>
              <w:top w:val="nil"/>
              <w:left w:val="nil"/>
              <w:bottom w:val="single" w:color="auto" w:sz="4" w:space="0"/>
              <w:right w:val="single" w:color="auto" w:sz="4" w:space="0"/>
            </w:tcBorders>
            <w:noWrap/>
            <w:vAlign w:val="center"/>
          </w:tcPr>
          <w:p w14:paraId="02A941A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按实际作业和监护人员</w:t>
            </w:r>
          </w:p>
        </w:tc>
        <w:tc>
          <w:tcPr>
            <w:tcW w:w="660" w:type="dxa"/>
            <w:tcBorders>
              <w:top w:val="nil"/>
              <w:left w:val="nil"/>
              <w:bottom w:val="single" w:color="auto" w:sz="4" w:space="0"/>
              <w:right w:val="single" w:color="auto" w:sz="4" w:space="0"/>
            </w:tcBorders>
            <w:noWrap w:val="0"/>
            <w:vAlign w:val="center"/>
          </w:tcPr>
          <w:p w14:paraId="7CB0116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双</w:t>
            </w:r>
          </w:p>
        </w:tc>
        <w:tc>
          <w:tcPr>
            <w:tcW w:w="1325" w:type="dxa"/>
            <w:tcBorders>
              <w:top w:val="nil"/>
              <w:left w:val="nil"/>
              <w:bottom w:val="single" w:color="auto" w:sz="4" w:space="0"/>
              <w:right w:val="single" w:color="auto" w:sz="4" w:space="0"/>
            </w:tcBorders>
            <w:noWrap w:val="0"/>
            <w:vAlign w:val="center"/>
          </w:tcPr>
          <w:p w14:paraId="1C4D9C2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660" w:type="dxa"/>
            <w:tcBorders>
              <w:top w:val="nil"/>
              <w:left w:val="nil"/>
              <w:bottom w:val="single" w:color="auto" w:sz="4" w:space="0"/>
              <w:right w:val="single" w:color="auto" w:sz="4" w:space="0"/>
            </w:tcBorders>
            <w:noWrap w:val="0"/>
            <w:vAlign w:val="center"/>
          </w:tcPr>
          <w:p w14:paraId="345C3416">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双</w:t>
            </w:r>
          </w:p>
        </w:tc>
        <w:tc>
          <w:tcPr>
            <w:tcW w:w="1608" w:type="dxa"/>
            <w:tcBorders>
              <w:top w:val="nil"/>
              <w:left w:val="nil"/>
              <w:bottom w:val="single" w:color="auto" w:sz="4" w:space="0"/>
              <w:right w:val="single" w:color="auto" w:sz="4" w:space="0"/>
            </w:tcBorders>
            <w:noWrap w:val="0"/>
            <w:vAlign w:val="center"/>
          </w:tcPr>
          <w:p w14:paraId="7FF0B7E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3D59758D">
        <w:tblPrEx>
          <w:tblCellMar>
            <w:top w:w="0" w:type="dxa"/>
            <w:left w:w="108" w:type="dxa"/>
            <w:bottom w:w="0" w:type="dxa"/>
            <w:right w:w="108" w:type="dxa"/>
          </w:tblCellMar>
        </w:tblPrEx>
        <w:trPr>
          <w:trHeight w:val="480" w:hRule="atLeast"/>
        </w:trPr>
        <w:tc>
          <w:tcPr>
            <w:tcW w:w="820" w:type="dxa"/>
            <w:vMerge w:val="restart"/>
            <w:tcBorders>
              <w:top w:val="nil"/>
              <w:left w:val="single" w:color="auto" w:sz="4" w:space="0"/>
              <w:bottom w:val="single" w:color="auto" w:sz="4" w:space="0"/>
              <w:right w:val="single" w:color="auto" w:sz="4" w:space="0"/>
            </w:tcBorders>
            <w:noWrap w:val="0"/>
            <w:vAlign w:val="center"/>
          </w:tcPr>
          <w:p w14:paraId="7483354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四、危化品</w:t>
            </w:r>
          </w:p>
        </w:tc>
        <w:tc>
          <w:tcPr>
            <w:tcW w:w="709" w:type="dxa"/>
            <w:vMerge w:val="restart"/>
            <w:tcBorders>
              <w:top w:val="nil"/>
              <w:left w:val="single" w:color="auto" w:sz="4" w:space="0"/>
              <w:bottom w:val="single" w:color="auto" w:sz="4" w:space="0"/>
              <w:right w:val="single" w:color="auto" w:sz="4" w:space="0"/>
            </w:tcBorders>
            <w:noWrap w:val="0"/>
            <w:vAlign w:val="center"/>
          </w:tcPr>
          <w:p w14:paraId="77D48C4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个人防护</w:t>
            </w:r>
          </w:p>
        </w:tc>
        <w:tc>
          <w:tcPr>
            <w:tcW w:w="1417" w:type="dxa"/>
            <w:tcBorders>
              <w:top w:val="nil"/>
              <w:left w:val="nil"/>
              <w:bottom w:val="single" w:color="auto" w:sz="4" w:space="0"/>
              <w:right w:val="single" w:color="auto" w:sz="4" w:space="0"/>
            </w:tcBorders>
            <w:noWrap/>
            <w:vAlign w:val="center"/>
          </w:tcPr>
          <w:p w14:paraId="7F84193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化学防护服</w:t>
            </w:r>
          </w:p>
        </w:tc>
        <w:tc>
          <w:tcPr>
            <w:tcW w:w="3119" w:type="dxa"/>
            <w:tcBorders>
              <w:top w:val="nil"/>
              <w:left w:val="nil"/>
              <w:bottom w:val="single" w:color="auto" w:sz="4" w:space="0"/>
              <w:right w:val="single" w:color="auto" w:sz="4" w:space="0"/>
            </w:tcBorders>
            <w:noWrap/>
            <w:vAlign w:val="center"/>
          </w:tcPr>
          <w:p w14:paraId="2A4473B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按实际作业和监护人员</w:t>
            </w:r>
          </w:p>
        </w:tc>
        <w:tc>
          <w:tcPr>
            <w:tcW w:w="660" w:type="dxa"/>
            <w:tcBorders>
              <w:top w:val="nil"/>
              <w:left w:val="nil"/>
              <w:bottom w:val="single" w:color="auto" w:sz="4" w:space="0"/>
              <w:right w:val="single" w:color="auto" w:sz="4" w:space="0"/>
            </w:tcBorders>
            <w:noWrap w:val="0"/>
            <w:vAlign w:val="center"/>
          </w:tcPr>
          <w:p w14:paraId="066026D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件</w:t>
            </w:r>
          </w:p>
        </w:tc>
        <w:tc>
          <w:tcPr>
            <w:tcW w:w="1325" w:type="dxa"/>
            <w:tcBorders>
              <w:top w:val="nil"/>
              <w:left w:val="nil"/>
              <w:bottom w:val="single" w:color="auto" w:sz="4" w:space="0"/>
              <w:right w:val="single" w:color="auto" w:sz="4" w:space="0"/>
            </w:tcBorders>
            <w:noWrap w:val="0"/>
            <w:vAlign w:val="center"/>
          </w:tcPr>
          <w:p w14:paraId="75B2D5D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660" w:type="dxa"/>
            <w:tcBorders>
              <w:top w:val="nil"/>
              <w:left w:val="nil"/>
              <w:bottom w:val="single" w:color="auto" w:sz="4" w:space="0"/>
              <w:right w:val="single" w:color="auto" w:sz="4" w:space="0"/>
            </w:tcBorders>
            <w:noWrap w:val="0"/>
            <w:vAlign w:val="center"/>
          </w:tcPr>
          <w:p w14:paraId="69CF4CA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件</w:t>
            </w:r>
          </w:p>
        </w:tc>
        <w:tc>
          <w:tcPr>
            <w:tcW w:w="1608" w:type="dxa"/>
            <w:tcBorders>
              <w:top w:val="nil"/>
              <w:left w:val="nil"/>
              <w:bottom w:val="single" w:color="auto" w:sz="4" w:space="0"/>
              <w:right w:val="single" w:color="auto" w:sz="4" w:space="0"/>
            </w:tcBorders>
            <w:noWrap w:val="0"/>
            <w:vAlign w:val="center"/>
          </w:tcPr>
          <w:p w14:paraId="7022A72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72CF7CD3">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5A50C85F">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BD704D0">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0C211FA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耐酸碱手套</w:t>
            </w:r>
          </w:p>
        </w:tc>
        <w:tc>
          <w:tcPr>
            <w:tcW w:w="3119" w:type="dxa"/>
            <w:tcBorders>
              <w:top w:val="nil"/>
              <w:left w:val="nil"/>
              <w:bottom w:val="single" w:color="auto" w:sz="4" w:space="0"/>
              <w:right w:val="single" w:color="auto" w:sz="4" w:space="0"/>
            </w:tcBorders>
            <w:noWrap/>
            <w:vAlign w:val="center"/>
          </w:tcPr>
          <w:p w14:paraId="56DF2C6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按实际作业和监护人员</w:t>
            </w:r>
          </w:p>
        </w:tc>
        <w:tc>
          <w:tcPr>
            <w:tcW w:w="660" w:type="dxa"/>
            <w:tcBorders>
              <w:top w:val="nil"/>
              <w:left w:val="nil"/>
              <w:bottom w:val="single" w:color="auto" w:sz="4" w:space="0"/>
              <w:right w:val="single" w:color="auto" w:sz="4" w:space="0"/>
            </w:tcBorders>
            <w:noWrap w:val="0"/>
            <w:vAlign w:val="center"/>
          </w:tcPr>
          <w:p w14:paraId="4DF2FB8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双</w:t>
            </w:r>
          </w:p>
        </w:tc>
        <w:tc>
          <w:tcPr>
            <w:tcW w:w="1325" w:type="dxa"/>
            <w:tcBorders>
              <w:top w:val="nil"/>
              <w:left w:val="nil"/>
              <w:bottom w:val="single" w:color="auto" w:sz="4" w:space="0"/>
              <w:right w:val="single" w:color="auto" w:sz="4" w:space="0"/>
            </w:tcBorders>
            <w:noWrap w:val="0"/>
            <w:vAlign w:val="center"/>
          </w:tcPr>
          <w:p w14:paraId="6C52B10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660" w:type="dxa"/>
            <w:tcBorders>
              <w:top w:val="nil"/>
              <w:left w:val="nil"/>
              <w:bottom w:val="single" w:color="auto" w:sz="4" w:space="0"/>
              <w:right w:val="single" w:color="auto" w:sz="4" w:space="0"/>
            </w:tcBorders>
            <w:noWrap w:val="0"/>
            <w:vAlign w:val="center"/>
          </w:tcPr>
          <w:p w14:paraId="21539D1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双</w:t>
            </w:r>
          </w:p>
        </w:tc>
        <w:tc>
          <w:tcPr>
            <w:tcW w:w="1608" w:type="dxa"/>
            <w:tcBorders>
              <w:top w:val="nil"/>
              <w:left w:val="nil"/>
              <w:bottom w:val="single" w:color="auto" w:sz="4" w:space="0"/>
              <w:right w:val="single" w:color="auto" w:sz="4" w:space="0"/>
            </w:tcBorders>
            <w:noWrap w:val="0"/>
            <w:vAlign w:val="center"/>
          </w:tcPr>
          <w:p w14:paraId="281C515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0ACF4E8D">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1A60576C">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0993B2B6">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2159C126">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耐酸碱</w:t>
            </w:r>
            <w:r>
              <w:rPr>
                <w:rFonts w:hint="eastAsia" w:ascii="仿宋_GB2312" w:hAnsi="微软雅黑" w:eastAsia="仿宋_GB2312" w:cs="微软雅黑"/>
                <w:color w:val="auto"/>
                <w:kern w:val="0"/>
                <w:szCs w:val="21"/>
                <w:highlight w:val="none"/>
              </w:rPr>
              <w:t>鞋</w:t>
            </w:r>
          </w:p>
        </w:tc>
        <w:tc>
          <w:tcPr>
            <w:tcW w:w="3119" w:type="dxa"/>
            <w:tcBorders>
              <w:top w:val="nil"/>
              <w:left w:val="nil"/>
              <w:bottom w:val="single" w:color="auto" w:sz="4" w:space="0"/>
              <w:right w:val="single" w:color="auto" w:sz="4" w:space="0"/>
            </w:tcBorders>
            <w:noWrap/>
            <w:vAlign w:val="center"/>
          </w:tcPr>
          <w:p w14:paraId="07A475B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按实际作业和监护人员</w:t>
            </w:r>
          </w:p>
        </w:tc>
        <w:tc>
          <w:tcPr>
            <w:tcW w:w="660" w:type="dxa"/>
            <w:tcBorders>
              <w:top w:val="nil"/>
              <w:left w:val="nil"/>
              <w:bottom w:val="single" w:color="auto" w:sz="4" w:space="0"/>
              <w:right w:val="single" w:color="auto" w:sz="4" w:space="0"/>
            </w:tcBorders>
            <w:noWrap w:val="0"/>
            <w:vAlign w:val="center"/>
          </w:tcPr>
          <w:p w14:paraId="73E741E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双</w:t>
            </w:r>
          </w:p>
        </w:tc>
        <w:tc>
          <w:tcPr>
            <w:tcW w:w="1325" w:type="dxa"/>
            <w:tcBorders>
              <w:top w:val="nil"/>
              <w:left w:val="nil"/>
              <w:bottom w:val="single" w:color="auto" w:sz="4" w:space="0"/>
              <w:right w:val="single" w:color="auto" w:sz="4" w:space="0"/>
            </w:tcBorders>
            <w:noWrap w:val="0"/>
            <w:vAlign w:val="center"/>
          </w:tcPr>
          <w:p w14:paraId="2D4FD83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660" w:type="dxa"/>
            <w:tcBorders>
              <w:top w:val="nil"/>
              <w:left w:val="nil"/>
              <w:bottom w:val="single" w:color="auto" w:sz="4" w:space="0"/>
              <w:right w:val="single" w:color="auto" w:sz="4" w:space="0"/>
            </w:tcBorders>
            <w:noWrap w:val="0"/>
            <w:vAlign w:val="center"/>
          </w:tcPr>
          <w:p w14:paraId="404093C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双</w:t>
            </w:r>
          </w:p>
        </w:tc>
        <w:tc>
          <w:tcPr>
            <w:tcW w:w="1608" w:type="dxa"/>
            <w:tcBorders>
              <w:top w:val="nil"/>
              <w:left w:val="nil"/>
              <w:bottom w:val="single" w:color="auto" w:sz="4" w:space="0"/>
              <w:right w:val="single" w:color="auto" w:sz="4" w:space="0"/>
            </w:tcBorders>
            <w:noWrap w:val="0"/>
            <w:vAlign w:val="center"/>
          </w:tcPr>
          <w:p w14:paraId="4F90FA2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2A02472A">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2F70372C">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1D3C7C6">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1C59F03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护目镜</w:t>
            </w:r>
          </w:p>
        </w:tc>
        <w:tc>
          <w:tcPr>
            <w:tcW w:w="3119" w:type="dxa"/>
            <w:tcBorders>
              <w:top w:val="nil"/>
              <w:left w:val="nil"/>
              <w:bottom w:val="single" w:color="auto" w:sz="4" w:space="0"/>
              <w:right w:val="single" w:color="auto" w:sz="4" w:space="0"/>
            </w:tcBorders>
            <w:noWrap/>
            <w:vAlign w:val="center"/>
          </w:tcPr>
          <w:p w14:paraId="5DF8E2C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按实际作业和监护人员</w:t>
            </w:r>
          </w:p>
        </w:tc>
        <w:tc>
          <w:tcPr>
            <w:tcW w:w="660" w:type="dxa"/>
            <w:tcBorders>
              <w:top w:val="nil"/>
              <w:left w:val="nil"/>
              <w:bottom w:val="single" w:color="auto" w:sz="4" w:space="0"/>
              <w:right w:val="single" w:color="auto" w:sz="4" w:space="0"/>
            </w:tcBorders>
            <w:noWrap w:val="0"/>
            <w:vAlign w:val="center"/>
          </w:tcPr>
          <w:p w14:paraId="581C4056">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6265DFB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660" w:type="dxa"/>
            <w:tcBorders>
              <w:top w:val="nil"/>
              <w:left w:val="nil"/>
              <w:bottom w:val="single" w:color="auto" w:sz="4" w:space="0"/>
              <w:right w:val="single" w:color="auto" w:sz="4" w:space="0"/>
            </w:tcBorders>
            <w:noWrap w:val="0"/>
            <w:vAlign w:val="center"/>
          </w:tcPr>
          <w:p w14:paraId="77F9C92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5B5362E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18BD3096">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524C9D99">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A919AD6">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18E0159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防毒口罩</w:t>
            </w:r>
          </w:p>
        </w:tc>
        <w:tc>
          <w:tcPr>
            <w:tcW w:w="3119" w:type="dxa"/>
            <w:tcBorders>
              <w:top w:val="nil"/>
              <w:left w:val="nil"/>
              <w:bottom w:val="single" w:color="auto" w:sz="4" w:space="0"/>
              <w:right w:val="single" w:color="auto" w:sz="4" w:space="0"/>
            </w:tcBorders>
            <w:noWrap/>
            <w:vAlign w:val="center"/>
          </w:tcPr>
          <w:p w14:paraId="2E086F9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按实际作业和监护人员</w:t>
            </w:r>
          </w:p>
        </w:tc>
        <w:tc>
          <w:tcPr>
            <w:tcW w:w="660" w:type="dxa"/>
            <w:tcBorders>
              <w:top w:val="nil"/>
              <w:left w:val="nil"/>
              <w:bottom w:val="single" w:color="auto" w:sz="4" w:space="0"/>
              <w:right w:val="single" w:color="auto" w:sz="4" w:space="0"/>
            </w:tcBorders>
            <w:noWrap w:val="0"/>
            <w:vAlign w:val="center"/>
          </w:tcPr>
          <w:p w14:paraId="1D262C5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7A54D50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660" w:type="dxa"/>
            <w:tcBorders>
              <w:top w:val="nil"/>
              <w:left w:val="nil"/>
              <w:bottom w:val="single" w:color="auto" w:sz="4" w:space="0"/>
              <w:right w:val="single" w:color="auto" w:sz="4" w:space="0"/>
            </w:tcBorders>
            <w:noWrap w:val="0"/>
            <w:vAlign w:val="center"/>
          </w:tcPr>
          <w:p w14:paraId="02F4F44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6D9A79C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5949C362">
        <w:tblPrEx>
          <w:tblCellMar>
            <w:top w:w="0" w:type="dxa"/>
            <w:left w:w="108" w:type="dxa"/>
            <w:bottom w:w="0" w:type="dxa"/>
            <w:right w:w="108" w:type="dxa"/>
          </w:tblCellMar>
        </w:tblPrEx>
        <w:trPr>
          <w:trHeight w:val="7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0A612DCB">
            <w:pPr>
              <w:widowControl/>
              <w:jc w:val="left"/>
              <w:rPr>
                <w:rFonts w:ascii="仿宋_GB2312" w:hAnsi="宋体" w:eastAsia="仿宋_GB2312" w:cs="宋体"/>
                <w:color w:val="auto"/>
                <w:kern w:val="0"/>
                <w:szCs w:val="21"/>
                <w:highlight w:val="none"/>
              </w:rPr>
            </w:pPr>
          </w:p>
        </w:tc>
        <w:tc>
          <w:tcPr>
            <w:tcW w:w="709" w:type="dxa"/>
            <w:tcBorders>
              <w:top w:val="nil"/>
              <w:left w:val="nil"/>
              <w:bottom w:val="single" w:color="auto" w:sz="4" w:space="0"/>
              <w:right w:val="single" w:color="auto" w:sz="4" w:space="0"/>
            </w:tcBorders>
            <w:noWrap w:val="0"/>
            <w:vAlign w:val="center"/>
          </w:tcPr>
          <w:p w14:paraId="4771715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其他</w:t>
            </w:r>
          </w:p>
        </w:tc>
        <w:tc>
          <w:tcPr>
            <w:tcW w:w="1417" w:type="dxa"/>
            <w:tcBorders>
              <w:top w:val="nil"/>
              <w:left w:val="nil"/>
              <w:bottom w:val="single" w:color="auto" w:sz="4" w:space="0"/>
              <w:right w:val="single" w:color="auto" w:sz="4" w:space="0"/>
            </w:tcBorders>
            <w:noWrap w:val="0"/>
            <w:vAlign w:val="center"/>
          </w:tcPr>
          <w:p w14:paraId="5626379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吸附材料</w:t>
            </w:r>
            <w:r>
              <w:rPr>
                <w:rFonts w:hint="eastAsia" w:ascii="仿宋_GB2312" w:hAnsi="宋体" w:eastAsia="仿宋_GB2312" w:cs="宋体"/>
                <w:color w:val="auto"/>
                <w:kern w:val="0"/>
                <w:szCs w:val="21"/>
                <w:highlight w:val="none"/>
              </w:rPr>
              <w:br w:type="textWrapping"/>
            </w:r>
            <w:r>
              <w:rPr>
                <w:rFonts w:hint="eastAsia" w:ascii="仿宋_GB2312" w:hAnsi="宋体" w:eastAsia="仿宋_GB2312" w:cs="宋体"/>
                <w:color w:val="auto"/>
                <w:kern w:val="0"/>
                <w:szCs w:val="21"/>
                <w:highlight w:val="none"/>
              </w:rPr>
              <w:t>（砂土等）</w:t>
            </w:r>
          </w:p>
        </w:tc>
        <w:tc>
          <w:tcPr>
            <w:tcW w:w="3119" w:type="dxa"/>
            <w:tcBorders>
              <w:top w:val="nil"/>
              <w:left w:val="nil"/>
              <w:bottom w:val="single" w:color="auto" w:sz="4" w:space="0"/>
              <w:right w:val="single" w:color="auto" w:sz="4" w:space="0"/>
            </w:tcBorders>
            <w:noWrap w:val="0"/>
            <w:vAlign w:val="center"/>
          </w:tcPr>
          <w:p w14:paraId="4D9B2BB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69FDE83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批</w:t>
            </w:r>
          </w:p>
        </w:tc>
        <w:tc>
          <w:tcPr>
            <w:tcW w:w="1325" w:type="dxa"/>
            <w:tcBorders>
              <w:top w:val="nil"/>
              <w:left w:val="nil"/>
              <w:bottom w:val="single" w:color="auto" w:sz="4" w:space="0"/>
              <w:right w:val="single" w:color="auto" w:sz="4" w:space="0"/>
            </w:tcBorders>
            <w:noWrap w:val="0"/>
            <w:vAlign w:val="center"/>
          </w:tcPr>
          <w:p w14:paraId="42A47CD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660" w:type="dxa"/>
            <w:tcBorders>
              <w:top w:val="nil"/>
              <w:left w:val="nil"/>
              <w:bottom w:val="single" w:color="auto" w:sz="4" w:space="0"/>
              <w:right w:val="single" w:color="auto" w:sz="4" w:space="0"/>
            </w:tcBorders>
            <w:noWrap w:val="0"/>
            <w:vAlign w:val="center"/>
          </w:tcPr>
          <w:p w14:paraId="6359702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批</w:t>
            </w:r>
          </w:p>
        </w:tc>
        <w:tc>
          <w:tcPr>
            <w:tcW w:w="1608" w:type="dxa"/>
            <w:tcBorders>
              <w:top w:val="nil"/>
              <w:left w:val="nil"/>
              <w:bottom w:val="single" w:color="auto" w:sz="4" w:space="0"/>
              <w:right w:val="single" w:color="auto" w:sz="4" w:space="0"/>
            </w:tcBorders>
            <w:noWrap w:val="0"/>
            <w:vAlign w:val="center"/>
          </w:tcPr>
          <w:p w14:paraId="31135DC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225B9AD5">
        <w:tblPrEx>
          <w:tblCellMar>
            <w:top w:w="0" w:type="dxa"/>
            <w:left w:w="108" w:type="dxa"/>
            <w:bottom w:w="0" w:type="dxa"/>
            <w:right w:w="108" w:type="dxa"/>
          </w:tblCellMar>
        </w:tblPrEx>
        <w:trPr>
          <w:trHeight w:val="480" w:hRule="atLeast"/>
        </w:trPr>
        <w:tc>
          <w:tcPr>
            <w:tcW w:w="820" w:type="dxa"/>
            <w:vMerge w:val="restart"/>
            <w:tcBorders>
              <w:top w:val="nil"/>
              <w:left w:val="single" w:color="auto" w:sz="4" w:space="0"/>
              <w:bottom w:val="single" w:color="auto" w:sz="4" w:space="0"/>
              <w:right w:val="single" w:color="auto" w:sz="4" w:space="0"/>
            </w:tcBorders>
            <w:noWrap w:val="0"/>
            <w:vAlign w:val="center"/>
          </w:tcPr>
          <w:p w14:paraId="5EE5DAE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五、临边作业</w:t>
            </w:r>
          </w:p>
        </w:tc>
        <w:tc>
          <w:tcPr>
            <w:tcW w:w="709" w:type="dxa"/>
            <w:vMerge w:val="restart"/>
            <w:tcBorders>
              <w:top w:val="nil"/>
              <w:left w:val="nil"/>
              <w:right w:val="single" w:color="auto" w:sz="4" w:space="0"/>
            </w:tcBorders>
            <w:noWrap w:val="0"/>
            <w:vAlign w:val="center"/>
          </w:tcPr>
          <w:p w14:paraId="0F0B3B1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防坠落</w:t>
            </w:r>
          </w:p>
        </w:tc>
        <w:tc>
          <w:tcPr>
            <w:tcW w:w="1417" w:type="dxa"/>
            <w:tcBorders>
              <w:top w:val="nil"/>
              <w:left w:val="nil"/>
              <w:bottom w:val="single" w:color="auto" w:sz="4" w:space="0"/>
              <w:right w:val="single" w:color="auto" w:sz="4" w:space="0"/>
            </w:tcBorders>
            <w:noWrap w:val="0"/>
            <w:vAlign w:val="center"/>
          </w:tcPr>
          <w:p w14:paraId="5AC3F08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防坠网</w:t>
            </w:r>
          </w:p>
        </w:tc>
        <w:tc>
          <w:tcPr>
            <w:tcW w:w="3119" w:type="dxa"/>
            <w:tcBorders>
              <w:top w:val="nil"/>
              <w:left w:val="nil"/>
              <w:bottom w:val="single" w:color="auto" w:sz="4" w:space="0"/>
              <w:right w:val="single" w:color="auto" w:sz="4" w:space="0"/>
            </w:tcBorders>
            <w:noWrap w:val="0"/>
            <w:vAlign w:val="center"/>
          </w:tcPr>
          <w:p w14:paraId="107023EF">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按实际作业临边数量</w:t>
            </w:r>
          </w:p>
        </w:tc>
        <w:tc>
          <w:tcPr>
            <w:tcW w:w="660" w:type="dxa"/>
            <w:tcBorders>
              <w:top w:val="nil"/>
              <w:left w:val="nil"/>
              <w:bottom w:val="single" w:color="auto" w:sz="4" w:space="0"/>
              <w:right w:val="single" w:color="auto" w:sz="4" w:space="0"/>
            </w:tcBorders>
            <w:noWrap w:val="0"/>
            <w:vAlign w:val="center"/>
          </w:tcPr>
          <w:p w14:paraId="0A87DFB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64A166E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3FB2BCB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02BE732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5712ABE7">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19906EAB">
            <w:pPr>
              <w:widowControl/>
              <w:jc w:val="center"/>
              <w:rPr>
                <w:rFonts w:ascii="仿宋_GB2312" w:hAnsi="宋体" w:eastAsia="仿宋_GB2312" w:cs="宋体"/>
                <w:color w:val="auto"/>
                <w:kern w:val="0"/>
                <w:szCs w:val="21"/>
                <w:highlight w:val="none"/>
              </w:rPr>
            </w:pPr>
          </w:p>
        </w:tc>
        <w:tc>
          <w:tcPr>
            <w:tcW w:w="709" w:type="dxa"/>
            <w:vMerge w:val="continue"/>
            <w:tcBorders>
              <w:left w:val="nil"/>
              <w:bottom w:val="single" w:color="auto" w:sz="4" w:space="0"/>
              <w:right w:val="single" w:color="auto" w:sz="4" w:space="0"/>
            </w:tcBorders>
            <w:noWrap w:val="0"/>
            <w:vAlign w:val="center"/>
          </w:tcPr>
          <w:p w14:paraId="27937B8E">
            <w:pPr>
              <w:widowControl/>
              <w:jc w:val="center"/>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7533C91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脚手架护栏</w:t>
            </w:r>
          </w:p>
        </w:tc>
        <w:tc>
          <w:tcPr>
            <w:tcW w:w="3119" w:type="dxa"/>
            <w:tcBorders>
              <w:top w:val="nil"/>
              <w:left w:val="nil"/>
              <w:bottom w:val="single" w:color="auto" w:sz="4" w:space="0"/>
              <w:right w:val="single" w:color="auto" w:sz="4" w:space="0"/>
            </w:tcBorders>
            <w:noWrap w:val="0"/>
            <w:vAlign w:val="center"/>
          </w:tcPr>
          <w:p w14:paraId="0630140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按实际作业临边数量</w:t>
            </w:r>
          </w:p>
        </w:tc>
        <w:tc>
          <w:tcPr>
            <w:tcW w:w="660" w:type="dxa"/>
            <w:tcBorders>
              <w:top w:val="nil"/>
              <w:left w:val="nil"/>
              <w:bottom w:val="single" w:color="auto" w:sz="4" w:space="0"/>
              <w:right w:val="single" w:color="auto" w:sz="4" w:space="0"/>
            </w:tcBorders>
            <w:noWrap w:val="0"/>
            <w:vAlign w:val="center"/>
          </w:tcPr>
          <w:p w14:paraId="13B1842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21B251E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67D1A70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2B4C37BD">
            <w:pPr>
              <w:widowControl/>
              <w:jc w:val="center"/>
              <w:rPr>
                <w:rFonts w:ascii="仿宋_GB2312" w:hAnsi="宋体" w:eastAsia="仿宋_GB2312" w:cs="宋体"/>
                <w:color w:val="auto"/>
                <w:kern w:val="0"/>
                <w:szCs w:val="21"/>
                <w:highlight w:val="none"/>
              </w:rPr>
            </w:pPr>
          </w:p>
        </w:tc>
      </w:tr>
      <w:tr w14:paraId="42D99D6E">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6C2E08FC">
            <w:pPr>
              <w:widowControl/>
              <w:jc w:val="left"/>
              <w:rPr>
                <w:rFonts w:ascii="仿宋_GB2312" w:hAnsi="宋体" w:eastAsia="仿宋_GB2312" w:cs="宋体"/>
                <w:color w:val="auto"/>
                <w:kern w:val="0"/>
                <w:szCs w:val="21"/>
                <w:highlight w:val="none"/>
              </w:rPr>
            </w:pPr>
          </w:p>
        </w:tc>
        <w:tc>
          <w:tcPr>
            <w:tcW w:w="709" w:type="dxa"/>
            <w:vMerge w:val="restart"/>
            <w:tcBorders>
              <w:top w:val="nil"/>
              <w:left w:val="single" w:color="auto" w:sz="4" w:space="0"/>
              <w:bottom w:val="single" w:color="auto" w:sz="4" w:space="0"/>
              <w:right w:val="single" w:color="auto" w:sz="4" w:space="0"/>
            </w:tcBorders>
            <w:noWrap w:val="0"/>
            <w:vAlign w:val="center"/>
          </w:tcPr>
          <w:p w14:paraId="21BBF3E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个人防护</w:t>
            </w:r>
          </w:p>
        </w:tc>
        <w:tc>
          <w:tcPr>
            <w:tcW w:w="1417" w:type="dxa"/>
            <w:tcBorders>
              <w:top w:val="nil"/>
              <w:left w:val="nil"/>
              <w:bottom w:val="single" w:color="auto" w:sz="4" w:space="0"/>
              <w:right w:val="single" w:color="auto" w:sz="4" w:space="0"/>
            </w:tcBorders>
            <w:noWrap/>
            <w:vAlign w:val="center"/>
          </w:tcPr>
          <w:p w14:paraId="3B52679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五点式安全带</w:t>
            </w:r>
          </w:p>
        </w:tc>
        <w:tc>
          <w:tcPr>
            <w:tcW w:w="3119" w:type="dxa"/>
            <w:tcBorders>
              <w:top w:val="nil"/>
              <w:left w:val="nil"/>
              <w:bottom w:val="single" w:color="auto" w:sz="4" w:space="0"/>
              <w:right w:val="single" w:color="auto" w:sz="4" w:space="0"/>
            </w:tcBorders>
            <w:noWrap/>
            <w:vAlign w:val="center"/>
          </w:tcPr>
          <w:p w14:paraId="0D04754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按实际作业和监护人员</w:t>
            </w:r>
          </w:p>
        </w:tc>
        <w:tc>
          <w:tcPr>
            <w:tcW w:w="660" w:type="dxa"/>
            <w:tcBorders>
              <w:top w:val="nil"/>
              <w:left w:val="nil"/>
              <w:bottom w:val="single" w:color="auto" w:sz="4" w:space="0"/>
              <w:right w:val="single" w:color="auto" w:sz="4" w:space="0"/>
            </w:tcBorders>
            <w:noWrap w:val="0"/>
            <w:vAlign w:val="center"/>
          </w:tcPr>
          <w:p w14:paraId="5C38D41F">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条</w:t>
            </w:r>
          </w:p>
        </w:tc>
        <w:tc>
          <w:tcPr>
            <w:tcW w:w="1325" w:type="dxa"/>
            <w:tcBorders>
              <w:top w:val="nil"/>
              <w:left w:val="nil"/>
              <w:bottom w:val="single" w:color="auto" w:sz="4" w:space="0"/>
              <w:right w:val="single" w:color="auto" w:sz="4" w:space="0"/>
            </w:tcBorders>
            <w:noWrap w:val="0"/>
            <w:vAlign w:val="center"/>
          </w:tcPr>
          <w:p w14:paraId="05ECFDB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660" w:type="dxa"/>
            <w:tcBorders>
              <w:top w:val="nil"/>
              <w:left w:val="nil"/>
              <w:bottom w:val="single" w:color="auto" w:sz="4" w:space="0"/>
              <w:right w:val="single" w:color="auto" w:sz="4" w:space="0"/>
            </w:tcBorders>
            <w:noWrap w:val="0"/>
            <w:vAlign w:val="center"/>
          </w:tcPr>
          <w:p w14:paraId="7A46CA2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条</w:t>
            </w:r>
          </w:p>
        </w:tc>
        <w:tc>
          <w:tcPr>
            <w:tcW w:w="1608" w:type="dxa"/>
            <w:tcBorders>
              <w:top w:val="nil"/>
              <w:left w:val="nil"/>
              <w:bottom w:val="single" w:color="auto" w:sz="4" w:space="0"/>
              <w:right w:val="single" w:color="auto" w:sz="4" w:space="0"/>
            </w:tcBorders>
            <w:noWrap w:val="0"/>
            <w:vAlign w:val="center"/>
          </w:tcPr>
          <w:p w14:paraId="0845749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5314BB2E">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26826CC7">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4C5F72B">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094E57F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安全绳</w:t>
            </w:r>
          </w:p>
        </w:tc>
        <w:tc>
          <w:tcPr>
            <w:tcW w:w="3119" w:type="dxa"/>
            <w:tcBorders>
              <w:top w:val="nil"/>
              <w:left w:val="nil"/>
              <w:bottom w:val="single" w:color="auto" w:sz="4" w:space="0"/>
              <w:right w:val="single" w:color="auto" w:sz="4" w:space="0"/>
            </w:tcBorders>
            <w:noWrap/>
            <w:vAlign w:val="center"/>
          </w:tcPr>
          <w:p w14:paraId="37AE810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按实际作业和监护人员</w:t>
            </w:r>
          </w:p>
        </w:tc>
        <w:tc>
          <w:tcPr>
            <w:tcW w:w="660" w:type="dxa"/>
            <w:tcBorders>
              <w:top w:val="nil"/>
              <w:left w:val="nil"/>
              <w:bottom w:val="single" w:color="auto" w:sz="4" w:space="0"/>
              <w:right w:val="single" w:color="auto" w:sz="4" w:space="0"/>
            </w:tcBorders>
            <w:noWrap w:val="0"/>
            <w:vAlign w:val="center"/>
          </w:tcPr>
          <w:p w14:paraId="21D0F30F">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条</w:t>
            </w:r>
          </w:p>
        </w:tc>
        <w:tc>
          <w:tcPr>
            <w:tcW w:w="1325" w:type="dxa"/>
            <w:tcBorders>
              <w:top w:val="nil"/>
              <w:left w:val="nil"/>
              <w:bottom w:val="single" w:color="auto" w:sz="4" w:space="0"/>
              <w:right w:val="single" w:color="auto" w:sz="4" w:space="0"/>
            </w:tcBorders>
            <w:noWrap w:val="0"/>
            <w:vAlign w:val="center"/>
          </w:tcPr>
          <w:p w14:paraId="720CB39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660" w:type="dxa"/>
            <w:tcBorders>
              <w:top w:val="nil"/>
              <w:left w:val="nil"/>
              <w:bottom w:val="single" w:color="auto" w:sz="4" w:space="0"/>
              <w:right w:val="single" w:color="auto" w:sz="4" w:space="0"/>
            </w:tcBorders>
            <w:noWrap w:val="0"/>
            <w:vAlign w:val="center"/>
          </w:tcPr>
          <w:p w14:paraId="4D3CFD1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条</w:t>
            </w:r>
          </w:p>
        </w:tc>
        <w:tc>
          <w:tcPr>
            <w:tcW w:w="1608" w:type="dxa"/>
            <w:tcBorders>
              <w:top w:val="nil"/>
              <w:left w:val="nil"/>
              <w:bottom w:val="single" w:color="auto" w:sz="4" w:space="0"/>
              <w:right w:val="single" w:color="auto" w:sz="4" w:space="0"/>
            </w:tcBorders>
            <w:noWrap w:val="0"/>
            <w:vAlign w:val="center"/>
          </w:tcPr>
          <w:p w14:paraId="42C7E09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053CA6C3">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58A46C9F">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0680022C">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60931D3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防滑鞋</w:t>
            </w:r>
          </w:p>
        </w:tc>
        <w:tc>
          <w:tcPr>
            <w:tcW w:w="3119" w:type="dxa"/>
            <w:tcBorders>
              <w:top w:val="nil"/>
              <w:left w:val="nil"/>
              <w:bottom w:val="single" w:color="auto" w:sz="4" w:space="0"/>
              <w:right w:val="single" w:color="auto" w:sz="4" w:space="0"/>
            </w:tcBorders>
            <w:noWrap/>
            <w:vAlign w:val="center"/>
          </w:tcPr>
          <w:p w14:paraId="7768493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按实际作业和监护人员</w:t>
            </w:r>
          </w:p>
        </w:tc>
        <w:tc>
          <w:tcPr>
            <w:tcW w:w="660" w:type="dxa"/>
            <w:tcBorders>
              <w:top w:val="nil"/>
              <w:left w:val="nil"/>
              <w:bottom w:val="single" w:color="auto" w:sz="4" w:space="0"/>
              <w:right w:val="single" w:color="auto" w:sz="4" w:space="0"/>
            </w:tcBorders>
            <w:noWrap w:val="0"/>
            <w:vAlign w:val="center"/>
          </w:tcPr>
          <w:p w14:paraId="2A1EDD4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双</w:t>
            </w:r>
          </w:p>
        </w:tc>
        <w:tc>
          <w:tcPr>
            <w:tcW w:w="1325" w:type="dxa"/>
            <w:tcBorders>
              <w:top w:val="nil"/>
              <w:left w:val="nil"/>
              <w:bottom w:val="single" w:color="auto" w:sz="4" w:space="0"/>
              <w:right w:val="single" w:color="auto" w:sz="4" w:space="0"/>
            </w:tcBorders>
            <w:noWrap w:val="0"/>
            <w:vAlign w:val="center"/>
          </w:tcPr>
          <w:p w14:paraId="67CB6CD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660" w:type="dxa"/>
            <w:tcBorders>
              <w:top w:val="nil"/>
              <w:left w:val="nil"/>
              <w:bottom w:val="single" w:color="auto" w:sz="4" w:space="0"/>
              <w:right w:val="single" w:color="auto" w:sz="4" w:space="0"/>
            </w:tcBorders>
            <w:noWrap w:val="0"/>
            <w:vAlign w:val="center"/>
          </w:tcPr>
          <w:p w14:paraId="5000150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双</w:t>
            </w:r>
          </w:p>
        </w:tc>
        <w:tc>
          <w:tcPr>
            <w:tcW w:w="1608" w:type="dxa"/>
            <w:tcBorders>
              <w:top w:val="nil"/>
              <w:left w:val="nil"/>
              <w:bottom w:val="single" w:color="auto" w:sz="4" w:space="0"/>
              <w:right w:val="single" w:color="auto" w:sz="4" w:space="0"/>
            </w:tcBorders>
            <w:noWrap w:val="0"/>
            <w:vAlign w:val="center"/>
          </w:tcPr>
          <w:p w14:paraId="01029F8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37398841">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7B2635B5">
            <w:pPr>
              <w:widowControl/>
              <w:jc w:val="left"/>
              <w:rPr>
                <w:rFonts w:ascii="仿宋_GB2312" w:hAnsi="宋体" w:eastAsia="仿宋_GB2312" w:cs="宋体"/>
                <w:color w:val="auto"/>
                <w:kern w:val="0"/>
                <w:szCs w:val="21"/>
                <w:highlight w:val="none"/>
              </w:rPr>
            </w:pPr>
          </w:p>
        </w:tc>
        <w:tc>
          <w:tcPr>
            <w:tcW w:w="709" w:type="dxa"/>
            <w:tcBorders>
              <w:top w:val="nil"/>
              <w:left w:val="nil"/>
              <w:bottom w:val="single" w:color="auto" w:sz="4" w:space="0"/>
              <w:right w:val="single" w:color="auto" w:sz="4" w:space="0"/>
            </w:tcBorders>
            <w:noWrap w:val="0"/>
            <w:vAlign w:val="center"/>
          </w:tcPr>
          <w:p w14:paraId="469302B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应急救援</w:t>
            </w:r>
          </w:p>
        </w:tc>
        <w:tc>
          <w:tcPr>
            <w:tcW w:w="1417" w:type="dxa"/>
            <w:tcBorders>
              <w:top w:val="nil"/>
              <w:left w:val="nil"/>
              <w:bottom w:val="single" w:color="auto" w:sz="4" w:space="0"/>
              <w:right w:val="single" w:color="auto" w:sz="4" w:space="0"/>
            </w:tcBorders>
            <w:noWrap/>
            <w:vAlign w:val="center"/>
          </w:tcPr>
          <w:p w14:paraId="3DFFDD3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绳梯</w:t>
            </w:r>
          </w:p>
        </w:tc>
        <w:tc>
          <w:tcPr>
            <w:tcW w:w="3119" w:type="dxa"/>
            <w:tcBorders>
              <w:top w:val="nil"/>
              <w:left w:val="nil"/>
              <w:bottom w:val="single" w:color="auto" w:sz="4" w:space="0"/>
              <w:right w:val="single" w:color="auto" w:sz="4" w:space="0"/>
            </w:tcBorders>
            <w:noWrap w:val="0"/>
            <w:vAlign w:val="center"/>
          </w:tcPr>
          <w:p w14:paraId="5978385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08D16F6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325" w:type="dxa"/>
            <w:tcBorders>
              <w:top w:val="nil"/>
              <w:left w:val="nil"/>
              <w:bottom w:val="single" w:color="auto" w:sz="4" w:space="0"/>
              <w:right w:val="single" w:color="auto" w:sz="4" w:space="0"/>
            </w:tcBorders>
            <w:noWrap w:val="0"/>
            <w:vAlign w:val="center"/>
          </w:tcPr>
          <w:p w14:paraId="6A9E260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660" w:type="dxa"/>
            <w:tcBorders>
              <w:top w:val="nil"/>
              <w:left w:val="nil"/>
              <w:bottom w:val="single" w:color="auto" w:sz="4" w:space="0"/>
              <w:right w:val="single" w:color="auto" w:sz="4" w:space="0"/>
            </w:tcBorders>
            <w:noWrap w:val="0"/>
            <w:vAlign w:val="center"/>
          </w:tcPr>
          <w:p w14:paraId="5D3D2CB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608" w:type="dxa"/>
            <w:tcBorders>
              <w:top w:val="nil"/>
              <w:left w:val="nil"/>
              <w:bottom w:val="single" w:color="auto" w:sz="4" w:space="0"/>
              <w:right w:val="single" w:color="auto" w:sz="4" w:space="0"/>
            </w:tcBorders>
            <w:noWrap w:val="0"/>
            <w:vAlign w:val="center"/>
          </w:tcPr>
          <w:p w14:paraId="042B574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394F5900">
        <w:tblPrEx>
          <w:tblCellMar>
            <w:top w:w="0" w:type="dxa"/>
            <w:left w:w="108" w:type="dxa"/>
            <w:bottom w:w="0" w:type="dxa"/>
            <w:right w:w="108" w:type="dxa"/>
          </w:tblCellMar>
        </w:tblPrEx>
        <w:trPr>
          <w:trHeight w:val="780" w:hRule="atLeast"/>
        </w:trPr>
        <w:tc>
          <w:tcPr>
            <w:tcW w:w="820" w:type="dxa"/>
            <w:vMerge w:val="restart"/>
            <w:tcBorders>
              <w:top w:val="nil"/>
              <w:left w:val="single" w:color="auto" w:sz="4" w:space="0"/>
              <w:bottom w:val="single" w:color="auto" w:sz="4" w:space="0"/>
              <w:right w:val="single" w:color="auto" w:sz="4" w:space="0"/>
            </w:tcBorders>
            <w:noWrap w:val="0"/>
            <w:vAlign w:val="center"/>
          </w:tcPr>
          <w:p w14:paraId="4BC1BE7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六、动火作业</w:t>
            </w:r>
          </w:p>
        </w:tc>
        <w:tc>
          <w:tcPr>
            <w:tcW w:w="709" w:type="dxa"/>
            <w:vMerge w:val="restart"/>
            <w:tcBorders>
              <w:top w:val="nil"/>
              <w:left w:val="single" w:color="auto" w:sz="4" w:space="0"/>
              <w:bottom w:val="single" w:color="auto" w:sz="4" w:space="0"/>
              <w:right w:val="single" w:color="auto" w:sz="4" w:space="0"/>
            </w:tcBorders>
            <w:noWrap w:val="0"/>
            <w:vAlign w:val="center"/>
          </w:tcPr>
          <w:p w14:paraId="71884D1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消防器材</w:t>
            </w:r>
          </w:p>
        </w:tc>
        <w:tc>
          <w:tcPr>
            <w:tcW w:w="1417" w:type="dxa"/>
            <w:tcBorders>
              <w:top w:val="nil"/>
              <w:left w:val="nil"/>
              <w:bottom w:val="single" w:color="auto" w:sz="4" w:space="0"/>
              <w:right w:val="single" w:color="auto" w:sz="4" w:space="0"/>
            </w:tcBorders>
            <w:noWrap w:val="0"/>
            <w:vAlign w:val="center"/>
          </w:tcPr>
          <w:p w14:paraId="5D6803A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灭火器</w:t>
            </w:r>
          </w:p>
        </w:tc>
        <w:tc>
          <w:tcPr>
            <w:tcW w:w="3119" w:type="dxa"/>
            <w:tcBorders>
              <w:top w:val="nil"/>
              <w:left w:val="nil"/>
              <w:bottom w:val="single" w:color="auto" w:sz="4" w:space="0"/>
              <w:right w:val="single" w:color="auto" w:sz="4" w:space="0"/>
            </w:tcBorders>
            <w:noWrap w:val="0"/>
            <w:vAlign w:val="center"/>
          </w:tcPr>
          <w:p w14:paraId="3130B14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每个动火点配备2个4kg手提式灭火器</w:t>
            </w:r>
          </w:p>
        </w:tc>
        <w:tc>
          <w:tcPr>
            <w:tcW w:w="660" w:type="dxa"/>
            <w:tcBorders>
              <w:top w:val="nil"/>
              <w:left w:val="nil"/>
              <w:bottom w:val="single" w:color="auto" w:sz="4" w:space="0"/>
              <w:right w:val="single" w:color="auto" w:sz="4" w:space="0"/>
            </w:tcBorders>
            <w:noWrap w:val="0"/>
            <w:vAlign w:val="center"/>
          </w:tcPr>
          <w:p w14:paraId="4405E4E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3704C2A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每个动火点配备2个4kg手提式灭火器</w:t>
            </w:r>
          </w:p>
        </w:tc>
        <w:tc>
          <w:tcPr>
            <w:tcW w:w="660" w:type="dxa"/>
            <w:tcBorders>
              <w:top w:val="nil"/>
              <w:left w:val="nil"/>
              <w:bottom w:val="single" w:color="auto" w:sz="4" w:space="0"/>
              <w:right w:val="single" w:color="auto" w:sz="4" w:space="0"/>
            </w:tcBorders>
            <w:noWrap w:val="0"/>
            <w:vAlign w:val="center"/>
          </w:tcPr>
          <w:p w14:paraId="2A1B1A6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713062D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64E3BF19">
        <w:tblPrEx>
          <w:tblCellMar>
            <w:top w:w="0" w:type="dxa"/>
            <w:left w:w="108" w:type="dxa"/>
            <w:bottom w:w="0" w:type="dxa"/>
            <w:right w:w="108" w:type="dxa"/>
          </w:tblCellMar>
        </w:tblPrEx>
        <w:trPr>
          <w:trHeight w:val="555"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7EBFF455">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52ECA798">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7C130A1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消防逃生面罩</w:t>
            </w:r>
          </w:p>
        </w:tc>
        <w:tc>
          <w:tcPr>
            <w:tcW w:w="3119" w:type="dxa"/>
            <w:tcBorders>
              <w:top w:val="nil"/>
              <w:left w:val="nil"/>
              <w:bottom w:val="single" w:color="auto" w:sz="4" w:space="0"/>
              <w:right w:val="single" w:color="auto" w:sz="4" w:space="0"/>
            </w:tcBorders>
            <w:noWrap w:val="0"/>
            <w:vAlign w:val="center"/>
          </w:tcPr>
          <w:p w14:paraId="5795318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0FEB1BF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0AD1365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每个动火点配备2个</w:t>
            </w:r>
          </w:p>
        </w:tc>
        <w:tc>
          <w:tcPr>
            <w:tcW w:w="660" w:type="dxa"/>
            <w:tcBorders>
              <w:top w:val="nil"/>
              <w:left w:val="nil"/>
              <w:bottom w:val="single" w:color="auto" w:sz="4" w:space="0"/>
              <w:right w:val="single" w:color="auto" w:sz="4" w:space="0"/>
            </w:tcBorders>
            <w:noWrap w:val="0"/>
            <w:vAlign w:val="center"/>
          </w:tcPr>
          <w:p w14:paraId="28B870B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625A4FB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20585C80">
        <w:tblPrEx>
          <w:tblCellMar>
            <w:top w:w="0" w:type="dxa"/>
            <w:left w:w="108" w:type="dxa"/>
            <w:bottom w:w="0" w:type="dxa"/>
            <w:right w:w="108" w:type="dxa"/>
          </w:tblCellMar>
        </w:tblPrEx>
        <w:trPr>
          <w:trHeight w:val="555"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1D235B3E">
            <w:pPr>
              <w:widowControl/>
              <w:jc w:val="left"/>
              <w:rPr>
                <w:rFonts w:ascii="仿宋_GB2312" w:hAnsi="宋体" w:eastAsia="仿宋_GB2312" w:cs="宋体"/>
                <w:color w:val="auto"/>
                <w:kern w:val="0"/>
                <w:szCs w:val="21"/>
                <w:highlight w:val="none"/>
              </w:rPr>
            </w:pPr>
          </w:p>
        </w:tc>
        <w:tc>
          <w:tcPr>
            <w:tcW w:w="709" w:type="dxa"/>
            <w:tcBorders>
              <w:top w:val="nil"/>
              <w:left w:val="nil"/>
              <w:bottom w:val="single" w:color="auto" w:sz="4" w:space="0"/>
              <w:right w:val="single" w:color="auto" w:sz="4" w:space="0"/>
            </w:tcBorders>
            <w:noWrap w:val="0"/>
            <w:vAlign w:val="center"/>
          </w:tcPr>
          <w:p w14:paraId="55BCB27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安全防护</w:t>
            </w:r>
          </w:p>
        </w:tc>
        <w:tc>
          <w:tcPr>
            <w:tcW w:w="1417" w:type="dxa"/>
            <w:tcBorders>
              <w:top w:val="nil"/>
              <w:left w:val="nil"/>
              <w:bottom w:val="single" w:color="auto" w:sz="4" w:space="0"/>
              <w:right w:val="single" w:color="auto" w:sz="4" w:space="0"/>
            </w:tcBorders>
            <w:noWrap w:val="0"/>
            <w:vAlign w:val="center"/>
          </w:tcPr>
          <w:p w14:paraId="243AA51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气瓶支架</w:t>
            </w:r>
          </w:p>
        </w:tc>
        <w:tc>
          <w:tcPr>
            <w:tcW w:w="3119" w:type="dxa"/>
            <w:tcBorders>
              <w:top w:val="nil"/>
              <w:left w:val="nil"/>
              <w:bottom w:val="single" w:color="auto" w:sz="4" w:space="0"/>
              <w:right w:val="single" w:color="auto" w:sz="4" w:space="0"/>
            </w:tcBorders>
            <w:noWrap w:val="0"/>
            <w:vAlign w:val="center"/>
          </w:tcPr>
          <w:p w14:paraId="0F06C68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按实际作业数量</w:t>
            </w:r>
          </w:p>
        </w:tc>
        <w:tc>
          <w:tcPr>
            <w:tcW w:w="660" w:type="dxa"/>
            <w:tcBorders>
              <w:top w:val="nil"/>
              <w:left w:val="nil"/>
              <w:bottom w:val="single" w:color="auto" w:sz="4" w:space="0"/>
              <w:right w:val="single" w:color="auto" w:sz="4" w:space="0"/>
            </w:tcBorders>
            <w:noWrap w:val="0"/>
            <w:vAlign w:val="center"/>
          </w:tcPr>
          <w:p w14:paraId="7C172D1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623CF65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30B579A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7875089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4A6C50AB">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18FC8200">
            <w:pPr>
              <w:widowControl/>
              <w:jc w:val="left"/>
              <w:rPr>
                <w:rFonts w:ascii="仿宋_GB2312" w:hAnsi="宋体" w:eastAsia="仿宋_GB2312" w:cs="宋体"/>
                <w:color w:val="auto"/>
                <w:kern w:val="0"/>
                <w:szCs w:val="21"/>
                <w:highlight w:val="none"/>
              </w:rPr>
            </w:pPr>
          </w:p>
        </w:tc>
        <w:tc>
          <w:tcPr>
            <w:tcW w:w="709" w:type="dxa"/>
            <w:tcBorders>
              <w:top w:val="nil"/>
              <w:left w:val="nil"/>
              <w:bottom w:val="single" w:color="auto" w:sz="4" w:space="0"/>
              <w:right w:val="single" w:color="auto" w:sz="4" w:space="0"/>
            </w:tcBorders>
            <w:noWrap w:val="0"/>
            <w:vAlign w:val="center"/>
          </w:tcPr>
          <w:p w14:paraId="22A91EC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检测</w:t>
            </w:r>
          </w:p>
        </w:tc>
        <w:tc>
          <w:tcPr>
            <w:tcW w:w="1417" w:type="dxa"/>
            <w:tcBorders>
              <w:top w:val="nil"/>
              <w:left w:val="nil"/>
              <w:bottom w:val="single" w:color="auto" w:sz="4" w:space="0"/>
              <w:right w:val="single" w:color="auto" w:sz="4" w:space="0"/>
            </w:tcBorders>
            <w:noWrap w:val="0"/>
            <w:vAlign w:val="center"/>
          </w:tcPr>
          <w:p w14:paraId="4DF0221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易燃易爆气体检测仪</w:t>
            </w:r>
          </w:p>
        </w:tc>
        <w:tc>
          <w:tcPr>
            <w:tcW w:w="3119" w:type="dxa"/>
            <w:tcBorders>
              <w:top w:val="nil"/>
              <w:left w:val="nil"/>
              <w:bottom w:val="single" w:color="auto" w:sz="4" w:space="0"/>
              <w:right w:val="single" w:color="auto" w:sz="4" w:space="0"/>
            </w:tcBorders>
            <w:noWrap w:val="0"/>
            <w:vAlign w:val="center"/>
          </w:tcPr>
          <w:p w14:paraId="2ADDBA3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按实际作业点配置</w:t>
            </w:r>
          </w:p>
        </w:tc>
        <w:tc>
          <w:tcPr>
            <w:tcW w:w="660" w:type="dxa"/>
            <w:tcBorders>
              <w:top w:val="nil"/>
              <w:left w:val="nil"/>
              <w:bottom w:val="single" w:color="auto" w:sz="4" w:space="0"/>
              <w:right w:val="single" w:color="auto" w:sz="4" w:space="0"/>
            </w:tcBorders>
            <w:noWrap w:val="0"/>
            <w:vAlign w:val="center"/>
          </w:tcPr>
          <w:p w14:paraId="4E05621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325" w:type="dxa"/>
            <w:tcBorders>
              <w:top w:val="nil"/>
              <w:left w:val="nil"/>
              <w:bottom w:val="single" w:color="auto" w:sz="4" w:space="0"/>
              <w:right w:val="single" w:color="auto" w:sz="4" w:space="0"/>
            </w:tcBorders>
            <w:noWrap w:val="0"/>
            <w:vAlign w:val="center"/>
          </w:tcPr>
          <w:p w14:paraId="7DB8486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660" w:type="dxa"/>
            <w:tcBorders>
              <w:top w:val="nil"/>
              <w:left w:val="nil"/>
              <w:bottom w:val="single" w:color="auto" w:sz="4" w:space="0"/>
              <w:right w:val="single" w:color="auto" w:sz="4" w:space="0"/>
            </w:tcBorders>
            <w:noWrap w:val="0"/>
            <w:vAlign w:val="center"/>
          </w:tcPr>
          <w:p w14:paraId="4D96DAF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608" w:type="dxa"/>
            <w:tcBorders>
              <w:top w:val="nil"/>
              <w:left w:val="nil"/>
              <w:bottom w:val="single" w:color="auto" w:sz="4" w:space="0"/>
              <w:right w:val="single" w:color="auto" w:sz="4" w:space="0"/>
            </w:tcBorders>
            <w:noWrap w:val="0"/>
            <w:vAlign w:val="center"/>
          </w:tcPr>
          <w:p w14:paraId="6A63107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如有需要</w:t>
            </w:r>
          </w:p>
        </w:tc>
      </w:tr>
      <w:tr w14:paraId="4D0FF177">
        <w:tblPrEx>
          <w:tblCellMar>
            <w:top w:w="0" w:type="dxa"/>
            <w:left w:w="108" w:type="dxa"/>
            <w:bottom w:w="0" w:type="dxa"/>
            <w:right w:w="108" w:type="dxa"/>
          </w:tblCellMar>
        </w:tblPrEx>
        <w:trPr>
          <w:trHeight w:val="480" w:hRule="atLeast"/>
        </w:trPr>
        <w:tc>
          <w:tcPr>
            <w:tcW w:w="820" w:type="dxa"/>
            <w:vMerge w:val="restart"/>
            <w:tcBorders>
              <w:top w:val="nil"/>
              <w:left w:val="single" w:color="auto" w:sz="4" w:space="0"/>
              <w:bottom w:val="single" w:color="auto" w:sz="4" w:space="0"/>
              <w:right w:val="single" w:color="auto" w:sz="4" w:space="0"/>
            </w:tcBorders>
            <w:noWrap w:val="0"/>
            <w:vAlign w:val="center"/>
          </w:tcPr>
          <w:p w14:paraId="01BC741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七、潜水作业</w:t>
            </w:r>
            <w:r>
              <w:rPr>
                <w:rFonts w:hint="eastAsia" w:ascii="仿宋_GB2312" w:hAnsi="宋体" w:eastAsia="仿宋_GB2312" w:cs="宋体"/>
                <w:color w:val="auto"/>
                <w:kern w:val="0"/>
                <w:szCs w:val="21"/>
                <w:highlight w:val="none"/>
              </w:rPr>
              <w:br w:type="textWrapping"/>
            </w:r>
            <w:r>
              <w:rPr>
                <w:rFonts w:hint="eastAsia" w:ascii="仿宋_GB2312" w:hAnsi="宋体" w:eastAsia="仿宋_GB2312" w:cs="宋体"/>
                <w:color w:val="auto"/>
                <w:kern w:val="0"/>
                <w:szCs w:val="21"/>
                <w:highlight w:val="none"/>
              </w:rPr>
              <w:t>(必须配备双供气系统)</w:t>
            </w:r>
          </w:p>
        </w:tc>
        <w:tc>
          <w:tcPr>
            <w:tcW w:w="709" w:type="dxa"/>
            <w:vMerge w:val="restart"/>
            <w:tcBorders>
              <w:top w:val="nil"/>
              <w:left w:val="single" w:color="auto" w:sz="4" w:space="0"/>
              <w:right w:val="single" w:color="auto" w:sz="4" w:space="0"/>
            </w:tcBorders>
            <w:noWrap w:val="0"/>
            <w:vAlign w:val="center"/>
          </w:tcPr>
          <w:p w14:paraId="7AF1002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潜水套装</w:t>
            </w:r>
          </w:p>
        </w:tc>
        <w:tc>
          <w:tcPr>
            <w:tcW w:w="1417" w:type="dxa"/>
            <w:tcBorders>
              <w:top w:val="nil"/>
              <w:left w:val="nil"/>
              <w:bottom w:val="single" w:color="auto" w:sz="4" w:space="0"/>
              <w:right w:val="single" w:color="auto" w:sz="4" w:space="0"/>
            </w:tcBorders>
            <w:noWrap w:val="0"/>
            <w:vAlign w:val="center"/>
          </w:tcPr>
          <w:p w14:paraId="2F68B3A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潜水服装</w:t>
            </w:r>
          </w:p>
        </w:tc>
        <w:tc>
          <w:tcPr>
            <w:tcW w:w="3119" w:type="dxa"/>
            <w:tcBorders>
              <w:top w:val="nil"/>
              <w:left w:val="nil"/>
              <w:bottom w:val="single" w:color="auto" w:sz="4" w:space="0"/>
              <w:right w:val="single" w:color="auto" w:sz="4" w:space="0"/>
            </w:tcBorders>
            <w:noWrap w:val="0"/>
            <w:vAlign w:val="center"/>
          </w:tcPr>
          <w:p w14:paraId="2E5EE1C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按作业人员数量</w:t>
            </w:r>
          </w:p>
        </w:tc>
        <w:tc>
          <w:tcPr>
            <w:tcW w:w="660" w:type="dxa"/>
            <w:tcBorders>
              <w:top w:val="nil"/>
              <w:left w:val="nil"/>
              <w:bottom w:val="single" w:color="auto" w:sz="4" w:space="0"/>
              <w:right w:val="single" w:color="auto" w:sz="4" w:space="0"/>
            </w:tcBorders>
            <w:noWrap w:val="0"/>
            <w:vAlign w:val="center"/>
          </w:tcPr>
          <w:p w14:paraId="11A0F83F">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325" w:type="dxa"/>
            <w:tcBorders>
              <w:top w:val="nil"/>
              <w:left w:val="nil"/>
              <w:bottom w:val="single" w:color="auto" w:sz="4" w:space="0"/>
              <w:right w:val="single" w:color="auto" w:sz="4" w:space="0"/>
            </w:tcBorders>
            <w:noWrap w:val="0"/>
            <w:vAlign w:val="center"/>
          </w:tcPr>
          <w:p w14:paraId="48FA800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按救援人员数量</w:t>
            </w:r>
          </w:p>
        </w:tc>
        <w:tc>
          <w:tcPr>
            <w:tcW w:w="660" w:type="dxa"/>
            <w:tcBorders>
              <w:top w:val="nil"/>
              <w:left w:val="nil"/>
              <w:bottom w:val="single" w:color="auto" w:sz="4" w:space="0"/>
              <w:right w:val="single" w:color="auto" w:sz="4" w:space="0"/>
            </w:tcBorders>
            <w:noWrap w:val="0"/>
            <w:vAlign w:val="center"/>
          </w:tcPr>
          <w:p w14:paraId="29FB749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608" w:type="dxa"/>
            <w:tcBorders>
              <w:top w:val="nil"/>
              <w:left w:val="nil"/>
              <w:bottom w:val="single" w:color="auto" w:sz="4" w:space="0"/>
              <w:right w:val="single" w:color="auto" w:sz="4" w:space="0"/>
            </w:tcBorders>
            <w:noWrap w:val="0"/>
            <w:vAlign w:val="center"/>
          </w:tcPr>
          <w:p w14:paraId="254F5E10">
            <w:pPr>
              <w:widowControl/>
              <w:jc w:val="center"/>
              <w:rPr>
                <w:rFonts w:ascii="仿宋_GB2312" w:hAnsi="宋体" w:eastAsia="仿宋_GB2312" w:cs="宋体"/>
                <w:color w:val="auto"/>
                <w:kern w:val="0"/>
                <w:szCs w:val="21"/>
                <w:highlight w:val="none"/>
              </w:rPr>
            </w:pPr>
          </w:p>
        </w:tc>
      </w:tr>
      <w:tr w14:paraId="4B4C337D">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71EB0191">
            <w:pPr>
              <w:widowControl/>
              <w:jc w:val="left"/>
              <w:rPr>
                <w:rFonts w:ascii="仿宋_GB2312" w:hAnsi="宋体" w:eastAsia="仿宋_GB2312" w:cs="宋体"/>
                <w:color w:val="auto"/>
                <w:kern w:val="0"/>
                <w:szCs w:val="21"/>
                <w:highlight w:val="none"/>
              </w:rPr>
            </w:pPr>
          </w:p>
        </w:tc>
        <w:tc>
          <w:tcPr>
            <w:tcW w:w="709" w:type="dxa"/>
            <w:vMerge w:val="continue"/>
            <w:tcBorders>
              <w:left w:val="single" w:color="auto" w:sz="4" w:space="0"/>
              <w:right w:val="single" w:color="auto" w:sz="4" w:space="0"/>
            </w:tcBorders>
            <w:noWrap w:val="0"/>
            <w:vAlign w:val="center"/>
          </w:tcPr>
          <w:p w14:paraId="20E87D5C">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18C5C88F">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安全背带、信号绳</w:t>
            </w:r>
          </w:p>
        </w:tc>
        <w:tc>
          <w:tcPr>
            <w:tcW w:w="3119" w:type="dxa"/>
            <w:tcBorders>
              <w:top w:val="nil"/>
              <w:left w:val="nil"/>
              <w:bottom w:val="single" w:color="auto" w:sz="4" w:space="0"/>
              <w:right w:val="single" w:color="auto" w:sz="4" w:space="0"/>
            </w:tcBorders>
            <w:noWrap w:val="0"/>
            <w:vAlign w:val="center"/>
          </w:tcPr>
          <w:p w14:paraId="6161E75F">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按作业人员数量</w:t>
            </w:r>
          </w:p>
        </w:tc>
        <w:tc>
          <w:tcPr>
            <w:tcW w:w="660" w:type="dxa"/>
            <w:tcBorders>
              <w:top w:val="nil"/>
              <w:left w:val="nil"/>
              <w:bottom w:val="single" w:color="auto" w:sz="4" w:space="0"/>
              <w:right w:val="single" w:color="auto" w:sz="4" w:space="0"/>
            </w:tcBorders>
            <w:noWrap w:val="0"/>
            <w:vAlign w:val="center"/>
          </w:tcPr>
          <w:p w14:paraId="4299E6D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条</w:t>
            </w:r>
          </w:p>
        </w:tc>
        <w:tc>
          <w:tcPr>
            <w:tcW w:w="1325" w:type="dxa"/>
            <w:tcBorders>
              <w:top w:val="nil"/>
              <w:left w:val="nil"/>
              <w:bottom w:val="single" w:color="auto" w:sz="4" w:space="0"/>
              <w:right w:val="single" w:color="auto" w:sz="4" w:space="0"/>
            </w:tcBorders>
            <w:noWrap w:val="0"/>
            <w:vAlign w:val="center"/>
          </w:tcPr>
          <w:p w14:paraId="5E4BB34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按救援人员数量</w:t>
            </w:r>
          </w:p>
        </w:tc>
        <w:tc>
          <w:tcPr>
            <w:tcW w:w="660" w:type="dxa"/>
            <w:tcBorders>
              <w:top w:val="nil"/>
              <w:left w:val="nil"/>
              <w:bottom w:val="single" w:color="auto" w:sz="4" w:space="0"/>
              <w:right w:val="single" w:color="auto" w:sz="4" w:space="0"/>
            </w:tcBorders>
            <w:noWrap w:val="0"/>
            <w:vAlign w:val="center"/>
          </w:tcPr>
          <w:p w14:paraId="4BB54EF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条</w:t>
            </w:r>
          </w:p>
        </w:tc>
        <w:tc>
          <w:tcPr>
            <w:tcW w:w="1608" w:type="dxa"/>
            <w:tcBorders>
              <w:top w:val="nil"/>
              <w:left w:val="nil"/>
              <w:bottom w:val="single" w:color="auto" w:sz="4" w:space="0"/>
              <w:right w:val="single" w:color="auto" w:sz="4" w:space="0"/>
            </w:tcBorders>
            <w:noWrap w:val="0"/>
            <w:vAlign w:val="center"/>
          </w:tcPr>
          <w:p w14:paraId="4501D9C7">
            <w:pPr>
              <w:widowControl/>
              <w:jc w:val="center"/>
              <w:rPr>
                <w:rFonts w:ascii="仿宋_GB2312" w:hAnsi="宋体" w:eastAsia="仿宋_GB2312" w:cs="宋体"/>
                <w:color w:val="auto"/>
                <w:kern w:val="0"/>
                <w:szCs w:val="21"/>
                <w:highlight w:val="none"/>
              </w:rPr>
            </w:pPr>
          </w:p>
        </w:tc>
      </w:tr>
      <w:tr w14:paraId="72D8F663">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41ADCC21">
            <w:pPr>
              <w:widowControl/>
              <w:jc w:val="left"/>
              <w:rPr>
                <w:rFonts w:ascii="仿宋_GB2312" w:hAnsi="宋体" w:eastAsia="仿宋_GB2312" w:cs="宋体"/>
                <w:color w:val="auto"/>
                <w:kern w:val="0"/>
                <w:szCs w:val="21"/>
                <w:highlight w:val="none"/>
              </w:rPr>
            </w:pPr>
          </w:p>
        </w:tc>
        <w:tc>
          <w:tcPr>
            <w:tcW w:w="709" w:type="dxa"/>
            <w:vMerge w:val="continue"/>
            <w:tcBorders>
              <w:left w:val="single" w:color="auto" w:sz="4" w:space="0"/>
              <w:right w:val="single" w:color="auto" w:sz="4" w:space="0"/>
            </w:tcBorders>
            <w:noWrap w:val="0"/>
            <w:vAlign w:val="center"/>
          </w:tcPr>
          <w:p w14:paraId="2286F798">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292D41A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潜水鞋</w:t>
            </w:r>
          </w:p>
        </w:tc>
        <w:tc>
          <w:tcPr>
            <w:tcW w:w="3119" w:type="dxa"/>
            <w:tcBorders>
              <w:top w:val="nil"/>
              <w:left w:val="nil"/>
              <w:bottom w:val="single" w:color="auto" w:sz="4" w:space="0"/>
              <w:right w:val="single" w:color="auto" w:sz="4" w:space="0"/>
            </w:tcBorders>
            <w:noWrap w:val="0"/>
            <w:vAlign w:val="center"/>
          </w:tcPr>
          <w:p w14:paraId="71753D7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按作业人员数量</w:t>
            </w:r>
          </w:p>
        </w:tc>
        <w:tc>
          <w:tcPr>
            <w:tcW w:w="660" w:type="dxa"/>
            <w:tcBorders>
              <w:top w:val="nil"/>
              <w:left w:val="nil"/>
              <w:bottom w:val="single" w:color="auto" w:sz="4" w:space="0"/>
              <w:right w:val="single" w:color="auto" w:sz="4" w:space="0"/>
            </w:tcBorders>
            <w:noWrap w:val="0"/>
            <w:vAlign w:val="center"/>
          </w:tcPr>
          <w:p w14:paraId="53D8D45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双</w:t>
            </w:r>
          </w:p>
        </w:tc>
        <w:tc>
          <w:tcPr>
            <w:tcW w:w="1325" w:type="dxa"/>
            <w:tcBorders>
              <w:top w:val="nil"/>
              <w:left w:val="nil"/>
              <w:bottom w:val="single" w:color="auto" w:sz="4" w:space="0"/>
              <w:right w:val="single" w:color="auto" w:sz="4" w:space="0"/>
            </w:tcBorders>
            <w:noWrap w:val="0"/>
            <w:vAlign w:val="center"/>
          </w:tcPr>
          <w:p w14:paraId="737CEA1F">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按救援人员数量</w:t>
            </w:r>
          </w:p>
        </w:tc>
        <w:tc>
          <w:tcPr>
            <w:tcW w:w="660" w:type="dxa"/>
            <w:tcBorders>
              <w:top w:val="nil"/>
              <w:left w:val="nil"/>
              <w:bottom w:val="single" w:color="auto" w:sz="4" w:space="0"/>
              <w:right w:val="single" w:color="auto" w:sz="4" w:space="0"/>
            </w:tcBorders>
            <w:noWrap w:val="0"/>
            <w:vAlign w:val="center"/>
          </w:tcPr>
          <w:p w14:paraId="2F2DB3E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双</w:t>
            </w:r>
          </w:p>
        </w:tc>
        <w:tc>
          <w:tcPr>
            <w:tcW w:w="1608" w:type="dxa"/>
            <w:tcBorders>
              <w:top w:val="nil"/>
              <w:left w:val="nil"/>
              <w:bottom w:val="single" w:color="auto" w:sz="4" w:space="0"/>
              <w:right w:val="single" w:color="auto" w:sz="4" w:space="0"/>
            </w:tcBorders>
            <w:noWrap w:val="0"/>
            <w:vAlign w:val="center"/>
          </w:tcPr>
          <w:p w14:paraId="585DAAA0">
            <w:pPr>
              <w:widowControl/>
              <w:jc w:val="center"/>
              <w:rPr>
                <w:rFonts w:ascii="仿宋_GB2312" w:hAnsi="宋体" w:eastAsia="仿宋_GB2312" w:cs="宋体"/>
                <w:color w:val="auto"/>
                <w:kern w:val="0"/>
                <w:szCs w:val="21"/>
                <w:highlight w:val="none"/>
              </w:rPr>
            </w:pPr>
          </w:p>
        </w:tc>
      </w:tr>
      <w:tr w14:paraId="22D11C04">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79D0BA11">
            <w:pPr>
              <w:widowControl/>
              <w:jc w:val="left"/>
              <w:rPr>
                <w:rFonts w:ascii="仿宋_GB2312" w:hAnsi="宋体" w:eastAsia="仿宋_GB2312" w:cs="宋体"/>
                <w:color w:val="auto"/>
                <w:kern w:val="0"/>
                <w:szCs w:val="21"/>
                <w:highlight w:val="none"/>
              </w:rPr>
            </w:pPr>
          </w:p>
        </w:tc>
        <w:tc>
          <w:tcPr>
            <w:tcW w:w="709" w:type="dxa"/>
            <w:vMerge w:val="continue"/>
            <w:tcBorders>
              <w:left w:val="single" w:color="auto" w:sz="4" w:space="0"/>
              <w:right w:val="single" w:color="auto" w:sz="4" w:space="0"/>
            </w:tcBorders>
            <w:noWrap w:val="0"/>
            <w:vAlign w:val="center"/>
          </w:tcPr>
          <w:p w14:paraId="59D656BF">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3EBC71E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压铅</w:t>
            </w:r>
          </w:p>
        </w:tc>
        <w:tc>
          <w:tcPr>
            <w:tcW w:w="3119" w:type="dxa"/>
            <w:tcBorders>
              <w:top w:val="nil"/>
              <w:left w:val="nil"/>
              <w:bottom w:val="single" w:color="auto" w:sz="4" w:space="0"/>
              <w:right w:val="single" w:color="auto" w:sz="4" w:space="0"/>
            </w:tcBorders>
            <w:noWrap w:val="0"/>
            <w:vAlign w:val="center"/>
          </w:tcPr>
          <w:p w14:paraId="5A90821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按作业人员数量</w:t>
            </w:r>
          </w:p>
        </w:tc>
        <w:tc>
          <w:tcPr>
            <w:tcW w:w="660" w:type="dxa"/>
            <w:tcBorders>
              <w:top w:val="nil"/>
              <w:left w:val="nil"/>
              <w:bottom w:val="single" w:color="auto" w:sz="4" w:space="0"/>
              <w:right w:val="single" w:color="auto" w:sz="4" w:space="0"/>
            </w:tcBorders>
            <w:noWrap w:val="0"/>
            <w:vAlign w:val="center"/>
          </w:tcPr>
          <w:p w14:paraId="366C72C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2297CED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按救援人员数量</w:t>
            </w:r>
          </w:p>
        </w:tc>
        <w:tc>
          <w:tcPr>
            <w:tcW w:w="660" w:type="dxa"/>
            <w:tcBorders>
              <w:top w:val="nil"/>
              <w:left w:val="nil"/>
              <w:bottom w:val="single" w:color="auto" w:sz="4" w:space="0"/>
              <w:right w:val="single" w:color="auto" w:sz="4" w:space="0"/>
            </w:tcBorders>
            <w:noWrap w:val="0"/>
            <w:vAlign w:val="center"/>
          </w:tcPr>
          <w:p w14:paraId="7FF0C5C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1E8A2445">
            <w:pPr>
              <w:widowControl/>
              <w:jc w:val="center"/>
              <w:rPr>
                <w:rFonts w:ascii="仿宋_GB2312" w:hAnsi="宋体" w:eastAsia="仿宋_GB2312" w:cs="宋体"/>
                <w:color w:val="auto"/>
                <w:kern w:val="0"/>
                <w:szCs w:val="21"/>
                <w:highlight w:val="none"/>
              </w:rPr>
            </w:pPr>
          </w:p>
        </w:tc>
      </w:tr>
      <w:tr w14:paraId="58BF2564">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5F62A7DB">
            <w:pPr>
              <w:widowControl/>
              <w:jc w:val="left"/>
              <w:rPr>
                <w:rFonts w:ascii="仿宋_GB2312" w:hAnsi="宋体" w:eastAsia="仿宋_GB2312" w:cs="宋体"/>
                <w:color w:val="auto"/>
                <w:kern w:val="0"/>
                <w:szCs w:val="21"/>
                <w:highlight w:val="none"/>
              </w:rPr>
            </w:pPr>
          </w:p>
        </w:tc>
        <w:tc>
          <w:tcPr>
            <w:tcW w:w="709" w:type="dxa"/>
            <w:vMerge w:val="continue"/>
            <w:tcBorders>
              <w:left w:val="single" w:color="auto" w:sz="4" w:space="0"/>
              <w:right w:val="single" w:color="auto" w:sz="4" w:space="0"/>
            </w:tcBorders>
            <w:noWrap w:val="0"/>
            <w:vAlign w:val="center"/>
          </w:tcPr>
          <w:p w14:paraId="7E528763">
            <w:pPr>
              <w:widowControl/>
              <w:jc w:val="center"/>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7FF78C2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潜水面罩</w:t>
            </w:r>
          </w:p>
        </w:tc>
        <w:tc>
          <w:tcPr>
            <w:tcW w:w="3119" w:type="dxa"/>
            <w:tcBorders>
              <w:top w:val="nil"/>
              <w:left w:val="nil"/>
              <w:bottom w:val="single" w:color="auto" w:sz="4" w:space="0"/>
              <w:right w:val="single" w:color="auto" w:sz="4" w:space="0"/>
            </w:tcBorders>
            <w:noWrap w:val="0"/>
            <w:vAlign w:val="center"/>
          </w:tcPr>
          <w:p w14:paraId="465454C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按作业人员数量</w:t>
            </w:r>
          </w:p>
        </w:tc>
        <w:tc>
          <w:tcPr>
            <w:tcW w:w="660" w:type="dxa"/>
            <w:tcBorders>
              <w:top w:val="nil"/>
              <w:left w:val="nil"/>
              <w:bottom w:val="single" w:color="auto" w:sz="4" w:space="0"/>
              <w:right w:val="single" w:color="auto" w:sz="4" w:space="0"/>
            </w:tcBorders>
            <w:noWrap w:val="0"/>
            <w:vAlign w:val="center"/>
          </w:tcPr>
          <w:p w14:paraId="3CB6F5E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514D95F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按救援人员数量</w:t>
            </w:r>
          </w:p>
        </w:tc>
        <w:tc>
          <w:tcPr>
            <w:tcW w:w="660" w:type="dxa"/>
            <w:tcBorders>
              <w:top w:val="nil"/>
              <w:left w:val="nil"/>
              <w:bottom w:val="single" w:color="auto" w:sz="4" w:space="0"/>
              <w:right w:val="single" w:color="auto" w:sz="4" w:space="0"/>
            </w:tcBorders>
            <w:noWrap w:val="0"/>
            <w:vAlign w:val="center"/>
          </w:tcPr>
          <w:p w14:paraId="462C35E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50EF5C80">
            <w:pPr>
              <w:widowControl/>
              <w:jc w:val="center"/>
              <w:rPr>
                <w:rFonts w:ascii="仿宋_GB2312" w:hAnsi="宋体" w:eastAsia="仿宋_GB2312" w:cs="宋体"/>
                <w:color w:val="auto"/>
                <w:kern w:val="0"/>
                <w:szCs w:val="21"/>
                <w:highlight w:val="none"/>
              </w:rPr>
            </w:pPr>
          </w:p>
        </w:tc>
      </w:tr>
      <w:tr w14:paraId="0C02547F">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12AD3E3B">
            <w:pPr>
              <w:widowControl/>
              <w:jc w:val="left"/>
              <w:rPr>
                <w:rFonts w:ascii="仿宋_GB2312" w:hAnsi="宋体" w:eastAsia="仿宋_GB2312" w:cs="宋体"/>
                <w:color w:val="auto"/>
                <w:kern w:val="0"/>
                <w:szCs w:val="21"/>
                <w:highlight w:val="none"/>
              </w:rPr>
            </w:pPr>
          </w:p>
        </w:tc>
        <w:tc>
          <w:tcPr>
            <w:tcW w:w="709" w:type="dxa"/>
            <w:vMerge w:val="continue"/>
            <w:tcBorders>
              <w:left w:val="single" w:color="auto" w:sz="4" w:space="0"/>
              <w:right w:val="single" w:color="auto" w:sz="4" w:space="0"/>
            </w:tcBorders>
            <w:noWrap w:val="0"/>
            <w:vAlign w:val="center"/>
          </w:tcPr>
          <w:p w14:paraId="0355CCAA">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2757BBD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潜水头盔</w:t>
            </w:r>
          </w:p>
        </w:tc>
        <w:tc>
          <w:tcPr>
            <w:tcW w:w="3119" w:type="dxa"/>
            <w:tcBorders>
              <w:top w:val="nil"/>
              <w:left w:val="nil"/>
              <w:bottom w:val="single" w:color="auto" w:sz="4" w:space="0"/>
              <w:right w:val="single" w:color="auto" w:sz="4" w:space="0"/>
            </w:tcBorders>
            <w:noWrap w:val="0"/>
            <w:vAlign w:val="center"/>
          </w:tcPr>
          <w:p w14:paraId="4B2FE36F">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按作业人员数量</w:t>
            </w:r>
          </w:p>
        </w:tc>
        <w:tc>
          <w:tcPr>
            <w:tcW w:w="660" w:type="dxa"/>
            <w:tcBorders>
              <w:top w:val="nil"/>
              <w:left w:val="nil"/>
              <w:bottom w:val="single" w:color="auto" w:sz="4" w:space="0"/>
              <w:right w:val="single" w:color="auto" w:sz="4" w:space="0"/>
            </w:tcBorders>
            <w:noWrap w:val="0"/>
            <w:vAlign w:val="center"/>
          </w:tcPr>
          <w:p w14:paraId="5FEB074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5351DC0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按救援人员数量</w:t>
            </w:r>
          </w:p>
        </w:tc>
        <w:tc>
          <w:tcPr>
            <w:tcW w:w="660" w:type="dxa"/>
            <w:tcBorders>
              <w:top w:val="nil"/>
              <w:left w:val="nil"/>
              <w:bottom w:val="single" w:color="auto" w:sz="4" w:space="0"/>
              <w:right w:val="single" w:color="auto" w:sz="4" w:space="0"/>
            </w:tcBorders>
            <w:noWrap w:val="0"/>
            <w:vAlign w:val="center"/>
          </w:tcPr>
          <w:p w14:paraId="7B6847D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760F0593">
            <w:pPr>
              <w:widowControl/>
              <w:jc w:val="center"/>
              <w:rPr>
                <w:rFonts w:ascii="仿宋_GB2312" w:hAnsi="宋体" w:eastAsia="仿宋_GB2312" w:cs="宋体"/>
                <w:color w:val="auto"/>
                <w:kern w:val="0"/>
                <w:szCs w:val="21"/>
                <w:highlight w:val="none"/>
              </w:rPr>
            </w:pPr>
          </w:p>
        </w:tc>
      </w:tr>
      <w:tr w14:paraId="69B3FC29">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3D7B7C84">
            <w:pPr>
              <w:widowControl/>
              <w:jc w:val="left"/>
              <w:rPr>
                <w:rFonts w:ascii="仿宋_GB2312" w:hAnsi="宋体" w:eastAsia="仿宋_GB2312" w:cs="宋体"/>
                <w:color w:val="auto"/>
                <w:kern w:val="0"/>
                <w:szCs w:val="21"/>
                <w:highlight w:val="none"/>
              </w:rPr>
            </w:pPr>
          </w:p>
        </w:tc>
        <w:tc>
          <w:tcPr>
            <w:tcW w:w="709" w:type="dxa"/>
            <w:vMerge w:val="continue"/>
            <w:tcBorders>
              <w:left w:val="single" w:color="auto" w:sz="4" w:space="0"/>
              <w:right w:val="single" w:color="auto" w:sz="4" w:space="0"/>
            </w:tcBorders>
            <w:noWrap w:val="0"/>
            <w:vAlign w:val="center"/>
          </w:tcPr>
          <w:p w14:paraId="0A748C21">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793EE65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潜水脐带</w:t>
            </w:r>
          </w:p>
        </w:tc>
        <w:tc>
          <w:tcPr>
            <w:tcW w:w="3119" w:type="dxa"/>
            <w:tcBorders>
              <w:top w:val="nil"/>
              <w:left w:val="nil"/>
              <w:bottom w:val="single" w:color="auto" w:sz="4" w:space="0"/>
              <w:right w:val="single" w:color="auto" w:sz="4" w:space="0"/>
            </w:tcBorders>
            <w:noWrap w:val="0"/>
            <w:vAlign w:val="center"/>
          </w:tcPr>
          <w:p w14:paraId="4F3B9D6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按作业人员数量</w:t>
            </w:r>
          </w:p>
        </w:tc>
        <w:tc>
          <w:tcPr>
            <w:tcW w:w="660" w:type="dxa"/>
            <w:tcBorders>
              <w:top w:val="nil"/>
              <w:left w:val="nil"/>
              <w:bottom w:val="single" w:color="auto" w:sz="4" w:space="0"/>
              <w:right w:val="single" w:color="auto" w:sz="4" w:space="0"/>
            </w:tcBorders>
            <w:noWrap w:val="0"/>
            <w:vAlign w:val="center"/>
          </w:tcPr>
          <w:p w14:paraId="4FE2651F">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条</w:t>
            </w:r>
          </w:p>
        </w:tc>
        <w:tc>
          <w:tcPr>
            <w:tcW w:w="1325" w:type="dxa"/>
            <w:tcBorders>
              <w:top w:val="nil"/>
              <w:left w:val="nil"/>
              <w:bottom w:val="single" w:color="auto" w:sz="4" w:space="0"/>
              <w:right w:val="single" w:color="auto" w:sz="4" w:space="0"/>
            </w:tcBorders>
            <w:noWrap w:val="0"/>
            <w:vAlign w:val="center"/>
          </w:tcPr>
          <w:p w14:paraId="7884CB9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按救援人员数量</w:t>
            </w:r>
          </w:p>
        </w:tc>
        <w:tc>
          <w:tcPr>
            <w:tcW w:w="660" w:type="dxa"/>
            <w:tcBorders>
              <w:top w:val="nil"/>
              <w:left w:val="nil"/>
              <w:bottom w:val="single" w:color="auto" w:sz="4" w:space="0"/>
              <w:right w:val="single" w:color="auto" w:sz="4" w:space="0"/>
            </w:tcBorders>
            <w:noWrap w:val="0"/>
            <w:vAlign w:val="center"/>
          </w:tcPr>
          <w:p w14:paraId="6E75CC9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条</w:t>
            </w:r>
          </w:p>
        </w:tc>
        <w:tc>
          <w:tcPr>
            <w:tcW w:w="1608" w:type="dxa"/>
            <w:tcBorders>
              <w:top w:val="nil"/>
              <w:left w:val="nil"/>
              <w:bottom w:val="single" w:color="auto" w:sz="4" w:space="0"/>
              <w:right w:val="single" w:color="auto" w:sz="4" w:space="0"/>
            </w:tcBorders>
            <w:noWrap w:val="0"/>
            <w:vAlign w:val="center"/>
          </w:tcPr>
          <w:p w14:paraId="76EAECE7">
            <w:pPr>
              <w:widowControl/>
              <w:jc w:val="center"/>
              <w:rPr>
                <w:rFonts w:ascii="仿宋_GB2312" w:hAnsi="宋体" w:eastAsia="仿宋_GB2312" w:cs="宋体"/>
                <w:color w:val="auto"/>
                <w:kern w:val="0"/>
                <w:szCs w:val="21"/>
                <w:highlight w:val="none"/>
              </w:rPr>
            </w:pPr>
          </w:p>
        </w:tc>
      </w:tr>
      <w:tr w14:paraId="7E8C89E6">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0AC2FC05">
            <w:pPr>
              <w:widowControl/>
              <w:jc w:val="left"/>
              <w:rPr>
                <w:rFonts w:ascii="仿宋_GB2312" w:hAnsi="宋体" w:eastAsia="仿宋_GB2312" w:cs="宋体"/>
                <w:color w:val="auto"/>
                <w:kern w:val="0"/>
                <w:szCs w:val="21"/>
                <w:highlight w:val="none"/>
              </w:rPr>
            </w:pPr>
          </w:p>
        </w:tc>
        <w:tc>
          <w:tcPr>
            <w:tcW w:w="709" w:type="dxa"/>
            <w:vMerge w:val="continue"/>
            <w:tcBorders>
              <w:left w:val="single" w:color="auto" w:sz="4" w:space="0"/>
              <w:right w:val="single" w:color="auto" w:sz="4" w:space="0"/>
            </w:tcBorders>
            <w:noWrap w:val="0"/>
            <w:vAlign w:val="center"/>
          </w:tcPr>
          <w:p w14:paraId="79EA1FAE">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05F30F6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应急气瓶</w:t>
            </w:r>
          </w:p>
        </w:tc>
        <w:tc>
          <w:tcPr>
            <w:tcW w:w="3119" w:type="dxa"/>
            <w:tcBorders>
              <w:top w:val="nil"/>
              <w:left w:val="nil"/>
              <w:bottom w:val="single" w:color="auto" w:sz="4" w:space="0"/>
              <w:right w:val="single" w:color="auto" w:sz="4" w:space="0"/>
            </w:tcBorders>
            <w:noWrap w:val="0"/>
            <w:vAlign w:val="center"/>
          </w:tcPr>
          <w:p w14:paraId="77A547E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按实际作业点配置</w:t>
            </w:r>
          </w:p>
        </w:tc>
        <w:tc>
          <w:tcPr>
            <w:tcW w:w="660" w:type="dxa"/>
            <w:tcBorders>
              <w:top w:val="nil"/>
              <w:left w:val="nil"/>
              <w:bottom w:val="single" w:color="auto" w:sz="4" w:space="0"/>
              <w:right w:val="single" w:color="auto" w:sz="4" w:space="0"/>
            </w:tcBorders>
            <w:noWrap w:val="0"/>
            <w:vAlign w:val="center"/>
          </w:tcPr>
          <w:p w14:paraId="6517C84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3CECF79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按救援人员数量</w:t>
            </w:r>
          </w:p>
        </w:tc>
        <w:tc>
          <w:tcPr>
            <w:tcW w:w="660" w:type="dxa"/>
            <w:tcBorders>
              <w:top w:val="nil"/>
              <w:left w:val="nil"/>
              <w:bottom w:val="single" w:color="auto" w:sz="4" w:space="0"/>
              <w:right w:val="single" w:color="auto" w:sz="4" w:space="0"/>
            </w:tcBorders>
            <w:noWrap w:val="0"/>
            <w:vAlign w:val="center"/>
          </w:tcPr>
          <w:p w14:paraId="216A8DF6">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161AE289">
            <w:pPr>
              <w:widowControl/>
              <w:jc w:val="center"/>
              <w:rPr>
                <w:rFonts w:ascii="仿宋_GB2312" w:hAnsi="宋体" w:eastAsia="仿宋_GB2312" w:cs="宋体"/>
                <w:color w:val="auto"/>
                <w:kern w:val="0"/>
                <w:szCs w:val="21"/>
                <w:highlight w:val="none"/>
              </w:rPr>
            </w:pPr>
          </w:p>
        </w:tc>
      </w:tr>
      <w:tr w14:paraId="3D32F881">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77301574">
            <w:pPr>
              <w:widowControl/>
              <w:jc w:val="left"/>
              <w:rPr>
                <w:rFonts w:ascii="仿宋_GB2312" w:hAnsi="宋体" w:eastAsia="仿宋_GB2312" w:cs="宋体"/>
                <w:color w:val="auto"/>
                <w:kern w:val="0"/>
                <w:szCs w:val="21"/>
                <w:highlight w:val="none"/>
              </w:rPr>
            </w:pPr>
          </w:p>
        </w:tc>
        <w:tc>
          <w:tcPr>
            <w:tcW w:w="709" w:type="dxa"/>
            <w:vMerge w:val="continue"/>
            <w:tcBorders>
              <w:left w:val="single" w:color="auto" w:sz="4" w:space="0"/>
              <w:right w:val="single" w:color="auto" w:sz="4" w:space="0"/>
            </w:tcBorders>
            <w:noWrap w:val="0"/>
            <w:vAlign w:val="center"/>
          </w:tcPr>
          <w:p w14:paraId="7ED89E6A">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3A15AA0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配气盘</w:t>
            </w:r>
          </w:p>
        </w:tc>
        <w:tc>
          <w:tcPr>
            <w:tcW w:w="3119" w:type="dxa"/>
            <w:tcBorders>
              <w:top w:val="nil"/>
              <w:left w:val="nil"/>
              <w:bottom w:val="single" w:color="auto" w:sz="4" w:space="0"/>
              <w:right w:val="single" w:color="auto" w:sz="4" w:space="0"/>
            </w:tcBorders>
            <w:noWrap w:val="0"/>
            <w:vAlign w:val="center"/>
          </w:tcPr>
          <w:p w14:paraId="737395A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按实际作业点配置</w:t>
            </w:r>
          </w:p>
        </w:tc>
        <w:tc>
          <w:tcPr>
            <w:tcW w:w="660" w:type="dxa"/>
            <w:tcBorders>
              <w:top w:val="nil"/>
              <w:left w:val="nil"/>
              <w:bottom w:val="single" w:color="auto" w:sz="4" w:space="0"/>
              <w:right w:val="single" w:color="auto" w:sz="4" w:space="0"/>
            </w:tcBorders>
            <w:noWrap w:val="0"/>
            <w:vAlign w:val="center"/>
          </w:tcPr>
          <w:p w14:paraId="688B240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12BEFB5F">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按救援人员数量</w:t>
            </w:r>
          </w:p>
        </w:tc>
        <w:tc>
          <w:tcPr>
            <w:tcW w:w="660" w:type="dxa"/>
            <w:tcBorders>
              <w:top w:val="nil"/>
              <w:left w:val="nil"/>
              <w:bottom w:val="single" w:color="auto" w:sz="4" w:space="0"/>
              <w:right w:val="single" w:color="auto" w:sz="4" w:space="0"/>
            </w:tcBorders>
            <w:noWrap w:val="0"/>
            <w:vAlign w:val="center"/>
          </w:tcPr>
          <w:p w14:paraId="2E864E5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57E58490">
            <w:pPr>
              <w:widowControl/>
              <w:jc w:val="center"/>
              <w:rPr>
                <w:rFonts w:ascii="仿宋_GB2312" w:hAnsi="宋体" w:eastAsia="仿宋_GB2312" w:cs="宋体"/>
                <w:color w:val="auto"/>
                <w:kern w:val="0"/>
                <w:szCs w:val="21"/>
                <w:highlight w:val="none"/>
              </w:rPr>
            </w:pPr>
          </w:p>
        </w:tc>
      </w:tr>
      <w:tr w14:paraId="157FCAAB">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63C523B9">
            <w:pPr>
              <w:widowControl/>
              <w:jc w:val="left"/>
              <w:rPr>
                <w:rFonts w:ascii="仿宋_GB2312" w:hAnsi="宋体" w:eastAsia="仿宋_GB2312" w:cs="宋体"/>
                <w:color w:val="auto"/>
                <w:kern w:val="0"/>
                <w:szCs w:val="21"/>
                <w:highlight w:val="none"/>
              </w:rPr>
            </w:pPr>
          </w:p>
        </w:tc>
        <w:tc>
          <w:tcPr>
            <w:tcW w:w="709" w:type="dxa"/>
            <w:vMerge w:val="continue"/>
            <w:tcBorders>
              <w:left w:val="single" w:color="auto" w:sz="4" w:space="0"/>
              <w:right w:val="single" w:color="auto" w:sz="4" w:space="0"/>
            </w:tcBorders>
            <w:noWrap w:val="0"/>
            <w:vAlign w:val="center"/>
          </w:tcPr>
          <w:p w14:paraId="11B63A85">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5778B17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气体连接管</w:t>
            </w:r>
          </w:p>
        </w:tc>
        <w:tc>
          <w:tcPr>
            <w:tcW w:w="3119" w:type="dxa"/>
            <w:tcBorders>
              <w:top w:val="nil"/>
              <w:left w:val="nil"/>
              <w:bottom w:val="single" w:color="auto" w:sz="4" w:space="0"/>
              <w:right w:val="single" w:color="auto" w:sz="4" w:space="0"/>
            </w:tcBorders>
            <w:noWrap w:val="0"/>
            <w:vAlign w:val="center"/>
          </w:tcPr>
          <w:p w14:paraId="14277CF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按实际作业点配置</w:t>
            </w:r>
          </w:p>
        </w:tc>
        <w:tc>
          <w:tcPr>
            <w:tcW w:w="660" w:type="dxa"/>
            <w:tcBorders>
              <w:top w:val="nil"/>
              <w:left w:val="nil"/>
              <w:bottom w:val="single" w:color="auto" w:sz="4" w:space="0"/>
              <w:right w:val="single" w:color="auto" w:sz="4" w:space="0"/>
            </w:tcBorders>
            <w:noWrap w:val="0"/>
            <w:vAlign w:val="center"/>
          </w:tcPr>
          <w:p w14:paraId="15DE973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325" w:type="dxa"/>
            <w:tcBorders>
              <w:top w:val="nil"/>
              <w:left w:val="nil"/>
              <w:bottom w:val="single" w:color="auto" w:sz="4" w:space="0"/>
              <w:right w:val="single" w:color="auto" w:sz="4" w:space="0"/>
            </w:tcBorders>
            <w:noWrap w:val="0"/>
            <w:vAlign w:val="center"/>
          </w:tcPr>
          <w:p w14:paraId="7F627DF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按救援人员数量</w:t>
            </w:r>
          </w:p>
        </w:tc>
        <w:tc>
          <w:tcPr>
            <w:tcW w:w="660" w:type="dxa"/>
            <w:tcBorders>
              <w:top w:val="nil"/>
              <w:left w:val="nil"/>
              <w:bottom w:val="single" w:color="auto" w:sz="4" w:space="0"/>
              <w:right w:val="single" w:color="auto" w:sz="4" w:space="0"/>
            </w:tcBorders>
            <w:noWrap w:val="0"/>
            <w:vAlign w:val="center"/>
          </w:tcPr>
          <w:p w14:paraId="57DE63EF">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608" w:type="dxa"/>
            <w:tcBorders>
              <w:top w:val="nil"/>
              <w:left w:val="nil"/>
              <w:bottom w:val="single" w:color="auto" w:sz="4" w:space="0"/>
              <w:right w:val="single" w:color="auto" w:sz="4" w:space="0"/>
            </w:tcBorders>
            <w:noWrap w:val="0"/>
            <w:vAlign w:val="center"/>
          </w:tcPr>
          <w:p w14:paraId="065D8280">
            <w:pPr>
              <w:widowControl/>
              <w:jc w:val="center"/>
              <w:rPr>
                <w:rFonts w:ascii="仿宋_GB2312" w:hAnsi="宋体" w:eastAsia="仿宋_GB2312" w:cs="宋体"/>
                <w:color w:val="auto"/>
                <w:kern w:val="0"/>
                <w:szCs w:val="21"/>
                <w:highlight w:val="none"/>
              </w:rPr>
            </w:pPr>
          </w:p>
        </w:tc>
      </w:tr>
      <w:tr w14:paraId="662A2AF5">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49E46A91">
            <w:pPr>
              <w:widowControl/>
              <w:jc w:val="left"/>
              <w:rPr>
                <w:rFonts w:ascii="仿宋_GB2312" w:hAnsi="宋体" w:eastAsia="仿宋_GB2312" w:cs="宋体"/>
                <w:color w:val="auto"/>
                <w:kern w:val="0"/>
                <w:szCs w:val="21"/>
                <w:highlight w:val="none"/>
              </w:rPr>
            </w:pPr>
          </w:p>
        </w:tc>
        <w:tc>
          <w:tcPr>
            <w:tcW w:w="709" w:type="dxa"/>
            <w:vMerge w:val="continue"/>
            <w:tcBorders>
              <w:left w:val="single" w:color="auto" w:sz="4" w:space="0"/>
              <w:right w:val="single" w:color="auto" w:sz="4" w:space="0"/>
            </w:tcBorders>
            <w:noWrap w:val="0"/>
            <w:vAlign w:val="center"/>
          </w:tcPr>
          <w:p w14:paraId="1F8D0ECC">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0884218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空气过滤器</w:t>
            </w:r>
          </w:p>
        </w:tc>
        <w:tc>
          <w:tcPr>
            <w:tcW w:w="3119" w:type="dxa"/>
            <w:tcBorders>
              <w:top w:val="nil"/>
              <w:left w:val="nil"/>
              <w:bottom w:val="single" w:color="auto" w:sz="4" w:space="0"/>
              <w:right w:val="single" w:color="auto" w:sz="4" w:space="0"/>
            </w:tcBorders>
            <w:noWrap w:val="0"/>
            <w:vAlign w:val="center"/>
          </w:tcPr>
          <w:p w14:paraId="7599B76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按实际作业点配置</w:t>
            </w:r>
          </w:p>
        </w:tc>
        <w:tc>
          <w:tcPr>
            <w:tcW w:w="660" w:type="dxa"/>
            <w:tcBorders>
              <w:top w:val="nil"/>
              <w:left w:val="nil"/>
              <w:bottom w:val="single" w:color="auto" w:sz="4" w:space="0"/>
              <w:right w:val="single" w:color="auto" w:sz="4" w:space="0"/>
            </w:tcBorders>
            <w:noWrap w:val="0"/>
            <w:vAlign w:val="center"/>
          </w:tcPr>
          <w:p w14:paraId="0FDBDC0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325" w:type="dxa"/>
            <w:tcBorders>
              <w:top w:val="nil"/>
              <w:left w:val="nil"/>
              <w:bottom w:val="single" w:color="auto" w:sz="4" w:space="0"/>
              <w:right w:val="single" w:color="auto" w:sz="4" w:space="0"/>
            </w:tcBorders>
            <w:noWrap w:val="0"/>
            <w:vAlign w:val="center"/>
          </w:tcPr>
          <w:p w14:paraId="049BB7F6">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按救援人员数量</w:t>
            </w:r>
          </w:p>
        </w:tc>
        <w:tc>
          <w:tcPr>
            <w:tcW w:w="660" w:type="dxa"/>
            <w:tcBorders>
              <w:top w:val="nil"/>
              <w:left w:val="nil"/>
              <w:bottom w:val="single" w:color="auto" w:sz="4" w:space="0"/>
              <w:right w:val="single" w:color="auto" w:sz="4" w:space="0"/>
            </w:tcBorders>
            <w:noWrap w:val="0"/>
            <w:vAlign w:val="center"/>
          </w:tcPr>
          <w:p w14:paraId="40674F6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608" w:type="dxa"/>
            <w:tcBorders>
              <w:top w:val="nil"/>
              <w:left w:val="nil"/>
              <w:bottom w:val="single" w:color="auto" w:sz="4" w:space="0"/>
              <w:right w:val="single" w:color="auto" w:sz="4" w:space="0"/>
            </w:tcBorders>
            <w:noWrap w:val="0"/>
            <w:vAlign w:val="center"/>
          </w:tcPr>
          <w:p w14:paraId="1E511123">
            <w:pPr>
              <w:widowControl/>
              <w:jc w:val="center"/>
              <w:rPr>
                <w:rFonts w:ascii="仿宋_GB2312" w:hAnsi="宋体" w:eastAsia="仿宋_GB2312" w:cs="宋体"/>
                <w:color w:val="auto"/>
                <w:kern w:val="0"/>
                <w:szCs w:val="21"/>
                <w:highlight w:val="none"/>
              </w:rPr>
            </w:pPr>
          </w:p>
        </w:tc>
      </w:tr>
      <w:tr w14:paraId="7833051C">
        <w:tblPrEx>
          <w:tblCellMar>
            <w:top w:w="0" w:type="dxa"/>
            <w:left w:w="108" w:type="dxa"/>
            <w:bottom w:w="0" w:type="dxa"/>
            <w:right w:w="108" w:type="dxa"/>
          </w:tblCellMar>
        </w:tblPrEx>
        <w:trPr>
          <w:trHeight w:val="84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5069DF97">
            <w:pPr>
              <w:widowControl/>
              <w:jc w:val="left"/>
              <w:rPr>
                <w:rFonts w:ascii="仿宋_GB2312" w:hAnsi="宋体" w:eastAsia="仿宋_GB2312" w:cs="宋体"/>
                <w:color w:val="auto"/>
                <w:kern w:val="0"/>
                <w:szCs w:val="21"/>
                <w:highlight w:val="none"/>
              </w:rPr>
            </w:pPr>
          </w:p>
        </w:tc>
        <w:tc>
          <w:tcPr>
            <w:tcW w:w="709" w:type="dxa"/>
            <w:vMerge w:val="continue"/>
            <w:tcBorders>
              <w:left w:val="single" w:color="auto" w:sz="4" w:space="0"/>
              <w:right w:val="single" w:color="auto" w:sz="4" w:space="0"/>
            </w:tcBorders>
            <w:noWrap w:val="0"/>
            <w:vAlign w:val="center"/>
          </w:tcPr>
          <w:p w14:paraId="1EAB9715">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6A6EA9B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双供气系统</w:t>
            </w:r>
            <w:r>
              <w:rPr>
                <w:rFonts w:hint="eastAsia" w:ascii="仿宋_GB2312" w:hAnsi="宋体" w:eastAsia="仿宋_GB2312" w:cs="宋体"/>
                <w:color w:val="auto"/>
                <w:kern w:val="0"/>
                <w:szCs w:val="21"/>
                <w:highlight w:val="none"/>
              </w:rPr>
              <w:br w:type="textWrapping"/>
            </w:r>
            <w:r>
              <w:rPr>
                <w:rFonts w:hint="eastAsia" w:ascii="仿宋_GB2312" w:hAnsi="宋体" w:eastAsia="仿宋_GB2312" w:cs="宋体"/>
                <w:color w:val="auto"/>
                <w:kern w:val="0"/>
                <w:szCs w:val="21"/>
                <w:highlight w:val="none"/>
              </w:rPr>
              <w:t>（空气压缩机+气瓶）</w:t>
            </w:r>
          </w:p>
        </w:tc>
        <w:tc>
          <w:tcPr>
            <w:tcW w:w="3119" w:type="dxa"/>
            <w:tcBorders>
              <w:top w:val="nil"/>
              <w:left w:val="nil"/>
              <w:bottom w:val="single" w:color="auto" w:sz="4" w:space="0"/>
              <w:right w:val="single" w:color="auto" w:sz="4" w:space="0"/>
            </w:tcBorders>
            <w:noWrap w:val="0"/>
            <w:vAlign w:val="center"/>
          </w:tcPr>
          <w:p w14:paraId="767B582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按实际作业点配置</w:t>
            </w:r>
          </w:p>
        </w:tc>
        <w:tc>
          <w:tcPr>
            <w:tcW w:w="660" w:type="dxa"/>
            <w:tcBorders>
              <w:top w:val="nil"/>
              <w:left w:val="nil"/>
              <w:bottom w:val="single" w:color="auto" w:sz="4" w:space="0"/>
              <w:right w:val="single" w:color="auto" w:sz="4" w:space="0"/>
            </w:tcBorders>
            <w:noWrap w:val="0"/>
            <w:vAlign w:val="center"/>
          </w:tcPr>
          <w:p w14:paraId="4AF2F28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325" w:type="dxa"/>
            <w:tcBorders>
              <w:top w:val="nil"/>
              <w:left w:val="nil"/>
              <w:bottom w:val="single" w:color="auto" w:sz="4" w:space="0"/>
              <w:right w:val="single" w:color="auto" w:sz="4" w:space="0"/>
            </w:tcBorders>
            <w:noWrap w:val="0"/>
            <w:vAlign w:val="center"/>
          </w:tcPr>
          <w:p w14:paraId="029EA3D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2873033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608" w:type="dxa"/>
            <w:tcBorders>
              <w:top w:val="nil"/>
              <w:left w:val="nil"/>
              <w:bottom w:val="single" w:color="auto" w:sz="4" w:space="0"/>
              <w:right w:val="single" w:color="auto" w:sz="4" w:space="0"/>
            </w:tcBorders>
            <w:noWrap w:val="0"/>
            <w:vAlign w:val="center"/>
          </w:tcPr>
          <w:p w14:paraId="1E94BE20">
            <w:pPr>
              <w:widowControl/>
              <w:jc w:val="center"/>
              <w:rPr>
                <w:rFonts w:ascii="仿宋_GB2312" w:hAnsi="宋体" w:eastAsia="仿宋_GB2312" w:cs="宋体"/>
                <w:color w:val="auto"/>
                <w:kern w:val="0"/>
                <w:szCs w:val="21"/>
                <w:highlight w:val="none"/>
              </w:rPr>
            </w:pPr>
          </w:p>
        </w:tc>
      </w:tr>
      <w:tr w14:paraId="5018F84A">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22F91FC0">
            <w:pPr>
              <w:widowControl/>
              <w:jc w:val="left"/>
              <w:rPr>
                <w:rFonts w:ascii="仿宋_GB2312" w:hAnsi="宋体" w:eastAsia="仿宋_GB2312" w:cs="宋体"/>
                <w:color w:val="auto"/>
                <w:kern w:val="0"/>
                <w:szCs w:val="21"/>
                <w:highlight w:val="none"/>
              </w:rPr>
            </w:pPr>
          </w:p>
        </w:tc>
        <w:tc>
          <w:tcPr>
            <w:tcW w:w="709" w:type="dxa"/>
            <w:vMerge w:val="continue"/>
            <w:tcBorders>
              <w:left w:val="single" w:color="auto" w:sz="4" w:space="0"/>
              <w:bottom w:val="single" w:color="auto" w:sz="4" w:space="0"/>
              <w:right w:val="single" w:color="auto" w:sz="4" w:space="0"/>
            </w:tcBorders>
            <w:noWrap w:val="0"/>
            <w:vAlign w:val="center"/>
          </w:tcPr>
          <w:p w14:paraId="677C75E5">
            <w:pPr>
              <w:widowControl/>
              <w:jc w:val="center"/>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3EDE004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潜水通讯工具</w:t>
            </w:r>
          </w:p>
        </w:tc>
        <w:tc>
          <w:tcPr>
            <w:tcW w:w="3119" w:type="dxa"/>
            <w:tcBorders>
              <w:top w:val="nil"/>
              <w:left w:val="nil"/>
              <w:bottom w:val="single" w:color="auto" w:sz="4" w:space="0"/>
              <w:right w:val="single" w:color="auto" w:sz="4" w:space="0"/>
            </w:tcBorders>
            <w:noWrap w:val="0"/>
            <w:vAlign w:val="center"/>
          </w:tcPr>
          <w:p w14:paraId="58B7B1F6">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按实际作业点配置</w:t>
            </w:r>
          </w:p>
        </w:tc>
        <w:tc>
          <w:tcPr>
            <w:tcW w:w="660" w:type="dxa"/>
            <w:tcBorders>
              <w:top w:val="nil"/>
              <w:left w:val="nil"/>
              <w:bottom w:val="single" w:color="auto" w:sz="4" w:space="0"/>
              <w:right w:val="single" w:color="auto" w:sz="4" w:space="0"/>
            </w:tcBorders>
            <w:noWrap w:val="0"/>
            <w:vAlign w:val="center"/>
          </w:tcPr>
          <w:p w14:paraId="744FC64F">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325" w:type="dxa"/>
            <w:tcBorders>
              <w:top w:val="nil"/>
              <w:left w:val="nil"/>
              <w:bottom w:val="single" w:color="auto" w:sz="4" w:space="0"/>
              <w:right w:val="single" w:color="auto" w:sz="4" w:space="0"/>
            </w:tcBorders>
            <w:noWrap w:val="0"/>
            <w:vAlign w:val="center"/>
          </w:tcPr>
          <w:p w14:paraId="08F32ED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660" w:type="dxa"/>
            <w:tcBorders>
              <w:top w:val="nil"/>
              <w:left w:val="nil"/>
              <w:bottom w:val="single" w:color="auto" w:sz="4" w:space="0"/>
              <w:right w:val="single" w:color="auto" w:sz="4" w:space="0"/>
            </w:tcBorders>
            <w:noWrap w:val="0"/>
            <w:vAlign w:val="center"/>
          </w:tcPr>
          <w:p w14:paraId="6DE407A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608" w:type="dxa"/>
            <w:tcBorders>
              <w:top w:val="nil"/>
              <w:left w:val="nil"/>
              <w:bottom w:val="single" w:color="auto" w:sz="4" w:space="0"/>
              <w:right w:val="single" w:color="auto" w:sz="4" w:space="0"/>
            </w:tcBorders>
            <w:noWrap w:val="0"/>
            <w:vAlign w:val="center"/>
          </w:tcPr>
          <w:p w14:paraId="50246A50">
            <w:pPr>
              <w:widowControl/>
              <w:jc w:val="center"/>
              <w:rPr>
                <w:rFonts w:ascii="仿宋_GB2312" w:hAnsi="宋体" w:eastAsia="仿宋_GB2312" w:cs="宋体"/>
                <w:color w:val="auto"/>
                <w:kern w:val="0"/>
                <w:szCs w:val="21"/>
                <w:highlight w:val="none"/>
              </w:rPr>
            </w:pPr>
          </w:p>
        </w:tc>
      </w:tr>
      <w:tr w14:paraId="61A966AE">
        <w:tblPrEx>
          <w:tblCellMar>
            <w:top w:w="0" w:type="dxa"/>
            <w:left w:w="108" w:type="dxa"/>
            <w:bottom w:w="0" w:type="dxa"/>
            <w:right w:w="108" w:type="dxa"/>
          </w:tblCellMar>
        </w:tblPrEx>
        <w:trPr>
          <w:trHeight w:val="555"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4997CEC6">
            <w:pPr>
              <w:widowControl/>
              <w:jc w:val="left"/>
              <w:rPr>
                <w:rFonts w:ascii="仿宋_GB2312" w:hAnsi="宋体" w:eastAsia="仿宋_GB2312" w:cs="宋体"/>
                <w:color w:val="auto"/>
                <w:kern w:val="0"/>
                <w:szCs w:val="21"/>
                <w:highlight w:val="none"/>
              </w:rPr>
            </w:pPr>
          </w:p>
        </w:tc>
        <w:tc>
          <w:tcPr>
            <w:tcW w:w="709" w:type="dxa"/>
            <w:vMerge w:val="restart"/>
            <w:tcBorders>
              <w:top w:val="nil"/>
              <w:left w:val="single" w:color="auto" w:sz="4" w:space="0"/>
              <w:bottom w:val="single" w:color="auto" w:sz="4" w:space="0"/>
              <w:right w:val="single" w:color="auto" w:sz="4" w:space="0"/>
            </w:tcBorders>
            <w:noWrap w:val="0"/>
            <w:vAlign w:val="center"/>
          </w:tcPr>
          <w:p w14:paraId="7F9C6F6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检测</w:t>
            </w:r>
          </w:p>
        </w:tc>
        <w:tc>
          <w:tcPr>
            <w:tcW w:w="1417" w:type="dxa"/>
            <w:tcBorders>
              <w:top w:val="single" w:color="auto" w:sz="4" w:space="0"/>
              <w:left w:val="nil"/>
              <w:bottom w:val="single" w:color="auto" w:sz="4" w:space="0"/>
              <w:right w:val="single" w:color="auto" w:sz="4" w:space="0"/>
            </w:tcBorders>
            <w:noWrap w:val="0"/>
            <w:vAlign w:val="center"/>
          </w:tcPr>
          <w:p w14:paraId="3330133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管道流速检测仪</w:t>
            </w:r>
          </w:p>
        </w:tc>
        <w:tc>
          <w:tcPr>
            <w:tcW w:w="3119" w:type="dxa"/>
            <w:tcBorders>
              <w:top w:val="single" w:color="auto" w:sz="4" w:space="0"/>
              <w:left w:val="nil"/>
              <w:bottom w:val="single" w:color="auto" w:sz="4" w:space="0"/>
              <w:right w:val="single" w:color="auto" w:sz="4" w:space="0"/>
            </w:tcBorders>
            <w:noWrap w:val="0"/>
            <w:vAlign w:val="center"/>
          </w:tcPr>
          <w:p w14:paraId="43B90CE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按实际作业点配置</w:t>
            </w:r>
          </w:p>
        </w:tc>
        <w:tc>
          <w:tcPr>
            <w:tcW w:w="660" w:type="dxa"/>
            <w:tcBorders>
              <w:top w:val="single" w:color="auto" w:sz="4" w:space="0"/>
              <w:left w:val="nil"/>
              <w:bottom w:val="single" w:color="auto" w:sz="4" w:space="0"/>
              <w:right w:val="single" w:color="auto" w:sz="4" w:space="0"/>
            </w:tcBorders>
            <w:noWrap w:val="0"/>
            <w:vAlign w:val="center"/>
          </w:tcPr>
          <w:p w14:paraId="3AC17A9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325" w:type="dxa"/>
            <w:tcBorders>
              <w:top w:val="single" w:color="auto" w:sz="4" w:space="0"/>
              <w:left w:val="nil"/>
              <w:bottom w:val="single" w:color="auto" w:sz="4" w:space="0"/>
              <w:right w:val="single" w:color="auto" w:sz="4" w:space="0"/>
            </w:tcBorders>
            <w:noWrap w:val="0"/>
            <w:vAlign w:val="center"/>
          </w:tcPr>
          <w:p w14:paraId="6211215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single" w:color="auto" w:sz="4" w:space="0"/>
              <w:left w:val="nil"/>
              <w:bottom w:val="single" w:color="auto" w:sz="4" w:space="0"/>
              <w:right w:val="single" w:color="auto" w:sz="4" w:space="0"/>
            </w:tcBorders>
            <w:noWrap w:val="0"/>
            <w:vAlign w:val="center"/>
          </w:tcPr>
          <w:p w14:paraId="5AEFE58F">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608" w:type="dxa"/>
            <w:tcBorders>
              <w:top w:val="single" w:color="auto" w:sz="4" w:space="0"/>
              <w:left w:val="nil"/>
              <w:bottom w:val="single" w:color="auto" w:sz="4" w:space="0"/>
              <w:right w:val="single" w:color="auto" w:sz="4" w:space="0"/>
            </w:tcBorders>
            <w:noWrap w:val="0"/>
            <w:vAlign w:val="center"/>
          </w:tcPr>
          <w:p w14:paraId="4A5A852C">
            <w:pPr>
              <w:widowControl/>
              <w:jc w:val="center"/>
              <w:rPr>
                <w:rFonts w:ascii="仿宋_GB2312" w:hAnsi="宋体" w:eastAsia="仿宋_GB2312" w:cs="宋体"/>
                <w:color w:val="auto"/>
                <w:kern w:val="0"/>
                <w:szCs w:val="21"/>
                <w:highlight w:val="none"/>
              </w:rPr>
            </w:pPr>
          </w:p>
        </w:tc>
      </w:tr>
      <w:tr w14:paraId="0CA41A6C">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775B9EC3">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5038C30">
            <w:pPr>
              <w:widowControl/>
              <w:jc w:val="left"/>
              <w:rPr>
                <w:rFonts w:ascii="仿宋_GB2312" w:hAnsi="宋体" w:eastAsia="仿宋_GB2312" w:cs="宋体"/>
                <w:color w:val="auto"/>
                <w:kern w:val="0"/>
                <w:szCs w:val="21"/>
                <w:highlight w:val="none"/>
              </w:rPr>
            </w:pPr>
          </w:p>
        </w:tc>
        <w:tc>
          <w:tcPr>
            <w:tcW w:w="1417" w:type="dxa"/>
            <w:tcBorders>
              <w:top w:val="single" w:color="auto" w:sz="4" w:space="0"/>
              <w:left w:val="nil"/>
              <w:bottom w:val="single" w:color="auto" w:sz="4" w:space="0"/>
              <w:right w:val="single" w:color="auto" w:sz="4" w:space="0"/>
            </w:tcBorders>
            <w:noWrap w:val="0"/>
            <w:vAlign w:val="center"/>
          </w:tcPr>
          <w:p w14:paraId="175B2EEF">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易燃易爆气体检测仪</w:t>
            </w:r>
          </w:p>
        </w:tc>
        <w:tc>
          <w:tcPr>
            <w:tcW w:w="3119" w:type="dxa"/>
            <w:tcBorders>
              <w:top w:val="single" w:color="auto" w:sz="4" w:space="0"/>
              <w:left w:val="nil"/>
              <w:bottom w:val="single" w:color="auto" w:sz="4" w:space="0"/>
              <w:right w:val="single" w:color="auto" w:sz="4" w:space="0"/>
            </w:tcBorders>
            <w:noWrap w:val="0"/>
            <w:vAlign w:val="center"/>
          </w:tcPr>
          <w:p w14:paraId="0385E7D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按实际作业点配置</w:t>
            </w:r>
          </w:p>
        </w:tc>
        <w:tc>
          <w:tcPr>
            <w:tcW w:w="660" w:type="dxa"/>
            <w:tcBorders>
              <w:top w:val="single" w:color="auto" w:sz="4" w:space="0"/>
              <w:left w:val="nil"/>
              <w:bottom w:val="single" w:color="auto" w:sz="4" w:space="0"/>
              <w:right w:val="single" w:color="auto" w:sz="4" w:space="0"/>
            </w:tcBorders>
            <w:noWrap w:val="0"/>
            <w:vAlign w:val="center"/>
          </w:tcPr>
          <w:p w14:paraId="2566D7B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325" w:type="dxa"/>
            <w:tcBorders>
              <w:top w:val="single" w:color="auto" w:sz="4" w:space="0"/>
              <w:left w:val="nil"/>
              <w:bottom w:val="single" w:color="auto" w:sz="4" w:space="0"/>
              <w:right w:val="single" w:color="auto" w:sz="4" w:space="0"/>
            </w:tcBorders>
            <w:noWrap w:val="0"/>
            <w:vAlign w:val="center"/>
          </w:tcPr>
          <w:p w14:paraId="57482BAF">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660" w:type="dxa"/>
            <w:tcBorders>
              <w:top w:val="single" w:color="auto" w:sz="4" w:space="0"/>
              <w:left w:val="nil"/>
              <w:bottom w:val="single" w:color="auto" w:sz="4" w:space="0"/>
              <w:right w:val="single" w:color="auto" w:sz="4" w:space="0"/>
            </w:tcBorders>
            <w:noWrap w:val="0"/>
            <w:vAlign w:val="center"/>
          </w:tcPr>
          <w:p w14:paraId="5456D62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608" w:type="dxa"/>
            <w:tcBorders>
              <w:top w:val="single" w:color="auto" w:sz="4" w:space="0"/>
              <w:left w:val="nil"/>
              <w:bottom w:val="single" w:color="auto" w:sz="4" w:space="0"/>
              <w:right w:val="single" w:color="auto" w:sz="4" w:space="0"/>
            </w:tcBorders>
            <w:noWrap w:val="0"/>
            <w:vAlign w:val="center"/>
          </w:tcPr>
          <w:p w14:paraId="0C28D57F">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如有需要</w:t>
            </w:r>
          </w:p>
        </w:tc>
      </w:tr>
      <w:tr w14:paraId="7DDA088B">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47947E3C">
            <w:pPr>
              <w:widowControl/>
              <w:jc w:val="left"/>
              <w:rPr>
                <w:rFonts w:ascii="仿宋_GB2312" w:hAnsi="宋体" w:eastAsia="仿宋_GB2312" w:cs="宋体"/>
                <w:color w:val="auto"/>
                <w:kern w:val="0"/>
                <w:szCs w:val="21"/>
                <w:highlight w:val="none"/>
              </w:rPr>
            </w:pPr>
          </w:p>
        </w:tc>
        <w:tc>
          <w:tcPr>
            <w:tcW w:w="709" w:type="dxa"/>
            <w:vMerge w:val="restart"/>
            <w:tcBorders>
              <w:top w:val="nil"/>
              <w:left w:val="single" w:color="auto" w:sz="4" w:space="0"/>
              <w:bottom w:val="single" w:color="auto" w:sz="4" w:space="0"/>
              <w:right w:val="single" w:color="auto" w:sz="4" w:space="0"/>
            </w:tcBorders>
            <w:noWrap w:val="0"/>
            <w:vAlign w:val="center"/>
          </w:tcPr>
          <w:p w14:paraId="097A7836">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救援设备</w:t>
            </w:r>
          </w:p>
        </w:tc>
        <w:tc>
          <w:tcPr>
            <w:tcW w:w="1417" w:type="dxa"/>
            <w:tcBorders>
              <w:top w:val="nil"/>
              <w:left w:val="nil"/>
              <w:bottom w:val="single" w:color="auto" w:sz="4" w:space="0"/>
              <w:right w:val="single" w:color="auto" w:sz="4" w:space="0"/>
            </w:tcBorders>
            <w:noWrap w:val="0"/>
            <w:vAlign w:val="center"/>
          </w:tcPr>
          <w:p w14:paraId="49E8EE9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应急吊机</w:t>
            </w:r>
          </w:p>
        </w:tc>
        <w:tc>
          <w:tcPr>
            <w:tcW w:w="3119" w:type="dxa"/>
            <w:tcBorders>
              <w:top w:val="nil"/>
              <w:left w:val="nil"/>
              <w:bottom w:val="single" w:color="auto" w:sz="4" w:space="0"/>
              <w:right w:val="single" w:color="auto" w:sz="4" w:space="0"/>
            </w:tcBorders>
            <w:noWrap w:val="0"/>
            <w:vAlign w:val="center"/>
          </w:tcPr>
          <w:p w14:paraId="64B1F29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4B9D71B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台</w:t>
            </w:r>
          </w:p>
        </w:tc>
        <w:tc>
          <w:tcPr>
            <w:tcW w:w="1325" w:type="dxa"/>
            <w:tcBorders>
              <w:top w:val="nil"/>
              <w:left w:val="nil"/>
              <w:bottom w:val="single" w:color="auto" w:sz="4" w:space="0"/>
              <w:right w:val="single" w:color="auto" w:sz="4" w:space="0"/>
            </w:tcBorders>
            <w:noWrap w:val="0"/>
            <w:vAlign w:val="center"/>
          </w:tcPr>
          <w:p w14:paraId="223877C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660" w:type="dxa"/>
            <w:tcBorders>
              <w:top w:val="nil"/>
              <w:left w:val="nil"/>
              <w:bottom w:val="single" w:color="auto" w:sz="4" w:space="0"/>
              <w:right w:val="single" w:color="auto" w:sz="4" w:space="0"/>
            </w:tcBorders>
            <w:noWrap w:val="0"/>
            <w:vAlign w:val="center"/>
          </w:tcPr>
          <w:p w14:paraId="781A302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台</w:t>
            </w:r>
          </w:p>
        </w:tc>
        <w:tc>
          <w:tcPr>
            <w:tcW w:w="1608" w:type="dxa"/>
            <w:tcBorders>
              <w:top w:val="nil"/>
              <w:left w:val="nil"/>
              <w:bottom w:val="single" w:color="auto" w:sz="4" w:space="0"/>
              <w:right w:val="single" w:color="auto" w:sz="4" w:space="0"/>
            </w:tcBorders>
            <w:noWrap w:val="0"/>
            <w:vAlign w:val="center"/>
          </w:tcPr>
          <w:p w14:paraId="24F9055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7F6080EE">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1FD85E7E">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5EBE2AA5">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68A2371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三脚架</w:t>
            </w:r>
          </w:p>
        </w:tc>
        <w:tc>
          <w:tcPr>
            <w:tcW w:w="3119" w:type="dxa"/>
            <w:tcBorders>
              <w:top w:val="nil"/>
              <w:left w:val="nil"/>
              <w:bottom w:val="single" w:color="auto" w:sz="4" w:space="0"/>
              <w:right w:val="single" w:color="auto" w:sz="4" w:space="0"/>
            </w:tcBorders>
            <w:noWrap w:val="0"/>
            <w:vAlign w:val="center"/>
          </w:tcPr>
          <w:p w14:paraId="474E5F7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33317F2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325" w:type="dxa"/>
            <w:tcBorders>
              <w:top w:val="nil"/>
              <w:left w:val="nil"/>
              <w:bottom w:val="single" w:color="auto" w:sz="4" w:space="0"/>
              <w:right w:val="single" w:color="auto" w:sz="4" w:space="0"/>
            </w:tcBorders>
            <w:noWrap w:val="0"/>
            <w:vAlign w:val="center"/>
          </w:tcPr>
          <w:p w14:paraId="57C5423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660" w:type="dxa"/>
            <w:tcBorders>
              <w:top w:val="nil"/>
              <w:left w:val="nil"/>
              <w:bottom w:val="single" w:color="auto" w:sz="4" w:space="0"/>
              <w:right w:val="single" w:color="auto" w:sz="4" w:space="0"/>
            </w:tcBorders>
            <w:noWrap/>
            <w:vAlign w:val="center"/>
          </w:tcPr>
          <w:p w14:paraId="07400E8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608" w:type="dxa"/>
            <w:tcBorders>
              <w:top w:val="nil"/>
              <w:left w:val="nil"/>
              <w:bottom w:val="single" w:color="auto" w:sz="4" w:space="0"/>
              <w:right w:val="single" w:color="auto" w:sz="4" w:space="0"/>
            </w:tcBorders>
            <w:noWrap w:val="0"/>
            <w:vAlign w:val="center"/>
          </w:tcPr>
          <w:p w14:paraId="69DF3C1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55A8C1DD">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1364F174">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6B6ED7C6">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18A3849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救生衣</w:t>
            </w:r>
          </w:p>
        </w:tc>
        <w:tc>
          <w:tcPr>
            <w:tcW w:w="3119" w:type="dxa"/>
            <w:tcBorders>
              <w:top w:val="nil"/>
              <w:left w:val="nil"/>
              <w:bottom w:val="single" w:color="auto" w:sz="4" w:space="0"/>
              <w:right w:val="single" w:color="auto" w:sz="4" w:space="0"/>
            </w:tcBorders>
            <w:noWrap w:val="0"/>
            <w:vAlign w:val="center"/>
          </w:tcPr>
          <w:p w14:paraId="281DF8A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5D0AE8D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件</w:t>
            </w:r>
          </w:p>
        </w:tc>
        <w:tc>
          <w:tcPr>
            <w:tcW w:w="1325" w:type="dxa"/>
            <w:tcBorders>
              <w:top w:val="nil"/>
              <w:left w:val="nil"/>
              <w:bottom w:val="single" w:color="auto" w:sz="4" w:space="0"/>
              <w:right w:val="single" w:color="auto" w:sz="4" w:space="0"/>
            </w:tcBorders>
            <w:noWrap w:val="0"/>
            <w:vAlign w:val="center"/>
          </w:tcPr>
          <w:p w14:paraId="7C02835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660" w:type="dxa"/>
            <w:tcBorders>
              <w:top w:val="nil"/>
              <w:left w:val="nil"/>
              <w:bottom w:val="single" w:color="auto" w:sz="4" w:space="0"/>
              <w:right w:val="single" w:color="auto" w:sz="4" w:space="0"/>
            </w:tcBorders>
            <w:noWrap w:val="0"/>
            <w:vAlign w:val="center"/>
          </w:tcPr>
          <w:p w14:paraId="6197E75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件</w:t>
            </w:r>
          </w:p>
        </w:tc>
        <w:tc>
          <w:tcPr>
            <w:tcW w:w="1608" w:type="dxa"/>
            <w:tcBorders>
              <w:top w:val="nil"/>
              <w:left w:val="nil"/>
              <w:bottom w:val="single" w:color="auto" w:sz="4" w:space="0"/>
              <w:right w:val="single" w:color="auto" w:sz="4" w:space="0"/>
            </w:tcBorders>
            <w:noWrap w:val="0"/>
            <w:vAlign w:val="center"/>
          </w:tcPr>
          <w:p w14:paraId="154D3D5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70F6F073">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526EB470">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4594CACD">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085ED0D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救生圈</w:t>
            </w:r>
          </w:p>
        </w:tc>
        <w:tc>
          <w:tcPr>
            <w:tcW w:w="3119" w:type="dxa"/>
            <w:tcBorders>
              <w:top w:val="nil"/>
              <w:left w:val="nil"/>
              <w:bottom w:val="single" w:color="auto" w:sz="4" w:space="0"/>
              <w:right w:val="single" w:color="auto" w:sz="4" w:space="0"/>
            </w:tcBorders>
            <w:noWrap w:val="0"/>
            <w:vAlign w:val="center"/>
          </w:tcPr>
          <w:p w14:paraId="2C0440F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6851E29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1D4A9C96">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660" w:type="dxa"/>
            <w:tcBorders>
              <w:top w:val="nil"/>
              <w:left w:val="nil"/>
              <w:bottom w:val="single" w:color="auto" w:sz="4" w:space="0"/>
              <w:right w:val="single" w:color="auto" w:sz="4" w:space="0"/>
            </w:tcBorders>
            <w:noWrap w:val="0"/>
            <w:vAlign w:val="center"/>
          </w:tcPr>
          <w:p w14:paraId="55F18F5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5C5FC9F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bl>
    <w:p w14:paraId="7C4018E2">
      <w:pPr>
        <w:spacing w:line="360" w:lineRule="auto"/>
        <w:rPr>
          <w:rFonts w:hint="eastAsia" w:ascii="宋体" w:hAnsi="宋体" w:cs="宋体"/>
          <w:b/>
          <w:bCs/>
          <w:color w:val="auto"/>
          <w:sz w:val="24"/>
          <w:szCs w:val="24"/>
          <w:highlight w:val="none"/>
        </w:rPr>
      </w:pPr>
    </w:p>
    <w:p w14:paraId="1959D2E5">
      <w:pPr>
        <w:spacing w:line="360" w:lineRule="auto"/>
        <w:rPr>
          <w:rFonts w:hint="eastAsia" w:ascii="宋体" w:hAnsi="宋体" w:cs="宋体"/>
          <w:color w:val="auto"/>
          <w:sz w:val="24"/>
          <w:highlight w:val="none"/>
          <w:lang w:val="en-US" w:eastAsia="zh-CN"/>
        </w:rPr>
      </w:pPr>
      <w:r>
        <w:rPr>
          <w:rFonts w:hint="eastAsia" w:ascii="黑体" w:hAnsi="黑体" w:eastAsia="黑体" w:cs="黑体"/>
          <w:b w:val="0"/>
          <w:bCs w:val="0"/>
          <w:color w:val="auto"/>
          <w:sz w:val="32"/>
          <w:szCs w:val="32"/>
          <w:highlight w:val="none"/>
        </w:rPr>
        <w:t>附件</w:t>
      </w:r>
      <w:r>
        <w:rPr>
          <w:rFonts w:hint="eastAsia" w:ascii="黑体" w:hAnsi="黑体" w:eastAsia="黑体" w:cs="黑体"/>
          <w:b w:val="0"/>
          <w:bCs w:val="0"/>
          <w:color w:val="auto"/>
          <w:sz w:val="32"/>
          <w:szCs w:val="32"/>
          <w:highlight w:val="none"/>
          <w:lang w:val="en-US" w:eastAsia="zh-CN"/>
        </w:rPr>
        <w:t>8</w:t>
      </w:r>
    </w:p>
    <w:tbl>
      <w:tblPr>
        <w:tblStyle w:val="25"/>
        <w:tblW w:w="6001" w:type="pct"/>
        <w:tblInd w:w="-9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3"/>
        <w:gridCol w:w="637"/>
        <w:gridCol w:w="675"/>
        <w:gridCol w:w="2800"/>
        <w:gridCol w:w="1688"/>
        <w:gridCol w:w="1550"/>
        <w:gridCol w:w="1512"/>
        <w:gridCol w:w="1550"/>
      </w:tblGrid>
      <w:tr w14:paraId="77AD7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5000" w:type="pct"/>
            <w:gridSpan w:val="8"/>
            <w:tcBorders>
              <w:top w:val="nil"/>
              <w:left w:val="nil"/>
              <w:bottom w:val="nil"/>
              <w:right w:val="nil"/>
            </w:tcBorders>
            <w:shd w:val="clear" w:color="auto" w:fill="auto"/>
            <w:noWrap/>
            <w:vAlign w:val="center"/>
          </w:tcPr>
          <w:p w14:paraId="5150C6CB">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t>营运项目承包单位日常履约考评参照表（安全）</w:t>
            </w:r>
          </w:p>
        </w:tc>
      </w:tr>
      <w:tr w14:paraId="4B71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A53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序号</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4D7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考评项目</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2346">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考评分项</w:t>
            </w:r>
          </w:p>
        </w:tc>
        <w:tc>
          <w:tcPr>
            <w:tcW w:w="12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A1E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考评内容</w:t>
            </w:r>
          </w:p>
        </w:tc>
        <w:tc>
          <w:tcPr>
            <w:tcW w:w="28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F99253">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r>
      <w:tr w14:paraId="2E729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3" w:hRule="atLeast"/>
        </w:trPr>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5ED99">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5CEC">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DB7EC">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12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FBE8">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8CC9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合同金额＜5万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53D1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5万≤合同金额＜30万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1F5E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30万≤合同金额＜100万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3EB9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合同金额≥100万</w:t>
            </w:r>
          </w:p>
        </w:tc>
      </w:tr>
      <w:tr w14:paraId="0647E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3"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94B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756AF">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安全事故</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48A8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事故类型</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BC1EF">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发生发生3人及以上重伤或发生1人及以上死亡或直接经济损失达200万元以上的安全生产事故</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F409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按“四不放过”调查后处理</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E7A2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按“四不放过”调查后处理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7CC16">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按“四不放过”调查后处理</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3E14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按“四不放过”调查后处理</w:t>
            </w:r>
          </w:p>
        </w:tc>
      </w:tr>
      <w:tr w14:paraId="00CE7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F06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2</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2ACB5">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6B1D">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A64EF">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发生重伤2人安全事故的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7463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扣合同金额的30%～50%；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或1万～2万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696A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扣合同金额的20%～30%；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或2万～4万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81B0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扣合同金额的10%～20%；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或4万～8万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8B67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扣合同金额的5%～10%;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或8万～12万</w:t>
            </w:r>
          </w:p>
        </w:tc>
      </w:tr>
      <w:tr w14:paraId="29E37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894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3</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4087F">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2390">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8C02A">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发生重伤1人安全事故的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A0F8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扣合同金额的20%～30%;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或5000～1万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4511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扣合同金额的10%～20%；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或1万～2万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59E4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扣合同金额的5%～10%；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或2万～4万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8205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扣合同金额的3%～5%；</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或4万～8万</w:t>
            </w:r>
          </w:p>
        </w:tc>
      </w:tr>
      <w:tr w14:paraId="77B63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C04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4</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9006">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15E2">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F70AC">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发生停产、影响环境、破坏公共设施、造成不良影响等事故的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33ED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扣合同金额的10%～20%；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或2000～3000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F853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扣合同金额的5%～10%；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或5000～1万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A2AD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扣合同金额的3%～5%；</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或1万～2万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378A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扣合同金额的1%～2%；</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或2万～4万</w:t>
            </w:r>
          </w:p>
        </w:tc>
      </w:tr>
      <w:tr w14:paraId="3CB64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1"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0556">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5</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11FD">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7FE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事故处理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90ED5">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1.发生事故或事件隐瞒不报的</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2.未在1小时内向业主单位上报事故的</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3.拒绝、不配合事故事件调查的或事故事件调查提供虚假信息</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4.未按规定和程序组织事故调查和事故处理的</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5.未及时处理导致事故扩大的</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6.未落实“四不放过”的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A2FB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扣合同金额的30%～50%；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或1万～2万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A3C7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扣合同金额的20%～30%；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或2万～4万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19BF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扣合同金额的10%～20%；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或4万～8万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D32F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扣合同金额的5%～10%;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或8万～12万</w:t>
            </w:r>
          </w:p>
        </w:tc>
      </w:tr>
      <w:tr w14:paraId="20CD0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5"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A74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6</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5DAA2">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首次备案施工单位须提供的资料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0B2D6">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一般资料</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2B4AD">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1.施工人员签名的安全交底表（交底内容由分公司编写），被交底人员应与人员花名册一致</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2.施工单位对施工人员的三级安全教育材料</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3.特殊时期需要增加的资料（如新冠疫情期间，需要增加的人员健康码和行程码资料）</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C334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缺资料扣合同金额的5%或500；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资料有问题扣合同金额的3%或300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EBED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缺资料扣合同金额的2%或2000；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资料有问题扣合同金额的1%或1000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46A5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缺资料扣合同金额的1%或4500；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资料有问题扣合同金额的0.4%或2000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0D03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缺资料扣合同金额的0.4%或8000；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资料有问题扣合同金额的0.2%或4000</w:t>
            </w:r>
          </w:p>
        </w:tc>
      </w:tr>
      <w:tr w14:paraId="07580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8"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4812">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7</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31953">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4783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施工方案</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FA78E">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4.施工方案，应满足合同要求，内容至少包括：</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施工点介绍</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施工内容（含作业流程、风险分析、施工工艺等）</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施工设备和材料（必要时含构件测试手段等）</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安全措施（根据工程特点、分公司的风险评估和施工单位的施工工艺制定）</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正常施工安全物资（主要是安全防护设备、劳保用品）</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91AC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缺施工方案扣合同金额的6%或700；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资料有问题扣合同金额的3%或300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CF70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缺施工方案扣合同金额的3%或3500；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资料有问题扣合同金额的1%或1000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25BE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缺施工方案扣合同金额的1.5%或5000；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资料有问题扣合同金额的0.5%或2500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648F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缺施工方案扣合同金额的0.5%或1万；</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资料有问题扣合同金额的0.3%或5000</w:t>
            </w:r>
          </w:p>
        </w:tc>
      </w:tr>
      <w:tr w14:paraId="64789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3"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289F">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8</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B68A0">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8A02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应急预案</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21A91">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5.应急预案，内容至少包括：</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现场情况介绍</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风险评估</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应急架构（包括应急主管人员和安全员，以及各应急小组，落实到人和联系方式）</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应急流程</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各种风险情况下的应急措施（根据现场情况、分公司的风险评估制定）</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应急物资清单</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外单位救援力量及联系方式等</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C93AF">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缺应急预案扣合同金额的6%或700；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资料有问题扣合同金额的3%或300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91C3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缺应急预案扣合同金额的3%或3500；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资料有问题扣合同金额的1%或1000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1159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缺应急预案扣合同金额的1.5%或5000；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资料有问题扣合同金额的0.5%或2500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C92EB">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缺应急预案扣合同金额的0.5%或1万；</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资料有问题扣合同金额的0.3%或5000</w:t>
            </w:r>
          </w:p>
        </w:tc>
      </w:tr>
      <w:tr w14:paraId="238D2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8DB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9</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07B11">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E729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安全架构</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E41B3">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6.安全架构和相应安全责任制（落实到人和联系方式），可编写入施工方案内，架构人员主要包括：</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安全责任人</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施工负责人（可与安全责任人为同一个人）</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安全员</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设备、物资管理人员</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关键岗位人员、特种作业人员</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12802">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缺安全架构扣合同金额的10%或2000；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缺少任何一类人员及其职责的扣合同金额的6%或700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C872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缺安全架构扣合同金额的5%或5000；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缺少任何一类人员及其职责的扣合同金额的2%或2000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52792">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缺安全架构扣合同金额的2%或1万；</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缺少任何一类人员及其职责的扣合同金额的1%或5000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7C43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缺安全架构扣合同金额的1%或2万；</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缺少任何一类人员及其职责的扣合同金额的0.5%或1万</w:t>
            </w:r>
          </w:p>
        </w:tc>
      </w:tr>
      <w:tr w14:paraId="29C0D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FC39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10</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5BA6E">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BE0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人员资质</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AEA25">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7.施工人员花名册，人员应包含：</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施工负责人（需要施工管理人员资格证书）</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特种作业人员（附证件号，同时要复印特种作业证，特种作业人数应满足合同要求）</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一般施工人员</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可能需要进入厂区的其他人员（如监理人员、资料员等）</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注：如作业涉及危险作业，作业人员须有作业人员岗前职业病体检和筛选</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66A3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缺花名册扣合同金额的5%或500；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缺特种作业人员或特种作业人员不满足合同要求，扣合同金额的5%或500；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其他人员或资料有缺漏扣合同金额的3%或300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C46B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缺花名册扣合同金额的2%或2000；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缺特种作业人员或特种作业人员不满足合同要求，扣合同金额的2%或2000；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其他人员或资料有缺漏扣合同金额的1%或1000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20CA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缺花名册扣合同金额的1%或4500；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缺特种作业人员或特种作业人员不满足合同要求，扣合同金额的1%或4500；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其他人员或资料有缺漏扣合同金额的0.4%或2000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953E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缺花名册扣合同金额的0.4%或8000；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缺特种作业人员或特种作业人员不满足合同要求，扣合同金额的0.4%或8000；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其他人员或资料有缺漏扣合同金额的0.2%或4000</w:t>
            </w:r>
          </w:p>
        </w:tc>
      </w:tr>
      <w:tr w14:paraId="7B81A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A6FF">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11</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1C33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施工现场管理</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5530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现场面貌</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84755">
            <w:pPr>
              <w:keepNext w:val="0"/>
              <w:keepLines w:val="0"/>
              <w:widowControl/>
              <w:suppressLineNumbers w:val="0"/>
              <w:spacing w:line="290" w:lineRule="exac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1.施工现场未开展有效围蔽</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3.现场无危险源公示、告知及相应警示</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4.材料堆放存在重大隐患</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5D24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扣合同金额的6%或700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E65F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扣合同金额的3%或3500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CE5C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扣合同金额的1.5%或5000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69A76">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扣合同金额的0.5%或1万</w:t>
            </w:r>
          </w:p>
        </w:tc>
      </w:tr>
      <w:tr w14:paraId="7A4DC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9"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1C2D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12</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DF9AF">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8C6B">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施工管理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D1F30">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1.现场未按施工方案落实安全防范措施的</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2.危险作业未经业主人员审批先行施工的</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3.未按施工方案施工的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4114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扣合同金额的10%或2000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98C6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扣合同金额的5%或5000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7608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扣合同金额的2%或1万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131EB">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扣合同金额的1%或2万</w:t>
            </w:r>
          </w:p>
        </w:tc>
      </w:tr>
      <w:tr w14:paraId="1B8A3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4"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8DD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13</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2E8DF">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84F4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每日安全交底</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16534">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1.缺少书面交底、未留存书面资料或交底资料缺少交底人、被交底人及安全员签字的</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2.内容未结合当天的现场状况、特点、工序，对危险因素、施工内容、安全作业和应急措施进行交底的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AB18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AB61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E1B16">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FC89F">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扣合同金额的0.3%或5000</w:t>
            </w:r>
          </w:p>
        </w:tc>
      </w:tr>
      <w:tr w14:paraId="01A17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40A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14</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9892E">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45E63">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作业行为管理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5852C">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1.违反9大危险作业相关作业规范的</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2.现场存在违章作业、违章指挥等违反相关安全管理规定或制度的</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3.人员错误使用劳保用品3次以上的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4115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扣合同金额的6%或700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B426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扣合同金额的3%或3500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0DEA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扣合同金额的1.5%或5000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57D0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扣合同金额的0.5%或1万</w:t>
            </w:r>
          </w:p>
        </w:tc>
      </w:tr>
      <w:tr w14:paraId="693EC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AB6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15</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3EAFF">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F53B0">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安全记录</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5110E">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未按施工要求开展现场记录或记录内容有缺失</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8E2C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D1D2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112F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CAD5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扣合同金额的0.3%或5000</w:t>
            </w:r>
          </w:p>
        </w:tc>
      </w:tr>
      <w:tr w14:paraId="61F05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9B5B">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16</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43875">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CEDBE">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应急管理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7C95D">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1.未设置应急物资点，未统一存放应急物资</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2.应急物资点无应急物资清单或无应急物资每日检查表</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3.无开展日常应急培训、训练、演练或无资料留档的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1320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EB89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9841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6128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扣合同金额的0.3%或5000</w:t>
            </w:r>
          </w:p>
        </w:tc>
      </w:tr>
      <w:tr w14:paraId="0238E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1A6B">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17</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6A210">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FC82B">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人员管理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3DBE6">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人员变更无完善的手续及资料的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9FD4B">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9869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7AA6B">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525A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扣合同金额的0.3%或5000</w:t>
            </w:r>
          </w:p>
        </w:tc>
      </w:tr>
      <w:tr w14:paraId="3DC52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7C2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18</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00686">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272EC">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隐患管理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3CD66">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未及时对发现的隐患开展整改的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A5F0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扣合同金额的5%或500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88EA2">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扣合同金额的2%或2000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201E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扣合同金额的1%或4500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1E3A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扣合同金额的0.4%或8000</w:t>
            </w:r>
          </w:p>
        </w:tc>
      </w:tr>
      <w:tr w14:paraId="4C0BC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7"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1D2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19</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AF804">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4ABDC">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其他</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850F3">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违反业主或上级主管部门提出的其他管理要求、文件、规定或拒不执行的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E7F7B">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扣合同金额的3%～5%；</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或300～500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B62A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扣合同金额的1%～2%；</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或1000～2000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6B6FB">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扣合同金额的0.5%～1%；</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或2500～4500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D1DD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扣合同金额的0.3%～0.4%；</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或5000～8000</w:t>
            </w:r>
          </w:p>
        </w:tc>
      </w:tr>
      <w:tr w14:paraId="0D31A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FD2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20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B1F2">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314B">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A5208">
            <w:pPr>
              <w:widowControl/>
              <w:spacing w:line="290" w:lineRule="exact"/>
              <w:jc w:val="both"/>
              <w:rPr>
                <w:rFonts w:hint="eastAsia" w:ascii="仿宋_GB2312" w:hAnsi="仿宋_GB2312" w:eastAsia="仿宋_GB2312" w:cs="仿宋_GB2312"/>
                <w:i w:val="0"/>
                <w:iCs w:val="0"/>
                <w:color w:val="auto"/>
                <w:sz w:val="21"/>
                <w:szCs w:val="21"/>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2882B">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6D545">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B7727">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B05C4">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r>
      <w:tr w14:paraId="350FB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9" w:hRule="atLeast"/>
        </w:trPr>
        <w:tc>
          <w:tcPr>
            <w:tcW w:w="5000" w:type="pct"/>
            <w:gridSpan w:val="8"/>
            <w:tcBorders>
              <w:top w:val="nil"/>
              <w:left w:val="nil"/>
              <w:bottom w:val="nil"/>
              <w:right w:val="nil"/>
            </w:tcBorders>
            <w:shd w:val="clear" w:color="auto" w:fill="auto"/>
            <w:vAlign w:val="center"/>
          </w:tcPr>
          <w:p w14:paraId="61D233AA">
            <w:pPr>
              <w:keepNext w:val="0"/>
              <w:keepLines w:val="0"/>
              <w:widowControl/>
              <w:suppressLineNumbers w:val="0"/>
              <w:spacing w:line="290" w:lineRule="exac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注：1、与安全管理相关的考评内容具体考评标准内容参照广州市净水有限公司标准《工程项目安全管理规范》（Q/GZJSA 1-2021）执行。</w:t>
            </w:r>
          </w:p>
        </w:tc>
      </w:tr>
    </w:tbl>
    <w:p w14:paraId="1F89BB04">
      <w:pPr>
        <w:spacing w:line="320" w:lineRule="exact"/>
        <w:rPr>
          <w:rFonts w:hint="eastAsia" w:ascii="宋体" w:hAnsi="宋体" w:cs="宋体"/>
          <w:color w:val="auto"/>
          <w:sz w:val="24"/>
          <w:highlight w:val="none"/>
          <w:lang w:val="en-US" w:eastAsia="zh-CN"/>
        </w:rPr>
      </w:pPr>
      <w:r>
        <w:rPr>
          <w:rFonts w:hint="eastAsia" w:ascii="仿宋_GB2312" w:hAnsi="仿宋_GB2312" w:eastAsia="仿宋_GB2312" w:cs="仿宋_GB2312"/>
          <w:color w:val="auto"/>
          <w:sz w:val="21"/>
          <w:szCs w:val="21"/>
          <w:highlight w:val="none"/>
          <w:lang w:val="en-US" w:eastAsia="zh-CN"/>
        </w:rPr>
        <w:br w:type="page"/>
      </w:r>
    </w:p>
    <w:tbl>
      <w:tblPr>
        <w:tblStyle w:val="25"/>
        <w:tblW w:w="582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2"/>
        <w:gridCol w:w="763"/>
        <w:gridCol w:w="640"/>
        <w:gridCol w:w="2910"/>
        <w:gridCol w:w="1376"/>
        <w:gridCol w:w="900"/>
        <w:gridCol w:w="915"/>
        <w:gridCol w:w="960"/>
        <w:gridCol w:w="885"/>
        <w:gridCol w:w="686"/>
      </w:tblGrid>
      <w:tr w14:paraId="6C316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000" w:type="pct"/>
            <w:gridSpan w:val="10"/>
            <w:tcBorders>
              <w:top w:val="nil"/>
              <w:left w:val="nil"/>
              <w:bottom w:val="nil"/>
              <w:right w:val="nil"/>
            </w:tcBorders>
            <w:shd w:val="clear" w:color="auto" w:fill="auto"/>
            <w:noWrap/>
            <w:vAlign w:val="center"/>
          </w:tcPr>
          <w:p w14:paraId="29E25A4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t>营运项目承包单位综合履约考评表（安全）</w:t>
            </w:r>
          </w:p>
        </w:tc>
      </w:tr>
      <w:tr w14:paraId="29EDC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jc w:val="center"/>
        </w:trPr>
        <w:tc>
          <w:tcPr>
            <w:tcW w:w="2287" w:type="pct"/>
            <w:gridSpan w:val="4"/>
            <w:tcBorders>
              <w:top w:val="nil"/>
              <w:left w:val="nil"/>
              <w:bottom w:val="nil"/>
              <w:right w:val="nil"/>
            </w:tcBorders>
            <w:shd w:val="clear" w:color="auto" w:fill="auto"/>
            <w:noWrap/>
            <w:vAlign w:val="center"/>
          </w:tcPr>
          <w:p w14:paraId="14EFC895">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8"/>
                <w:szCs w:val="28"/>
                <w:highlight w:val="none"/>
                <w:u w:val="none"/>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项目名称：</w:t>
            </w:r>
          </w:p>
        </w:tc>
        <w:tc>
          <w:tcPr>
            <w:tcW w:w="652" w:type="pct"/>
            <w:tcBorders>
              <w:top w:val="nil"/>
              <w:left w:val="nil"/>
              <w:bottom w:val="nil"/>
              <w:right w:val="nil"/>
            </w:tcBorders>
            <w:shd w:val="clear" w:color="auto" w:fill="auto"/>
            <w:noWrap/>
            <w:vAlign w:val="center"/>
          </w:tcPr>
          <w:p w14:paraId="0F94E1D5">
            <w:pPr>
              <w:jc w:val="center"/>
              <w:rPr>
                <w:rFonts w:hint="eastAsia" w:ascii="仿宋_GB2312" w:hAnsi="仿宋_GB2312" w:eastAsia="仿宋_GB2312" w:cs="仿宋_GB2312"/>
                <w:b w:val="0"/>
                <w:bCs w:val="0"/>
                <w:i w:val="0"/>
                <w:iCs w:val="0"/>
                <w:color w:val="auto"/>
                <w:sz w:val="28"/>
                <w:szCs w:val="28"/>
                <w:highlight w:val="none"/>
                <w:u w:val="none"/>
              </w:rPr>
            </w:pPr>
          </w:p>
        </w:tc>
        <w:tc>
          <w:tcPr>
            <w:tcW w:w="2060" w:type="pct"/>
            <w:gridSpan w:val="5"/>
            <w:tcBorders>
              <w:top w:val="nil"/>
              <w:left w:val="nil"/>
              <w:bottom w:val="nil"/>
              <w:right w:val="nil"/>
            </w:tcBorders>
            <w:shd w:val="clear" w:color="auto" w:fill="auto"/>
            <w:noWrap/>
            <w:vAlign w:val="center"/>
          </w:tcPr>
          <w:p w14:paraId="63E863EE">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8"/>
                <w:szCs w:val="28"/>
                <w:highlight w:val="none"/>
                <w:u w:val="none"/>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综合考评日期：    年  月   日</w:t>
            </w:r>
          </w:p>
        </w:tc>
      </w:tr>
      <w:tr w14:paraId="0B1B4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B40E1">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序号</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7BF81">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考评项目</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11EF3">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考评分项</w:t>
            </w:r>
          </w:p>
        </w:tc>
        <w:tc>
          <w:tcPr>
            <w:tcW w:w="1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1F5E">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考评内容</w:t>
            </w:r>
          </w:p>
        </w:tc>
        <w:tc>
          <w:tcPr>
            <w:tcW w:w="6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A6774">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考评标准</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4432B">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监理单位考评</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82E2A">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分公司考评</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26DA1">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公司考评</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D87D9">
            <w:pPr>
              <w:keepNext w:val="0"/>
              <w:keepLines w:val="0"/>
              <w:widowControl w:val="0"/>
              <w:suppressLineNumbers w:val="0"/>
              <w:spacing w:line="360" w:lineRule="exact"/>
              <w:ind w:right="-10" w:rightChars="0"/>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综合考评</w:t>
            </w:r>
          </w:p>
        </w:tc>
      </w:tr>
      <w:tr w14:paraId="7A11B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jc w:val="center"/>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09D0">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FCEB4">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97E6E">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1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DC556">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8DEB1">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65023">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F530E">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8F411">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业务主管部门</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E5309">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安全管理部门</w:t>
            </w: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C8AFA">
            <w:pPr>
              <w:spacing w:line="360" w:lineRule="exact"/>
              <w:jc w:val="center"/>
              <w:rPr>
                <w:rFonts w:hint="eastAsia" w:ascii="仿宋_GB2312" w:hAnsi="仿宋_GB2312" w:eastAsia="仿宋_GB2312" w:cs="仿宋_GB2312"/>
                <w:i w:val="0"/>
                <w:iCs w:val="0"/>
                <w:color w:val="auto"/>
                <w:sz w:val="21"/>
                <w:szCs w:val="21"/>
                <w:highlight w:val="none"/>
                <w:u w:val="none"/>
              </w:rPr>
            </w:pPr>
          </w:p>
        </w:tc>
      </w:tr>
      <w:tr w14:paraId="1865E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C6BDB">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一、加分部分</w:t>
            </w:r>
          </w:p>
        </w:tc>
      </w:tr>
      <w:tr w14:paraId="6D77F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E6F2">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2B853">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综合管理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AC766">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受到业主单位或上级管理部门通报表扬的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092E7">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加5～10分/项，可叠加</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A8CE6">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9A8A9">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FE8A6">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74276">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5B405">
            <w:pPr>
              <w:spacing w:line="360" w:lineRule="exact"/>
              <w:jc w:val="both"/>
              <w:rPr>
                <w:rFonts w:hint="eastAsia" w:ascii="仿宋_GB2312" w:hAnsi="仿宋_GB2312" w:eastAsia="仿宋_GB2312" w:cs="仿宋_GB2312"/>
                <w:i w:val="0"/>
                <w:iCs w:val="0"/>
                <w:color w:val="auto"/>
                <w:sz w:val="21"/>
                <w:szCs w:val="21"/>
                <w:highlight w:val="none"/>
                <w:u w:val="none"/>
              </w:rPr>
            </w:pPr>
          </w:p>
        </w:tc>
      </w:tr>
      <w:tr w14:paraId="66325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265C">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2</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ECCDA">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现场管理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CB99E">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积极配合业主单位做好安全工作及相关宣传教育，积极主动排查隐患的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C0075">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加5分/项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A449D">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CBE3F">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E115A">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AF46D">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4A1F7">
            <w:pPr>
              <w:spacing w:line="360" w:lineRule="exact"/>
              <w:jc w:val="both"/>
              <w:rPr>
                <w:rFonts w:hint="eastAsia" w:ascii="仿宋_GB2312" w:hAnsi="仿宋_GB2312" w:eastAsia="仿宋_GB2312" w:cs="仿宋_GB2312"/>
                <w:i w:val="0"/>
                <w:iCs w:val="0"/>
                <w:color w:val="auto"/>
                <w:sz w:val="21"/>
                <w:szCs w:val="21"/>
                <w:highlight w:val="none"/>
                <w:u w:val="none"/>
              </w:rPr>
            </w:pPr>
          </w:p>
        </w:tc>
      </w:tr>
      <w:tr w14:paraId="3E47D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EAE23">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二、扣分部分</w:t>
            </w:r>
          </w:p>
        </w:tc>
      </w:tr>
      <w:tr w14:paraId="19AC4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9343">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3</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435D3">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安全事故</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A356E">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事故类型</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C0572">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发生重伤1人及以上安全事故，或直接经济损失达200万元以上的安全生产事故</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FAB2F">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扣100分/项，同时3年内禁止来我公司投标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ABAE2">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FB3EC">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66A3C">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CEDF2">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BD3F6">
            <w:pPr>
              <w:spacing w:line="360" w:lineRule="exact"/>
              <w:jc w:val="both"/>
              <w:rPr>
                <w:rFonts w:hint="eastAsia" w:ascii="仿宋_GB2312" w:hAnsi="仿宋_GB2312" w:eastAsia="仿宋_GB2312" w:cs="仿宋_GB2312"/>
                <w:i w:val="0"/>
                <w:iCs w:val="0"/>
                <w:color w:val="auto"/>
                <w:sz w:val="21"/>
                <w:szCs w:val="21"/>
                <w:highlight w:val="none"/>
                <w:u w:val="none"/>
              </w:rPr>
            </w:pPr>
          </w:p>
        </w:tc>
      </w:tr>
      <w:tr w14:paraId="08A66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EC9A">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6</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3F7B2">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055C5">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45C8D">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发生停产、影响环境、破坏公共设施、造成不良影响等事故的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24644">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扣40分/项，可叠加，到达100分，3年内禁止来我公司投标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B0DD8">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7F48B">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729DC">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8ED55">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A58A5">
            <w:pPr>
              <w:spacing w:line="360" w:lineRule="exact"/>
              <w:jc w:val="both"/>
              <w:rPr>
                <w:rFonts w:hint="eastAsia" w:ascii="仿宋_GB2312" w:hAnsi="仿宋_GB2312" w:eastAsia="仿宋_GB2312" w:cs="仿宋_GB2312"/>
                <w:i w:val="0"/>
                <w:iCs w:val="0"/>
                <w:color w:val="auto"/>
                <w:sz w:val="21"/>
                <w:szCs w:val="21"/>
                <w:highlight w:val="none"/>
                <w:u w:val="none"/>
              </w:rPr>
            </w:pPr>
          </w:p>
        </w:tc>
      </w:tr>
      <w:tr w14:paraId="2B584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C074">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7</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0F096">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9F8A9">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事故处理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240C9">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1.发生事故或事件隐瞒不报的</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2.未在1小时内向业主单位上报事故的</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3.拒绝、不配合事故事件调查的或事故事件调查提供虚假信息</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4.未按规定和程序组织事故调查和事故处理的</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5.未及时处理导致事故扩大的</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6.未落实“四不放过”的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596D7">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扣100分/项，同时3年内禁止来我公司投标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8C3A4">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8C448">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CBD1F">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1F1DD">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D6C42">
            <w:pPr>
              <w:spacing w:line="360" w:lineRule="exact"/>
              <w:jc w:val="both"/>
              <w:rPr>
                <w:rFonts w:hint="eastAsia" w:ascii="仿宋_GB2312" w:hAnsi="仿宋_GB2312" w:eastAsia="仿宋_GB2312" w:cs="仿宋_GB2312"/>
                <w:i w:val="0"/>
                <w:iCs w:val="0"/>
                <w:color w:val="auto"/>
                <w:sz w:val="21"/>
                <w:szCs w:val="21"/>
                <w:highlight w:val="none"/>
                <w:u w:val="none"/>
              </w:rPr>
            </w:pPr>
          </w:p>
        </w:tc>
      </w:tr>
      <w:tr w14:paraId="00D0D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F4D05">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8</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910E5">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首次备案施工单位须提供的资料</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E5741">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一般资料</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07047">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1.施工人员签名的安全交底表（交底内容由分公司编写），被交底人员应与人员花名册一致</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2.施工单位对施工人员的三级安全教育材料</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3.特殊时期需要增加的资料（如新冠疫情期间，需要增加的人员健康码和行程码资料）</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4F055">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缺资料扣3～5分/项；</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资料有问题扣1～3分/项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066E4">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6D4F1">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1F285">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AEB42">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AF9D0">
            <w:pPr>
              <w:spacing w:line="360" w:lineRule="exact"/>
              <w:jc w:val="both"/>
              <w:rPr>
                <w:rFonts w:hint="eastAsia" w:ascii="仿宋_GB2312" w:hAnsi="仿宋_GB2312" w:eastAsia="仿宋_GB2312" w:cs="仿宋_GB2312"/>
                <w:i w:val="0"/>
                <w:iCs w:val="0"/>
                <w:color w:val="auto"/>
                <w:sz w:val="21"/>
                <w:szCs w:val="21"/>
                <w:highlight w:val="none"/>
                <w:u w:val="none"/>
              </w:rPr>
            </w:pPr>
          </w:p>
        </w:tc>
      </w:tr>
      <w:tr w14:paraId="6E41B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6AD76">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9</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723D5">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CBCE1">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施工方案</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9EC11">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4.施工方案，应满足合同要求，内容至少包括：</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施工点介绍</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施工内容（含作业流程、风险分析、施工工艺等）</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施工设备和材料（必要时含构件测试手段等）</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安全措施（根据工程特点、分公司的风险评估和施工单位的施工工艺制定）</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正常施工安全物资（主要是安全防护设备、劳保用品）</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2DF6E">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缺施工方案扣4～8分/项；</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资料有问题扣1～3分/项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5E1B3">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145A3">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B675F">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9E289">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63A58">
            <w:pPr>
              <w:spacing w:line="360" w:lineRule="exact"/>
              <w:jc w:val="both"/>
              <w:rPr>
                <w:rFonts w:hint="eastAsia" w:ascii="仿宋_GB2312" w:hAnsi="仿宋_GB2312" w:eastAsia="仿宋_GB2312" w:cs="仿宋_GB2312"/>
                <w:i w:val="0"/>
                <w:iCs w:val="0"/>
                <w:color w:val="auto"/>
                <w:sz w:val="21"/>
                <w:szCs w:val="21"/>
                <w:highlight w:val="none"/>
                <w:u w:val="none"/>
              </w:rPr>
            </w:pPr>
          </w:p>
        </w:tc>
      </w:tr>
      <w:tr w14:paraId="45D07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EB62">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10</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CCD1E">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352B3">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应急预案</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85BC0">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5.应急预案，内容至少包括：</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现场情况介绍</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风险评估</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应急架构（包括应急主管人员和安全员，以及各应急小组，落实到人和联系方式）</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应急流程</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各种风险情况下的应急措施（根据现场情况、分公司的风险评估制定）</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应急物资清单</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外单位救援力量及联系方式等</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DD35E">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缺应急预案扣4～8分/项；</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资料有问题扣1～3分/项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3928B">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9612A">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9C97D">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4E426">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7443E">
            <w:pPr>
              <w:spacing w:line="360" w:lineRule="exact"/>
              <w:jc w:val="both"/>
              <w:rPr>
                <w:rFonts w:hint="eastAsia" w:ascii="仿宋_GB2312" w:hAnsi="仿宋_GB2312" w:eastAsia="仿宋_GB2312" w:cs="仿宋_GB2312"/>
                <w:i w:val="0"/>
                <w:iCs w:val="0"/>
                <w:color w:val="auto"/>
                <w:sz w:val="21"/>
                <w:szCs w:val="21"/>
                <w:highlight w:val="none"/>
                <w:u w:val="none"/>
              </w:rPr>
            </w:pPr>
          </w:p>
        </w:tc>
      </w:tr>
      <w:tr w14:paraId="4B3B3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EB9A">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11</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55F64">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A4188">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安全架构</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DA725">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6.安全架构和相应安全责任制（落实到人和联系方式），可编写入施工方案内，架构人员主要包括：</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安全责任人</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施工负责人（可与安全责任人为同一个人）</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安全员</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设备、物资管理人员</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关键岗位人员、特种作业人员</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E1748">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缺安全架构扣5～10分/项；</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缺任何一类人员及其职责有问题扣2～4分/项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6B859">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37BFC">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17ACC">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14A86">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25AE9">
            <w:pPr>
              <w:spacing w:line="360" w:lineRule="exact"/>
              <w:jc w:val="both"/>
              <w:rPr>
                <w:rFonts w:hint="eastAsia" w:ascii="仿宋_GB2312" w:hAnsi="仿宋_GB2312" w:eastAsia="仿宋_GB2312" w:cs="仿宋_GB2312"/>
                <w:i w:val="0"/>
                <w:iCs w:val="0"/>
                <w:color w:val="auto"/>
                <w:sz w:val="21"/>
                <w:szCs w:val="21"/>
                <w:highlight w:val="none"/>
                <w:u w:val="none"/>
              </w:rPr>
            </w:pPr>
          </w:p>
        </w:tc>
      </w:tr>
      <w:tr w14:paraId="19751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CFD6">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12</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71795">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F2EFC">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人员资质</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14E3C">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7.施工人员花名册，人员应包含：</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施工负责人（需要施工管理人员资格证书）</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特种作业人员（附证件号，同时要复印特种作业证，特种作业人数应满足合同要求）</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一般施工人员</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可能需要进入厂区的其他人员（如监理人员、资料员等）</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注：如作业涉及危险作业，作业人员须有作业人员岗前职业病体检和筛选</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E0606">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缺花名册扣3～5分/项；</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缺特种作业人员或特种作业人员不满足合同要求扣3～5分/项；</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其他人员或资料有缺漏扣1～3分/项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A3D92">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88AFE">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EC172">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5CF8E">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CC518">
            <w:pPr>
              <w:spacing w:line="360" w:lineRule="exact"/>
              <w:jc w:val="both"/>
              <w:rPr>
                <w:rFonts w:hint="eastAsia" w:ascii="仿宋_GB2312" w:hAnsi="仿宋_GB2312" w:eastAsia="仿宋_GB2312" w:cs="仿宋_GB2312"/>
                <w:i w:val="0"/>
                <w:iCs w:val="0"/>
                <w:color w:val="auto"/>
                <w:sz w:val="21"/>
                <w:szCs w:val="21"/>
                <w:highlight w:val="none"/>
                <w:u w:val="none"/>
              </w:rPr>
            </w:pPr>
          </w:p>
        </w:tc>
      </w:tr>
      <w:tr w14:paraId="37AF9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E063">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13</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B263B">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施工现场管理</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DAF92">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现场面貌</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0DE24">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1.施工现场未开展有效围蔽</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3.现场无危险源公示、告知及相应警示</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4.材料堆放存在重大隐患</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C9AB5">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0B211">
            <w:pPr>
              <w:spacing w:line="360" w:lineRule="exact"/>
              <w:rPr>
                <w:rFonts w:hint="eastAsia" w:ascii="仿宋_GB2312" w:hAnsi="仿宋_GB2312" w:eastAsia="仿宋_GB2312" w:cs="仿宋_GB2312"/>
                <w:i w:val="0"/>
                <w:iCs w:val="0"/>
                <w:color w:val="auto"/>
                <w:sz w:val="21"/>
                <w:szCs w:val="21"/>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3CAF6">
            <w:pPr>
              <w:spacing w:line="360" w:lineRule="exact"/>
              <w:rPr>
                <w:rFonts w:hint="eastAsia" w:ascii="仿宋_GB2312" w:hAnsi="仿宋_GB2312" w:eastAsia="仿宋_GB2312" w:cs="仿宋_GB2312"/>
                <w:i w:val="0"/>
                <w:iCs w:val="0"/>
                <w:color w:val="auto"/>
                <w:sz w:val="21"/>
                <w:szCs w:val="21"/>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F19EA">
            <w:pPr>
              <w:spacing w:line="360" w:lineRule="exact"/>
              <w:rPr>
                <w:rFonts w:hint="eastAsia" w:ascii="仿宋_GB2312" w:hAnsi="仿宋_GB2312" w:eastAsia="仿宋_GB2312" w:cs="仿宋_GB2312"/>
                <w:i w:val="0"/>
                <w:iCs w:val="0"/>
                <w:color w:val="auto"/>
                <w:sz w:val="21"/>
                <w:szCs w:val="21"/>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1EE70">
            <w:pPr>
              <w:spacing w:line="360" w:lineRule="exact"/>
              <w:rPr>
                <w:rFonts w:hint="eastAsia" w:ascii="仿宋_GB2312" w:hAnsi="仿宋_GB2312" w:eastAsia="仿宋_GB2312" w:cs="仿宋_GB2312"/>
                <w:i w:val="0"/>
                <w:iCs w:val="0"/>
                <w:color w:val="auto"/>
                <w:sz w:val="21"/>
                <w:szCs w:val="21"/>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13DF2">
            <w:pPr>
              <w:spacing w:line="360" w:lineRule="exact"/>
              <w:rPr>
                <w:rFonts w:hint="eastAsia" w:ascii="仿宋_GB2312" w:hAnsi="仿宋_GB2312" w:eastAsia="仿宋_GB2312" w:cs="仿宋_GB2312"/>
                <w:i w:val="0"/>
                <w:iCs w:val="0"/>
                <w:color w:val="auto"/>
                <w:sz w:val="21"/>
                <w:szCs w:val="21"/>
                <w:highlight w:val="none"/>
                <w:u w:val="none"/>
              </w:rPr>
            </w:pPr>
          </w:p>
        </w:tc>
      </w:tr>
      <w:tr w14:paraId="0AB14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C4C3">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14</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1F7A7">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65AE1">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施工管理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F4DAC">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1.现场未按施工方案落实安全防范措施的</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2.危险作业未经业主人员审批先行施工的</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3.未按施工方案施工的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9450B">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扣3～5分/项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275AB">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F7296">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1791E">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58821">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E6D5F">
            <w:pPr>
              <w:spacing w:line="360" w:lineRule="exact"/>
              <w:jc w:val="both"/>
              <w:rPr>
                <w:rFonts w:hint="eastAsia" w:ascii="仿宋_GB2312" w:hAnsi="仿宋_GB2312" w:eastAsia="仿宋_GB2312" w:cs="仿宋_GB2312"/>
                <w:i w:val="0"/>
                <w:iCs w:val="0"/>
                <w:color w:val="auto"/>
                <w:sz w:val="21"/>
                <w:szCs w:val="21"/>
                <w:highlight w:val="none"/>
                <w:u w:val="none"/>
              </w:rPr>
            </w:pPr>
          </w:p>
        </w:tc>
      </w:tr>
      <w:tr w14:paraId="083AE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28E6">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15</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84BB6">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D3E5C">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每日安全交底</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C00D0">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1.缺少书面交底、未留存书面资料或交底资料缺少交底人、被交底人及安全员签字的</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2.内容未结合当天的现场状况、特点、工序，对危险因素、施工内容、安全作业和应急措施进行交底的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BB678">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8A412">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70023">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D0DEE">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4B75D">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2DFA9">
            <w:pPr>
              <w:spacing w:line="360" w:lineRule="exact"/>
              <w:jc w:val="both"/>
              <w:rPr>
                <w:rFonts w:hint="eastAsia" w:ascii="仿宋_GB2312" w:hAnsi="仿宋_GB2312" w:eastAsia="仿宋_GB2312" w:cs="仿宋_GB2312"/>
                <w:i w:val="0"/>
                <w:iCs w:val="0"/>
                <w:color w:val="auto"/>
                <w:sz w:val="21"/>
                <w:szCs w:val="21"/>
                <w:highlight w:val="none"/>
                <w:u w:val="none"/>
              </w:rPr>
            </w:pPr>
          </w:p>
        </w:tc>
      </w:tr>
      <w:tr w14:paraId="0FE3B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9"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9E0C1">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16</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A9FA7">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9C3D1">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作业行为管理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52656">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1.违反9大危险作业相关作业规范的</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2.现场存在违章作业、违章指挥等违反相关安全管理规定或制度的</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3.人员错误使用劳保用品3次以上的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13781">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扣3～5分/项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6AE8A">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E5583">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027E8">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C936E">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FDD99">
            <w:pPr>
              <w:spacing w:line="360" w:lineRule="exact"/>
              <w:jc w:val="both"/>
              <w:rPr>
                <w:rFonts w:hint="eastAsia" w:ascii="仿宋_GB2312" w:hAnsi="仿宋_GB2312" w:eastAsia="仿宋_GB2312" w:cs="仿宋_GB2312"/>
                <w:i w:val="0"/>
                <w:iCs w:val="0"/>
                <w:color w:val="auto"/>
                <w:sz w:val="21"/>
                <w:szCs w:val="21"/>
                <w:highlight w:val="none"/>
                <w:u w:val="none"/>
              </w:rPr>
            </w:pPr>
          </w:p>
        </w:tc>
      </w:tr>
      <w:tr w14:paraId="17341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DA8C">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17</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B394F">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05F78">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安全记录</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4C5D0">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未按施工要求开展现场记录或记录内容有缺失</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AAC3E">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97B4A">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96E86">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5F2A1">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B8B53">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8348D">
            <w:pPr>
              <w:spacing w:line="360" w:lineRule="exact"/>
              <w:jc w:val="both"/>
              <w:rPr>
                <w:rFonts w:hint="eastAsia" w:ascii="仿宋_GB2312" w:hAnsi="仿宋_GB2312" w:eastAsia="仿宋_GB2312" w:cs="仿宋_GB2312"/>
                <w:i w:val="0"/>
                <w:iCs w:val="0"/>
                <w:color w:val="auto"/>
                <w:sz w:val="21"/>
                <w:szCs w:val="21"/>
                <w:highlight w:val="none"/>
                <w:u w:val="none"/>
              </w:rPr>
            </w:pPr>
          </w:p>
        </w:tc>
      </w:tr>
      <w:tr w14:paraId="57BD3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9FD0">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18</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E04BF">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7193C">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应急管理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236A0">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1.未设置应急物资点，未统一存放应急物资</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2.应急物资点无应急物资清单或无应急物资每日检查表</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3.无开展日常应急培训、训练、演练或无资料留档的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45398">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7A69D">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25D29">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C46DD">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4C759">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B4F62">
            <w:pPr>
              <w:spacing w:line="360" w:lineRule="exact"/>
              <w:jc w:val="both"/>
              <w:rPr>
                <w:rFonts w:hint="eastAsia" w:ascii="仿宋_GB2312" w:hAnsi="仿宋_GB2312" w:eastAsia="仿宋_GB2312" w:cs="仿宋_GB2312"/>
                <w:i w:val="0"/>
                <w:iCs w:val="0"/>
                <w:color w:val="auto"/>
                <w:sz w:val="21"/>
                <w:szCs w:val="21"/>
                <w:highlight w:val="none"/>
                <w:u w:val="none"/>
              </w:rPr>
            </w:pPr>
          </w:p>
        </w:tc>
      </w:tr>
      <w:tr w14:paraId="3E90A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FA0C">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19</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41620">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892A2">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人员管理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7FFB6">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人员变更无完善的手续及资料的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0C334">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扣3～5分/项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DDD5C">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C8339">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F8249">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5CCEC">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BFAA4">
            <w:pPr>
              <w:spacing w:line="360" w:lineRule="exact"/>
              <w:jc w:val="both"/>
              <w:rPr>
                <w:rFonts w:hint="eastAsia" w:ascii="仿宋_GB2312" w:hAnsi="仿宋_GB2312" w:eastAsia="仿宋_GB2312" w:cs="仿宋_GB2312"/>
                <w:i w:val="0"/>
                <w:iCs w:val="0"/>
                <w:color w:val="auto"/>
                <w:sz w:val="21"/>
                <w:szCs w:val="21"/>
                <w:highlight w:val="none"/>
                <w:u w:val="none"/>
              </w:rPr>
            </w:pPr>
          </w:p>
        </w:tc>
      </w:tr>
      <w:tr w14:paraId="53E93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523AB">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20</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12571">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10ED2">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隐患管理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93B64">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未及时对发现的隐患开展整改的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C24D5">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扣4～8分/项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4B306">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DD77A">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B1407">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0271A">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FDC8A">
            <w:pPr>
              <w:spacing w:line="360" w:lineRule="exact"/>
              <w:jc w:val="both"/>
              <w:rPr>
                <w:rFonts w:hint="eastAsia" w:ascii="仿宋_GB2312" w:hAnsi="仿宋_GB2312" w:eastAsia="仿宋_GB2312" w:cs="仿宋_GB2312"/>
                <w:i w:val="0"/>
                <w:iCs w:val="0"/>
                <w:color w:val="auto"/>
                <w:sz w:val="21"/>
                <w:szCs w:val="21"/>
                <w:highlight w:val="none"/>
                <w:u w:val="none"/>
              </w:rPr>
            </w:pPr>
          </w:p>
        </w:tc>
      </w:tr>
      <w:tr w14:paraId="38EE1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E27F">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21</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511B5">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BC3C4">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其他</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9297B">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违反业主或上级主管部门提出的其他管理要求、文件、规定或拒不执行的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BC47A">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扣2～5分/项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C62D4">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6180B">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45246">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49205">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267C6">
            <w:pPr>
              <w:spacing w:line="360" w:lineRule="exact"/>
              <w:jc w:val="both"/>
              <w:rPr>
                <w:rFonts w:hint="eastAsia" w:ascii="仿宋_GB2312" w:hAnsi="仿宋_GB2312" w:eastAsia="仿宋_GB2312" w:cs="仿宋_GB2312"/>
                <w:i w:val="0"/>
                <w:iCs w:val="0"/>
                <w:color w:val="auto"/>
                <w:sz w:val="21"/>
                <w:szCs w:val="21"/>
                <w:highlight w:val="none"/>
                <w:u w:val="none"/>
              </w:rPr>
            </w:pPr>
          </w:p>
        </w:tc>
      </w:tr>
      <w:tr w14:paraId="532AC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452B">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22</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7B7A">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8734F">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EF733">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6F108">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40DD8">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DB758">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E63F8">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9C355">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AB585">
            <w:pPr>
              <w:spacing w:line="360" w:lineRule="exact"/>
              <w:jc w:val="both"/>
              <w:rPr>
                <w:rFonts w:hint="eastAsia" w:ascii="仿宋_GB2312" w:hAnsi="仿宋_GB2312" w:eastAsia="仿宋_GB2312" w:cs="仿宋_GB2312"/>
                <w:i w:val="0"/>
                <w:iCs w:val="0"/>
                <w:color w:val="auto"/>
                <w:sz w:val="21"/>
                <w:szCs w:val="21"/>
                <w:highlight w:val="none"/>
                <w:u w:val="none"/>
              </w:rPr>
            </w:pPr>
          </w:p>
        </w:tc>
      </w:tr>
      <w:tr w14:paraId="6B6BE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2" w:hRule="atLeast"/>
          <w:jc w:val="center"/>
        </w:trPr>
        <w:tc>
          <w:tcPr>
            <w:tcW w:w="5000" w:type="pct"/>
            <w:gridSpan w:val="10"/>
            <w:tcBorders>
              <w:top w:val="nil"/>
              <w:left w:val="nil"/>
              <w:bottom w:val="nil"/>
              <w:right w:val="nil"/>
            </w:tcBorders>
            <w:shd w:val="clear" w:color="auto" w:fill="auto"/>
            <w:vAlign w:val="center"/>
          </w:tcPr>
          <w:p w14:paraId="52B58D06">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注：1、综合考评满分100分，各考评项目扣分不设上限；</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2、监理单位考评只作为参考及履职依据，不计入考评，无监理单位不需填写；</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3、“公司考评”业务主管部门和安全办针对本部门检查发现的内容进行扣（奖）分，项目部已经进行扣（奖）分的不重复执行；</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4、各分公司考评填写相应的得（扣）分数值，如奖2分则填写“2”，扣2分则填写“-2”；</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5、单项“综合考评”=项目部考评+公司考评；综合考评总分=各单项“综合考评”+100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6、最后得分=综合考评总分X类别系数；</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7、各考评项目具体考评标准内容参照广州市净水有限公司标准《工程项目安全管理规范》（Q/GZJSA 1-2021）执行。 </w:t>
            </w:r>
          </w:p>
        </w:tc>
      </w:tr>
    </w:tbl>
    <w:p w14:paraId="3FBD80B9">
      <w:pPr>
        <w:rPr>
          <w:rFonts w:hint="eastAsia" w:ascii="宋体" w:hAnsi="宋体" w:eastAsia="宋体" w:cs="宋体"/>
          <w:b/>
          <w:bCs/>
          <w:color w:val="auto"/>
          <w:sz w:val="24"/>
          <w:szCs w:val="24"/>
          <w:highlight w:val="none"/>
        </w:rPr>
      </w:pPr>
    </w:p>
    <w:p w14:paraId="5D69431F">
      <w:pPr>
        <w:spacing w:line="520" w:lineRule="exact"/>
        <w:jc w:val="left"/>
        <w:rPr>
          <w:rFonts w:hint="eastAsia" w:ascii="宋体" w:hAnsi="宋体" w:eastAsia="宋体" w:cs="宋体"/>
          <w:color w:val="auto"/>
          <w:sz w:val="24"/>
          <w:szCs w:val="24"/>
          <w:highlight w:val="none"/>
        </w:rPr>
      </w:pPr>
      <w:r>
        <w:rPr>
          <w:rFonts w:hint="eastAsia" w:ascii="黑体" w:hAnsi="黑体" w:eastAsia="黑体" w:cs="黑体"/>
          <w:b w:val="0"/>
          <w:bCs w:val="0"/>
          <w:color w:val="auto"/>
          <w:sz w:val="32"/>
          <w:szCs w:val="32"/>
          <w:highlight w:val="none"/>
        </w:rPr>
        <w:t>附件</w:t>
      </w:r>
      <w:r>
        <w:rPr>
          <w:rFonts w:hint="eastAsia" w:ascii="黑体" w:hAnsi="黑体" w:eastAsia="黑体" w:cs="黑体"/>
          <w:b w:val="0"/>
          <w:bCs w:val="0"/>
          <w:color w:val="auto"/>
          <w:sz w:val="32"/>
          <w:szCs w:val="32"/>
          <w:highlight w:val="none"/>
          <w:lang w:val="en-US" w:eastAsia="zh-CN"/>
        </w:rPr>
        <w:t>9</w:t>
      </w:r>
    </w:p>
    <w:p w14:paraId="449B7077">
      <w:pPr>
        <w:spacing w:line="240" w:lineRule="auto"/>
        <w:jc w:val="center"/>
        <w:rPr>
          <w:rFonts w:hint="eastAsia" w:ascii="仿宋_GB2312" w:hAnsi="仿宋_GB2312" w:eastAsia="仿宋_GB2312" w:cs="仿宋_GB2312"/>
          <w:color w:val="auto"/>
          <w:sz w:val="28"/>
          <w:szCs w:val="28"/>
          <w:highlight w:val="none"/>
        </w:rPr>
      </w:pPr>
      <w:r>
        <w:rPr>
          <w:rFonts w:hint="eastAsia" w:ascii="方正小标宋简体" w:hAnsi="方正小标宋简体" w:eastAsia="方正小标宋简体" w:cs="方正小标宋简体"/>
          <w:color w:val="auto"/>
          <w:sz w:val="44"/>
          <w:szCs w:val="44"/>
          <w:highlight w:val="none"/>
        </w:rPr>
        <w:t>预付款保函</w:t>
      </w:r>
      <w:r>
        <w:rPr>
          <w:rFonts w:hint="eastAsia" w:ascii="方正小标宋简体" w:hAnsi="方正小标宋简体" w:eastAsia="方正小标宋简体" w:cs="方正小标宋简体"/>
          <w:color w:val="auto"/>
          <w:sz w:val="44"/>
          <w:szCs w:val="44"/>
          <w:highlight w:val="none"/>
          <w:lang w:eastAsia="zh-CN"/>
        </w:rPr>
        <w:t>（</w:t>
      </w:r>
      <w:r>
        <w:rPr>
          <w:rFonts w:hint="eastAsia" w:ascii="方正小标宋简体" w:hAnsi="方正小标宋简体" w:eastAsia="方正小标宋简体" w:cs="方正小标宋简体"/>
          <w:color w:val="auto"/>
          <w:sz w:val="44"/>
          <w:szCs w:val="44"/>
          <w:highlight w:val="none"/>
        </w:rPr>
        <w:t>模板</w:t>
      </w:r>
      <w:r>
        <w:rPr>
          <w:rFonts w:hint="eastAsia" w:ascii="方正小标宋简体" w:hAnsi="方正小标宋简体" w:eastAsia="方正小标宋简体" w:cs="方正小标宋简体"/>
          <w:color w:val="auto"/>
          <w:sz w:val="44"/>
          <w:szCs w:val="44"/>
          <w:highlight w:val="none"/>
          <w:lang w:eastAsia="zh-CN"/>
        </w:rPr>
        <w:t>）</w:t>
      </w:r>
    </w:p>
    <w:p w14:paraId="25B2979B">
      <w:pPr>
        <w:spacing w:line="4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（受益人）</w:t>
      </w:r>
    </w:p>
    <w:p w14:paraId="3F3D407C">
      <w:pPr>
        <w:spacing w:line="4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鉴于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（以下简称“委托人”）与你方于</w:t>
      </w:r>
      <w:r>
        <w:rPr>
          <w:rFonts w:hint="eastAsia" w:ascii="仿宋_GB2312" w:hAnsi="仿宋_GB2312" w:eastAsia="仿宋_GB2312" w:cs="仿宋_GB2312"/>
          <w:color w:val="auto"/>
          <w:sz w:val="28"/>
          <w:szCs w:val="28"/>
          <w:highlight w:val="none"/>
          <w:u w:val="single"/>
        </w:rPr>
        <w:t xml:space="preserve">   年  月  日</w:t>
      </w:r>
      <w:r>
        <w:rPr>
          <w:rFonts w:hint="eastAsia" w:ascii="仿宋_GB2312" w:hAnsi="仿宋_GB2312" w:eastAsia="仿宋_GB2312" w:cs="仿宋_GB2312"/>
          <w:color w:val="auto"/>
          <w:sz w:val="28"/>
          <w:szCs w:val="28"/>
          <w:highlight w:val="none"/>
        </w:rPr>
        <w:t>签订了</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（以下简称“合同”），你方将按上述基础交易合同约定向委托人支付预付款人民币</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元（大写：</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）。我行接受委托人的申请，特此开立以你方为受益人的最高金额为人民币（大写：</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）（以下称“保函金额”）的保函。</w:t>
      </w:r>
    </w:p>
    <w:p w14:paraId="734154F4">
      <w:pPr>
        <w:spacing w:line="4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一、本保函为不可撤销、见索即付的独立保函。</w:t>
      </w:r>
    </w:p>
    <w:p w14:paraId="7C5F8CDE">
      <w:pPr>
        <w:spacing w:line="4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二、在本保函的有效期内，如委托人违反上述基础交易合同约定的义务而未向你方退还预付款，我行将在收到你方提交的符合下述要求的索赔通知书后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日内，以上述保函金额为限向你方支付相应款项。</w:t>
      </w:r>
    </w:p>
    <w:p w14:paraId="7CAEE7C8">
      <w:pPr>
        <w:spacing w:line="4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（一）索赔通知书须写明请求付款的金额，并声明该款项并未由委托人或其代理人直接或间接地支付给你方；</w:t>
      </w:r>
    </w:p>
    <w:p w14:paraId="7CA24862">
      <w:pPr>
        <w:spacing w:line="4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（二）索赔通知书应由你方法定代表人签字并加盖公章；</w:t>
      </w:r>
    </w:p>
    <w:p w14:paraId="0577C069">
      <w:pPr>
        <w:spacing w:line="4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（三）索赔通知书必须于本保函有效期截止日前送达我行。</w:t>
      </w:r>
    </w:p>
    <w:p w14:paraId="5F18810D">
      <w:pPr>
        <w:spacing w:line="4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三、合同的任何修改、变更、解释或不可执行都不能削弱或免除我行按本保函应承担的义务。</w:t>
      </w:r>
    </w:p>
    <w:p w14:paraId="45871065">
      <w:pPr>
        <w:spacing w:line="4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本保函金额将随我行已向你方支付的金额而自动作相应递减。</w:t>
      </w:r>
    </w:p>
    <w:p w14:paraId="769B9832">
      <w:pPr>
        <w:spacing w:line="4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四、本保函未经我行书面同意不得转让。</w:t>
      </w:r>
    </w:p>
    <w:p w14:paraId="55FCB043">
      <w:pPr>
        <w:spacing w:line="4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五、本保函自签发之日起生效，有效期至</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止。在上述期限内若累计赔偿额达到前述保函金额，本保函提前失效。本保函到期后，无论保函原件是否退回我行，皆告失效。</w:t>
      </w:r>
    </w:p>
    <w:p w14:paraId="789516A9">
      <w:pPr>
        <w:spacing w:line="460" w:lineRule="exact"/>
        <w:ind w:firstLine="630" w:firstLine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p>
    <w:p w14:paraId="246A4981">
      <w:pPr>
        <w:spacing w:line="460" w:lineRule="exact"/>
        <w:ind w:firstLine="560" w:firstLineChars="200"/>
        <w:rPr>
          <w:rFonts w:ascii="宋体" w:hAnsi="宋体" w:eastAsia="宋体" w:cs="宋体"/>
          <w:color w:val="auto"/>
          <w:sz w:val="24"/>
          <w:szCs w:val="24"/>
          <w:highlight w:val="none"/>
          <w:lang w:val="en-US" w:eastAsia="zh-CN"/>
        </w:rPr>
      </w:pPr>
      <w:r>
        <w:rPr>
          <w:rFonts w:hint="eastAsia" w:ascii="仿宋_GB2312" w:hAnsi="仿宋_GB2312" w:eastAsia="仿宋_GB2312" w:cs="仿宋_GB2312"/>
          <w:b/>
          <w:color w:val="auto"/>
          <w:sz w:val="28"/>
          <w:szCs w:val="28"/>
          <w:highlight w:val="none"/>
        </w:rPr>
        <w:t>备注：</w:t>
      </w:r>
      <w:r>
        <w:rPr>
          <w:rFonts w:hint="eastAsia" w:ascii="仿宋_GB2312" w:hAnsi="仿宋_GB2312" w:eastAsia="仿宋_GB2312" w:cs="仿宋_GB2312"/>
          <w:color w:val="auto"/>
          <w:sz w:val="28"/>
          <w:szCs w:val="28"/>
          <w:highlight w:val="none"/>
        </w:rPr>
        <w:t>本预付款担保格式可采用经</w:t>
      </w:r>
      <w:r>
        <w:rPr>
          <w:rFonts w:hint="eastAsia" w:ascii="仿宋_GB2312" w:hAnsi="仿宋_GB2312" w:eastAsia="仿宋_GB2312" w:cs="仿宋_GB2312"/>
          <w:color w:val="auto"/>
          <w:sz w:val="28"/>
          <w:szCs w:val="28"/>
          <w:highlight w:val="none"/>
          <w:lang w:eastAsia="zh-CN"/>
        </w:rPr>
        <w:t>甲方</w:t>
      </w:r>
      <w:r>
        <w:rPr>
          <w:rFonts w:hint="eastAsia" w:ascii="仿宋_GB2312" w:hAnsi="仿宋_GB2312" w:eastAsia="仿宋_GB2312" w:cs="仿宋_GB2312"/>
          <w:color w:val="auto"/>
          <w:sz w:val="28"/>
          <w:szCs w:val="28"/>
          <w:highlight w:val="none"/>
        </w:rPr>
        <w:t>认可的其他格式，但相关内容不得违背合同文件约定的实质性内容。</w:t>
      </w:r>
    </w:p>
    <w:p w14:paraId="1DE8BA0D">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附件10</w:t>
      </w:r>
    </w:p>
    <w:p w14:paraId="7FD6E1A5">
      <w:pPr>
        <w:jc w:val="center"/>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rPr>
        <w:t>施工作业人员工资支付情况说明</w:t>
      </w:r>
      <w:r>
        <w:rPr>
          <w:rFonts w:hint="eastAsia" w:ascii="方正小标宋简体" w:hAnsi="方正小标宋简体" w:eastAsia="方正小标宋简体" w:cs="方正小标宋简体"/>
          <w:b w:val="0"/>
          <w:bCs w:val="0"/>
          <w:color w:val="auto"/>
          <w:sz w:val="44"/>
          <w:szCs w:val="44"/>
          <w:highlight w:val="none"/>
          <w:lang w:eastAsia="zh-CN"/>
        </w:rPr>
        <w:t>（</w:t>
      </w:r>
      <w:r>
        <w:rPr>
          <w:rFonts w:hint="eastAsia" w:ascii="方正小标宋简体" w:hAnsi="方正小标宋简体" w:eastAsia="方正小标宋简体" w:cs="方正小标宋简体"/>
          <w:b w:val="0"/>
          <w:bCs w:val="0"/>
          <w:color w:val="auto"/>
          <w:sz w:val="44"/>
          <w:szCs w:val="44"/>
          <w:highlight w:val="none"/>
          <w:lang w:val="en-US" w:eastAsia="zh-CN"/>
        </w:rPr>
        <w:t>模板</w:t>
      </w:r>
      <w:r>
        <w:rPr>
          <w:rFonts w:hint="eastAsia" w:ascii="方正小标宋简体" w:hAnsi="方正小标宋简体" w:eastAsia="方正小标宋简体" w:cs="方正小标宋简体"/>
          <w:b w:val="0"/>
          <w:bCs w:val="0"/>
          <w:color w:val="auto"/>
          <w:sz w:val="44"/>
          <w:szCs w:val="44"/>
          <w:highlight w:val="none"/>
          <w:lang w:eastAsia="zh-CN"/>
        </w:rPr>
        <w:t>）</w:t>
      </w:r>
    </w:p>
    <w:p w14:paraId="214673C2">
      <w:pPr>
        <w:jc w:val="both"/>
        <w:rPr>
          <w:rFonts w:hint="eastAsia"/>
          <w:color w:val="auto"/>
          <w:sz w:val="40"/>
          <w:szCs w:val="40"/>
          <w:highlight w:val="none"/>
        </w:rPr>
      </w:pPr>
    </w:p>
    <w:p w14:paraId="36355483">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广州</w:t>
      </w:r>
      <w:r>
        <w:rPr>
          <w:rFonts w:hint="eastAsia" w:ascii="仿宋_GB2312" w:hAnsi="仿宋_GB2312" w:eastAsia="仿宋_GB2312" w:cs="仿宋_GB2312"/>
          <w:color w:val="auto"/>
          <w:sz w:val="28"/>
          <w:szCs w:val="28"/>
          <w:highlight w:val="none"/>
          <w:lang w:val="en-US" w:eastAsia="zh-CN"/>
        </w:rPr>
        <w:t>市</w:t>
      </w:r>
      <w:r>
        <w:rPr>
          <w:rFonts w:hint="eastAsia" w:ascii="仿宋_GB2312" w:hAnsi="仿宋_GB2312" w:eastAsia="仿宋_GB2312" w:cs="仿宋_GB2312"/>
          <w:color w:val="auto"/>
          <w:sz w:val="28"/>
          <w:szCs w:val="28"/>
          <w:highlight w:val="none"/>
        </w:rPr>
        <w:t>净水有限公司:</w:t>
      </w:r>
    </w:p>
    <w:p w14:paraId="5196B83C">
      <w:p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我公司负责建设的《</w:t>
      </w:r>
      <w:r>
        <w:rPr>
          <w:rFonts w:hint="eastAsia" w:ascii="仿宋_GB2312" w:hAnsi="仿宋_GB2312" w:eastAsia="仿宋_GB2312" w:cs="仿宋_GB2312"/>
          <w:color w:val="auto"/>
          <w:sz w:val="28"/>
          <w:szCs w:val="28"/>
          <w:highlight w:val="none"/>
          <w:lang w:val="en-US" w:eastAsia="zh-CN"/>
        </w:rPr>
        <w:t>XX合同（统筹项目XX子项）</w:t>
      </w:r>
      <w:r>
        <w:rPr>
          <w:rFonts w:hint="eastAsia" w:ascii="仿宋_GB2312" w:hAnsi="仿宋_GB2312" w:eastAsia="仿宋_GB2312" w:cs="仿宋_GB2312"/>
          <w:color w:val="auto"/>
          <w:sz w:val="28"/>
          <w:szCs w:val="28"/>
          <w:highlight w:val="none"/>
        </w:rPr>
        <w:t>》已经按合同约定完成</w:t>
      </w:r>
      <w:r>
        <w:rPr>
          <w:rFonts w:hint="eastAsia" w:ascii="仿宋_GB2312" w:hAnsi="仿宋_GB2312" w:eastAsia="仿宋_GB2312" w:cs="仿宋_GB2312"/>
          <w:color w:val="auto"/>
          <w:sz w:val="28"/>
          <w:szCs w:val="28"/>
          <w:highlight w:val="none"/>
          <w:lang w:val="en-US" w:eastAsia="zh-CN"/>
        </w:rPr>
        <w:t>施工</w:t>
      </w:r>
      <w:r>
        <w:rPr>
          <w:rFonts w:hint="eastAsia" w:ascii="仿宋_GB2312" w:hAnsi="仿宋_GB2312" w:eastAsia="仿宋_GB2312" w:cs="仿宋_GB2312"/>
          <w:color w:val="auto"/>
          <w:sz w:val="28"/>
          <w:szCs w:val="28"/>
          <w:highlight w:val="none"/>
        </w:rPr>
        <w:t>，该项目施工作业人员工资已相应支付，</w:t>
      </w:r>
      <w:r>
        <w:rPr>
          <w:rFonts w:hint="eastAsia" w:ascii="仿宋_GB2312" w:hAnsi="仿宋_GB2312" w:eastAsia="仿宋_GB2312" w:cs="仿宋_GB2312"/>
          <w:color w:val="auto"/>
          <w:sz w:val="28"/>
          <w:szCs w:val="28"/>
          <w:highlight w:val="none"/>
          <w:lang w:val="en-US" w:eastAsia="zh-CN"/>
        </w:rPr>
        <w:t>无扣款、</w:t>
      </w:r>
      <w:r>
        <w:rPr>
          <w:rFonts w:hint="eastAsia" w:ascii="仿宋_GB2312" w:hAnsi="仿宋_GB2312" w:eastAsia="仿宋_GB2312" w:cs="仿宋_GB2312"/>
          <w:color w:val="auto"/>
          <w:sz w:val="28"/>
          <w:szCs w:val="28"/>
          <w:highlight w:val="none"/>
        </w:rPr>
        <w:t>无拖延拖欠情况。</w:t>
      </w:r>
    </w:p>
    <w:p w14:paraId="6C32C9C1">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特此说明!</w:t>
      </w:r>
    </w:p>
    <w:p w14:paraId="22EA2D62">
      <w:pPr>
        <w:rPr>
          <w:rFonts w:hint="eastAsia" w:ascii="仿宋_GB2312" w:hAnsi="仿宋_GB2312" w:eastAsia="仿宋_GB2312" w:cs="仿宋_GB2312"/>
          <w:color w:val="auto"/>
          <w:sz w:val="28"/>
          <w:szCs w:val="28"/>
          <w:highlight w:val="none"/>
        </w:rPr>
      </w:pPr>
    </w:p>
    <w:p w14:paraId="1F08917D">
      <w:pP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w:t>
      </w:r>
    </w:p>
    <w:p w14:paraId="12BD62F4">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项目承包单位(公章):</w:t>
      </w:r>
    </w:p>
    <w:p w14:paraId="769566A2">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项目负责人(签名):</w:t>
      </w:r>
    </w:p>
    <w:p w14:paraId="6FDB0B98">
      <w:pPr>
        <w:ind w:firstLine="5600" w:firstLineChars="20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 xml:space="preserve">   日</w:t>
      </w:r>
    </w:p>
    <w:p w14:paraId="0F6913EB">
      <w:pPr>
        <w:jc w:val="both"/>
        <w:rPr>
          <w:rFonts w:hint="eastAsia" w:ascii="仿宋_GB2312" w:hAnsi="仿宋_GB2312" w:eastAsia="仿宋_GB2312" w:cs="仿宋_GB2312"/>
          <w:color w:val="auto"/>
          <w:sz w:val="28"/>
          <w:szCs w:val="28"/>
          <w:highlight w:val="none"/>
          <w:lang w:val="en-US" w:eastAsia="zh-CN"/>
        </w:rPr>
      </w:pPr>
    </w:p>
    <w:p w14:paraId="0EDF6AAD">
      <w:pPr>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（该项目所有施工作业人员）施工作业人员确认签字（加盖手印）： </w:t>
      </w:r>
    </w:p>
    <w:p w14:paraId="6984B80C">
      <w:pPr>
        <w:rPr>
          <w:rFonts w:hint="eastAsia" w:ascii="黑体" w:hAnsi="黑体" w:eastAsia="黑体" w:cs="黑体"/>
          <w:color w:val="auto"/>
          <w:sz w:val="32"/>
          <w:szCs w:val="32"/>
          <w:highlight w:val="none"/>
          <w:lang w:val="en-US" w:eastAsia="zh-CN"/>
        </w:rPr>
      </w:pPr>
    </w:p>
    <w:p w14:paraId="6B25C200">
      <w:pPr>
        <w:rPr>
          <w:rFonts w:hint="eastAsia" w:ascii="黑体" w:hAnsi="黑体" w:eastAsia="黑体" w:cs="黑体"/>
          <w:color w:val="auto"/>
          <w:sz w:val="32"/>
          <w:szCs w:val="32"/>
          <w:highlight w:val="none"/>
          <w:lang w:val="en-US" w:eastAsia="zh-CN"/>
        </w:rPr>
      </w:pPr>
    </w:p>
    <w:p w14:paraId="401EAE5A">
      <w:pPr>
        <w:rPr>
          <w:rFonts w:hint="eastAsia" w:ascii="黑体" w:hAnsi="黑体" w:eastAsia="黑体" w:cs="黑体"/>
          <w:color w:val="auto"/>
          <w:sz w:val="32"/>
          <w:szCs w:val="32"/>
          <w:highlight w:val="none"/>
          <w:lang w:val="en-US" w:eastAsia="zh-CN"/>
        </w:rPr>
      </w:pPr>
    </w:p>
    <w:p w14:paraId="537327F5">
      <w:pPr>
        <w:rPr>
          <w:rFonts w:hint="eastAsia" w:ascii="黑体" w:hAnsi="黑体" w:eastAsia="黑体" w:cs="黑体"/>
          <w:color w:val="auto"/>
          <w:sz w:val="32"/>
          <w:szCs w:val="32"/>
          <w:highlight w:val="none"/>
          <w:lang w:val="en-US" w:eastAsia="zh-CN"/>
        </w:rPr>
      </w:pPr>
    </w:p>
    <w:p w14:paraId="576DCBA4">
      <w:pPr>
        <w:rPr>
          <w:rFonts w:hint="default" w:ascii="黑体" w:hAnsi="黑体" w:eastAsia="黑体" w:cs="黑体"/>
          <w:color w:val="auto"/>
          <w:sz w:val="32"/>
          <w:szCs w:val="32"/>
          <w:highlight w:val="none"/>
          <w:lang w:val="en-US"/>
        </w:rPr>
      </w:pPr>
      <w:r>
        <w:rPr>
          <w:rFonts w:hint="eastAsia" w:ascii="黑体" w:hAnsi="黑体" w:eastAsia="黑体" w:cs="黑体"/>
          <w:color w:val="auto"/>
          <w:sz w:val="32"/>
          <w:szCs w:val="32"/>
          <w:highlight w:val="none"/>
          <w:lang w:val="en-US" w:eastAsia="zh-CN"/>
        </w:rPr>
        <w:t>附件11</w:t>
      </w:r>
    </w:p>
    <w:p w14:paraId="3F6F06CF">
      <w:pPr>
        <w:adjustRightInd w:val="0"/>
        <w:snapToGrid w:val="0"/>
        <w:jc w:val="both"/>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w:t>
      </w:r>
      <w:r>
        <w:rPr>
          <w:rFonts w:hint="eastAsia" w:ascii="方正小标宋简体" w:hAnsi="方正小标宋简体" w:eastAsia="方正小标宋简体" w:cs="方正小标宋简体"/>
          <w:color w:val="auto"/>
          <w:sz w:val="32"/>
          <w:szCs w:val="32"/>
          <w:highlight w:val="none"/>
          <w:lang w:val="en-US" w:eastAsia="zh-CN"/>
        </w:rPr>
        <w:t>履约</w:t>
      </w:r>
      <w:r>
        <w:rPr>
          <w:rFonts w:hint="eastAsia" w:ascii="方正小标宋简体" w:hAnsi="方正小标宋简体" w:eastAsia="方正小标宋简体" w:cs="方正小标宋简体"/>
          <w:color w:val="auto"/>
          <w:sz w:val="32"/>
          <w:szCs w:val="32"/>
          <w:highlight w:val="none"/>
        </w:rPr>
        <w:t>行为的情形及相应被暂停参与投标活动的处理标准</w:t>
      </w:r>
    </w:p>
    <w:tbl>
      <w:tblPr>
        <w:tblStyle w:val="25"/>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14:paraId="3901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65F44243">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14:paraId="5F525C77">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w:t>
            </w:r>
            <w:r>
              <w:rPr>
                <w:rFonts w:hint="eastAsia" w:ascii="仿宋_GB2312" w:hAnsi="仿宋_GB2312" w:eastAsia="仿宋_GB2312" w:cs="仿宋_GB2312"/>
                <w:color w:val="auto"/>
                <w:szCs w:val="24"/>
                <w:highlight w:val="none"/>
                <w:lang w:val="en-US" w:eastAsia="zh-CN"/>
              </w:rPr>
              <w:t>履约</w:t>
            </w:r>
            <w:r>
              <w:rPr>
                <w:rFonts w:hint="eastAsia" w:ascii="仿宋_GB2312" w:hAnsi="仿宋_GB2312" w:eastAsia="仿宋_GB2312" w:cs="仿宋_GB2312"/>
                <w:color w:val="auto"/>
                <w:szCs w:val="24"/>
                <w:highlight w:val="none"/>
              </w:rPr>
              <w:t>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14:paraId="774ECCA4">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14:paraId="2BB446D2">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14:paraId="7F924DEE">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14:paraId="76175AF4">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14:paraId="5B64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2BFA926C">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14:paraId="57A9526F">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w:t>
            </w:r>
            <w:r>
              <w:rPr>
                <w:rFonts w:hint="eastAsia" w:ascii="仿宋_GB2312" w:hAnsi="仿宋_GB2312" w:eastAsia="仿宋_GB2312" w:cs="仿宋_GB2312"/>
                <w:color w:val="auto"/>
                <w:szCs w:val="24"/>
                <w:highlight w:val="none"/>
                <w:lang w:val="en-US" w:eastAsia="zh-CN"/>
              </w:rPr>
              <w:t>履约</w:t>
            </w: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14:paraId="561DA5AC">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305BFFF2">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发生重伤或死亡1～2人的，暂停投标1年至2年（含）。</w:t>
            </w:r>
          </w:p>
          <w:p w14:paraId="558C0AF1">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发生重伤或死亡3～9人的，暂停投标2年以上至4年。</w:t>
            </w:r>
          </w:p>
          <w:p w14:paraId="530AC50E">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14:paraId="102EE8E7">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14:paraId="0D593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414DF535">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54B57797">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922245C">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49C4CF9F">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460ED9C4">
            <w:pPr>
              <w:adjustRightInd w:val="0"/>
              <w:snapToGrid w:val="0"/>
              <w:rPr>
                <w:rFonts w:hint="eastAsia" w:ascii="仿宋_GB2312" w:hAnsi="仿宋_GB2312" w:eastAsia="仿宋_GB2312" w:cs="仿宋_GB2312"/>
                <w:color w:val="auto"/>
                <w:szCs w:val="24"/>
                <w:highlight w:val="none"/>
              </w:rPr>
            </w:pPr>
          </w:p>
        </w:tc>
      </w:tr>
      <w:tr w14:paraId="632D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4BC034AB">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505BFD76">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4087B60B">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349DC07A">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14:paraId="3AF70C70">
            <w:pPr>
              <w:adjustRightInd w:val="0"/>
              <w:snapToGrid w:val="0"/>
              <w:rPr>
                <w:rFonts w:hint="eastAsia" w:ascii="仿宋_GB2312" w:hAnsi="仿宋_GB2312" w:eastAsia="仿宋_GB2312" w:cs="仿宋_GB2312"/>
                <w:color w:val="auto"/>
                <w:szCs w:val="24"/>
                <w:highlight w:val="none"/>
              </w:rPr>
            </w:pPr>
          </w:p>
        </w:tc>
      </w:tr>
      <w:tr w14:paraId="4A51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39942878">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14:paraId="4A554699">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w:t>
            </w:r>
            <w:r>
              <w:rPr>
                <w:rFonts w:hint="eastAsia" w:ascii="仿宋_GB2312" w:hAnsi="仿宋_GB2312" w:eastAsia="仿宋_GB2312" w:cs="仿宋_GB2312"/>
                <w:color w:val="auto"/>
                <w:szCs w:val="24"/>
                <w:highlight w:val="none"/>
                <w:lang w:val="en-US" w:eastAsia="zh-CN"/>
              </w:rPr>
              <w:t>履约</w:t>
            </w: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14:paraId="6072C133">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2E52E222">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9C04DC8">
            <w:pPr>
              <w:adjustRightInd w:val="0"/>
              <w:snapToGrid w:val="0"/>
              <w:rPr>
                <w:rFonts w:hint="eastAsia" w:ascii="仿宋_GB2312" w:hAnsi="仿宋_GB2312" w:eastAsia="仿宋_GB2312" w:cs="仿宋_GB2312"/>
                <w:color w:val="auto"/>
                <w:szCs w:val="24"/>
                <w:highlight w:val="none"/>
              </w:rPr>
            </w:pPr>
          </w:p>
        </w:tc>
      </w:tr>
      <w:tr w14:paraId="722E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6FA16FE2">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7FC8EC52">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1598E40D">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7A1F1B6F">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14:paraId="29E96153">
            <w:pPr>
              <w:adjustRightInd w:val="0"/>
              <w:snapToGrid w:val="0"/>
              <w:rPr>
                <w:rFonts w:hint="eastAsia" w:ascii="仿宋_GB2312" w:hAnsi="仿宋_GB2312" w:eastAsia="仿宋_GB2312" w:cs="仿宋_GB2312"/>
                <w:color w:val="auto"/>
                <w:szCs w:val="24"/>
                <w:highlight w:val="none"/>
              </w:rPr>
            </w:pPr>
          </w:p>
        </w:tc>
      </w:tr>
      <w:tr w14:paraId="29334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5FC41154">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6DF0A4F8">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020BFAA">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1CEB19AF">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48297FEC">
            <w:pPr>
              <w:adjustRightInd w:val="0"/>
              <w:snapToGrid w:val="0"/>
              <w:rPr>
                <w:rFonts w:hint="eastAsia" w:ascii="仿宋_GB2312" w:hAnsi="仿宋_GB2312" w:eastAsia="仿宋_GB2312" w:cs="仿宋_GB2312"/>
                <w:color w:val="auto"/>
                <w:szCs w:val="24"/>
                <w:highlight w:val="none"/>
              </w:rPr>
            </w:pPr>
          </w:p>
        </w:tc>
      </w:tr>
      <w:tr w14:paraId="1DEF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13B1E3F6">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14:paraId="53864542">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w:t>
            </w:r>
            <w:r>
              <w:rPr>
                <w:rFonts w:hint="eastAsia" w:ascii="仿宋_GB2312" w:hAnsi="仿宋_GB2312" w:eastAsia="仿宋_GB2312" w:cs="仿宋_GB2312"/>
                <w:color w:val="auto"/>
                <w:szCs w:val="24"/>
                <w:highlight w:val="none"/>
                <w:lang w:val="en-US" w:eastAsia="zh-CN"/>
              </w:rPr>
              <w:t>履约</w:t>
            </w:r>
          </w:p>
          <w:p w14:paraId="222236E9">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14:paraId="3F2FC68C">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14:paraId="2241A3D6">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3091AB58">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285306C">
            <w:pPr>
              <w:adjustRightInd w:val="0"/>
              <w:snapToGrid w:val="0"/>
              <w:rPr>
                <w:rFonts w:hint="eastAsia" w:ascii="仿宋_GB2312" w:hAnsi="仿宋_GB2312" w:eastAsia="仿宋_GB2312" w:cs="仿宋_GB2312"/>
                <w:color w:val="auto"/>
                <w:szCs w:val="24"/>
                <w:highlight w:val="none"/>
              </w:rPr>
            </w:pPr>
          </w:p>
        </w:tc>
      </w:tr>
      <w:tr w14:paraId="45EE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352F2761">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0FAAAEFE">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3FAEFE2A">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14:paraId="76C501AD">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64498AC0">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7DFECEA1">
            <w:pPr>
              <w:adjustRightInd w:val="0"/>
              <w:snapToGrid w:val="0"/>
              <w:rPr>
                <w:rFonts w:hint="eastAsia" w:ascii="仿宋_GB2312" w:hAnsi="仿宋_GB2312" w:eastAsia="仿宋_GB2312" w:cs="仿宋_GB2312"/>
                <w:color w:val="auto"/>
                <w:szCs w:val="24"/>
                <w:highlight w:val="none"/>
              </w:rPr>
            </w:pPr>
          </w:p>
        </w:tc>
      </w:tr>
      <w:tr w14:paraId="5456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64F99C5D">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2BA29AF8">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2833CFF1">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14:paraId="7577EE16">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16EFE441">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67611BD2">
            <w:pPr>
              <w:adjustRightInd w:val="0"/>
              <w:snapToGrid w:val="0"/>
              <w:rPr>
                <w:rFonts w:hint="eastAsia" w:ascii="仿宋_GB2312" w:hAnsi="仿宋_GB2312" w:eastAsia="仿宋_GB2312" w:cs="仿宋_GB2312"/>
                <w:color w:val="auto"/>
                <w:szCs w:val="24"/>
                <w:highlight w:val="none"/>
              </w:rPr>
            </w:pPr>
          </w:p>
        </w:tc>
      </w:tr>
      <w:tr w14:paraId="6F0FA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36A01A9B">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45203938">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45C433DC">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14:paraId="4B49E1A2">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04472979">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F49CCF0">
            <w:pPr>
              <w:adjustRightInd w:val="0"/>
              <w:snapToGrid w:val="0"/>
              <w:rPr>
                <w:rFonts w:hint="eastAsia" w:ascii="仿宋_GB2312" w:hAnsi="仿宋_GB2312" w:eastAsia="仿宋_GB2312" w:cs="仿宋_GB2312"/>
                <w:color w:val="auto"/>
                <w:szCs w:val="24"/>
                <w:highlight w:val="none"/>
              </w:rPr>
            </w:pPr>
          </w:p>
        </w:tc>
      </w:tr>
      <w:tr w14:paraId="55F8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423A0332">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5DA141F9">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4A2B9052">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14:paraId="0D93C55E">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338A41EE">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1CC5137E">
            <w:pPr>
              <w:adjustRightInd w:val="0"/>
              <w:snapToGrid w:val="0"/>
              <w:rPr>
                <w:rFonts w:hint="eastAsia" w:ascii="仿宋_GB2312" w:hAnsi="仿宋_GB2312" w:eastAsia="仿宋_GB2312" w:cs="仿宋_GB2312"/>
                <w:color w:val="auto"/>
                <w:szCs w:val="24"/>
                <w:highlight w:val="none"/>
              </w:rPr>
            </w:pPr>
          </w:p>
        </w:tc>
      </w:tr>
      <w:tr w14:paraId="2B4E9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5A126FC5">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1F9EF16E">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1ECAF9D7">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w:t>
            </w:r>
            <w:r>
              <w:rPr>
                <w:rFonts w:hint="eastAsia" w:ascii="仿宋_GB2312" w:hAnsi="仿宋_GB2312" w:eastAsia="仿宋_GB2312" w:cs="仿宋_GB2312"/>
                <w:color w:val="auto"/>
                <w:szCs w:val="24"/>
                <w:highlight w:val="none"/>
                <w:lang w:val="en-US" w:eastAsia="zh-CN"/>
              </w:rPr>
              <w:t>负责人</w:t>
            </w:r>
            <w:r>
              <w:rPr>
                <w:rFonts w:hint="eastAsia" w:ascii="仿宋_GB2312" w:hAnsi="仿宋_GB2312" w:eastAsia="仿宋_GB2312" w:cs="仿宋_GB2312"/>
                <w:color w:val="auto"/>
                <w:szCs w:val="24"/>
                <w:highlight w:val="none"/>
              </w:rPr>
              <w:t>的。</w:t>
            </w:r>
          </w:p>
        </w:tc>
        <w:tc>
          <w:tcPr>
            <w:tcW w:w="850" w:type="dxa"/>
            <w:tcBorders>
              <w:top w:val="single" w:color="auto" w:sz="4" w:space="0"/>
              <w:left w:val="single" w:color="auto" w:sz="4" w:space="0"/>
              <w:bottom w:val="single" w:color="auto" w:sz="4" w:space="0"/>
              <w:right w:val="single" w:color="auto" w:sz="4" w:space="0"/>
            </w:tcBorders>
            <w:noWrap/>
            <w:vAlign w:val="center"/>
          </w:tcPr>
          <w:p w14:paraId="5C4BD028">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077A06BF">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73A8850">
            <w:pPr>
              <w:adjustRightInd w:val="0"/>
              <w:snapToGrid w:val="0"/>
              <w:rPr>
                <w:rFonts w:hint="eastAsia" w:ascii="仿宋_GB2312" w:hAnsi="仿宋_GB2312" w:eastAsia="仿宋_GB2312" w:cs="仿宋_GB2312"/>
                <w:color w:val="auto"/>
                <w:szCs w:val="24"/>
                <w:highlight w:val="none"/>
              </w:rPr>
            </w:pPr>
          </w:p>
        </w:tc>
      </w:tr>
      <w:tr w14:paraId="3B07F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70CE94AA">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1EBA9559">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61E55349">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1AA013D6">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605CC5C3">
            <w:pPr>
              <w:adjustRightInd w:val="0"/>
              <w:snapToGrid w:val="0"/>
              <w:rPr>
                <w:rFonts w:hint="eastAsia" w:ascii="仿宋_GB2312" w:hAnsi="仿宋_GB2312" w:eastAsia="仿宋_GB2312" w:cs="仿宋_GB2312"/>
                <w:color w:val="auto"/>
                <w:szCs w:val="24"/>
                <w:highlight w:val="none"/>
              </w:rPr>
            </w:pPr>
          </w:p>
        </w:tc>
      </w:tr>
      <w:tr w14:paraId="4DEFB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1EFEF675">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34B65444">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502FCA3A">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14:paraId="693EF188">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06D7321E">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6E9852B5">
            <w:pPr>
              <w:adjustRightInd w:val="0"/>
              <w:snapToGrid w:val="0"/>
              <w:rPr>
                <w:rFonts w:hint="eastAsia" w:ascii="仿宋_GB2312" w:hAnsi="仿宋_GB2312" w:eastAsia="仿宋_GB2312" w:cs="仿宋_GB2312"/>
                <w:color w:val="auto"/>
                <w:szCs w:val="24"/>
                <w:highlight w:val="none"/>
              </w:rPr>
            </w:pPr>
          </w:p>
        </w:tc>
      </w:tr>
      <w:tr w14:paraId="7A57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5FB05B26">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0F192FCA">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1444BF35">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14:paraId="128AC29F">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3B46D77B">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49EE3922">
            <w:pPr>
              <w:adjustRightInd w:val="0"/>
              <w:snapToGrid w:val="0"/>
              <w:rPr>
                <w:rFonts w:hint="eastAsia" w:ascii="仿宋_GB2312" w:hAnsi="仿宋_GB2312" w:eastAsia="仿宋_GB2312" w:cs="仿宋_GB2312"/>
                <w:color w:val="auto"/>
                <w:szCs w:val="24"/>
                <w:highlight w:val="none"/>
              </w:rPr>
            </w:pPr>
          </w:p>
        </w:tc>
      </w:tr>
      <w:tr w14:paraId="57B06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3EB213CB">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34B2B5AF">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09CBFA8C">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14:paraId="7D768A0C">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7271C859">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09ECBDF7">
            <w:pPr>
              <w:adjustRightInd w:val="0"/>
              <w:snapToGrid w:val="0"/>
              <w:rPr>
                <w:rFonts w:hint="eastAsia" w:ascii="仿宋_GB2312" w:hAnsi="仿宋_GB2312" w:eastAsia="仿宋_GB2312" w:cs="仿宋_GB2312"/>
                <w:color w:val="auto"/>
                <w:szCs w:val="24"/>
                <w:highlight w:val="none"/>
              </w:rPr>
            </w:pPr>
          </w:p>
        </w:tc>
      </w:tr>
      <w:tr w14:paraId="6A54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18739E11">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71F2555B">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286E2EAA">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5AD8BB6A">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75B5BB3B">
            <w:pPr>
              <w:adjustRightInd w:val="0"/>
              <w:snapToGrid w:val="0"/>
              <w:rPr>
                <w:rFonts w:hint="eastAsia" w:ascii="仿宋_GB2312" w:hAnsi="仿宋_GB2312" w:eastAsia="仿宋_GB2312" w:cs="仿宋_GB2312"/>
                <w:color w:val="auto"/>
                <w:szCs w:val="24"/>
                <w:highlight w:val="none"/>
              </w:rPr>
            </w:pPr>
          </w:p>
        </w:tc>
      </w:tr>
      <w:tr w14:paraId="7F7A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055AFE78">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6C4CA281">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1C494D57">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7F3C606F">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53470E32">
            <w:pPr>
              <w:adjustRightInd w:val="0"/>
              <w:snapToGrid w:val="0"/>
              <w:rPr>
                <w:rFonts w:hint="eastAsia" w:ascii="仿宋_GB2312" w:hAnsi="仿宋_GB2312" w:eastAsia="仿宋_GB2312" w:cs="仿宋_GB2312"/>
                <w:color w:val="auto"/>
                <w:szCs w:val="24"/>
                <w:highlight w:val="none"/>
              </w:rPr>
            </w:pPr>
          </w:p>
        </w:tc>
      </w:tr>
      <w:tr w14:paraId="54A4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1FD05705">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0B829092">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498431FB">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61F36035">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3E446FA4">
            <w:pPr>
              <w:adjustRightInd w:val="0"/>
              <w:snapToGrid w:val="0"/>
              <w:rPr>
                <w:rFonts w:hint="eastAsia" w:ascii="仿宋_GB2312" w:hAnsi="仿宋_GB2312" w:eastAsia="仿宋_GB2312" w:cs="仿宋_GB2312"/>
                <w:color w:val="auto"/>
                <w:szCs w:val="24"/>
                <w:highlight w:val="none"/>
              </w:rPr>
            </w:pPr>
          </w:p>
        </w:tc>
      </w:tr>
      <w:tr w14:paraId="7FD7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703F2804">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38105FE2">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4460F06C">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42E7B5EE">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6DA740CC">
            <w:pPr>
              <w:adjustRightInd w:val="0"/>
              <w:snapToGrid w:val="0"/>
              <w:rPr>
                <w:rFonts w:hint="eastAsia" w:ascii="仿宋_GB2312" w:hAnsi="仿宋_GB2312" w:eastAsia="仿宋_GB2312" w:cs="仿宋_GB2312"/>
                <w:color w:val="auto"/>
                <w:szCs w:val="24"/>
                <w:highlight w:val="none"/>
              </w:rPr>
            </w:pPr>
          </w:p>
        </w:tc>
      </w:tr>
      <w:tr w14:paraId="342E4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55DF2FB8">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1B5028AD">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6FC953F5">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028DF7E1">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AFFAF53">
            <w:pPr>
              <w:adjustRightInd w:val="0"/>
              <w:snapToGrid w:val="0"/>
              <w:rPr>
                <w:rFonts w:hint="eastAsia" w:ascii="仿宋_GB2312" w:hAnsi="仿宋_GB2312" w:eastAsia="仿宋_GB2312" w:cs="仿宋_GB2312"/>
                <w:color w:val="auto"/>
                <w:szCs w:val="24"/>
                <w:highlight w:val="none"/>
              </w:rPr>
            </w:pPr>
          </w:p>
        </w:tc>
      </w:tr>
      <w:tr w14:paraId="6481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6CBC4209">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4D8D29BD">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35D75360">
            <w:p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（十二）经发包人认定的其他不</w:t>
            </w:r>
            <w:r>
              <w:rPr>
                <w:rFonts w:hint="eastAsia" w:ascii="仿宋_GB2312" w:hAnsi="仿宋_GB2312" w:eastAsia="仿宋_GB2312" w:cs="仿宋_GB2312"/>
                <w:color w:val="auto"/>
                <w:szCs w:val="24"/>
                <w:highlight w:val="none"/>
                <w:lang w:val="en-US" w:eastAsia="zh-CN"/>
              </w:rPr>
              <w:t>履约</w:t>
            </w:r>
            <w:r>
              <w:rPr>
                <w:rFonts w:hint="eastAsia" w:ascii="仿宋_GB2312" w:hAnsi="仿宋_GB2312" w:eastAsia="仿宋_GB2312" w:cs="仿宋_GB2312"/>
                <w:color w:val="auto"/>
                <w:szCs w:val="24"/>
                <w:highlight w:val="none"/>
              </w:rPr>
              <w:t>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31782370">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33968A3E">
            <w:pPr>
              <w:adjustRightInd w:val="0"/>
              <w:snapToGrid w:val="0"/>
              <w:rPr>
                <w:rFonts w:hint="eastAsia" w:ascii="仿宋_GB2312" w:hAnsi="仿宋_GB2312" w:eastAsia="仿宋_GB2312" w:cs="仿宋_GB2312"/>
                <w:color w:val="auto"/>
                <w:szCs w:val="24"/>
                <w:highlight w:val="none"/>
              </w:rPr>
            </w:pPr>
          </w:p>
        </w:tc>
      </w:tr>
    </w:tbl>
    <w:p w14:paraId="5EC2EF52">
      <w:pPr>
        <w:pStyle w:val="24"/>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auto"/>
          <w:sz w:val="24"/>
          <w:szCs w:val="24"/>
          <w:highlight w:val="none"/>
        </w:rPr>
        <w:t>《广州市净水有限公司经营建设项目参建企业</w:t>
      </w:r>
      <w:r>
        <w:rPr>
          <w:rFonts w:hint="eastAsia" w:ascii="仿宋_GB2312" w:hAnsi="仿宋_GB2312" w:eastAsia="仿宋_GB2312" w:cs="仿宋_GB2312"/>
          <w:color w:val="auto"/>
          <w:sz w:val="24"/>
          <w:szCs w:val="24"/>
          <w:highlight w:val="none"/>
          <w:lang w:val="en-US" w:eastAsia="zh-CN"/>
        </w:rPr>
        <w:t>不履约评价</w:t>
      </w:r>
      <w:r>
        <w:rPr>
          <w:rFonts w:hint="eastAsia" w:ascii="仿宋_GB2312" w:hAnsi="仿宋_GB2312" w:eastAsia="仿宋_GB2312" w:cs="仿宋_GB2312"/>
          <w:color w:val="auto"/>
          <w:sz w:val="24"/>
          <w:szCs w:val="24"/>
          <w:highlight w:val="none"/>
        </w:rPr>
        <w:t>管理办法（试行）》</w:t>
      </w:r>
      <w:r>
        <w:rPr>
          <w:rFonts w:hint="eastAsia" w:ascii="仿宋_GB2312" w:hAnsi="仿宋_GB2312" w:eastAsia="仿宋_GB2312" w:cs="仿宋_GB2312"/>
          <w:color w:val="auto"/>
          <w:sz w:val="24"/>
          <w:szCs w:val="24"/>
          <w:highlight w:val="none"/>
          <w:lang w:eastAsia="zh-CN"/>
        </w:rPr>
        <w:t>。</w:t>
      </w:r>
    </w:p>
    <w:p w14:paraId="7171CA61">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附件12技术需求书</w:t>
      </w:r>
    </w:p>
    <w:p w14:paraId="492BF776">
      <w:pPr>
        <w:pStyle w:val="24"/>
        <w:rPr>
          <w:rFonts w:hint="default" w:ascii="仿宋_GB2312" w:hAnsi="仿宋_GB2312" w:eastAsia="仿宋_GB2312" w:cs="仿宋_GB2312"/>
          <w:color w:val="auto"/>
          <w:sz w:val="24"/>
          <w:szCs w:val="24"/>
          <w:highlight w:val="none"/>
          <w:lang w:val="en-US" w:eastAsia="zh-CN"/>
        </w:rPr>
      </w:pPr>
    </w:p>
    <w:bookmarkEnd w:id="33"/>
    <w:sectPr>
      <w:footerReference r:id="rId6" w:type="default"/>
      <w:pgSz w:w="11906" w:h="16838"/>
      <w:pgMar w:top="2098" w:right="1531" w:bottom="2098" w:left="1531" w:header="851" w:footer="1417" w:gutter="0"/>
      <w:pgNumType w:fmt="numberInDash"/>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18DA58F-44D3-4007-89E4-22FA2A6F317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D5721F74-4A60-47F4-9460-A600DA8938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11C1C8B6-B903-4B96-8026-EB466DC441CB}"/>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sto MT">
    <w:altName w:val="Segoe Print"/>
    <w:panose1 w:val="02040603050505030304"/>
    <w:charset w:val="00"/>
    <w:family w:val="roman"/>
    <w:pitch w:val="default"/>
    <w:sig w:usb0="00000000" w:usb1="00000000" w:usb2="00000000" w:usb3="00000000" w:csb0="20000001" w:csb1="00000000"/>
  </w:font>
  <w:font w:name="方正小标宋简体">
    <w:panose1 w:val="02000000000000000000"/>
    <w:charset w:val="86"/>
    <w:family w:val="script"/>
    <w:pitch w:val="default"/>
    <w:sig w:usb0="00000001" w:usb1="08000000" w:usb2="00000000" w:usb3="00000000" w:csb0="00040000" w:csb1="00000000"/>
    <w:embedRegular r:id="rId4" w:fontKey="{9BE3D04B-E609-4AB2-936D-93A0B976F556}"/>
  </w:font>
  <w:font w:name="Wingdings 2">
    <w:panose1 w:val="05020102010507070707"/>
    <w:charset w:val="00"/>
    <w:family w:val="auto"/>
    <w:pitch w:val="default"/>
    <w:sig w:usb0="00000000" w:usb1="00000000" w:usb2="00000000" w:usb3="00000000" w:csb0="80000000" w:csb1="00000000"/>
    <w:embedRegular r:id="rId5" w:fontKey="{D1526F70-35AA-46F2-98FF-F5C57390B67D}"/>
  </w:font>
  <w:font w:name="微软雅黑">
    <w:panose1 w:val="020B0503020204020204"/>
    <w:charset w:val="86"/>
    <w:family w:val="auto"/>
    <w:pitch w:val="default"/>
    <w:sig w:usb0="80000287" w:usb1="2ACF3C50" w:usb2="00000016" w:usb3="00000000" w:csb0="0004001F" w:csb1="00000000"/>
    <w:embedRegular r:id="rId6" w:fontKey="{F3819A97-511C-4E27-A43E-8A89B09D48AB}"/>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0CFEF">
    <w:pPr>
      <w:pStyle w:val="17"/>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-175895</wp:posOffset>
              </wp:positionV>
              <wp:extent cx="445135" cy="230505"/>
              <wp:effectExtent l="0" t="0" r="0" b="0"/>
              <wp:wrapNone/>
              <wp:docPr id="2" name="文本框 3"/>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a:effectLst/>
                    </wps:spPr>
                    <wps:txbx>
                      <w:txbxContent>
                        <w:p w14:paraId="6DCF35B9">
                          <w:pPr>
                            <w:pStyle w:val="1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13.85pt;height:18.15pt;width:35.05pt;mso-position-horizontal:outside;mso-position-horizontal-relative:margin;mso-wrap-style:none;z-index:251659264;mso-width-relative:page;mso-height-relative:page;" filled="f" stroked="f" coordsize="21600,21600" o:gfxdata="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sUSu/0gAAAAUBAAAPAAAAAAAAAAEAIAAAACIAAABk&#10;cnMvZG93bnJldi54bWxQSwECFAAUAAAACACHTuJAvEkSDNMBAAClAwAADgAAAAAAAAABACAAAAAh&#10;AQAAZHJzL2Uyb0RvYy54bWxQSwUGAAAAAAYABgBZAQAAZgUAAAAA&#10;">
              <v:fill on="f" focussize="0,0"/>
              <v:stroke on="f"/>
              <v:imagedata o:title=""/>
              <o:lock v:ext="edit" aspectratio="f"/>
              <v:textbox inset="0mm,0mm,0mm,0mm" style="mso-fit-shape-to-text:t;">
                <w:txbxContent>
                  <w:p w14:paraId="6DCF35B9">
                    <w:pPr>
                      <w:pStyle w:val="1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62B8D">
    <w:pPr>
      <w:pStyle w:val="17"/>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-181610</wp:posOffset>
              </wp:positionV>
              <wp:extent cx="516890" cy="313055"/>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516890" cy="313055"/>
                      </a:xfrm>
                      <a:prstGeom prst="rect">
                        <a:avLst/>
                      </a:prstGeom>
                      <a:noFill/>
                      <a:ln>
                        <a:noFill/>
                      </a:ln>
                    </wps:spPr>
                    <wps:txbx>
                      <w:txbxContent>
                        <w:p w14:paraId="4D252402">
                          <w:pPr>
                            <w:pStyle w:val="17"/>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- 2 -</w:t>
                          </w:r>
                          <w:r>
                            <w:rPr>
                              <w:rFonts w:hint="eastAsia" w:ascii="宋体" w:hAnsi="宋体" w:cs="宋体"/>
                              <w:sz w:val="28"/>
                              <w:szCs w:val="28"/>
                              <w:lang w:eastAsia="zh-CN"/>
                            </w:rPr>
                            <w:fldChar w:fldCharType="end"/>
                          </w:r>
                        </w:p>
                      </w:txbxContent>
                    </wps:txbx>
                    <wps:bodyPr lIns="0" tIns="0" rIns="0" bIns="0" upright="0"/>
                  </wps:wsp>
                </a:graphicData>
              </a:graphic>
            </wp:anchor>
          </w:drawing>
        </mc:Choice>
        <mc:Fallback>
          <w:pict>
            <v:shape id="文本框 1026" o:spid="_x0000_s1026" o:spt="202" type="#_x0000_t202" style="position:absolute;left:0pt;margin-left:0pt;margin-top:-14.3pt;height:24.65pt;width:40.7pt;mso-position-horizontal-relative:margin;z-index:251660288;mso-width-relative:page;mso-height-relative:page;" filled="f" stroked="f" coordsize="21600,21600" o:gfxdata="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G5s361gAAAAYBAAAPAAAAAAAAAAEAIAAAACIAAABkcnMvZG93bnJldi54bWxQSwEC&#10;FAAUAAAACACHTuJAz4VaFb0BAAB0AwAADgAAAAAAAAABACAAAAAlAQAAZHJzL2Uyb0RvYy54bWxQ&#10;SwUGAAAAAAYABgBZAQAAVAUAAAAA&#10;">
              <v:fill on="f" focussize="0,0"/>
              <v:stroke on="f"/>
              <v:imagedata o:title=""/>
              <o:lock v:ext="edit" aspectratio="f"/>
              <v:textbox inset="0mm,0mm,0mm,0mm">
                <w:txbxContent>
                  <w:p w14:paraId="4D252402">
                    <w:pPr>
                      <w:pStyle w:val="17"/>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- 2 -</w:t>
                    </w:r>
                    <w:r>
                      <w:rPr>
                        <w:rFonts w:hint="eastAsia" w:ascii="宋体" w:hAnsi="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9E64A">
    <w:pPr>
      <w:pStyle w:val="17"/>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5052060</wp:posOffset>
              </wp:positionH>
              <wp:positionV relativeFrom="paragraph">
                <wp:posOffset>-95250</wp:posOffset>
              </wp:positionV>
              <wp:extent cx="563880" cy="37973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563880" cy="379730"/>
                      </a:xfrm>
                      <a:prstGeom prst="rect">
                        <a:avLst/>
                      </a:prstGeom>
                      <a:noFill/>
                      <a:ln>
                        <a:noFill/>
                      </a:ln>
                    </wps:spPr>
                    <wps:txbx>
                      <w:txbxContent>
                        <w:sdt>
                          <w:sdtPr>
                            <w:rPr>
                              <w:rFonts w:hint="eastAsia" w:ascii="宋体" w:hAnsi="宋体" w:eastAsia="宋体" w:cs="宋体"/>
                              <w:sz w:val="28"/>
                              <w:szCs w:val="28"/>
                            </w:rPr>
                            <w:id w:val="-1803232920"/>
                          </w:sdtPr>
                          <w:sdtEndPr>
                            <w:rPr>
                              <w:rFonts w:hint="eastAsia" w:ascii="宋体" w:hAnsi="宋体" w:eastAsia="宋体" w:cs="宋体"/>
                              <w:sz w:val="28"/>
                              <w:szCs w:val="28"/>
                            </w:rPr>
                          </w:sdtEndPr>
                          <w:sdtContent>
                            <w:p w14:paraId="12314753">
                              <w:pPr>
                                <w:pStyle w:val="17"/>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7</w:t>
                              </w:r>
                              <w:r>
                                <w:rPr>
                                  <w:rFonts w:hint="eastAsia" w:ascii="宋体" w:hAnsi="宋体" w:cs="宋体"/>
                                  <w:sz w:val="28"/>
                                  <w:szCs w:val="28"/>
                                </w:rPr>
                                <w:fldChar w:fldCharType="end"/>
                              </w:r>
                            </w:p>
                          </w:sdtContent>
                        </w:sdt>
                        <w:p w14:paraId="5BBB87BB"/>
                      </w:txbxContent>
                    </wps:txbx>
                    <wps:bodyPr lIns="0" tIns="0" rIns="0" bIns="0" upright="0"/>
                  </wps:wsp>
                </a:graphicData>
              </a:graphic>
            </wp:anchor>
          </w:drawing>
        </mc:Choice>
        <mc:Fallback>
          <w:pict>
            <v:shape id="文本框 1027" o:spid="_x0000_s1026" o:spt="202" type="#_x0000_t202" style="position:absolute;left:0pt;margin-left:397.8pt;margin-top:-7.5pt;height:29.9pt;width:44.4pt;mso-position-horizontal-relative:margin;z-index:251661312;mso-width-relative:page;mso-height-relative:page;" filled="f" stroked="f" coordsize="21600,21600" o:gfxdata="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H2RtoAAAAKAQAADwAAAAAAAAABACAAAAAiAAAAZHJzL2Rvd25yZXYueG1s&#10;UEsBAhQAFAAAAAgAh07iQFsFKQa9AQAAdAMAAA4AAAAAAAAAAQAgAAAAKQEAAGRycy9lMm9Eb2Mu&#10;eG1sUEsFBgAAAAAGAAYAWQEAAFgFAAAAAA==&#10;">
              <v:fill on="f" focussize="0,0"/>
              <v:stroke on="f"/>
              <v:imagedata o:title=""/>
              <o:lock v:ext="edit" aspectratio="f"/>
              <v:textbox inset="0mm,0mm,0mm,0mm">
                <w:txbxContent>
                  <w:sdt>
                    <w:sdtPr>
                      <w:rPr>
                        <w:rFonts w:hint="eastAsia" w:ascii="宋体" w:hAnsi="宋体" w:eastAsia="宋体" w:cs="宋体"/>
                        <w:sz w:val="28"/>
                        <w:szCs w:val="28"/>
                      </w:rPr>
                      <w:id w:val="-1803232920"/>
                    </w:sdtPr>
                    <w:sdtEndPr>
                      <w:rPr>
                        <w:rFonts w:hint="eastAsia" w:ascii="宋体" w:hAnsi="宋体" w:eastAsia="宋体" w:cs="宋体"/>
                        <w:sz w:val="28"/>
                        <w:szCs w:val="28"/>
                      </w:rPr>
                    </w:sdtEndPr>
                    <w:sdtContent>
                      <w:p w14:paraId="12314753">
                        <w:pPr>
                          <w:pStyle w:val="17"/>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7</w:t>
                        </w:r>
                        <w:r>
                          <w:rPr>
                            <w:rFonts w:hint="eastAsia" w:ascii="宋体" w:hAnsi="宋体" w:cs="宋体"/>
                            <w:sz w:val="28"/>
                            <w:szCs w:val="28"/>
                          </w:rPr>
                          <w:fldChar w:fldCharType="end"/>
                        </w:r>
                      </w:p>
                    </w:sdtContent>
                  </w:sdt>
                  <w:p w14:paraId="5BBB87BB"/>
                </w:txbxContent>
              </v:textbox>
            </v:shape>
          </w:pict>
        </mc:Fallback>
      </mc:AlternateContent>
    </w:r>
  </w:p>
  <w:p w14:paraId="62518663">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F41A4">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74C9A6"/>
    <w:multiLevelType w:val="singleLevel"/>
    <w:tmpl w:val="F474C9A6"/>
    <w:lvl w:ilvl="0" w:tentative="0">
      <w:start w:val="10"/>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doNotDisplayPageBoundaries w:val="1"/>
  <w:embedTrueTypeFonts/>
  <w:saveSubsetFonts/>
  <w:bordersDoNotSurroundHeader w:val="0"/>
  <w:bordersDoNotSurroundFooter w:val="0"/>
  <w:trackRevisions w:val="1"/>
  <w:documentProtection w:enforcement="0"/>
  <w:defaultTabStop w:val="420"/>
  <w:evenAndOddHeaders w:val="1"/>
  <w:drawingGridHorizontalSpacing w:val="21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mMDZhOWRlNjc4ZmEzNjJiNDkxMjEyM2Q1M2JlMWYifQ=="/>
  </w:docVars>
  <w:rsids>
    <w:rsidRoot w:val="00172A27"/>
    <w:rsid w:val="000116F4"/>
    <w:rsid w:val="000160F0"/>
    <w:rsid w:val="00022E8F"/>
    <w:rsid w:val="00027CF8"/>
    <w:rsid w:val="0003063C"/>
    <w:rsid w:val="00033E52"/>
    <w:rsid w:val="000345AE"/>
    <w:rsid w:val="00037C52"/>
    <w:rsid w:val="00057FF6"/>
    <w:rsid w:val="00066159"/>
    <w:rsid w:val="00071CC7"/>
    <w:rsid w:val="00071E3E"/>
    <w:rsid w:val="00073A98"/>
    <w:rsid w:val="00075ED5"/>
    <w:rsid w:val="0008389C"/>
    <w:rsid w:val="00094002"/>
    <w:rsid w:val="00094F8A"/>
    <w:rsid w:val="00097681"/>
    <w:rsid w:val="000A5FA6"/>
    <w:rsid w:val="000B6A52"/>
    <w:rsid w:val="000C3B28"/>
    <w:rsid w:val="000D5859"/>
    <w:rsid w:val="000E5327"/>
    <w:rsid w:val="0012727D"/>
    <w:rsid w:val="00127F4F"/>
    <w:rsid w:val="00130D5B"/>
    <w:rsid w:val="001348FB"/>
    <w:rsid w:val="0013692F"/>
    <w:rsid w:val="0014004D"/>
    <w:rsid w:val="00140243"/>
    <w:rsid w:val="0015465F"/>
    <w:rsid w:val="00171748"/>
    <w:rsid w:val="00172A27"/>
    <w:rsid w:val="0017371F"/>
    <w:rsid w:val="00194A0A"/>
    <w:rsid w:val="001A4672"/>
    <w:rsid w:val="001B2DEE"/>
    <w:rsid w:val="001B5AE4"/>
    <w:rsid w:val="001B6E9F"/>
    <w:rsid w:val="001C1760"/>
    <w:rsid w:val="001D0148"/>
    <w:rsid w:val="001D4DB1"/>
    <w:rsid w:val="001D5631"/>
    <w:rsid w:val="001F5EF9"/>
    <w:rsid w:val="001F7034"/>
    <w:rsid w:val="0020272A"/>
    <w:rsid w:val="002065E9"/>
    <w:rsid w:val="00207810"/>
    <w:rsid w:val="002253C3"/>
    <w:rsid w:val="00225637"/>
    <w:rsid w:val="00225F8E"/>
    <w:rsid w:val="00231B49"/>
    <w:rsid w:val="00231C52"/>
    <w:rsid w:val="002357E1"/>
    <w:rsid w:val="00237FA0"/>
    <w:rsid w:val="00240583"/>
    <w:rsid w:val="00241057"/>
    <w:rsid w:val="002524ED"/>
    <w:rsid w:val="002536AD"/>
    <w:rsid w:val="0026733C"/>
    <w:rsid w:val="00270D52"/>
    <w:rsid w:val="002932B9"/>
    <w:rsid w:val="002A3E44"/>
    <w:rsid w:val="002A4B6F"/>
    <w:rsid w:val="002A73D0"/>
    <w:rsid w:val="002B4096"/>
    <w:rsid w:val="002B64E4"/>
    <w:rsid w:val="002C1443"/>
    <w:rsid w:val="002C2854"/>
    <w:rsid w:val="002E7E89"/>
    <w:rsid w:val="002F1E24"/>
    <w:rsid w:val="002F66BB"/>
    <w:rsid w:val="0030318C"/>
    <w:rsid w:val="00303F37"/>
    <w:rsid w:val="00305B4B"/>
    <w:rsid w:val="0031056F"/>
    <w:rsid w:val="003107A2"/>
    <w:rsid w:val="003255DB"/>
    <w:rsid w:val="00340E06"/>
    <w:rsid w:val="00353AB3"/>
    <w:rsid w:val="00357CB5"/>
    <w:rsid w:val="00360F9F"/>
    <w:rsid w:val="003623C6"/>
    <w:rsid w:val="00370B9B"/>
    <w:rsid w:val="003940BF"/>
    <w:rsid w:val="003C1BF5"/>
    <w:rsid w:val="003D2A80"/>
    <w:rsid w:val="003D683A"/>
    <w:rsid w:val="003E21FA"/>
    <w:rsid w:val="003F3168"/>
    <w:rsid w:val="00402D74"/>
    <w:rsid w:val="00405B90"/>
    <w:rsid w:val="00414260"/>
    <w:rsid w:val="00445044"/>
    <w:rsid w:val="00445800"/>
    <w:rsid w:val="004459CC"/>
    <w:rsid w:val="0044769E"/>
    <w:rsid w:val="004541C7"/>
    <w:rsid w:val="0046571A"/>
    <w:rsid w:val="00484DC9"/>
    <w:rsid w:val="004916BB"/>
    <w:rsid w:val="00493DDA"/>
    <w:rsid w:val="004A5F30"/>
    <w:rsid w:val="004A7A3D"/>
    <w:rsid w:val="004D3059"/>
    <w:rsid w:val="004D3279"/>
    <w:rsid w:val="004D4E03"/>
    <w:rsid w:val="004D5C89"/>
    <w:rsid w:val="004E1D21"/>
    <w:rsid w:val="004E3E05"/>
    <w:rsid w:val="004E3ED0"/>
    <w:rsid w:val="004E6CB8"/>
    <w:rsid w:val="0050150F"/>
    <w:rsid w:val="0050424B"/>
    <w:rsid w:val="0050794E"/>
    <w:rsid w:val="00513133"/>
    <w:rsid w:val="005164AC"/>
    <w:rsid w:val="00517E28"/>
    <w:rsid w:val="0052430E"/>
    <w:rsid w:val="00533ACD"/>
    <w:rsid w:val="0054544F"/>
    <w:rsid w:val="0055166C"/>
    <w:rsid w:val="00556CE9"/>
    <w:rsid w:val="00567A17"/>
    <w:rsid w:val="00571F0E"/>
    <w:rsid w:val="00571F67"/>
    <w:rsid w:val="0058148A"/>
    <w:rsid w:val="005943A4"/>
    <w:rsid w:val="00597E4B"/>
    <w:rsid w:val="005A12C3"/>
    <w:rsid w:val="005B05F8"/>
    <w:rsid w:val="005B11C9"/>
    <w:rsid w:val="005C1C3E"/>
    <w:rsid w:val="005C3B8F"/>
    <w:rsid w:val="005D002D"/>
    <w:rsid w:val="005D2F99"/>
    <w:rsid w:val="005D30F2"/>
    <w:rsid w:val="005E2C99"/>
    <w:rsid w:val="005E7898"/>
    <w:rsid w:val="005F1C5F"/>
    <w:rsid w:val="005F4A31"/>
    <w:rsid w:val="00604090"/>
    <w:rsid w:val="00607FF2"/>
    <w:rsid w:val="0061344A"/>
    <w:rsid w:val="00615C4E"/>
    <w:rsid w:val="006234B3"/>
    <w:rsid w:val="00626E24"/>
    <w:rsid w:val="00626EF8"/>
    <w:rsid w:val="00650829"/>
    <w:rsid w:val="006639C1"/>
    <w:rsid w:val="00664CAE"/>
    <w:rsid w:val="0066748E"/>
    <w:rsid w:val="00677B2B"/>
    <w:rsid w:val="0068707F"/>
    <w:rsid w:val="006A0B17"/>
    <w:rsid w:val="006B0FD6"/>
    <w:rsid w:val="006B6083"/>
    <w:rsid w:val="006E3AA2"/>
    <w:rsid w:val="006E6A7F"/>
    <w:rsid w:val="0070221C"/>
    <w:rsid w:val="00724782"/>
    <w:rsid w:val="007317DF"/>
    <w:rsid w:val="00736741"/>
    <w:rsid w:val="00740F88"/>
    <w:rsid w:val="00741428"/>
    <w:rsid w:val="00743945"/>
    <w:rsid w:val="007449DE"/>
    <w:rsid w:val="00746E6F"/>
    <w:rsid w:val="0075140F"/>
    <w:rsid w:val="00753AAF"/>
    <w:rsid w:val="00756B41"/>
    <w:rsid w:val="00762CC5"/>
    <w:rsid w:val="00766890"/>
    <w:rsid w:val="00767D69"/>
    <w:rsid w:val="00780A6D"/>
    <w:rsid w:val="00783376"/>
    <w:rsid w:val="00786DFA"/>
    <w:rsid w:val="007A38C4"/>
    <w:rsid w:val="007A7B5B"/>
    <w:rsid w:val="007B0429"/>
    <w:rsid w:val="007B4BEF"/>
    <w:rsid w:val="007C088B"/>
    <w:rsid w:val="007C1ECA"/>
    <w:rsid w:val="007C600B"/>
    <w:rsid w:val="007C7F48"/>
    <w:rsid w:val="007D0D4D"/>
    <w:rsid w:val="007D3EAB"/>
    <w:rsid w:val="00802B8F"/>
    <w:rsid w:val="00810C65"/>
    <w:rsid w:val="0081291C"/>
    <w:rsid w:val="008232A9"/>
    <w:rsid w:val="00824DA0"/>
    <w:rsid w:val="008306B2"/>
    <w:rsid w:val="00830F34"/>
    <w:rsid w:val="00831B55"/>
    <w:rsid w:val="00872E01"/>
    <w:rsid w:val="00875DE4"/>
    <w:rsid w:val="00891595"/>
    <w:rsid w:val="0089338A"/>
    <w:rsid w:val="00895156"/>
    <w:rsid w:val="0089637B"/>
    <w:rsid w:val="008B6C61"/>
    <w:rsid w:val="008C6F50"/>
    <w:rsid w:val="008D0054"/>
    <w:rsid w:val="008D4E34"/>
    <w:rsid w:val="008E643F"/>
    <w:rsid w:val="008F684A"/>
    <w:rsid w:val="009106EF"/>
    <w:rsid w:val="00914A68"/>
    <w:rsid w:val="0092364D"/>
    <w:rsid w:val="0093311F"/>
    <w:rsid w:val="009335B3"/>
    <w:rsid w:val="00934534"/>
    <w:rsid w:val="0094681E"/>
    <w:rsid w:val="00953176"/>
    <w:rsid w:val="00960D5A"/>
    <w:rsid w:val="00962BAC"/>
    <w:rsid w:val="009773AE"/>
    <w:rsid w:val="00986F9E"/>
    <w:rsid w:val="00992C5D"/>
    <w:rsid w:val="00996E45"/>
    <w:rsid w:val="009B2459"/>
    <w:rsid w:val="009B3A24"/>
    <w:rsid w:val="009C388D"/>
    <w:rsid w:val="009C6222"/>
    <w:rsid w:val="009D7484"/>
    <w:rsid w:val="009E285E"/>
    <w:rsid w:val="009E334D"/>
    <w:rsid w:val="009F0BC3"/>
    <w:rsid w:val="009F4C37"/>
    <w:rsid w:val="009F608A"/>
    <w:rsid w:val="00A05E5D"/>
    <w:rsid w:val="00A1158C"/>
    <w:rsid w:val="00A17C69"/>
    <w:rsid w:val="00A208E3"/>
    <w:rsid w:val="00A3494D"/>
    <w:rsid w:val="00A369F1"/>
    <w:rsid w:val="00A42859"/>
    <w:rsid w:val="00A54516"/>
    <w:rsid w:val="00A62CB6"/>
    <w:rsid w:val="00A7023A"/>
    <w:rsid w:val="00A741DE"/>
    <w:rsid w:val="00A82AAC"/>
    <w:rsid w:val="00A8428D"/>
    <w:rsid w:val="00A97B21"/>
    <w:rsid w:val="00AA10E0"/>
    <w:rsid w:val="00AA1C8C"/>
    <w:rsid w:val="00AA4B6D"/>
    <w:rsid w:val="00AB554A"/>
    <w:rsid w:val="00AC2952"/>
    <w:rsid w:val="00AE2785"/>
    <w:rsid w:val="00AF28D0"/>
    <w:rsid w:val="00B0320C"/>
    <w:rsid w:val="00B103DF"/>
    <w:rsid w:val="00B258EF"/>
    <w:rsid w:val="00B26903"/>
    <w:rsid w:val="00B26FC9"/>
    <w:rsid w:val="00B36427"/>
    <w:rsid w:val="00B50B5E"/>
    <w:rsid w:val="00B54873"/>
    <w:rsid w:val="00B672C3"/>
    <w:rsid w:val="00B67771"/>
    <w:rsid w:val="00B72ABE"/>
    <w:rsid w:val="00B73228"/>
    <w:rsid w:val="00B76080"/>
    <w:rsid w:val="00B80C26"/>
    <w:rsid w:val="00B82A56"/>
    <w:rsid w:val="00B87860"/>
    <w:rsid w:val="00BA0656"/>
    <w:rsid w:val="00BA6EBA"/>
    <w:rsid w:val="00BB619C"/>
    <w:rsid w:val="00BB7B28"/>
    <w:rsid w:val="00BC3736"/>
    <w:rsid w:val="00BD1570"/>
    <w:rsid w:val="00BE399E"/>
    <w:rsid w:val="00C006B8"/>
    <w:rsid w:val="00C0361C"/>
    <w:rsid w:val="00C203C9"/>
    <w:rsid w:val="00C259DA"/>
    <w:rsid w:val="00C27268"/>
    <w:rsid w:val="00C27F32"/>
    <w:rsid w:val="00C411E2"/>
    <w:rsid w:val="00C51DF3"/>
    <w:rsid w:val="00C60E44"/>
    <w:rsid w:val="00C64B23"/>
    <w:rsid w:val="00C6562D"/>
    <w:rsid w:val="00C6566A"/>
    <w:rsid w:val="00C8096E"/>
    <w:rsid w:val="00C811E1"/>
    <w:rsid w:val="00C81BA3"/>
    <w:rsid w:val="00CA219A"/>
    <w:rsid w:val="00CA2E67"/>
    <w:rsid w:val="00CB0961"/>
    <w:rsid w:val="00CB5248"/>
    <w:rsid w:val="00CC5CAB"/>
    <w:rsid w:val="00CE6D2A"/>
    <w:rsid w:val="00CF2481"/>
    <w:rsid w:val="00CF2A16"/>
    <w:rsid w:val="00CF4084"/>
    <w:rsid w:val="00D04FCE"/>
    <w:rsid w:val="00D45239"/>
    <w:rsid w:val="00D76466"/>
    <w:rsid w:val="00D8185A"/>
    <w:rsid w:val="00D81F73"/>
    <w:rsid w:val="00D91336"/>
    <w:rsid w:val="00D94195"/>
    <w:rsid w:val="00D97648"/>
    <w:rsid w:val="00DA4009"/>
    <w:rsid w:val="00DA5ECB"/>
    <w:rsid w:val="00DB57F6"/>
    <w:rsid w:val="00DC0871"/>
    <w:rsid w:val="00E0082A"/>
    <w:rsid w:val="00E04057"/>
    <w:rsid w:val="00E04431"/>
    <w:rsid w:val="00E070E5"/>
    <w:rsid w:val="00E14CAD"/>
    <w:rsid w:val="00E16382"/>
    <w:rsid w:val="00E26AA6"/>
    <w:rsid w:val="00E31348"/>
    <w:rsid w:val="00E319A7"/>
    <w:rsid w:val="00E34468"/>
    <w:rsid w:val="00E4122C"/>
    <w:rsid w:val="00E53FFD"/>
    <w:rsid w:val="00E55449"/>
    <w:rsid w:val="00E606D6"/>
    <w:rsid w:val="00E67C0A"/>
    <w:rsid w:val="00E71BF3"/>
    <w:rsid w:val="00E721FB"/>
    <w:rsid w:val="00E745DE"/>
    <w:rsid w:val="00E77052"/>
    <w:rsid w:val="00E9732D"/>
    <w:rsid w:val="00EA169E"/>
    <w:rsid w:val="00EB09B3"/>
    <w:rsid w:val="00EB1748"/>
    <w:rsid w:val="00EB33AB"/>
    <w:rsid w:val="00EC7078"/>
    <w:rsid w:val="00ED2E70"/>
    <w:rsid w:val="00ED4E3E"/>
    <w:rsid w:val="00EE1C11"/>
    <w:rsid w:val="00EF21BD"/>
    <w:rsid w:val="00EF3DD8"/>
    <w:rsid w:val="00F054F3"/>
    <w:rsid w:val="00F13DC3"/>
    <w:rsid w:val="00F13E25"/>
    <w:rsid w:val="00F178C5"/>
    <w:rsid w:val="00F179BA"/>
    <w:rsid w:val="00F20C56"/>
    <w:rsid w:val="00F23C04"/>
    <w:rsid w:val="00F252C9"/>
    <w:rsid w:val="00F352C7"/>
    <w:rsid w:val="00F404BE"/>
    <w:rsid w:val="00F439C1"/>
    <w:rsid w:val="00F463F5"/>
    <w:rsid w:val="00F46698"/>
    <w:rsid w:val="00F533EA"/>
    <w:rsid w:val="00F539CE"/>
    <w:rsid w:val="00F56DA0"/>
    <w:rsid w:val="00F60173"/>
    <w:rsid w:val="00F60EA4"/>
    <w:rsid w:val="00F64026"/>
    <w:rsid w:val="00F65F17"/>
    <w:rsid w:val="00F66C2A"/>
    <w:rsid w:val="00F710A1"/>
    <w:rsid w:val="00F7120A"/>
    <w:rsid w:val="00F75794"/>
    <w:rsid w:val="00F81522"/>
    <w:rsid w:val="00F82140"/>
    <w:rsid w:val="00F84413"/>
    <w:rsid w:val="00F90BC0"/>
    <w:rsid w:val="00F964E0"/>
    <w:rsid w:val="00FA08A2"/>
    <w:rsid w:val="00FA1C46"/>
    <w:rsid w:val="00FA2E65"/>
    <w:rsid w:val="00FA4C39"/>
    <w:rsid w:val="00FB2E4D"/>
    <w:rsid w:val="00FB73A1"/>
    <w:rsid w:val="00FD2FD9"/>
    <w:rsid w:val="00FE25E8"/>
    <w:rsid w:val="00FF433A"/>
    <w:rsid w:val="00FF5588"/>
    <w:rsid w:val="015E2F3D"/>
    <w:rsid w:val="01A66A5A"/>
    <w:rsid w:val="022A3EEB"/>
    <w:rsid w:val="050C0DD7"/>
    <w:rsid w:val="060B6117"/>
    <w:rsid w:val="06551EA9"/>
    <w:rsid w:val="06DB4D9F"/>
    <w:rsid w:val="09DE4628"/>
    <w:rsid w:val="0B276A4A"/>
    <w:rsid w:val="0DB87318"/>
    <w:rsid w:val="0DE314D8"/>
    <w:rsid w:val="0EBA2E73"/>
    <w:rsid w:val="0EEE56EB"/>
    <w:rsid w:val="0FEB39D9"/>
    <w:rsid w:val="0FEF09D5"/>
    <w:rsid w:val="10407F74"/>
    <w:rsid w:val="1041248F"/>
    <w:rsid w:val="11344D4B"/>
    <w:rsid w:val="11424BD3"/>
    <w:rsid w:val="1191627F"/>
    <w:rsid w:val="11993FCA"/>
    <w:rsid w:val="12B50787"/>
    <w:rsid w:val="12B6140F"/>
    <w:rsid w:val="1457734B"/>
    <w:rsid w:val="146975C2"/>
    <w:rsid w:val="146D0647"/>
    <w:rsid w:val="146D2C0E"/>
    <w:rsid w:val="15053BA9"/>
    <w:rsid w:val="15A538CD"/>
    <w:rsid w:val="16F615E1"/>
    <w:rsid w:val="17AB2923"/>
    <w:rsid w:val="182E2859"/>
    <w:rsid w:val="18730966"/>
    <w:rsid w:val="18D869F9"/>
    <w:rsid w:val="18FD37DA"/>
    <w:rsid w:val="191B532F"/>
    <w:rsid w:val="192848F3"/>
    <w:rsid w:val="1A162CE4"/>
    <w:rsid w:val="1AF56A43"/>
    <w:rsid w:val="1AFF314E"/>
    <w:rsid w:val="1B1C0EEA"/>
    <w:rsid w:val="1C512DEC"/>
    <w:rsid w:val="1C7578A3"/>
    <w:rsid w:val="1D102AC0"/>
    <w:rsid w:val="1D4E55A7"/>
    <w:rsid w:val="1D9B05A0"/>
    <w:rsid w:val="1DF7547E"/>
    <w:rsid w:val="1E2D4AA6"/>
    <w:rsid w:val="1F4B62D2"/>
    <w:rsid w:val="20C9681B"/>
    <w:rsid w:val="21412146"/>
    <w:rsid w:val="2281080E"/>
    <w:rsid w:val="235F22C3"/>
    <w:rsid w:val="248A15BB"/>
    <w:rsid w:val="24CC1BD3"/>
    <w:rsid w:val="24F75C3E"/>
    <w:rsid w:val="257D111F"/>
    <w:rsid w:val="257D1496"/>
    <w:rsid w:val="25A348DA"/>
    <w:rsid w:val="26373E8A"/>
    <w:rsid w:val="26EA75E0"/>
    <w:rsid w:val="280E60F4"/>
    <w:rsid w:val="29D20428"/>
    <w:rsid w:val="2A360A92"/>
    <w:rsid w:val="2A466BC8"/>
    <w:rsid w:val="2A761F42"/>
    <w:rsid w:val="2A994FFC"/>
    <w:rsid w:val="2EB80DEA"/>
    <w:rsid w:val="2F547084"/>
    <w:rsid w:val="30FF1C97"/>
    <w:rsid w:val="316D1255"/>
    <w:rsid w:val="32587BB2"/>
    <w:rsid w:val="32CF6F78"/>
    <w:rsid w:val="331E0155"/>
    <w:rsid w:val="347E3E22"/>
    <w:rsid w:val="34AE4101"/>
    <w:rsid w:val="34C63EF6"/>
    <w:rsid w:val="35234A93"/>
    <w:rsid w:val="35CF23CB"/>
    <w:rsid w:val="37CD4A7A"/>
    <w:rsid w:val="37CE1367"/>
    <w:rsid w:val="38E77668"/>
    <w:rsid w:val="393352D0"/>
    <w:rsid w:val="39846582"/>
    <w:rsid w:val="39E41315"/>
    <w:rsid w:val="3AA322FB"/>
    <w:rsid w:val="3B6C71D8"/>
    <w:rsid w:val="3BAA2D10"/>
    <w:rsid w:val="3BAE4B93"/>
    <w:rsid w:val="3D396C68"/>
    <w:rsid w:val="3F1B1335"/>
    <w:rsid w:val="3F4577B5"/>
    <w:rsid w:val="3FD34AF2"/>
    <w:rsid w:val="40B3559D"/>
    <w:rsid w:val="40CA20FF"/>
    <w:rsid w:val="41873C36"/>
    <w:rsid w:val="42E03A6F"/>
    <w:rsid w:val="433553E8"/>
    <w:rsid w:val="43547DE0"/>
    <w:rsid w:val="45467488"/>
    <w:rsid w:val="45A9244C"/>
    <w:rsid w:val="467A3B2C"/>
    <w:rsid w:val="47653A95"/>
    <w:rsid w:val="47CD6A02"/>
    <w:rsid w:val="494551F3"/>
    <w:rsid w:val="49B20572"/>
    <w:rsid w:val="4B0B2EC3"/>
    <w:rsid w:val="4BF058F8"/>
    <w:rsid w:val="4C516396"/>
    <w:rsid w:val="4C920D40"/>
    <w:rsid w:val="4D1B1261"/>
    <w:rsid w:val="4E1F6FE5"/>
    <w:rsid w:val="4E7D4A4F"/>
    <w:rsid w:val="4ECC264C"/>
    <w:rsid w:val="4FA743FB"/>
    <w:rsid w:val="510645FA"/>
    <w:rsid w:val="51121E6C"/>
    <w:rsid w:val="51216BE8"/>
    <w:rsid w:val="51664527"/>
    <w:rsid w:val="51736776"/>
    <w:rsid w:val="51A14015"/>
    <w:rsid w:val="530159C6"/>
    <w:rsid w:val="53E45D42"/>
    <w:rsid w:val="549D0001"/>
    <w:rsid w:val="54B33922"/>
    <w:rsid w:val="551B1C37"/>
    <w:rsid w:val="551C4B88"/>
    <w:rsid w:val="551D4CE4"/>
    <w:rsid w:val="555C346A"/>
    <w:rsid w:val="55640996"/>
    <w:rsid w:val="559746D8"/>
    <w:rsid w:val="55CD3EDB"/>
    <w:rsid w:val="59637709"/>
    <w:rsid w:val="5B570FB7"/>
    <w:rsid w:val="5BDE576D"/>
    <w:rsid w:val="5C50666A"/>
    <w:rsid w:val="5C8C6F64"/>
    <w:rsid w:val="5C916DFE"/>
    <w:rsid w:val="5CA34F80"/>
    <w:rsid w:val="5D4F6922"/>
    <w:rsid w:val="5DBA22A7"/>
    <w:rsid w:val="5DFA3C1D"/>
    <w:rsid w:val="5E094735"/>
    <w:rsid w:val="5E0F35C8"/>
    <w:rsid w:val="5E105329"/>
    <w:rsid w:val="5E121888"/>
    <w:rsid w:val="5E97077C"/>
    <w:rsid w:val="5FFF5290"/>
    <w:rsid w:val="602A7BF4"/>
    <w:rsid w:val="60593873"/>
    <w:rsid w:val="60D41851"/>
    <w:rsid w:val="61011CDA"/>
    <w:rsid w:val="61AD0F98"/>
    <w:rsid w:val="61F42E1D"/>
    <w:rsid w:val="620C3034"/>
    <w:rsid w:val="62467179"/>
    <w:rsid w:val="62762193"/>
    <w:rsid w:val="62767743"/>
    <w:rsid w:val="62A93765"/>
    <w:rsid w:val="63212CD8"/>
    <w:rsid w:val="63AA2A78"/>
    <w:rsid w:val="643806ED"/>
    <w:rsid w:val="64A51B2D"/>
    <w:rsid w:val="650E5FF1"/>
    <w:rsid w:val="65FE286C"/>
    <w:rsid w:val="66446756"/>
    <w:rsid w:val="667374DB"/>
    <w:rsid w:val="67952097"/>
    <w:rsid w:val="67F241AA"/>
    <w:rsid w:val="68032A33"/>
    <w:rsid w:val="68B971B6"/>
    <w:rsid w:val="691F3EAA"/>
    <w:rsid w:val="695919A3"/>
    <w:rsid w:val="69AC5B4D"/>
    <w:rsid w:val="6AF24A77"/>
    <w:rsid w:val="6B872412"/>
    <w:rsid w:val="6BB927D9"/>
    <w:rsid w:val="6C0665E4"/>
    <w:rsid w:val="6C394AD8"/>
    <w:rsid w:val="6D562C3D"/>
    <w:rsid w:val="6D8C26A0"/>
    <w:rsid w:val="6F220321"/>
    <w:rsid w:val="6F9B3A24"/>
    <w:rsid w:val="6FA515EE"/>
    <w:rsid w:val="6FFA408B"/>
    <w:rsid w:val="70B654CF"/>
    <w:rsid w:val="7170570D"/>
    <w:rsid w:val="71987A34"/>
    <w:rsid w:val="72C62D8B"/>
    <w:rsid w:val="72FC6805"/>
    <w:rsid w:val="734144B7"/>
    <w:rsid w:val="742D050C"/>
    <w:rsid w:val="747125DF"/>
    <w:rsid w:val="74BD7B76"/>
    <w:rsid w:val="75365DA9"/>
    <w:rsid w:val="75F83D9A"/>
    <w:rsid w:val="769335E7"/>
    <w:rsid w:val="770F35A7"/>
    <w:rsid w:val="7739064E"/>
    <w:rsid w:val="77612FB4"/>
    <w:rsid w:val="77EC10D8"/>
    <w:rsid w:val="77F52C5C"/>
    <w:rsid w:val="78B4658A"/>
    <w:rsid w:val="78D426F8"/>
    <w:rsid w:val="79A22E34"/>
    <w:rsid w:val="7A800AE8"/>
    <w:rsid w:val="7AAA2CE3"/>
    <w:rsid w:val="7AC30597"/>
    <w:rsid w:val="7BD04052"/>
    <w:rsid w:val="7BFA3AA5"/>
    <w:rsid w:val="7D2D571E"/>
    <w:rsid w:val="7D6372B7"/>
    <w:rsid w:val="7EB20667"/>
    <w:rsid w:val="7F350A56"/>
    <w:rsid w:val="7F951C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caption"/>
    <w:basedOn w:val="1"/>
    <w:next w:val="1"/>
    <w:qFormat/>
    <w:uiPriority w:val="0"/>
    <w:rPr>
      <w:rFonts w:ascii="Arial" w:hAnsi="Arial" w:eastAsia="黑体" w:cs="Arial"/>
      <w:sz w:val="20"/>
      <w:szCs w:val="20"/>
    </w:rPr>
  </w:style>
  <w:style w:type="paragraph" w:styleId="8">
    <w:name w:val="annotation text"/>
    <w:basedOn w:val="1"/>
    <w:link w:val="38"/>
    <w:qFormat/>
    <w:uiPriority w:val="0"/>
    <w:pPr>
      <w:jc w:val="left"/>
    </w:pPr>
  </w:style>
  <w:style w:type="paragraph" w:styleId="9">
    <w:name w:val="Body Text 3"/>
    <w:basedOn w:val="1"/>
    <w:qFormat/>
    <w:uiPriority w:val="0"/>
    <w:pPr>
      <w:spacing w:after="120"/>
    </w:pPr>
    <w:rPr>
      <w:sz w:val="16"/>
      <w:szCs w:val="16"/>
    </w:rPr>
  </w:style>
  <w:style w:type="paragraph" w:styleId="10">
    <w:name w:val="Body Text"/>
    <w:basedOn w:val="1"/>
    <w:next w:val="11"/>
    <w:link w:val="36"/>
    <w:qFormat/>
    <w:uiPriority w:val="0"/>
    <w:pPr>
      <w:spacing w:after="120"/>
    </w:pPr>
  </w:style>
  <w:style w:type="paragraph" w:styleId="11">
    <w:name w:val="Body Text 2"/>
    <w:basedOn w:val="1"/>
    <w:qFormat/>
    <w:uiPriority w:val="0"/>
    <w:pPr>
      <w:widowControl w:val="0"/>
      <w:adjustRightInd w:val="0"/>
      <w:spacing w:after="0" w:line="360" w:lineRule="auto"/>
      <w:textAlignment w:val="baseline"/>
    </w:pPr>
    <w:rPr>
      <w:rFonts w:ascii="宋体" w:hAnsi="宋体" w:cs="Times New Roman"/>
      <w:color w:val="0000FF"/>
      <w:kern w:val="0"/>
      <w:sz w:val="28"/>
      <w:szCs w:val="20"/>
    </w:rPr>
  </w:style>
  <w:style w:type="paragraph" w:styleId="12">
    <w:name w:val="Body Text Indent"/>
    <w:basedOn w:val="1"/>
    <w:next w:val="13"/>
    <w:qFormat/>
    <w:uiPriority w:val="0"/>
    <w:pPr>
      <w:ind w:firstLine="830" w:firstLineChars="352"/>
    </w:pPr>
    <w:rPr>
      <w:rFonts w:ascii="仿宋_GB2312" w:eastAsia="仿宋_GB2312"/>
      <w:sz w:val="32"/>
      <w:szCs w:val="20"/>
    </w:rPr>
  </w:style>
  <w:style w:type="paragraph" w:styleId="13">
    <w:name w:val="envelope return"/>
    <w:basedOn w:val="1"/>
    <w:qFormat/>
    <w:uiPriority w:val="0"/>
    <w:pPr>
      <w:snapToGrid w:val="0"/>
    </w:pPr>
    <w:rPr>
      <w:rFonts w:ascii="Arial" w:hAnsi="Arial"/>
      <w:szCs w:val="24"/>
    </w:rPr>
  </w:style>
  <w:style w:type="paragraph" w:styleId="14">
    <w:name w:val="Plain Text"/>
    <w:basedOn w:val="1"/>
    <w:link w:val="34"/>
    <w:qFormat/>
    <w:uiPriority w:val="0"/>
    <w:rPr>
      <w:rFonts w:ascii="宋体" w:hAnsi="Courier New" w:cs="Courier New"/>
      <w:szCs w:val="21"/>
    </w:rPr>
  </w:style>
  <w:style w:type="paragraph" w:styleId="15">
    <w:name w:val="Body Text Indent 2"/>
    <w:basedOn w:val="1"/>
    <w:link w:val="53"/>
    <w:qFormat/>
    <w:uiPriority w:val="0"/>
    <w:pPr>
      <w:spacing w:after="120" w:line="480" w:lineRule="auto"/>
      <w:ind w:left="420" w:leftChars="200"/>
    </w:pPr>
  </w:style>
  <w:style w:type="paragraph" w:styleId="16">
    <w:name w:val="Balloon Text"/>
    <w:basedOn w:val="1"/>
    <w:link w:val="37"/>
    <w:qFormat/>
    <w:uiPriority w:val="99"/>
    <w:rPr>
      <w:sz w:val="18"/>
      <w:szCs w:val="18"/>
    </w:rPr>
  </w:style>
  <w:style w:type="paragraph" w:styleId="17">
    <w:name w:val="footer"/>
    <w:basedOn w:val="1"/>
    <w:link w:val="51"/>
    <w:qFormat/>
    <w:uiPriority w:val="99"/>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0"/>
  </w:style>
  <w:style w:type="paragraph" w:styleId="20">
    <w:name w:val="Body Text Indent 3"/>
    <w:basedOn w:val="1"/>
    <w:link w:val="35"/>
    <w:qFormat/>
    <w:uiPriority w:val="0"/>
    <w:pPr>
      <w:spacing w:after="120"/>
      <w:ind w:left="420" w:leftChars="200"/>
    </w:pPr>
    <w:rPr>
      <w:sz w:val="16"/>
      <w:szCs w:val="16"/>
    </w:rPr>
  </w:style>
  <w:style w:type="paragraph" w:styleId="21">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2">
    <w:name w:val="index 1"/>
    <w:basedOn w:val="1"/>
    <w:next w:val="1"/>
    <w:qFormat/>
    <w:uiPriority w:val="0"/>
    <w:pPr>
      <w:tabs>
        <w:tab w:val="left" w:pos="7740"/>
      </w:tabs>
      <w:jc w:val="center"/>
    </w:pPr>
    <w:rPr>
      <w:rFonts w:ascii="仿宋" w:hAnsi="仿宋" w:eastAsia="仿宋"/>
      <w:b/>
      <w:sz w:val="28"/>
      <w:szCs w:val="28"/>
    </w:rPr>
  </w:style>
  <w:style w:type="paragraph" w:styleId="23">
    <w:name w:val="Title"/>
    <w:basedOn w:val="1"/>
    <w:next w:val="1"/>
    <w:link w:val="32"/>
    <w:qFormat/>
    <w:uiPriority w:val="0"/>
    <w:pPr>
      <w:spacing w:before="240" w:after="60"/>
      <w:jc w:val="center"/>
      <w:outlineLvl w:val="0"/>
    </w:pPr>
    <w:rPr>
      <w:rFonts w:ascii="Cambria" w:hAnsi="Cambria"/>
      <w:b/>
      <w:bCs/>
      <w:sz w:val="32"/>
      <w:szCs w:val="32"/>
    </w:rPr>
  </w:style>
  <w:style w:type="paragraph" w:styleId="24">
    <w:name w:val="Body Text First Indent 2"/>
    <w:basedOn w:val="12"/>
    <w:qFormat/>
    <w:uiPriority w:val="0"/>
    <w:pPr>
      <w:adjustRightInd/>
      <w:snapToGrid/>
      <w:spacing w:line="360" w:lineRule="auto"/>
      <w:ind w:firstLine="471" w:firstLineChars="200"/>
      <w:textAlignment w:val="auto"/>
    </w:pPr>
    <w:rPr>
      <w:rFonts w:hint="eastAsia" w:hAnsi="Times New Roman"/>
      <w:kern w:val="2"/>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rFonts w:eastAsia="宋体"/>
      <w:b/>
      <w:bCs/>
      <w:kern w:val="2"/>
      <w:sz w:val="24"/>
      <w:szCs w:val="24"/>
      <w:lang w:val="en-US" w:eastAsia="zh-CN" w:bidi="ar-SA"/>
    </w:rPr>
  </w:style>
  <w:style w:type="character" w:styleId="29">
    <w:name w:val="page number"/>
    <w:basedOn w:val="27"/>
    <w:qFormat/>
    <w:uiPriority w:val="0"/>
  </w:style>
  <w:style w:type="character" w:styleId="30">
    <w:name w:val="annotation reference"/>
    <w:basedOn w:val="27"/>
    <w:qFormat/>
    <w:uiPriority w:val="0"/>
    <w:rPr>
      <w:sz w:val="21"/>
      <w:szCs w:val="21"/>
    </w:rPr>
  </w:style>
  <w:style w:type="paragraph" w:customStyle="1" w:styleId="31">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2">
    <w:name w:val="标题 Char"/>
    <w:basedOn w:val="27"/>
    <w:link w:val="23"/>
    <w:qFormat/>
    <w:uiPriority w:val="0"/>
    <w:rPr>
      <w:rFonts w:ascii="Cambria" w:hAnsi="Cambria" w:cs="Times New Roman"/>
      <w:b/>
      <w:bCs/>
      <w:sz w:val="32"/>
      <w:szCs w:val="32"/>
    </w:rPr>
  </w:style>
  <w:style w:type="character" w:customStyle="1" w:styleId="33">
    <w:name w:val="标题 1 Char"/>
    <w:basedOn w:val="27"/>
    <w:link w:val="2"/>
    <w:qFormat/>
    <w:uiPriority w:val="0"/>
    <w:rPr>
      <w:b/>
      <w:bCs/>
      <w:kern w:val="44"/>
      <w:sz w:val="44"/>
      <w:szCs w:val="44"/>
    </w:rPr>
  </w:style>
  <w:style w:type="character" w:customStyle="1" w:styleId="34">
    <w:name w:val="纯文本 Char"/>
    <w:basedOn w:val="27"/>
    <w:link w:val="14"/>
    <w:qFormat/>
    <w:uiPriority w:val="0"/>
    <w:rPr>
      <w:rFonts w:ascii="宋体" w:hAnsi="Courier New" w:cs="Courier New"/>
      <w:sz w:val="21"/>
      <w:szCs w:val="21"/>
    </w:rPr>
  </w:style>
  <w:style w:type="character" w:customStyle="1" w:styleId="35">
    <w:name w:val="正文文本缩进 3 Char"/>
    <w:basedOn w:val="27"/>
    <w:link w:val="20"/>
    <w:qFormat/>
    <w:uiPriority w:val="0"/>
    <w:rPr>
      <w:sz w:val="16"/>
      <w:szCs w:val="16"/>
    </w:rPr>
  </w:style>
  <w:style w:type="character" w:customStyle="1" w:styleId="36">
    <w:name w:val="正文文本 Char"/>
    <w:basedOn w:val="27"/>
    <w:link w:val="10"/>
    <w:qFormat/>
    <w:uiPriority w:val="0"/>
    <w:rPr>
      <w:sz w:val="21"/>
    </w:rPr>
  </w:style>
  <w:style w:type="character" w:customStyle="1" w:styleId="37">
    <w:name w:val="批注框文本 Char"/>
    <w:basedOn w:val="27"/>
    <w:link w:val="16"/>
    <w:qFormat/>
    <w:uiPriority w:val="99"/>
    <w:rPr>
      <w:sz w:val="18"/>
      <w:szCs w:val="18"/>
    </w:rPr>
  </w:style>
  <w:style w:type="character" w:customStyle="1" w:styleId="38">
    <w:name w:val="批注文字 Char"/>
    <w:basedOn w:val="27"/>
    <w:link w:val="8"/>
    <w:qFormat/>
    <w:uiPriority w:val="0"/>
    <w:rPr>
      <w:sz w:val="21"/>
    </w:rPr>
  </w:style>
  <w:style w:type="paragraph" w:customStyle="1" w:styleId="3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0">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41">
    <w:name w:val="表格文字"/>
    <w:basedOn w:val="1"/>
    <w:qFormat/>
    <w:uiPriority w:val="0"/>
    <w:pPr>
      <w:spacing w:before="25" w:after="25"/>
      <w:jc w:val="left"/>
    </w:pPr>
    <w:rPr>
      <w:bCs/>
      <w:spacing w:val="10"/>
      <w:kern w:val="0"/>
      <w:sz w:val="24"/>
      <w:szCs w:val="20"/>
    </w:rPr>
  </w:style>
  <w:style w:type="paragraph" w:customStyle="1" w:styleId="4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4">
    <w:name w:val="1.1"/>
    <w:basedOn w:val="1"/>
    <w:next w:val="1"/>
    <w:qFormat/>
    <w:uiPriority w:val="0"/>
    <w:pPr>
      <w:tabs>
        <w:tab w:val="left" w:pos="900"/>
      </w:tabs>
      <w:adjustRightInd w:val="0"/>
      <w:snapToGrid w:val="0"/>
      <w:spacing w:beforeLines="50" w:afterLines="50" w:line="400" w:lineRule="atLeast"/>
      <w:ind w:left="50" w:leftChars="50" w:right="200" w:rightChars="200" w:hanging="901" w:hangingChars="299"/>
    </w:pPr>
    <w:rPr>
      <w:b/>
      <w:kern w:val="0"/>
      <w:sz w:val="30"/>
      <w:szCs w:val="20"/>
    </w:rPr>
  </w:style>
  <w:style w:type="paragraph" w:customStyle="1" w:styleId="45">
    <w:name w:val="题注4"/>
    <w:basedOn w:val="1"/>
    <w:next w:val="7"/>
    <w:qFormat/>
    <w:uiPriority w:val="0"/>
    <w:pPr>
      <w:ind w:left="-132" w:leftChars="-64" w:right="-105" w:rightChars="-50" w:hanging="2"/>
      <w:jc w:val="center"/>
    </w:pPr>
    <w:rPr>
      <w:b/>
      <w:color w:val="FF0000"/>
      <w:szCs w:val="21"/>
      <w:lang w:val="en-GB"/>
    </w:rPr>
  </w:style>
  <w:style w:type="paragraph" w:customStyle="1" w:styleId="46">
    <w:name w:val="Char Char2 Char"/>
    <w:basedOn w:val="1"/>
    <w:qFormat/>
    <w:uiPriority w:val="0"/>
  </w:style>
  <w:style w:type="paragraph" w:customStyle="1" w:styleId="47">
    <w:name w:val="Char"/>
    <w:basedOn w:val="1"/>
    <w:qFormat/>
    <w:uiPriority w:val="0"/>
    <w:pPr>
      <w:spacing w:line="480" w:lineRule="exact"/>
    </w:pPr>
    <w:rPr>
      <w:sz w:val="24"/>
    </w:rPr>
  </w:style>
  <w:style w:type="paragraph" w:customStyle="1" w:styleId="48">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49">
    <w:name w:val="Char Char Char Char"/>
    <w:basedOn w:val="1"/>
    <w:qFormat/>
    <w:uiPriority w:val="0"/>
  </w:style>
  <w:style w:type="paragraph" w:styleId="5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1">
    <w:name w:val="页脚 Char"/>
    <w:basedOn w:val="27"/>
    <w:link w:val="17"/>
    <w:qFormat/>
    <w:uiPriority w:val="99"/>
    <w:rPr>
      <w:kern w:val="2"/>
      <w:sz w:val="18"/>
      <w:szCs w:val="24"/>
    </w:rPr>
  </w:style>
  <w:style w:type="paragraph" w:customStyle="1" w:styleId="52">
    <w:name w:val="_Style 4"/>
    <w:basedOn w:val="2"/>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character" w:customStyle="1" w:styleId="53">
    <w:name w:val="正文文本缩进 2 Char"/>
    <w:basedOn w:val="27"/>
    <w:link w:val="15"/>
    <w:qFormat/>
    <w:uiPriority w:val="0"/>
    <w:rPr>
      <w:kern w:val="2"/>
      <w:sz w:val="21"/>
      <w:szCs w:val="24"/>
    </w:rPr>
  </w:style>
  <w:style w:type="paragraph" w:styleId="54">
    <w:name w:val="List Paragraph"/>
    <w:basedOn w:val="1"/>
    <w:qFormat/>
    <w:uiPriority w:val="99"/>
    <w:pPr>
      <w:ind w:firstLine="420" w:firstLineChars="200"/>
    </w:pPr>
    <w:rPr>
      <w:rFonts w:ascii="Calibri" w:hAnsi="Calibri"/>
      <w:szCs w:val="22"/>
    </w:rPr>
  </w:style>
  <w:style w:type="paragraph" w:customStyle="1" w:styleId="55">
    <w:name w:val="章节一"/>
    <w:basedOn w:val="1"/>
    <w:next w:val="1"/>
    <w:qFormat/>
    <w:uiPriority w:val="0"/>
    <w:pPr>
      <w:topLinePunct/>
      <w:adjustRightInd w:val="0"/>
      <w:snapToGrid w:val="0"/>
      <w:spacing w:beforeLines="50" w:afterLines="50"/>
      <w:jc w:val="center"/>
      <w:outlineLvl w:val="0"/>
    </w:pPr>
    <w:rPr>
      <w:rFonts w:eastAsia="黑体"/>
      <w:b/>
      <w:spacing w:val="4"/>
      <w:kern w:val="0"/>
      <w:sz w:val="36"/>
      <w:szCs w:val="36"/>
    </w:rPr>
  </w:style>
  <w:style w:type="paragraph" w:customStyle="1" w:styleId="56">
    <w:name w:val="_Style 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14760</Words>
  <Characters>15241</Characters>
  <Lines>89</Lines>
  <Paragraphs>25</Paragraphs>
  <TotalTime>42</TotalTime>
  <ScaleCrop>false</ScaleCrop>
  <LinksUpToDate>false</LinksUpToDate>
  <CharactersWithSpaces>15909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2020-10-21T03:35:00Z</dcterms:created>
  <dc:creator>李继能</dc:creator>
  <cp:lastModifiedBy>◕‿◕ 丁﹏]</cp:lastModifiedBy>
  <cp:lastPrinted>2025-06-06T07:41:00Z</cp:lastPrinted>
  <dcterms:modified xsi:type="dcterms:W3CDTF">2025-08-15T07:41:37Z</dcterms:modified>
  <dc:title>询价文件</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2042B5F2BC604D8E833833943538A82E_13</vt:lpwstr>
  </property>
  <property fmtid="{D5CDD505-2E9C-101B-9397-08002B2CF9AE}" pid="4" name="KSOTemplateDocerSaveRecord">
    <vt:lpwstr>eyJoZGlkIjoiMzEwNTM5NzYwMDRjMzkwZTVkZjY2ODkwMGIxNGU0OTUiLCJ1c2VySWQiOiIzNDY3NjExNTMifQ==</vt:lpwstr>
  </property>
</Properties>
</file>