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auto"/>
          <w:sz w:val="28"/>
          <w:szCs w:val="28"/>
          <w:highlight w:val="none"/>
          <w:u w:val="single"/>
        </w:rPr>
      </w:pPr>
      <w:bookmarkStart w:id="0" w:name="_Toc221950007"/>
      <w:bookmarkStart w:id="1" w:name="_Toc222030983"/>
      <w:bookmarkStart w:id="2" w:name="_Toc222032650"/>
      <w:bookmarkStart w:id="3" w:name="_Toc222029481"/>
      <w:bookmarkStart w:id="4" w:name="_Toc229305341"/>
      <w:bookmarkStart w:id="5" w:name="_Toc222033832"/>
      <w:bookmarkStart w:id="6" w:name="_Toc144974495"/>
      <w:bookmarkStart w:id="7" w:name="_Toc168475642"/>
      <w:bookmarkStart w:id="8" w:name="_Toc168476045"/>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jc w:val="center"/>
        <w:rPr>
          <w:rFonts w:ascii="宋体" w:hAnsi="宋体" w:cs="宋体"/>
          <w:color w:val="auto"/>
          <w:sz w:val="28"/>
          <w:szCs w:val="28"/>
          <w:highlight w:val="none"/>
          <w:u w:val="single"/>
        </w:rPr>
      </w:pPr>
    </w:p>
    <w:p>
      <w:pPr>
        <w:spacing w:line="360" w:lineRule="auto"/>
        <w:jc w:val="center"/>
        <w:rPr>
          <w:rFonts w:ascii="黑体" w:hAnsi="黑体" w:eastAsia="黑体" w:cs="宋体"/>
          <w:b/>
          <w:color w:val="auto"/>
          <w:sz w:val="32"/>
          <w:szCs w:val="32"/>
          <w:highlight w:val="none"/>
        </w:rPr>
      </w:pPr>
      <w:r>
        <w:rPr>
          <w:rFonts w:hint="eastAsia" w:ascii="黑体" w:hAnsi="黑体" w:eastAsia="黑体" w:cs="宋体"/>
          <w:b/>
          <w:color w:val="auto"/>
          <w:sz w:val="32"/>
          <w:szCs w:val="32"/>
          <w:highlight w:val="none"/>
          <w:lang w:eastAsia="zh-CN"/>
        </w:rPr>
        <w:t>2024年度广州市从化区鳌头镇高标准农田改造提升建设项目（示范）（第二次）</w:t>
      </w:r>
      <w:r>
        <w:rPr>
          <w:rFonts w:hint="eastAsia" w:ascii="黑体" w:hAnsi="黑体" w:eastAsia="黑体" w:cs="宋体"/>
          <w:b/>
          <w:color w:val="auto"/>
          <w:sz w:val="32"/>
          <w:szCs w:val="32"/>
          <w:highlight w:val="none"/>
        </w:rPr>
        <w:t xml:space="preserve">施工招标 </w:t>
      </w: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黑体" w:hAnsi="黑体" w:eastAsia="黑体" w:cs="宋体"/>
          <w:color w:val="auto"/>
          <w:sz w:val="72"/>
          <w:szCs w:val="72"/>
          <w:highlight w:val="none"/>
        </w:rPr>
      </w:pPr>
      <w:bookmarkStart w:id="9" w:name="_Toc221949913"/>
      <w:r>
        <w:rPr>
          <w:rFonts w:hint="eastAsia" w:ascii="黑体" w:hAnsi="黑体" w:eastAsia="黑体" w:cs="宋体"/>
          <w:color w:val="auto"/>
          <w:sz w:val="72"/>
          <w:szCs w:val="72"/>
          <w:highlight w:val="none"/>
        </w:rPr>
        <w:t xml:space="preserve">招   标  </w:t>
      </w:r>
      <w:r>
        <w:rPr>
          <w:rFonts w:hint="eastAsia" w:ascii="黑体" w:hAnsi="黑体" w:eastAsia="黑体" w:cs="宋体"/>
          <w:color w:val="auto"/>
          <w:sz w:val="72"/>
          <w:szCs w:val="72"/>
          <w:highlight w:val="none"/>
          <w:lang w:val="en-US" w:eastAsia="zh-CN"/>
        </w:rPr>
        <w:t>公</w:t>
      </w:r>
      <w:r>
        <w:rPr>
          <w:rFonts w:hint="eastAsia" w:ascii="黑体" w:hAnsi="黑体" w:eastAsia="黑体" w:cs="宋体"/>
          <w:color w:val="auto"/>
          <w:sz w:val="72"/>
          <w:szCs w:val="72"/>
          <w:highlight w:val="none"/>
        </w:rPr>
        <w:t xml:space="preserve">  </w:t>
      </w:r>
      <w:r>
        <w:rPr>
          <w:rFonts w:hint="eastAsia" w:ascii="黑体" w:hAnsi="黑体" w:eastAsia="黑体" w:cs="宋体"/>
          <w:color w:val="auto"/>
          <w:sz w:val="72"/>
          <w:szCs w:val="72"/>
          <w:highlight w:val="none"/>
          <w:lang w:val="en-US" w:eastAsia="zh-CN"/>
        </w:rPr>
        <w:t>告</w:t>
      </w:r>
      <w:bookmarkEnd w:id="9"/>
    </w:p>
    <w:p>
      <w:pPr>
        <w:spacing w:line="400" w:lineRule="exact"/>
        <w:jc w:val="center"/>
        <w:rPr>
          <w:rFonts w:ascii="宋体" w:hAnsi="宋体" w:cs="宋体"/>
          <w:color w:val="auto"/>
          <w:highlight w:val="none"/>
        </w:rPr>
      </w:pPr>
    </w:p>
    <w:p>
      <w:pPr>
        <w:spacing w:line="400" w:lineRule="exact"/>
        <w:ind w:firstLine="2100" w:firstLineChars="750"/>
        <w:rPr>
          <w:rFonts w:ascii="宋体" w:hAnsi="宋体" w:cs="宋体"/>
          <w:color w:val="auto"/>
          <w:sz w:val="28"/>
          <w:szCs w:val="28"/>
          <w:highlight w:val="none"/>
          <w:u w:val="single"/>
        </w:rPr>
      </w:pPr>
    </w:p>
    <w:p>
      <w:pPr>
        <w:pStyle w:val="22"/>
        <w:rPr>
          <w:color w:val="auto"/>
          <w:highlight w:val="none"/>
        </w:rPr>
      </w:pPr>
    </w:p>
    <w:p>
      <w:pPr>
        <w:spacing w:line="400" w:lineRule="exact"/>
        <w:jc w:val="center"/>
        <w:rPr>
          <w:rFonts w:ascii="宋体" w:hAnsi="宋体" w:cs="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jc w:val="center"/>
        <w:rPr>
          <w:rFonts w:hint="eastAsia" w:ascii="宋体" w:hAnsi="宋体" w:cs="宋体"/>
          <w:b/>
          <w:color w:val="auto"/>
          <w:sz w:val="32"/>
          <w:szCs w:val="32"/>
          <w:highlight w:val="none"/>
        </w:rPr>
      </w:pPr>
      <w:bookmarkStart w:id="10" w:name="_Toc221949915"/>
      <w:r>
        <w:rPr>
          <w:rFonts w:hint="eastAsia" w:ascii="宋体" w:hAnsi="宋体" w:cs="宋体"/>
          <w:b/>
          <w:color w:val="auto"/>
          <w:sz w:val="32"/>
          <w:szCs w:val="32"/>
          <w:highlight w:val="none"/>
        </w:rPr>
        <w:t>招标人：广州市从化区鳌头镇人民政府（盖章）</w:t>
      </w:r>
    </w:p>
    <w:p>
      <w:pPr>
        <w:spacing w:line="360" w:lineRule="auto"/>
        <w:jc w:val="center"/>
        <w:rPr>
          <w:rFonts w:hint="eastAsia"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招标代理机构：广东省国际工程咨询有限公司（盖章）</w:t>
      </w:r>
      <w:bookmarkEnd w:id="10"/>
    </w:p>
    <w:p>
      <w:pPr>
        <w:rPr>
          <w:rFonts w:ascii="宋体" w:hAnsi="宋体" w:cs="宋体"/>
          <w:color w:val="auto"/>
          <w:sz w:val="28"/>
          <w:szCs w:val="28"/>
          <w:highlight w:val="none"/>
          <w:u w:val="single"/>
        </w:rPr>
      </w:pPr>
    </w:p>
    <w:p>
      <w:pPr>
        <w:ind w:firstLine="2951" w:firstLineChars="1050"/>
        <w:rPr>
          <w:rFonts w:ascii="宋体" w:hAnsi="宋体" w:cs="宋体"/>
          <w:b/>
          <w:color w:val="auto"/>
          <w:sz w:val="28"/>
          <w:szCs w:val="28"/>
          <w:highlight w:val="none"/>
        </w:rPr>
      </w:pPr>
      <w:bookmarkStart w:id="11" w:name="_Toc221949917"/>
      <w:r>
        <w:rPr>
          <w:rFonts w:hint="eastAsia" w:ascii="宋体" w:hAnsi="宋体" w:cs="宋体"/>
          <w:b/>
          <w:color w:val="auto"/>
          <w:sz w:val="28"/>
          <w:szCs w:val="28"/>
          <w:highlight w:val="none"/>
          <w:lang w:val="en-US" w:eastAsia="zh-CN"/>
        </w:rPr>
        <w:t>2025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8</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lang w:val="en-US" w:eastAsia="zh-CN"/>
        </w:rPr>
        <w:t>15</w:t>
      </w:r>
      <w:bookmarkStart w:id="177" w:name="_GoBack"/>
      <w:bookmarkEnd w:id="177"/>
      <w:r>
        <w:rPr>
          <w:rFonts w:hint="eastAsia" w:ascii="宋体" w:hAnsi="宋体" w:cs="宋体"/>
          <w:b/>
          <w:color w:val="auto"/>
          <w:sz w:val="28"/>
          <w:szCs w:val="28"/>
          <w:highlight w:val="none"/>
        </w:rPr>
        <w:t>日</w:t>
      </w:r>
      <w:bookmarkEnd w:id="11"/>
    </w:p>
    <w:p>
      <w:pPr>
        <w:pStyle w:val="8"/>
        <w:jc w:val="center"/>
        <w:rPr>
          <w:rFonts w:hAnsi="宋体" w:cs="宋体"/>
          <w:b/>
          <w:snapToGrid w:val="0"/>
          <w:color w:val="auto"/>
          <w:kern w:val="0"/>
          <w:sz w:val="32"/>
          <w:szCs w:val="32"/>
          <w:highlight w:val="none"/>
        </w:rPr>
      </w:pPr>
    </w:p>
    <w:p>
      <w:pPr>
        <w:pStyle w:val="8"/>
        <w:jc w:val="center"/>
        <w:rPr>
          <w:rFonts w:hAnsi="宋体" w:cs="宋体"/>
          <w:b/>
          <w:snapToGrid w:val="0"/>
          <w:color w:val="auto"/>
          <w:kern w:val="0"/>
          <w:sz w:val="32"/>
          <w:szCs w:val="32"/>
          <w:highlight w:val="none"/>
        </w:rPr>
      </w:pPr>
    </w:p>
    <w:p>
      <w:pPr>
        <w:pStyle w:val="8"/>
        <w:jc w:val="center"/>
        <w:rPr>
          <w:rFonts w:hAnsi="宋体" w:cs="宋体"/>
          <w:b/>
          <w:snapToGrid w:val="0"/>
          <w:color w:val="auto"/>
          <w:kern w:val="0"/>
          <w:sz w:val="32"/>
          <w:szCs w:val="32"/>
          <w:highlight w:val="none"/>
        </w:rPr>
      </w:pPr>
    </w:p>
    <w:p>
      <w:pPr>
        <w:pStyle w:val="8"/>
        <w:jc w:val="center"/>
        <w:rPr>
          <w:rFonts w:hAnsi="宋体" w:cs="宋体"/>
          <w:b/>
          <w:snapToGrid w:val="0"/>
          <w:color w:val="auto"/>
          <w:kern w:val="0"/>
          <w:sz w:val="32"/>
          <w:szCs w:val="32"/>
          <w:highlight w:val="none"/>
        </w:rPr>
        <w:sectPr>
          <w:footerReference r:id="rId3" w:type="default"/>
          <w:pgSz w:w="11906" w:h="16838"/>
          <w:pgMar w:top="1440" w:right="1797" w:bottom="1440" w:left="1797" w:header="851" w:footer="992" w:gutter="0"/>
          <w:pgNumType w:fmt="decimal"/>
          <w:cols w:space="720" w:num="1"/>
          <w:docGrid w:linePitch="312" w:charSpace="0"/>
        </w:sectPr>
      </w:pPr>
    </w:p>
    <w:p>
      <w:pPr>
        <w:pStyle w:val="8"/>
        <w:jc w:val="center"/>
        <w:rPr>
          <w:rFonts w:hAnsi="宋体" w:cs="宋体"/>
          <w:color w:val="auto"/>
          <w:highlight w:val="none"/>
        </w:rPr>
      </w:pPr>
      <w:bookmarkStart w:id="12" w:name="_Toc387753530"/>
      <w:bookmarkStart w:id="13" w:name="_Toc221949919"/>
    </w:p>
    <w:bookmarkEnd w:id="0"/>
    <w:bookmarkEnd w:id="1"/>
    <w:bookmarkEnd w:id="2"/>
    <w:bookmarkEnd w:id="3"/>
    <w:bookmarkEnd w:id="4"/>
    <w:bookmarkEnd w:id="5"/>
    <w:bookmarkEnd w:id="6"/>
    <w:bookmarkEnd w:id="7"/>
    <w:bookmarkEnd w:id="8"/>
    <w:bookmarkEnd w:id="12"/>
    <w:bookmarkEnd w:id="13"/>
    <w:p>
      <w:pPr>
        <w:outlineLvl w:val="9"/>
        <w:rPr>
          <w:rFonts w:hint="eastAsia" w:eastAsia="宋体"/>
          <w:color w:val="auto"/>
          <w:highlight w:val="none"/>
          <w:lang w:val="en-US" w:eastAsia="zh-CN"/>
        </w:rPr>
      </w:pPr>
    </w:p>
    <w:p>
      <w:pPr>
        <w:outlineLvl w:val="9"/>
        <w:rPr>
          <w:rFonts w:hint="eastAsia" w:eastAsia="宋体"/>
          <w:color w:val="auto"/>
          <w:highlight w:val="none"/>
          <w:lang w:val="en-US" w:eastAsia="zh-CN"/>
        </w:rPr>
      </w:pPr>
    </w:p>
    <w:p>
      <w:pPr>
        <w:spacing w:line="440" w:lineRule="exact"/>
        <w:jc w:val="center"/>
        <w:rPr>
          <w:rFonts w:ascii="宋体" w:hAnsi="宋体" w:cs="宋体"/>
          <w:color w:val="auto"/>
          <w:sz w:val="28"/>
          <w:szCs w:val="28"/>
          <w:highlight w:val="none"/>
        </w:rPr>
      </w:pPr>
      <w:bookmarkStart w:id="14" w:name="OLE_LINK2"/>
      <w:bookmarkStart w:id="15" w:name="_Toc221949921"/>
      <w:r>
        <w:rPr>
          <w:rFonts w:hint="eastAsia" w:ascii="宋体" w:hAnsi="宋体" w:cs="宋体"/>
          <w:color w:val="auto"/>
          <w:sz w:val="28"/>
          <w:szCs w:val="28"/>
          <w:highlight w:val="none"/>
          <w:lang w:eastAsia="zh-CN"/>
        </w:rPr>
        <w:t>2024年度广州市从化区鳌头镇高标准农田改造提升建设项目（示范）</w:t>
      </w:r>
      <w:bookmarkEnd w:id="14"/>
      <w:r>
        <w:rPr>
          <w:rFonts w:hint="eastAsia" w:ascii="宋体" w:hAnsi="宋体" w:cs="宋体"/>
          <w:color w:val="auto"/>
          <w:sz w:val="28"/>
          <w:szCs w:val="28"/>
          <w:highlight w:val="none"/>
          <w:lang w:eastAsia="zh-CN"/>
        </w:rPr>
        <w:t>（第二次）</w:t>
      </w:r>
      <w:r>
        <w:rPr>
          <w:rFonts w:hint="eastAsia" w:ascii="宋体" w:hAnsi="宋体" w:cs="宋体"/>
          <w:b/>
          <w:color w:val="auto"/>
          <w:sz w:val="28"/>
          <w:szCs w:val="28"/>
          <w:highlight w:val="none"/>
        </w:rPr>
        <w:t>施工招标公告</w:t>
      </w:r>
      <w:bookmarkEnd w:id="15"/>
    </w:p>
    <w:p>
      <w:pPr>
        <w:pStyle w:val="19"/>
        <w:spacing w:before="120" w:afterLines="50"/>
        <w:outlineLvl w:val="2"/>
        <w:rPr>
          <w:color w:val="auto"/>
          <w:highlight w:val="none"/>
        </w:rPr>
      </w:pPr>
      <w:bookmarkStart w:id="16" w:name="_Toc229305323"/>
      <w:bookmarkStart w:id="17" w:name="_Toc32316"/>
      <w:bookmarkStart w:id="18" w:name="_Toc28236"/>
      <w:bookmarkStart w:id="19" w:name="_Toc168476029"/>
      <w:bookmarkStart w:id="20" w:name="_Toc144974480"/>
      <w:bookmarkStart w:id="21" w:name="_Toc222029463"/>
      <w:bookmarkStart w:id="22" w:name="_Toc18551"/>
      <w:bookmarkStart w:id="23" w:name="_Toc29060"/>
      <w:bookmarkStart w:id="24" w:name="_Toc40953892"/>
      <w:bookmarkStart w:id="25" w:name="_Toc3041"/>
      <w:bookmarkStart w:id="26" w:name="_Toc222033814"/>
      <w:bookmarkStart w:id="27" w:name="_Toc221949922"/>
      <w:bookmarkStart w:id="28" w:name="_Toc222032632"/>
      <w:bookmarkStart w:id="29" w:name="_Toc1650171334"/>
      <w:bookmarkStart w:id="30" w:name="_Toc8356"/>
      <w:bookmarkStart w:id="31" w:name="_Toc222030965"/>
      <w:bookmarkStart w:id="32" w:name="_Toc387753532"/>
      <w:bookmarkStart w:id="33" w:name="_Toc168475626"/>
      <w:r>
        <w:rPr>
          <w:rFonts w:hint="eastAsia"/>
          <w:color w:val="auto"/>
          <w:highlight w:val="none"/>
        </w:rPr>
        <w:t>1. 招标条件</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pacing w:line="400" w:lineRule="exact"/>
        <w:ind w:firstLine="420" w:firstLineChars="200"/>
        <w:rPr>
          <w:rFonts w:ascii="宋体" w:hAnsi="宋体" w:cs="宋体"/>
          <w:color w:val="auto"/>
          <w:szCs w:val="21"/>
          <w:highlight w:val="none"/>
        </w:rPr>
      </w:pPr>
      <w:bookmarkStart w:id="34" w:name="_Toc221949923"/>
      <w:r>
        <w:rPr>
          <w:rFonts w:hint="eastAsia" w:ascii="宋体" w:hAnsi="宋体" w:cs="宋体"/>
          <w:color w:val="auto"/>
          <w:szCs w:val="21"/>
          <w:highlight w:val="none"/>
        </w:rPr>
        <w:t>本招标项目</w:t>
      </w:r>
      <w:r>
        <w:rPr>
          <w:rFonts w:hint="eastAsia" w:ascii="宋体" w:hAnsi="宋体" w:cs="宋体"/>
          <w:color w:val="auto"/>
          <w:szCs w:val="21"/>
          <w:highlight w:val="none"/>
          <w:u w:val="single"/>
          <w:lang w:eastAsia="zh-CN"/>
        </w:rPr>
        <w:t>2024年度广州市从化区鳌头镇高标准农田改造提升建设项目（示范）（第二次）（投资项目代码</w:t>
      </w:r>
      <w:bookmarkStart w:id="35" w:name="OLE_LINK3"/>
      <w:r>
        <w:rPr>
          <w:rFonts w:hint="eastAsia" w:ascii="宋体" w:hAnsi="宋体" w:cs="宋体"/>
          <w:color w:val="auto"/>
          <w:szCs w:val="21"/>
          <w:highlight w:val="none"/>
          <w:u w:val="single"/>
          <w:lang w:eastAsia="zh-CN"/>
        </w:rPr>
        <w:t>2309-440117-04-01-166504</w:t>
      </w:r>
      <w:bookmarkEnd w:id="35"/>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已由</w:t>
      </w:r>
      <w:r>
        <w:rPr>
          <w:rFonts w:hint="eastAsia" w:ascii="宋体" w:hAnsi="宋体" w:cs="宋体"/>
          <w:color w:val="auto"/>
          <w:szCs w:val="21"/>
          <w:highlight w:val="none"/>
          <w:u w:val="single"/>
        </w:rPr>
        <w:t>广州市农业农村局</w:t>
      </w:r>
      <w:r>
        <w:rPr>
          <w:rFonts w:hint="eastAsia" w:ascii="宋体" w:hAnsi="宋体" w:cs="宋体"/>
          <w:color w:val="auto"/>
          <w:szCs w:val="21"/>
          <w:highlight w:val="none"/>
        </w:rPr>
        <w:t>以</w:t>
      </w:r>
      <w:r>
        <w:rPr>
          <w:rFonts w:hint="eastAsia" w:ascii="宋体" w:hAnsi="宋体" w:cs="宋体"/>
          <w:color w:val="auto"/>
          <w:szCs w:val="21"/>
          <w:highlight w:val="none"/>
          <w:u w:val="single"/>
        </w:rPr>
        <w:t>《广州市农业农村局关于2024年度广州市从化区高标准农田建设项目初步设计的批复》（穗农函[2023]370号）</w:t>
      </w:r>
      <w:r>
        <w:rPr>
          <w:rFonts w:hint="eastAsia" w:ascii="宋体" w:hAnsi="宋体" w:cs="宋体"/>
          <w:color w:val="auto"/>
          <w:szCs w:val="21"/>
          <w:highlight w:val="none"/>
        </w:rPr>
        <w:t>批准建设，建设资金来自</w:t>
      </w:r>
      <w:r>
        <w:rPr>
          <w:rFonts w:hint="eastAsia"/>
          <w:color w:val="auto"/>
          <w:szCs w:val="21"/>
          <w:highlight w:val="none"/>
          <w:u w:val="single"/>
          <w:lang w:val="en-US" w:eastAsia="zh-CN"/>
        </w:rPr>
        <w:t xml:space="preserve"> 财政资金 </w:t>
      </w:r>
      <w:r>
        <w:rPr>
          <w:rFonts w:hint="eastAsia" w:ascii="宋体" w:hAnsi="宋体" w:cs="宋体"/>
          <w:color w:val="auto"/>
          <w:szCs w:val="21"/>
          <w:highlight w:val="none"/>
        </w:rPr>
        <w:t>，项目出资比例为</w:t>
      </w:r>
      <w:r>
        <w:rPr>
          <w:rFonts w:hint="eastAsia" w:ascii="宋体" w:hAnsi="宋体" w:cs="宋体"/>
          <w:color w:val="auto"/>
          <w:szCs w:val="21"/>
          <w:highlight w:val="none"/>
          <w:u w:val="single"/>
          <w:lang w:val="en-US" w:eastAsia="zh-CN"/>
        </w:rPr>
        <w:t xml:space="preserve"> 100% </w:t>
      </w:r>
      <w:r>
        <w:rPr>
          <w:rFonts w:hint="eastAsia" w:ascii="宋体" w:hAnsi="宋体" w:cs="宋体"/>
          <w:color w:val="auto"/>
          <w:szCs w:val="21"/>
          <w:highlight w:val="none"/>
        </w:rPr>
        <w:t>，招标人为</w:t>
      </w:r>
      <w:r>
        <w:rPr>
          <w:rFonts w:hint="eastAsia" w:ascii="宋体" w:hAnsi="宋体" w:cs="宋体"/>
          <w:color w:val="auto"/>
          <w:szCs w:val="21"/>
          <w:highlight w:val="none"/>
          <w:u w:val="single"/>
          <w:lang w:val="en-US" w:eastAsia="zh-CN"/>
        </w:rPr>
        <w:t xml:space="preserve"> 广州市从化区鳌头镇人民政府 </w:t>
      </w:r>
      <w:r>
        <w:rPr>
          <w:rFonts w:hint="eastAsia" w:ascii="宋体" w:hAnsi="宋体" w:cs="宋体"/>
          <w:color w:val="auto"/>
          <w:szCs w:val="21"/>
          <w:highlight w:val="none"/>
        </w:rPr>
        <w:t>，招标代理机构为</w:t>
      </w:r>
      <w:r>
        <w:rPr>
          <w:rFonts w:hint="eastAsia"/>
          <w:color w:val="auto"/>
          <w:szCs w:val="21"/>
          <w:highlight w:val="none"/>
          <w:u w:val="single"/>
          <w:lang w:val="en-US" w:eastAsia="zh-CN"/>
        </w:rPr>
        <w:t xml:space="preserve"> 广东省国际工程咨询有限公司 </w:t>
      </w:r>
      <w:r>
        <w:rPr>
          <w:rFonts w:hint="eastAsia" w:ascii="宋体" w:hAnsi="宋体" w:cs="宋体"/>
          <w:color w:val="auto"/>
          <w:szCs w:val="21"/>
          <w:highlight w:val="none"/>
        </w:rPr>
        <w:t>。项目已具备招标条件，现对本项目施工进行公开招标。</w:t>
      </w:r>
      <w:bookmarkEnd w:id="34"/>
    </w:p>
    <w:p>
      <w:pPr>
        <w:pStyle w:val="19"/>
        <w:spacing w:before="120" w:afterLines="50"/>
        <w:outlineLvl w:val="2"/>
        <w:rPr>
          <w:color w:val="auto"/>
          <w:highlight w:val="none"/>
        </w:rPr>
      </w:pPr>
      <w:bookmarkStart w:id="36" w:name="_Toc22303"/>
      <w:bookmarkStart w:id="37" w:name="_Toc144974481"/>
      <w:bookmarkStart w:id="38" w:name="_Toc23244"/>
      <w:bookmarkStart w:id="39" w:name="_Toc168476030"/>
      <w:bookmarkStart w:id="40" w:name="_Toc5380"/>
      <w:bookmarkStart w:id="41" w:name="_Toc229305324"/>
      <w:bookmarkStart w:id="42" w:name="_Toc222033815"/>
      <w:bookmarkStart w:id="43" w:name="_Toc24058"/>
      <w:bookmarkStart w:id="44" w:name="_Toc950596501"/>
      <w:bookmarkStart w:id="45" w:name="_Toc221949924"/>
      <w:bookmarkStart w:id="46" w:name="_Toc9742"/>
      <w:bookmarkStart w:id="47" w:name="_Toc2394"/>
      <w:bookmarkStart w:id="48" w:name="_Toc1034972149"/>
      <w:bookmarkStart w:id="49" w:name="_Toc222032633"/>
      <w:bookmarkStart w:id="50" w:name="_Toc222030966"/>
      <w:bookmarkStart w:id="51" w:name="_Toc222029464"/>
      <w:bookmarkStart w:id="52" w:name="_Toc387753533"/>
      <w:bookmarkStart w:id="53" w:name="_Toc168475627"/>
      <w:r>
        <w:rPr>
          <w:rFonts w:hint="eastAsia"/>
          <w:color w:val="auto"/>
          <w:highlight w:val="none"/>
        </w:rPr>
        <w:t>2. 项目概况与招标范围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spacing w:line="480" w:lineRule="exact"/>
        <w:ind w:firstLine="420" w:firstLineChars="200"/>
        <w:outlineLvl w:val="9"/>
        <w:rPr>
          <w:color w:val="auto"/>
          <w:szCs w:val="21"/>
          <w:highlight w:val="none"/>
        </w:rPr>
      </w:pPr>
      <w:bookmarkStart w:id="54" w:name="_Toc109149738"/>
      <w:r>
        <w:rPr>
          <w:color w:val="auto"/>
          <w:szCs w:val="21"/>
          <w:highlight w:val="none"/>
        </w:rPr>
        <w:t xml:space="preserve">2.1 </w:t>
      </w:r>
      <w:r>
        <w:rPr>
          <w:rFonts w:hint="eastAsia"/>
          <w:color w:val="auto"/>
          <w:szCs w:val="21"/>
          <w:highlight w:val="none"/>
        </w:rPr>
        <w:t>项目概况</w:t>
      </w:r>
      <w:bookmarkEnd w:id="54"/>
    </w:p>
    <w:p>
      <w:pPr>
        <w:spacing w:line="480" w:lineRule="exact"/>
        <w:ind w:firstLine="420" w:firstLineChars="200"/>
        <w:rPr>
          <w:color w:val="auto"/>
          <w:szCs w:val="21"/>
          <w:highlight w:val="none"/>
          <w:u w:val="single"/>
        </w:rPr>
      </w:pPr>
      <w:r>
        <w:rPr>
          <w:rFonts w:hint="eastAsia"/>
          <w:color w:val="auto"/>
          <w:szCs w:val="21"/>
          <w:highlight w:val="none"/>
        </w:rPr>
        <w:t>建设地点：</w:t>
      </w:r>
      <w:r>
        <w:rPr>
          <w:rFonts w:hint="eastAsia"/>
          <w:color w:val="auto"/>
          <w:szCs w:val="21"/>
          <w:highlight w:val="none"/>
          <w:u w:val="single"/>
          <w:lang w:val="en-US" w:eastAsia="zh-CN"/>
        </w:rPr>
        <w:t>广州市从化区鳌头镇横坑村、岭南村、沙迳村、石联村、水西村、下西村、月荣村、洲洞村</w:t>
      </w:r>
      <w:r>
        <w:rPr>
          <w:rFonts w:hint="eastAsia"/>
          <w:color w:val="auto"/>
          <w:szCs w:val="21"/>
          <w:highlight w:val="none"/>
        </w:rPr>
        <w:t>。</w:t>
      </w:r>
    </w:p>
    <w:p>
      <w:pPr>
        <w:spacing w:line="480" w:lineRule="exact"/>
        <w:ind w:firstLine="420" w:firstLineChars="200"/>
        <w:rPr>
          <w:rFonts w:hint="eastAsia"/>
          <w:color w:val="auto"/>
          <w:szCs w:val="21"/>
          <w:highlight w:val="none"/>
          <w:u w:val="single"/>
          <w:lang w:val="en-US" w:eastAsia="zh-CN"/>
        </w:rPr>
      </w:pPr>
      <w:r>
        <w:rPr>
          <w:rFonts w:hint="eastAsia"/>
          <w:color w:val="auto"/>
          <w:szCs w:val="21"/>
          <w:highlight w:val="none"/>
        </w:rPr>
        <w:t>建设规模：</w:t>
      </w:r>
      <w:r>
        <w:rPr>
          <w:rFonts w:hint="eastAsia"/>
          <w:color w:val="auto"/>
          <w:szCs w:val="21"/>
          <w:highlight w:val="none"/>
          <w:u w:val="single"/>
          <w:lang w:val="en-US" w:eastAsia="zh-CN"/>
        </w:rPr>
        <w:t>本工程共设一个标段，建设规模2896亩(其中高效节水灌溉面积1000亩)，总投资1508.4万元。主要建设内容包括灌溉与排水工程、田间道路工程和其他工程等。</w:t>
      </w:r>
    </w:p>
    <w:p>
      <w:pPr>
        <w:spacing w:line="480" w:lineRule="exact"/>
        <w:ind w:firstLine="420" w:firstLineChars="200"/>
        <w:rPr>
          <w:color w:val="auto"/>
          <w:szCs w:val="21"/>
          <w:highlight w:val="none"/>
          <w:u w:val="single"/>
        </w:rPr>
      </w:pPr>
      <w:r>
        <w:rPr>
          <w:rFonts w:hint="eastAsia"/>
          <w:color w:val="auto"/>
          <w:szCs w:val="21"/>
          <w:highlight w:val="none"/>
          <w:u w:val="single"/>
          <w:lang w:val="en-US" w:eastAsia="zh-CN"/>
        </w:rPr>
        <w:t>项目区的灌溉排水工程包括：新修泵站1座；新建水陂1座；重建水陂1座；新修干管I(DN400钢管)共1条，总长955m；整修农渠25条，总长4586m；整修斗沟11条，总长3781m；涵管2座，总长8m；人行盖板84块；机耕盖板29座；项目区的田间道路工程包括：整修生产路12条，总长1808m；整修田间道10条，总长4000m（具体以施工图纸和工程量清单为准）。</w:t>
      </w:r>
    </w:p>
    <w:p>
      <w:pPr>
        <w:spacing w:line="480" w:lineRule="exact"/>
        <w:ind w:firstLine="420" w:firstLineChars="200"/>
        <w:outlineLvl w:val="9"/>
        <w:rPr>
          <w:color w:val="auto"/>
          <w:szCs w:val="21"/>
          <w:highlight w:val="none"/>
        </w:rPr>
      </w:pPr>
      <w:bookmarkStart w:id="55" w:name="_Toc109149739"/>
      <w:r>
        <w:rPr>
          <w:color w:val="auto"/>
          <w:szCs w:val="21"/>
          <w:highlight w:val="none"/>
        </w:rPr>
        <w:t>2.</w:t>
      </w:r>
      <w:r>
        <w:rPr>
          <w:rFonts w:hint="eastAsia"/>
          <w:color w:val="auto"/>
          <w:szCs w:val="21"/>
          <w:highlight w:val="none"/>
        </w:rPr>
        <w:t>2 标段划分及各标段招标内容、规模和最高投标限价</w:t>
      </w:r>
      <w:bookmarkEnd w:id="55"/>
    </w:p>
    <w:p>
      <w:pPr>
        <w:spacing w:line="480" w:lineRule="exact"/>
        <w:ind w:firstLine="420" w:firstLineChars="200"/>
        <w:rPr>
          <w:rFonts w:hint="eastAsia"/>
          <w:color w:val="auto"/>
          <w:szCs w:val="21"/>
          <w:highlight w:val="none"/>
          <w:u w:val="single"/>
        </w:rPr>
      </w:pPr>
      <w:r>
        <w:rPr>
          <w:rFonts w:hint="eastAsia"/>
          <w:color w:val="auto"/>
          <w:szCs w:val="21"/>
          <w:highlight w:val="none"/>
        </w:rPr>
        <w:t>招标范围：</w:t>
      </w:r>
      <w:r>
        <w:rPr>
          <w:rFonts w:hint="eastAsia"/>
          <w:color w:val="auto"/>
          <w:szCs w:val="21"/>
          <w:highlight w:val="none"/>
          <w:u w:val="single"/>
        </w:rPr>
        <w:t>主要建设内容包括灌溉与排水工程、田间道路工程和其他工程等。</w:t>
      </w:r>
    </w:p>
    <w:p>
      <w:pPr>
        <w:spacing w:line="480" w:lineRule="exact"/>
        <w:ind w:firstLine="420" w:firstLineChars="200"/>
        <w:rPr>
          <w:rFonts w:hint="eastAsia"/>
          <w:color w:val="auto"/>
          <w:szCs w:val="21"/>
          <w:highlight w:val="none"/>
          <w:u w:val="single"/>
        </w:rPr>
      </w:pPr>
      <w:r>
        <w:rPr>
          <w:rFonts w:hint="eastAsia"/>
          <w:color w:val="auto"/>
          <w:szCs w:val="21"/>
          <w:highlight w:val="none"/>
          <w:u w:val="single"/>
        </w:rPr>
        <w:t xml:space="preserve">项目区的灌溉排水工程包括：新修泵站1座；新建水陂1座；重建水陂1座；新修干管I(DN400钢管)共1条，总长955m；整修农渠25条，总长4586m；整修斗沟11条，总长3781m；涵管2座，总长8m；人行盖板84块；机耕盖板29座； </w:t>
      </w:r>
    </w:p>
    <w:p>
      <w:pPr>
        <w:spacing w:line="480" w:lineRule="exact"/>
        <w:ind w:firstLine="420" w:firstLineChars="200"/>
        <w:rPr>
          <w:color w:val="auto"/>
          <w:szCs w:val="21"/>
          <w:highlight w:val="none"/>
        </w:rPr>
      </w:pPr>
      <w:r>
        <w:rPr>
          <w:rFonts w:hint="eastAsia"/>
          <w:color w:val="auto"/>
          <w:szCs w:val="21"/>
          <w:highlight w:val="none"/>
          <w:u w:val="single"/>
        </w:rPr>
        <w:t>项目区的田间道路工程包括：整修生产路12条，总长1808m；整修田间道10条，总长4000m（具体以施工图纸和工程量清单为准）</w:t>
      </w:r>
      <w:r>
        <w:rPr>
          <w:rFonts w:hint="eastAsia"/>
          <w:color w:val="auto"/>
          <w:szCs w:val="21"/>
          <w:highlight w:val="none"/>
        </w:rPr>
        <w:t>。</w:t>
      </w:r>
    </w:p>
    <w:p>
      <w:pPr>
        <w:spacing w:line="480" w:lineRule="exact"/>
        <w:ind w:firstLine="420" w:firstLineChars="200"/>
        <w:rPr>
          <w:color w:val="auto"/>
          <w:szCs w:val="21"/>
          <w:highlight w:val="none"/>
        </w:rPr>
      </w:pPr>
      <w:r>
        <w:rPr>
          <w:rFonts w:hint="eastAsia"/>
          <w:color w:val="auto"/>
          <w:szCs w:val="21"/>
          <w:highlight w:val="none"/>
        </w:rPr>
        <w:t>招标内容：</w:t>
      </w:r>
      <w:r>
        <w:rPr>
          <w:rFonts w:hint="eastAsia"/>
          <w:color w:val="auto"/>
          <w:szCs w:val="21"/>
          <w:highlight w:val="none"/>
          <w:u w:val="single"/>
        </w:rPr>
        <w:t>主要建设内容包括灌溉与排水工程、田间道路工程和其他工程等（具体以施工图纸和工程量清单为准）</w:t>
      </w:r>
      <w:r>
        <w:rPr>
          <w:rFonts w:hint="eastAsia"/>
          <w:color w:val="auto"/>
          <w:szCs w:val="21"/>
          <w:highlight w:val="none"/>
        </w:rPr>
        <w:t>。</w:t>
      </w:r>
    </w:p>
    <w:p>
      <w:pPr>
        <w:spacing w:line="480" w:lineRule="exact"/>
        <w:ind w:firstLine="420" w:firstLineChars="200"/>
        <w:rPr>
          <w:color w:val="auto"/>
          <w:szCs w:val="21"/>
          <w:highlight w:val="none"/>
        </w:rPr>
      </w:pPr>
      <w:r>
        <w:rPr>
          <w:rFonts w:hint="eastAsia"/>
          <w:color w:val="auto"/>
          <w:szCs w:val="21"/>
          <w:highlight w:val="none"/>
        </w:rPr>
        <w:t>标段划分：</w:t>
      </w:r>
      <w:r>
        <w:rPr>
          <w:rFonts w:hint="eastAsia"/>
          <w:color w:val="auto"/>
          <w:szCs w:val="21"/>
          <w:highlight w:val="none"/>
          <w:u w:val="single"/>
          <w:lang w:val="en-US" w:eastAsia="zh-CN"/>
        </w:rPr>
        <w:t>1个标段</w:t>
      </w:r>
      <w:r>
        <w:rPr>
          <w:rFonts w:hint="eastAsia"/>
          <w:color w:val="auto"/>
          <w:szCs w:val="21"/>
          <w:highlight w:val="none"/>
        </w:rPr>
        <w:t>。</w:t>
      </w:r>
    </w:p>
    <w:p>
      <w:pPr>
        <w:spacing w:line="480" w:lineRule="exact"/>
        <w:ind w:left="0" w:leftChars="0" w:firstLine="420" w:firstLineChars="200"/>
        <w:rPr>
          <w:color w:val="auto"/>
          <w:szCs w:val="21"/>
          <w:highlight w:val="none"/>
        </w:rPr>
      </w:pPr>
      <w:r>
        <w:rPr>
          <w:rFonts w:hint="eastAsia"/>
          <w:color w:val="auto"/>
          <w:szCs w:val="21"/>
          <w:highlight w:val="none"/>
        </w:rPr>
        <w:t>计划</w:t>
      </w:r>
      <w:r>
        <w:rPr>
          <w:rFonts w:hint="eastAsia"/>
          <w:color w:val="auto"/>
          <w:highlight w:val="none"/>
        </w:rPr>
        <w:t>工期</w:t>
      </w:r>
      <w:r>
        <w:rPr>
          <w:rFonts w:hint="eastAsia"/>
          <w:color w:val="auto"/>
          <w:szCs w:val="21"/>
          <w:highlight w:val="none"/>
        </w:rPr>
        <w:t>：</w:t>
      </w:r>
      <w:r>
        <w:rPr>
          <w:rFonts w:hint="eastAsia"/>
          <w:color w:val="auto"/>
          <w:szCs w:val="21"/>
          <w:highlight w:val="none"/>
          <w:u w:val="single"/>
        </w:rPr>
        <w:t>1</w:t>
      </w:r>
      <w:r>
        <w:rPr>
          <w:rFonts w:hint="eastAsia"/>
          <w:color w:val="auto"/>
          <w:szCs w:val="21"/>
          <w:highlight w:val="none"/>
          <w:u w:val="single"/>
          <w:lang w:val="en-US" w:eastAsia="zh-CN"/>
        </w:rPr>
        <w:t>50</w:t>
      </w:r>
      <w:r>
        <w:rPr>
          <w:rFonts w:hint="eastAsia"/>
          <w:color w:val="auto"/>
          <w:szCs w:val="21"/>
          <w:highlight w:val="none"/>
        </w:rPr>
        <w:t>日历天。</w:t>
      </w:r>
    </w:p>
    <w:p>
      <w:pPr>
        <w:spacing w:line="480" w:lineRule="exact"/>
        <w:ind w:firstLine="420" w:firstLineChars="200"/>
        <w:rPr>
          <w:color w:val="auto"/>
          <w:szCs w:val="21"/>
          <w:highlight w:val="none"/>
        </w:rPr>
      </w:pPr>
      <w:r>
        <w:rPr>
          <w:rFonts w:hint="eastAsia"/>
          <w:color w:val="auto"/>
          <w:szCs w:val="21"/>
          <w:highlight w:val="none"/>
        </w:rPr>
        <w:t>最高投标限价：</w:t>
      </w:r>
      <w:r>
        <w:rPr>
          <w:rFonts w:hint="eastAsia"/>
          <w:color w:val="auto"/>
          <w:szCs w:val="21"/>
          <w:highlight w:val="none"/>
          <w:u w:val="single"/>
        </w:rPr>
        <w:t>1220.087436</w:t>
      </w:r>
      <w:r>
        <w:rPr>
          <w:rFonts w:hint="eastAsia"/>
          <w:color w:val="auto"/>
          <w:szCs w:val="21"/>
          <w:highlight w:val="none"/>
          <w:u w:val="none"/>
          <w:lang w:val="en-US" w:eastAsia="zh-CN"/>
        </w:rPr>
        <w:t>万元</w:t>
      </w:r>
      <w:r>
        <w:rPr>
          <w:rFonts w:hint="eastAsia"/>
          <w:color w:val="auto"/>
          <w:szCs w:val="21"/>
          <w:highlight w:val="none"/>
          <w:u w:val="none"/>
        </w:rPr>
        <w:t>。</w:t>
      </w:r>
    </w:p>
    <w:p>
      <w:pPr>
        <w:spacing w:line="480" w:lineRule="exact"/>
        <w:ind w:firstLine="420" w:firstLineChars="200"/>
        <w:rPr>
          <w:color w:val="auto"/>
          <w:szCs w:val="21"/>
          <w:highlight w:val="none"/>
        </w:rPr>
      </w:pPr>
      <w:r>
        <w:rPr>
          <w:rFonts w:hint="eastAsia"/>
          <w:color w:val="auto"/>
          <w:szCs w:val="21"/>
          <w:highlight w:val="none"/>
        </w:rPr>
        <w:t>承包方式：</w:t>
      </w:r>
      <w:r>
        <w:rPr>
          <w:rFonts w:hint="eastAsia"/>
          <w:color w:val="auto"/>
          <w:szCs w:val="21"/>
          <w:highlight w:val="none"/>
          <w:u w:val="single"/>
        </w:rPr>
        <w:t>总价承包（包工、包料、包工期、包质量、包安全、包文明施工），施工图纸及工程量清单范围内总价包干、项目措施费包干</w:t>
      </w:r>
      <w:r>
        <w:rPr>
          <w:rFonts w:hint="eastAsia"/>
          <w:color w:val="auto"/>
          <w:szCs w:val="21"/>
          <w:highlight w:val="none"/>
        </w:rPr>
        <w:t>。</w:t>
      </w:r>
    </w:p>
    <w:p>
      <w:pPr>
        <w:pStyle w:val="19"/>
        <w:spacing w:before="120" w:afterLines="50"/>
        <w:outlineLvl w:val="2"/>
        <w:rPr>
          <w:rFonts w:hint="eastAsia"/>
          <w:color w:val="auto"/>
          <w:highlight w:val="none"/>
        </w:rPr>
      </w:pPr>
      <w:bookmarkStart w:id="56" w:name="_Toc229305325"/>
      <w:bookmarkStart w:id="57" w:name="_Toc644469185"/>
      <w:bookmarkStart w:id="58" w:name="_Toc168476031"/>
      <w:bookmarkStart w:id="59" w:name="_Toc22069"/>
      <w:bookmarkStart w:id="60" w:name="_Toc221949926"/>
      <w:bookmarkStart w:id="61" w:name="_Toc8497"/>
      <w:bookmarkStart w:id="62" w:name="_Toc22773"/>
      <w:bookmarkStart w:id="63" w:name="_Toc387753534"/>
      <w:bookmarkStart w:id="64" w:name="_Toc222032634"/>
      <w:bookmarkStart w:id="65" w:name="_Toc222030967"/>
      <w:bookmarkStart w:id="66" w:name="_Toc15703"/>
      <w:bookmarkStart w:id="67" w:name="_Toc144974482"/>
      <w:bookmarkStart w:id="68" w:name="_Toc30667"/>
      <w:bookmarkStart w:id="69" w:name="_Toc168475628"/>
      <w:bookmarkStart w:id="70" w:name="_Toc222029465"/>
      <w:bookmarkStart w:id="71" w:name="_Toc222033816"/>
      <w:bookmarkStart w:id="72" w:name="_Toc283061529"/>
      <w:bookmarkStart w:id="73" w:name="_Toc6582"/>
      <w:r>
        <w:rPr>
          <w:rFonts w:hint="eastAsia"/>
          <w:color w:val="auto"/>
          <w:highlight w:val="none"/>
        </w:rPr>
        <w:t>3. 投标人资格要求</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bookmarkStart w:id="74" w:name="_Toc221949927"/>
      <w:r>
        <w:rPr>
          <w:rFonts w:hint="eastAsia" w:cs="宋体"/>
          <w:color w:val="auto"/>
          <w:highlight w:val="none"/>
        </w:rPr>
        <w:t>3</w:t>
      </w:r>
      <w:r>
        <w:rPr>
          <w:rFonts w:hint="eastAsia" w:ascii="宋体" w:hAnsi="宋体" w:cs="宋体"/>
          <w:color w:val="auto"/>
          <w:highlight w:val="none"/>
        </w:rPr>
        <w:t>.</w:t>
      </w:r>
      <w:r>
        <w:rPr>
          <w:rFonts w:hint="eastAsia" w:cs="宋体"/>
          <w:color w:val="auto"/>
          <w:highlight w:val="none"/>
        </w:rPr>
        <w:t>1</w:t>
      </w:r>
      <w:r>
        <w:rPr>
          <w:rFonts w:hint="eastAsia" w:ascii="宋体" w:hAnsi="宋体" w:cs="宋体"/>
          <w:color w:val="auto"/>
          <w:highlight w:val="none"/>
        </w:rPr>
        <w:t>投标人参加投标的意思表达清楚，投标人代表被授权有效。</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3.2投标人均具有独立法人资格，按国家法律经营。</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rPr>
      </w:pPr>
      <w:r>
        <w:rPr>
          <w:rFonts w:hint="eastAsia" w:ascii="宋体" w:hAnsi="宋体" w:cs="宋体"/>
          <w:color w:val="auto"/>
          <w:highlight w:val="none"/>
        </w:rPr>
        <w:t>3.3投标人均持有相关主管部门颁发有效期内的企业资质证书及安全生产许可证。</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rPr>
        <w:t>3.4本次招标要求投标人须具备</w:t>
      </w:r>
      <w:r>
        <w:rPr>
          <w:rFonts w:hint="eastAsia" w:ascii="宋体" w:hAnsi="宋体" w:cs="宋体"/>
          <w:color w:val="auto"/>
          <w:highlight w:val="none"/>
          <w:u w:val="none"/>
        </w:rPr>
        <w:t>以下资质：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投标人具有承接本工程所需的</w:t>
      </w:r>
      <w:r>
        <w:rPr>
          <w:rFonts w:hint="eastAsia" w:ascii="宋体" w:hAnsi="宋体" w:cs="宋体"/>
          <w:color w:val="auto"/>
          <w:highlight w:val="none"/>
          <w:u w:val="single"/>
        </w:rPr>
        <w:t>水利水电工程三</w:t>
      </w:r>
      <w:r>
        <w:rPr>
          <w:rFonts w:hint="eastAsia" w:ascii="宋体" w:hAnsi="宋体" w:cs="宋体"/>
          <w:color w:val="auto"/>
          <w:highlight w:val="none"/>
          <w:u w:val="none"/>
        </w:rPr>
        <w:t>级或以上级别施工总承包资质。</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3.5投标人拟担任本项目负责人的人员为：</w:t>
      </w:r>
      <w:r>
        <w:rPr>
          <w:rFonts w:hint="eastAsia" w:ascii="宋体" w:hAnsi="宋体" w:cs="宋体"/>
          <w:color w:val="auto"/>
          <w:highlight w:val="none"/>
          <w:u w:val="single"/>
        </w:rPr>
        <w:t>水利水电工程</w:t>
      </w:r>
      <w:r>
        <w:rPr>
          <w:rFonts w:hint="eastAsia" w:ascii="宋体" w:hAnsi="宋体" w:cs="宋体"/>
          <w:color w:val="auto"/>
          <w:highlight w:val="none"/>
          <w:u w:val="none"/>
        </w:rPr>
        <w:t>专业</w:t>
      </w:r>
      <w:r>
        <w:rPr>
          <w:rFonts w:hint="eastAsia" w:ascii="宋体" w:hAnsi="宋体" w:cs="宋体"/>
          <w:color w:val="auto"/>
          <w:highlight w:val="none"/>
          <w:u w:val="single"/>
        </w:rPr>
        <w:t>二</w:t>
      </w:r>
      <w:r>
        <w:rPr>
          <w:rFonts w:hint="eastAsia" w:ascii="宋体" w:hAnsi="宋体" w:cs="宋体"/>
          <w:color w:val="auto"/>
          <w:highlight w:val="none"/>
          <w:u w:val="none"/>
        </w:rPr>
        <w:t>级或以上级别的注册建造师；同时具备有效的安全生产考核合格证（B类）或建筑施工企业项目负责人安全生产考核合格证书，且未在其他在建工程项目中担任项目负责人。</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3.6专职安全员须具有安全生产考核合格证（C类）或建筑施工企业专职安全生产管理人员安全生产考核合格证书。</w:t>
      </w:r>
    </w:p>
    <w:p>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ascii="宋体" w:hAnsi="宋体" w:cs="宋体"/>
          <w:color w:val="auto"/>
          <w:highlight w:val="none"/>
          <w:u w:val="none"/>
        </w:rPr>
      </w:pPr>
      <w:r>
        <w:rPr>
          <w:rFonts w:hint="eastAsia" w:ascii="宋体" w:hAnsi="宋体" w:cs="宋体"/>
          <w:color w:val="auto"/>
          <w:highlight w:val="none"/>
          <w:u w:val="none"/>
        </w:rPr>
        <w:t>注：项目负责人在任职期间不得担任专职安全员，项目专职安全员在任职期间也不得担任项目负责人，项目负责人和专职安全员不为同一人。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cs="宋体"/>
          <w:color w:val="auto"/>
          <w:highlight w:val="none"/>
          <w:u w:val="none"/>
        </w:rPr>
        <w:t>3</w:t>
      </w:r>
      <w:r>
        <w:rPr>
          <w:rFonts w:hint="eastAsia" w:ascii="宋体" w:hAnsi="宋体" w:cs="宋体"/>
          <w:color w:val="auto"/>
          <w:highlight w:val="none"/>
          <w:u w:val="none"/>
        </w:rPr>
        <w:t>.</w:t>
      </w:r>
      <w:r>
        <w:rPr>
          <w:rFonts w:hint="eastAsia" w:cs="宋体"/>
          <w:color w:val="auto"/>
          <w:highlight w:val="none"/>
          <w:u w:val="none"/>
          <w:lang w:val="en-US" w:eastAsia="zh-CN"/>
        </w:rPr>
        <w:t>7</w:t>
      </w:r>
      <w:r>
        <w:rPr>
          <w:rFonts w:hint="eastAsia" w:ascii="宋体" w:hAnsi="宋体" w:cs="宋体"/>
          <w:color w:val="auto"/>
          <w:szCs w:val="21"/>
          <w:highlight w:val="none"/>
          <w:u w:val="none"/>
        </w:rPr>
        <w:t>本次招标</w:t>
      </w:r>
      <w:r>
        <w:rPr>
          <w:rFonts w:hint="eastAsia" w:ascii="宋体" w:hAnsi="宋体" w:cs="宋体"/>
          <w:color w:val="auto"/>
          <w:szCs w:val="21"/>
          <w:highlight w:val="none"/>
          <w:u w:val="single"/>
        </w:rPr>
        <w:t xml:space="preserve"> 不接受</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联合体投标。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8</w:t>
      </w:r>
      <w:r>
        <w:rPr>
          <w:rFonts w:hint="eastAsia" w:ascii="宋体" w:hAnsi="宋体" w:cs="宋体"/>
          <w:color w:val="auto"/>
          <w:highlight w:val="none"/>
        </w:rPr>
        <w:t>信誉要求</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以投标人盖章签署的“企业信誉声明”为评审依据）：</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（1）没有被依法暂停或取消投标资格（指被本招标项目所在地县级及以上农业农村（或住建、水利、公共资源交易）行政主管部门暂停或取消投标资格或禁止进入该区域建设市场且处于有效期内）； </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（2）没有被责令停产停业、暂扣或者吊销许可证、暂扣或者吊销执照；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（3）没有进入清算程序，或被宣告破产，或其他丧失履约能力的情形；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（4）在最近三年内没有发生重大工程质量问题（以相关行业主管部门的行政处罚决定或司法机关出具的有关法律文书为准）；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（5）在“国家企业信用信息公示系统”（ www.gsxt.gov.cn）中没有被列入严重违法失信企业名单；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（6）在“信用中国”网站（www.creditchina.gov.cn）或“中国执行信息公开网”（http://zxgk.court.gov.cn/shixin/）没有被列入失信被执行人名单；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（7）在近三年内投标人或其法定代表人、拟委任的项目负责人没有行贿犯罪行为。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（8）不存在法律法规或投标人须知前附表第1.4.3（19）目规定的不得存在的其他情形。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w:t>
      </w:r>
      <w:r>
        <w:rPr>
          <w:rFonts w:hint="eastAsia" w:ascii="宋体" w:hAnsi="宋体" w:cs="宋体"/>
          <w:color w:val="auto"/>
          <w:highlight w:val="none"/>
        </w:rPr>
        <w:t>.</w:t>
      </w:r>
      <w:r>
        <w:rPr>
          <w:rFonts w:hint="eastAsia"/>
          <w:color w:val="auto"/>
          <w:highlight w:val="none"/>
          <w:lang w:val="en-US" w:eastAsia="zh-CN"/>
        </w:rPr>
        <w:t>9</w:t>
      </w:r>
      <w:r>
        <w:rPr>
          <w:rFonts w:hint="eastAsia"/>
          <w:color w:val="auto"/>
          <w:highlight w:val="none"/>
        </w:rPr>
        <w:t>资格审查前，投标人须在交易平台完成企业信息登记，及拟担任本工程项目负责人、专职安全员须是本企业信息登记中的在册人员。企业信息登记应按照交易平台关于企业信息登记的相关指南进行操作。详见：</w:t>
      </w:r>
      <w:r>
        <w:rPr>
          <w:rFonts w:hint="eastAsia"/>
          <w:color w:val="auto"/>
          <w:szCs w:val="21"/>
          <w:highlight w:val="none"/>
          <w:u w:val="single"/>
          <w:lang w:val="en-US" w:eastAsia="zh-CN"/>
        </w:rPr>
        <w:t>广州交易集团有限公司（广州公共资源交易中心）交易平台&gt; 服务指南 &gt; 办事指引 &gt; 企业信息登记指引</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highlight w:val="none"/>
        </w:rPr>
      </w:pPr>
      <w:r>
        <w:rPr>
          <w:rFonts w:hint="eastAsia"/>
          <w:color w:val="auto"/>
          <w:highlight w:val="none"/>
        </w:rPr>
        <w:t>3.1</w:t>
      </w:r>
      <w:r>
        <w:rPr>
          <w:rFonts w:hint="eastAsia"/>
          <w:color w:val="auto"/>
          <w:highlight w:val="none"/>
          <w:lang w:val="en-US" w:eastAsia="zh-CN"/>
        </w:rPr>
        <w:t>0</w:t>
      </w:r>
      <w:r>
        <w:rPr>
          <w:rFonts w:hint="eastAsia"/>
          <w:color w:val="auto"/>
          <w:highlight w:val="none"/>
        </w:rPr>
        <w:t>其他</w:t>
      </w:r>
      <w:r>
        <w:rPr>
          <w:color w:val="auto"/>
          <w:highlight w:val="none"/>
        </w:rPr>
        <w:t>要求：</w:t>
      </w:r>
      <w:r>
        <w:rPr>
          <w:rFonts w:hint="eastAsia"/>
          <w:color w:val="auto"/>
          <w:highlight w:val="none"/>
        </w:rPr>
        <w:t>授权的委托代理人及项目部主要组成人员（项目负责人、技术负责人（如有）、专职安全员）均为本单位的正式职工，须</w:t>
      </w:r>
      <w:r>
        <w:rPr>
          <w:rFonts w:hint="eastAsia"/>
          <w:color w:val="auto"/>
          <w:highlight w:val="none"/>
          <w:lang w:val="en-US" w:eastAsia="zh-CN"/>
        </w:rPr>
        <w:t>提供</w:t>
      </w:r>
      <w:r>
        <w:rPr>
          <w:rFonts w:hint="eastAsia"/>
          <w:color w:val="auto"/>
          <w:highlight w:val="none"/>
          <w:lang w:eastAsia="zh-CN"/>
        </w:rPr>
        <w:t>2025年6月</w:t>
      </w:r>
      <w:r>
        <w:rPr>
          <w:rFonts w:hint="eastAsia"/>
          <w:color w:val="auto"/>
          <w:highlight w:val="none"/>
        </w:rPr>
        <w:t>在本单位或其分支机构交纳的社保证明文件。</w:t>
      </w:r>
    </w:p>
    <w:bookmarkEnd w:id="74"/>
    <w:p>
      <w:pPr>
        <w:pStyle w:val="19"/>
        <w:spacing w:before="120" w:afterLines="50"/>
        <w:outlineLvl w:val="2"/>
        <w:rPr>
          <w:rFonts w:hint="eastAsia"/>
          <w:color w:val="auto"/>
          <w:highlight w:val="none"/>
        </w:rPr>
      </w:pPr>
      <w:bookmarkStart w:id="75" w:name="_Toc168475629"/>
      <w:bookmarkStart w:id="76" w:name="_Toc144974483"/>
      <w:bookmarkStart w:id="77" w:name="_Toc899841256"/>
      <w:bookmarkStart w:id="78" w:name="_Toc27249"/>
      <w:bookmarkStart w:id="79" w:name="_Toc229305326"/>
      <w:bookmarkStart w:id="80" w:name="_Toc10699"/>
      <w:bookmarkStart w:id="81" w:name="_Toc5342"/>
      <w:bookmarkStart w:id="82" w:name="_Toc387753535"/>
      <w:bookmarkStart w:id="83" w:name="_Toc1789"/>
      <w:bookmarkStart w:id="84" w:name="_Toc222030968"/>
      <w:bookmarkStart w:id="85" w:name="_Toc221949930"/>
      <w:bookmarkStart w:id="86" w:name="_Toc222029466"/>
      <w:bookmarkStart w:id="87" w:name="_Toc222033817"/>
      <w:bookmarkStart w:id="88" w:name="_Toc1544"/>
      <w:bookmarkStart w:id="89" w:name="_Toc933282979"/>
      <w:bookmarkStart w:id="90" w:name="_Toc222032635"/>
      <w:bookmarkStart w:id="91" w:name="_Toc12445"/>
      <w:bookmarkStart w:id="92" w:name="_Toc168476032"/>
      <w:r>
        <w:rPr>
          <w:rFonts w:hint="eastAsia"/>
          <w:color w:val="auto"/>
          <w:highlight w:val="none"/>
        </w:rPr>
        <w:t>4. 招标文件的获取</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adjustRightInd w:val="0"/>
        <w:snapToGrid w:val="0"/>
        <w:spacing w:line="360" w:lineRule="auto"/>
        <w:ind w:firstLine="420" w:firstLineChars="200"/>
        <w:rPr>
          <w:rFonts w:ascii="宋体" w:hAnsi="宋体" w:cs="宋体"/>
          <w:color w:val="auto"/>
          <w:szCs w:val="21"/>
          <w:highlight w:val="none"/>
        </w:rPr>
      </w:pPr>
      <w:bookmarkStart w:id="93" w:name="_Toc144974484"/>
      <w:bookmarkStart w:id="94" w:name="_Toc222032636"/>
      <w:bookmarkStart w:id="95" w:name="_Toc168475630"/>
      <w:bookmarkStart w:id="96" w:name="_Toc221949934"/>
      <w:bookmarkStart w:id="97" w:name="_Toc222030969"/>
      <w:bookmarkStart w:id="98" w:name="_Toc222033818"/>
      <w:bookmarkStart w:id="99" w:name="_Toc387753536"/>
      <w:bookmarkStart w:id="100" w:name="_Toc229305327"/>
      <w:bookmarkStart w:id="101" w:name="_Toc168476033"/>
      <w:bookmarkStart w:id="102" w:name="_Toc222029467"/>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1</w:t>
      </w:r>
      <w:r>
        <w:rPr>
          <w:rFonts w:hint="eastAsia"/>
          <w:color w:val="auto"/>
          <w:highlight w:val="none"/>
        </w:rPr>
        <w:t>凡有意参加投标者（若为联合体投标，指联合体所有成员），应当在</w:t>
      </w:r>
      <w:r>
        <w:rPr>
          <w:rFonts w:hint="eastAsia"/>
          <w:color w:val="auto"/>
          <w:highlight w:val="none"/>
          <w:u w:val="single"/>
          <w:lang w:val="en-US" w:eastAsia="zh-CN"/>
        </w:rPr>
        <w:t>广州交易集团有限公司（广州公共资源交易中心）交易平台</w:t>
      </w:r>
      <w:r>
        <w:rPr>
          <w:rFonts w:hint="eastAsia"/>
          <w:color w:val="auto"/>
          <w:highlight w:val="none"/>
        </w:rPr>
        <w:t>（以下简称“电子交易平台”，下同）（网址：http://www.gzggzy.cn_）进行注册登记，并办理CA数字证书（具体按照交易平台的相关指南进行操作，详见广州交易集团有限公司（广州公共资源交易中心）</w:t>
      </w:r>
      <w:r>
        <w:rPr>
          <w:rFonts w:hint="eastAsia"/>
          <w:color w:val="auto"/>
          <w:highlight w:val="none"/>
          <w:lang w:val="en-US" w:eastAsia="zh-CN"/>
        </w:rPr>
        <w:t>官网</w:t>
      </w:r>
      <w:r>
        <w:rPr>
          <w:rFonts w:hint="eastAsia"/>
          <w:color w:val="auto"/>
          <w:highlight w:val="none"/>
        </w:rPr>
        <w:t>）。</w:t>
      </w:r>
    </w:p>
    <w:p>
      <w:pPr>
        <w:adjustRightInd w:val="0"/>
        <w:snapToGrid w:val="0"/>
        <w:spacing w:line="360" w:lineRule="auto"/>
        <w:ind w:firstLine="420" w:firstLineChars="200"/>
        <w:rPr>
          <w:color w:val="auto"/>
          <w:highlight w:val="none"/>
        </w:rPr>
      </w:pPr>
      <w:r>
        <w:rPr>
          <w:rFonts w:hint="eastAsia" w:cs="宋体"/>
          <w:color w:val="auto"/>
          <w:szCs w:val="21"/>
          <w:highlight w:val="none"/>
        </w:rPr>
        <w:t>4</w:t>
      </w: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 xml:space="preserve"> 完成注册登记后，</w:t>
      </w:r>
      <w:r>
        <w:rPr>
          <w:rFonts w:hint="eastAsia" w:ascii="宋体" w:hAnsi="宋体" w:cs="宋体"/>
          <w:color w:val="auto"/>
          <w:highlight w:val="none"/>
        </w:rPr>
        <w:t>请于</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分止</w:t>
      </w:r>
      <w:r>
        <w:rPr>
          <w:rFonts w:hint="eastAsia" w:ascii="宋体" w:hAnsi="宋体" w:cs="宋体"/>
          <w:color w:val="auto"/>
          <w:szCs w:val="21"/>
          <w:highlight w:val="none"/>
        </w:rPr>
        <w:t>（北京时间，下同）</w:t>
      </w:r>
      <w:r>
        <w:rPr>
          <w:rFonts w:hint="eastAsia" w:ascii="宋体" w:hAnsi="宋体" w:cs="宋体"/>
          <w:color w:val="auto"/>
          <w:highlight w:val="none"/>
        </w:rPr>
        <w:t>，通过互联网使用</w:t>
      </w:r>
      <w:r>
        <w:rPr>
          <w:rFonts w:hint="eastAsia" w:ascii="宋体" w:hAnsi="宋体" w:cs="宋体"/>
          <w:color w:val="auto"/>
          <w:szCs w:val="21"/>
          <w:highlight w:val="none"/>
        </w:rPr>
        <w:t>CA数字证书</w:t>
      </w:r>
      <w:r>
        <w:rPr>
          <w:rFonts w:hint="eastAsia" w:ascii="宋体" w:hAnsi="宋体" w:cs="宋体"/>
          <w:color w:val="auto"/>
          <w:highlight w:val="none"/>
        </w:rPr>
        <w:t>登录“电子交易平台”</w:t>
      </w:r>
      <w:r>
        <w:rPr>
          <w:rFonts w:hint="eastAsia" w:ascii="宋体" w:hAnsi="宋体" w:cs="宋体"/>
          <w:color w:val="auto"/>
          <w:szCs w:val="21"/>
          <w:highlight w:val="none"/>
        </w:rPr>
        <w:t>，在所投标段免费下载招标文件。联合体投标的，由联合体牵头人下载招标文件（具体操作按照交易平台的相关指南进行，详见</w:t>
      </w:r>
      <w:r>
        <w:rPr>
          <w:rFonts w:hint="eastAsia" w:ascii="宋体" w:hAnsi="宋体" w:cs="宋体"/>
          <w:color w:val="auto"/>
          <w:highlight w:val="none"/>
          <w:u w:val="single"/>
        </w:rPr>
        <w:t>广州交易集团有限公司（广州公共资源交易中心）</w:t>
      </w:r>
      <w:r>
        <w:rPr>
          <w:rFonts w:hint="eastAsia" w:ascii="宋体" w:hAnsi="宋体" w:cs="宋体"/>
          <w:color w:val="auto"/>
          <w:highlight w:val="none"/>
          <w:u w:val="single"/>
          <w:lang w:val="en-US" w:eastAsia="zh-CN"/>
        </w:rPr>
        <w:t>官网</w:t>
      </w:r>
      <w:r>
        <w:rPr>
          <w:rFonts w:hint="eastAsia"/>
          <w:color w:val="auto"/>
          <w:highlight w:val="none"/>
        </w:rPr>
        <w:t>）。</w:t>
      </w:r>
      <w:r>
        <w:rPr>
          <w:rFonts w:hint="eastAsia" w:ascii="宋体" w:hAnsi="宋体" w:cs="宋体"/>
          <w:color w:val="auto"/>
          <w:szCs w:val="21"/>
          <w:highlight w:val="none"/>
        </w:rPr>
        <w:t>未按规定从“电子交易平台”下载招标文件的，</w:t>
      </w:r>
      <w:r>
        <w:rPr>
          <w:rFonts w:hint="eastAsia"/>
          <w:color w:val="auto"/>
          <w:highlight w:val="none"/>
        </w:rPr>
        <w:t>招标人（“</w:t>
      </w:r>
      <w:r>
        <w:rPr>
          <w:color w:val="auto"/>
          <w:highlight w:val="none"/>
        </w:rPr>
        <w:t>电子</w:t>
      </w:r>
      <w:r>
        <w:rPr>
          <w:rFonts w:hint="eastAsia"/>
          <w:color w:val="auto"/>
          <w:highlight w:val="none"/>
        </w:rPr>
        <w:t>交易平台”）拒收其投标文件。</w:t>
      </w:r>
    </w:p>
    <w:p>
      <w:pPr>
        <w:pStyle w:val="19"/>
        <w:spacing w:before="120" w:afterLines="50"/>
        <w:outlineLvl w:val="2"/>
        <w:rPr>
          <w:color w:val="auto"/>
          <w:highlight w:val="none"/>
        </w:rPr>
      </w:pPr>
      <w:bookmarkStart w:id="103" w:name="_Toc1314950961"/>
      <w:bookmarkStart w:id="104" w:name="_Toc27825"/>
      <w:bookmarkStart w:id="105" w:name="_Toc5300"/>
      <w:bookmarkStart w:id="106" w:name="_Toc2815"/>
      <w:bookmarkStart w:id="107" w:name="_Toc23646"/>
      <w:bookmarkStart w:id="108" w:name="_Toc7337"/>
      <w:bookmarkStart w:id="109" w:name="_Toc1143022034"/>
      <w:bookmarkStart w:id="110" w:name="_Toc21756"/>
      <w:r>
        <w:rPr>
          <w:rFonts w:hint="eastAsia"/>
          <w:color w:val="auto"/>
          <w:highlight w:val="none"/>
        </w:rPr>
        <w:t>5. 公告发布日期、递交投标文件时间与开标时间</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pacing w:line="360" w:lineRule="auto"/>
        <w:rPr>
          <w:color w:val="auto"/>
          <w:szCs w:val="21"/>
          <w:highlight w:val="none"/>
        </w:rPr>
      </w:pPr>
      <w:bookmarkStart w:id="111" w:name="_Toc222030971"/>
      <w:bookmarkStart w:id="112" w:name="_Toc222033820"/>
      <w:bookmarkStart w:id="113" w:name="_Toc222029469"/>
      <w:bookmarkStart w:id="114" w:name="_Toc222032638"/>
      <w:bookmarkStart w:id="115" w:name="_Toc229305329"/>
      <w:bookmarkStart w:id="116" w:name="_Toc168476034"/>
      <w:bookmarkStart w:id="117" w:name="_Toc168475631"/>
      <w:bookmarkStart w:id="118" w:name="_Toc387753538"/>
      <w:bookmarkStart w:id="119" w:name="_Toc221949939"/>
      <w:r>
        <w:rPr>
          <w:color w:val="auto"/>
          <w:szCs w:val="21"/>
          <w:highlight w:val="none"/>
        </w:rPr>
        <w:t xml:space="preserve">    5</w:t>
      </w:r>
      <w:r>
        <w:rPr>
          <w:rFonts w:ascii="宋体" w:hAnsi="宋体"/>
          <w:color w:val="auto"/>
          <w:szCs w:val="21"/>
          <w:highlight w:val="none"/>
        </w:rPr>
        <w:t>.</w:t>
      </w:r>
      <w:r>
        <w:rPr>
          <w:color w:val="auto"/>
          <w:szCs w:val="21"/>
          <w:highlight w:val="none"/>
        </w:rPr>
        <w:t>1</w:t>
      </w:r>
      <w:r>
        <w:rPr>
          <w:rFonts w:hint="eastAsia"/>
          <w:color w:val="auto"/>
          <w:szCs w:val="21"/>
          <w:highlight w:val="none"/>
        </w:rPr>
        <w:t>公告发布日期（含本日）：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r>
        <w:rPr>
          <w:rFonts w:hint="eastAsia"/>
          <w:color w:val="auto"/>
          <w:szCs w:val="21"/>
          <w:highlight w:val="none"/>
        </w:rPr>
        <w:t>凡有意参加投标者，请自行登录电子交易平台网站下载电子招标文件。</w:t>
      </w:r>
    </w:p>
    <w:p>
      <w:pPr>
        <w:adjustRightInd w:val="0"/>
        <w:snapToGrid w:val="0"/>
        <w:spacing w:line="360" w:lineRule="auto"/>
        <w:ind w:firstLine="420" w:firstLineChars="200"/>
        <w:rPr>
          <w:color w:val="auto"/>
          <w:highlight w:val="none"/>
        </w:rPr>
      </w:pPr>
      <w:r>
        <w:rPr>
          <w:rFonts w:hint="eastAsia"/>
          <w:color w:val="auto"/>
          <w:highlight w:val="none"/>
        </w:rPr>
        <w:t>5.2递交投标文件起始时间：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2100" w:firstLineChars="1000"/>
        <w:rPr>
          <w:color w:val="auto"/>
          <w:highlight w:val="none"/>
        </w:rPr>
      </w:pPr>
      <w:r>
        <w:rPr>
          <w:rFonts w:hint="eastAsia"/>
          <w:color w:val="auto"/>
          <w:highlight w:val="none"/>
        </w:rPr>
        <w:t>截止时间：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w:t>
      </w:r>
    </w:p>
    <w:p>
      <w:pPr>
        <w:adjustRightInd w:val="0"/>
        <w:snapToGrid w:val="0"/>
        <w:spacing w:line="360" w:lineRule="auto"/>
        <w:ind w:firstLine="420" w:firstLineChars="200"/>
        <w:rPr>
          <w:color w:val="auto"/>
          <w:highlight w:val="none"/>
        </w:rPr>
      </w:pPr>
      <w:r>
        <w:rPr>
          <w:rFonts w:hint="eastAsia"/>
          <w:color w:val="auto"/>
          <w:highlight w:val="none"/>
        </w:rPr>
        <w:t>5.3递交投标文件备用光盘时间：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分至</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color w:val="auto"/>
          <w:highlight w:val="none"/>
        </w:rPr>
        <w:t>；递交地点：</w:t>
      </w:r>
      <w:r>
        <w:rPr>
          <w:rFonts w:hint="eastAsia" w:ascii="宋体" w:hAnsi="宋体" w:eastAsia="宋体" w:cs="宋体"/>
          <w:sz w:val="21"/>
          <w:szCs w:val="21"/>
          <w:highlight w:val="none"/>
          <w:u w:val="single"/>
        </w:rPr>
        <w:t>广州公共资源交易中心从化交易部第</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开标室。地址：广州市从化区江埔街从化大道南海塱横街53号5栋9层（欣荣宏大厦9层）</w:t>
      </w:r>
      <w:r>
        <w:rPr>
          <w:rFonts w:hint="eastAsia"/>
          <w:strike w:val="0"/>
          <w:dstrike w:val="0"/>
          <w:color w:val="auto"/>
          <w:highlight w:val="none"/>
        </w:rPr>
        <w:t>。</w:t>
      </w:r>
      <w:r>
        <w:rPr>
          <w:rFonts w:hint="eastAsia" w:ascii="宋体" w:hAnsi="宋体" w:eastAsia="宋体" w:cs="宋体"/>
          <w:color w:val="auto"/>
          <w:sz w:val="21"/>
          <w:szCs w:val="21"/>
          <w:highlight w:val="none"/>
          <w:u w:val="single"/>
        </w:rPr>
        <w:t>投标人代表须凭法定代表人证明书原件（格式见招标文件附录）、法定代表人授权委托书原件（非法定代表人递交投标文件</w:t>
      </w:r>
      <w:r>
        <w:rPr>
          <w:rFonts w:hint="eastAsia" w:ascii="宋体" w:hAnsi="宋体" w:eastAsia="宋体" w:cs="宋体"/>
          <w:color w:val="auto"/>
          <w:sz w:val="21"/>
          <w:szCs w:val="21"/>
          <w:highlight w:val="none"/>
          <w:u w:val="single"/>
          <w:lang w:val="en-US" w:eastAsia="zh-CN"/>
        </w:rPr>
        <w:t>光盘或</w:t>
      </w:r>
      <w:r>
        <w:rPr>
          <w:rFonts w:hint="eastAsia" w:ascii="宋体" w:hAnsi="宋体" w:eastAsia="宋体" w:cs="宋体"/>
          <w:color w:val="auto"/>
          <w:sz w:val="21"/>
          <w:szCs w:val="21"/>
          <w:highlight w:val="none"/>
          <w:u w:val="single"/>
        </w:rPr>
        <w:t>U盘时提供，格式见招标文件附录）、本人身份证复印件（提供原件核对）、递交投标文件</w:t>
      </w:r>
      <w:r>
        <w:rPr>
          <w:rFonts w:hint="eastAsia" w:ascii="宋体" w:hAnsi="宋体" w:eastAsia="宋体" w:cs="宋体"/>
          <w:color w:val="auto"/>
          <w:sz w:val="21"/>
          <w:szCs w:val="21"/>
          <w:highlight w:val="none"/>
          <w:u w:val="single"/>
          <w:lang w:val="en-US" w:eastAsia="zh-CN"/>
        </w:rPr>
        <w:t>光盘或</w:t>
      </w:r>
      <w:r>
        <w:rPr>
          <w:rFonts w:hint="eastAsia" w:ascii="宋体" w:hAnsi="宋体" w:eastAsia="宋体" w:cs="宋体"/>
          <w:color w:val="auto"/>
          <w:sz w:val="21"/>
          <w:szCs w:val="21"/>
          <w:highlight w:val="none"/>
          <w:u w:val="single"/>
        </w:rPr>
        <w:t>U盘（备用）。电子</w:t>
      </w:r>
      <w:r>
        <w:rPr>
          <w:rFonts w:hint="eastAsia" w:ascii="宋体" w:hAnsi="宋体" w:eastAsia="宋体" w:cs="宋体"/>
          <w:color w:val="auto"/>
          <w:sz w:val="21"/>
          <w:szCs w:val="21"/>
          <w:highlight w:val="none"/>
          <w:u w:val="single"/>
          <w:lang w:val="en-US" w:eastAsia="zh-CN"/>
        </w:rPr>
        <w:t>光盘或</w:t>
      </w:r>
      <w:r>
        <w:rPr>
          <w:rFonts w:hint="eastAsia" w:ascii="宋体" w:hAnsi="宋体" w:eastAsia="宋体" w:cs="宋体"/>
          <w:color w:val="auto"/>
          <w:sz w:val="21"/>
          <w:szCs w:val="21"/>
          <w:highlight w:val="none"/>
          <w:u w:val="single"/>
        </w:rPr>
        <w:t>U盘需按招标文件规定封装。投标人未按上述规定，招标人（或招标代理）拒绝接收其投标文件</w:t>
      </w:r>
      <w:r>
        <w:rPr>
          <w:rFonts w:hint="eastAsia" w:ascii="宋体" w:hAnsi="宋体" w:eastAsia="宋体" w:cs="宋体"/>
          <w:color w:val="auto"/>
          <w:sz w:val="21"/>
          <w:szCs w:val="21"/>
          <w:highlight w:val="none"/>
          <w:u w:val="single"/>
          <w:lang w:val="en-US" w:eastAsia="zh-CN"/>
        </w:rPr>
        <w:t>光盘或</w:t>
      </w:r>
      <w:r>
        <w:rPr>
          <w:rFonts w:hint="eastAsia" w:ascii="宋体" w:hAnsi="宋体" w:eastAsia="宋体" w:cs="宋体"/>
          <w:color w:val="auto"/>
          <w:sz w:val="21"/>
          <w:szCs w:val="21"/>
          <w:highlight w:val="none"/>
          <w:u w:val="single"/>
        </w:rPr>
        <w:t>U盘（备用）。投标人将数据刻录到</w:t>
      </w:r>
      <w:r>
        <w:rPr>
          <w:rFonts w:hint="eastAsia" w:ascii="宋体" w:hAnsi="宋体" w:eastAsia="宋体" w:cs="宋体"/>
          <w:color w:val="auto"/>
          <w:sz w:val="21"/>
          <w:szCs w:val="21"/>
          <w:highlight w:val="none"/>
          <w:u w:val="single"/>
          <w:lang w:val="en-US" w:eastAsia="zh-CN"/>
        </w:rPr>
        <w:t>光盘或</w:t>
      </w:r>
      <w:r>
        <w:rPr>
          <w:rFonts w:hint="eastAsia" w:ascii="宋体" w:hAnsi="宋体" w:eastAsia="宋体" w:cs="宋体"/>
          <w:color w:val="auto"/>
          <w:sz w:val="21"/>
          <w:szCs w:val="21"/>
          <w:highlight w:val="none"/>
          <w:u w:val="single"/>
        </w:rPr>
        <w:t>U盘之后，投标前自行检查文件是否可以读取。投标人也可不提交投标文件</w:t>
      </w:r>
      <w:r>
        <w:rPr>
          <w:rFonts w:hint="eastAsia" w:ascii="宋体" w:hAnsi="宋体" w:eastAsia="宋体" w:cs="宋体"/>
          <w:color w:val="auto"/>
          <w:sz w:val="21"/>
          <w:szCs w:val="21"/>
          <w:highlight w:val="none"/>
          <w:u w:val="single"/>
          <w:lang w:val="en-US" w:eastAsia="zh-CN"/>
        </w:rPr>
        <w:t>光盘或</w:t>
      </w:r>
      <w:r>
        <w:rPr>
          <w:rFonts w:hint="eastAsia" w:ascii="宋体" w:hAnsi="宋体" w:eastAsia="宋体" w:cs="宋体"/>
          <w:color w:val="auto"/>
          <w:sz w:val="21"/>
          <w:szCs w:val="21"/>
          <w:highlight w:val="none"/>
          <w:u w:val="single"/>
        </w:rPr>
        <w:t>U盘（备用）。</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color w:val="auto"/>
          <w:highlight w:val="none"/>
        </w:rPr>
        <w:t>5.4开标开始时间：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分</w:t>
      </w:r>
      <w:r>
        <w:rPr>
          <w:rFonts w:hint="eastAsia" w:ascii="宋体" w:hAnsi="宋体" w:cs="宋体"/>
          <w:color w:val="auto"/>
          <w:highlight w:val="none"/>
          <w:lang w:eastAsia="zh-CN"/>
        </w:rPr>
        <w:t>；</w:t>
      </w:r>
    </w:p>
    <w:p>
      <w:pPr>
        <w:spacing w:line="360" w:lineRule="auto"/>
        <w:ind w:firstLine="420"/>
        <w:rPr>
          <w:color w:val="auto"/>
          <w:szCs w:val="21"/>
          <w:highlight w:val="none"/>
        </w:rPr>
      </w:pPr>
      <w:r>
        <w:rPr>
          <w:color w:val="auto"/>
          <w:szCs w:val="21"/>
          <w:highlight w:val="none"/>
        </w:rPr>
        <w:t>5</w:t>
      </w:r>
      <w:r>
        <w:rPr>
          <w:rFonts w:ascii="宋体" w:hAnsi="宋体"/>
          <w:color w:val="auto"/>
          <w:szCs w:val="21"/>
          <w:highlight w:val="none"/>
        </w:rPr>
        <w:t>.</w:t>
      </w:r>
      <w:r>
        <w:rPr>
          <w:rFonts w:hint="eastAsia"/>
          <w:color w:val="auto"/>
          <w:szCs w:val="21"/>
          <w:highlight w:val="none"/>
        </w:rPr>
        <w:t>5递交投标文件截止时间与开标时间是否有变化，请密切留意招标答疑中的相关信息。递交投标文件截止时间后，开标时间因故推迟的，相关评标信息仍以原递交投标文件截止时间的信息为准。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rPr>
          <w:color w:val="auto"/>
          <w:highlight w:val="none"/>
        </w:rPr>
      </w:pPr>
      <w:r>
        <w:rPr>
          <w:rFonts w:hint="eastAsia"/>
          <w:color w:val="auto"/>
          <w:highlight w:val="none"/>
        </w:rPr>
        <w:t>5.6投标人通过电子交易平台递交电子投标文件。投标人应当在投标截止时间前，登录电子交易平台网站办理网上投标登记手续，并</w:t>
      </w:r>
      <w:r>
        <w:rPr>
          <w:color w:val="auto"/>
          <w:highlight w:val="none"/>
        </w:rPr>
        <w:t>通过</w:t>
      </w:r>
      <w:r>
        <w:rPr>
          <w:rFonts w:hint="eastAsia"/>
          <w:color w:val="auto"/>
          <w:highlight w:val="none"/>
        </w:rPr>
        <w:t>互联网</w:t>
      </w:r>
      <w:r>
        <w:rPr>
          <w:color w:val="auto"/>
          <w:highlight w:val="none"/>
        </w:rPr>
        <w:t>使用</w:t>
      </w:r>
      <w:r>
        <w:rPr>
          <w:rFonts w:hint="eastAsia"/>
          <w:color w:val="auto"/>
          <w:highlight w:val="none"/>
        </w:rPr>
        <w:t>CA数字证书登录“电子交易平台”，选择所投标段将</w:t>
      </w:r>
      <w:r>
        <w:rPr>
          <w:rFonts w:hint="eastAsia"/>
          <w:b/>
          <w:color w:val="auto"/>
          <w:highlight w:val="none"/>
        </w:rPr>
        <w:t>加密的电子投标文件</w:t>
      </w:r>
      <w:r>
        <w:rPr>
          <w:rFonts w:hint="eastAsia"/>
          <w:color w:val="auto"/>
          <w:highlight w:val="none"/>
        </w:rPr>
        <w:t>上传（按照电子交易平台的相关指南进行操作。详见：</w:t>
      </w:r>
      <w:r>
        <w:rPr>
          <w:rFonts w:hint="eastAsia" w:ascii="宋体" w:hAnsi="宋体" w:cs="宋体"/>
          <w:color w:val="auto"/>
          <w:highlight w:val="none"/>
          <w:u w:val="single"/>
        </w:rPr>
        <w:t>广州交易集团有限公司（广州公共资源交易中心）</w:t>
      </w:r>
      <w:r>
        <w:rPr>
          <w:rFonts w:hint="eastAsia" w:ascii="宋体" w:hAnsi="宋体" w:cs="宋体"/>
          <w:color w:val="auto"/>
          <w:highlight w:val="none"/>
          <w:u w:val="single"/>
          <w:lang w:val="en-US" w:eastAsia="zh-CN"/>
        </w:rPr>
        <w:t>官网</w:t>
      </w:r>
      <w:r>
        <w:rPr>
          <w:rFonts w:hint="eastAsia"/>
          <w:color w:val="auto"/>
          <w:highlight w:val="none"/>
        </w:rPr>
        <w:t>）。投标人完成投标文件上传后，“</w:t>
      </w:r>
      <w:r>
        <w:rPr>
          <w:color w:val="auto"/>
          <w:highlight w:val="none"/>
        </w:rPr>
        <w:t>电子</w:t>
      </w:r>
      <w:r>
        <w:rPr>
          <w:rFonts w:hint="eastAsia"/>
          <w:color w:val="auto"/>
          <w:highlight w:val="none"/>
        </w:rPr>
        <w:t>交易平台”即时向投标人发出</w:t>
      </w:r>
      <w:r>
        <w:rPr>
          <w:color w:val="auto"/>
          <w:highlight w:val="none"/>
        </w:rPr>
        <w:t>电子签收凭证</w:t>
      </w:r>
      <w:r>
        <w:rPr>
          <w:rFonts w:hint="eastAsia"/>
          <w:color w:val="auto"/>
          <w:highlight w:val="none"/>
        </w:rPr>
        <w:t>，递交时间以</w:t>
      </w:r>
      <w:r>
        <w:rPr>
          <w:color w:val="auto"/>
          <w:highlight w:val="none"/>
        </w:rPr>
        <w:t>电子签收凭证</w:t>
      </w:r>
      <w:r>
        <w:rPr>
          <w:rFonts w:hint="eastAsia"/>
          <w:color w:val="auto"/>
          <w:highlight w:val="none"/>
        </w:rPr>
        <w:t>载明的传输完成时间为准。逾</w:t>
      </w:r>
      <w:r>
        <w:rPr>
          <w:color w:val="auto"/>
          <w:highlight w:val="none"/>
        </w:rPr>
        <w:t>期未完成上传</w:t>
      </w:r>
      <w:r>
        <w:rPr>
          <w:rFonts w:hint="eastAsia"/>
          <w:color w:val="auto"/>
          <w:highlight w:val="none"/>
        </w:rPr>
        <w:t>或未加密的</w:t>
      </w:r>
      <w:r>
        <w:rPr>
          <w:color w:val="auto"/>
          <w:highlight w:val="none"/>
        </w:rPr>
        <w:t>电子</w:t>
      </w:r>
      <w:r>
        <w:rPr>
          <w:rFonts w:hint="eastAsia"/>
          <w:color w:val="auto"/>
          <w:highlight w:val="none"/>
        </w:rPr>
        <w:t>投标文件</w:t>
      </w:r>
      <w:r>
        <w:rPr>
          <w:color w:val="auto"/>
          <w:highlight w:val="none"/>
        </w:rPr>
        <w:t>，招标人</w:t>
      </w:r>
      <w:r>
        <w:rPr>
          <w:rFonts w:hint="eastAsia"/>
          <w:color w:val="auto"/>
          <w:highlight w:val="none"/>
        </w:rPr>
        <w:t>（“</w:t>
      </w:r>
      <w:r>
        <w:rPr>
          <w:color w:val="auto"/>
          <w:highlight w:val="none"/>
        </w:rPr>
        <w:t>电子</w:t>
      </w:r>
      <w:r>
        <w:rPr>
          <w:rFonts w:hint="eastAsia"/>
          <w:color w:val="auto"/>
          <w:highlight w:val="none"/>
        </w:rPr>
        <w:t>交易平台”）</w:t>
      </w:r>
      <w:r>
        <w:rPr>
          <w:color w:val="auto"/>
          <w:highlight w:val="none"/>
        </w:rPr>
        <w:t>将拒收。</w:t>
      </w:r>
    </w:p>
    <w:p>
      <w:pPr>
        <w:pStyle w:val="19"/>
        <w:spacing w:before="120" w:afterLines="50"/>
        <w:outlineLvl w:val="2"/>
        <w:rPr>
          <w:rFonts w:hint="eastAsia"/>
          <w:color w:val="auto"/>
          <w:highlight w:val="none"/>
        </w:rPr>
      </w:pPr>
      <w:bookmarkStart w:id="120" w:name="_Toc103634291"/>
      <w:bookmarkStart w:id="121" w:name="_Toc24380"/>
      <w:bookmarkStart w:id="122" w:name="_Toc27692"/>
      <w:bookmarkStart w:id="123" w:name="_Toc22977"/>
      <w:bookmarkStart w:id="124" w:name="_Toc25079"/>
      <w:bookmarkStart w:id="125" w:name="_Toc1526851159"/>
      <w:bookmarkStart w:id="126" w:name="_Toc1015"/>
      <w:bookmarkStart w:id="127" w:name="_Toc19678"/>
      <w:r>
        <w:rPr>
          <w:rFonts w:hint="eastAsia"/>
          <w:color w:val="auto"/>
          <w:highlight w:val="none"/>
        </w:rPr>
        <w:t>6.投标相关事宜</w:t>
      </w:r>
      <w:bookmarkEnd w:id="120"/>
      <w:bookmarkEnd w:id="121"/>
      <w:bookmarkEnd w:id="122"/>
      <w:bookmarkEnd w:id="123"/>
      <w:bookmarkEnd w:id="124"/>
      <w:bookmarkEnd w:id="125"/>
      <w:bookmarkEnd w:id="126"/>
      <w:bookmarkEnd w:id="127"/>
    </w:p>
    <w:p>
      <w:pPr>
        <w:spacing w:afterLines="50" w:line="460" w:lineRule="exact"/>
        <w:rPr>
          <w:rFonts w:hint="default" w:eastAsia="宋体"/>
          <w:color w:val="auto"/>
          <w:highlight w:val="none"/>
          <w:lang w:val="en-US" w:eastAsia="zh-CN"/>
        </w:rPr>
      </w:pPr>
      <w:r>
        <w:rPr>
          <w:rFonts w:hint="eastAsia"/>
          <w:color w:val="auto"/>
          <w:highlight w:val="none"/>
          <w:u w:val="single"/>
          <w:lang w:val="en-US" w:eastAsia="zh-CN"/>
        </w:rPr>
        <w:t xml:space="preserve"> 详见招标文件 </w:t>
      </w:r>
      <w:r>
        <w:rPr>
          <w:rFonts w:hint="eastAsia"/>
          <w:color w:val="auto"/>
          <w:highlight w:val="none"/>
          <w:u w:val="none"/>
          <w:lang w:val="en-US" w:eastAsia="zh-CN"/>
        </w:rPr>
        <w:t>。</w:t>
      </w:r>
    </w:p>
    <w:p>
      <w:pPr>
        <w:pStyle w:val="19"/>
        <w:spacing w:before="120" w:afterLines="50"/>
        <w:outlineLvl w:val="2"/>
        <w:rPr>
          <w:rFonts w:hint="eastAsia"/>
          <w:color w:val="auto"/>
          <w:highlight w:val="none"/>
        </w:rPr>
      </w:pPr>
      <w:bookmarkStart w:id="128" w:name="_Toc8653"/>
      <w:bookmarkStart w:id="129" w:name="_Toc1763"/>
      <w:bookmarkStart w:id="130" w:name="_Toc11828"/>
      <w:bookmarkStart w:id="131" w:name="_Toc1837295352"/>
      <w:bookmarkStart w:id="132" w:name="_Toc1029"/>
      <w:bookmarkStart w:id="133" w:name="_Toc29276"/>
      <w:bookmarkStart w:id="134" w:name="_Toc12346225"/>
      <w:bookmarkStart w:id="135" w:name="_Toc25148"/>
      <w:r>
        <w:rPr>
          <w:rFonts w:hint="eastAsia"/>
          <w:color w:val="auto"/>
          <w:highlight w:val="none"/>
        </w:rPr>
        <w:t>7.资格审查方式评标办法</w:t>
      </w:r>
      <w:bookmarkEnd w:id="128"/>
      <w:bookmarkEnd w:id="129"/>
      <w:bookmarkEnd w:id="130"/>
      <w:bookmarkEnd w:id="131"/>
      <w:bookmarkEnd w:id="132"/>
      <w:bookmarkEnd w:id="133"/>
      <w:bookmarkEnd w:id="134"/>
      <w:bookmarkEnd w:id="135"/>
    </w:p>
    <w:p>
      <w:pPr>
        <w:spacing w:afterLines="50" w:line="460" w:lineRule="exact"/>
        <w:ind w:firstLine="437"/>
        <w:rPr>
          <w:color w:val="auto"/>
          <w:highlight w:val="none"/>
        </w:rPr>
      </w:pPr>
      <w:r>
        <w:rPr>
          <w:rFonts w:hint="eastAsia"/>
          <w:color w:val="auto"/>
          <w:highlight w:val="none"/>
        </w:rPr>
        <w:t>7.1本次招标采用资格后审方式，由评标委员会负责资格审查。资格审查结果将在网站进行公示，公示时间不得少于3日</w:t>
      </w:r>
      <w:r>
        <w:rPr>
          <w:rFonts w:hint="eastAsia"/>
          <w:color w:val="auto"/>
          <w:highlight w:val="none"/>
          <w:lang w:eastAsia="zh-CN"/>
        </w:rPr>
        <w:t>（</w:t>
      </w:r>
      <w:r>
        <w:rPr>
          <w:rFonts w:hint="eastAsia"/>
          <w:color w:val="auto"/>
          <w:highlight w:val="none"/>
          <w:lang w:val="en-US" w:eastAsia="zh-CN"/>
        </w:rPr>
        <w:t>最后一天须为工作日</w:t>
      </w:r>
      <w:r>
        <w:rPr>
          <w:rFonts w:hint="eastAsia"/>
          <w:color w:val="auto"/>
          <w:highlight w:val="none"/>
          <w:lang w:eastAsia="zh-CN"/>
        </w:rPr>
        <w:t>）</w:t>
      </w:r>
      <w:r>
        <w:rPr>
          <w:rFonts w:hint="eastAsia"/>
          <w:color w:val="auto"/>
          <w:highlight w:val="none"/>
        </w:rPr>
        <w:t>。</w:t>
      </w:r>
    </w:p>
    <w:p>
      <w:pPr>
        <w:spacing w:afterLines="50" w:line="460" w:lineRule="exact"/>
        <w:ind w:firstLine="437"/>
        <w:rPr>
          <w:color w:val="auto"/>
          <w:highlight w:val="none"/>
        </w:rPr>
      </w:pPr>
      <w:r>
        <w:rPr>
          <w:rFonts w:hint="eastAsia"/>
          <w:color w:val="auto"/>
          <w:highlight w:val="none"/>
        </w:rPr>
        <w:t>满足资格审查合格条件的投标人不足3名或通过有效性审查的投标人不足3名时为招标失败。招标人分析招标失败原因，修正招标方案，报有关管理部门核准后，重新组织招标。</w:t>
      </w:r>
    </w:p>
    <w:p>
      <w:pPr>
        <w:spacing w:afterLines="50" w:line="460" w:lineRule="exact"/>
        <w:ind w:firstLine="437"/>
        <w:rPr>
          <w:color w:val="auto"/>
          <w:highlight w:val="none"/>
        </w:rPr>
      </w:pPr>
      <w:r>
        <w:rPr>
          <w:rFonts w:hint="eastAsia"/>
          <w:color w:val="auto"/>
          <w:highlight w:val="none"/>
        </w:rPr>
        <w:t>7.2本次招标评标办法采用</w:t>
      </w:r>
      <w:r>
        <w:rPr>
          <w:rFonts w:hint="eastAsia"/>
          <w:color w:val="auto"/>
          <w:highlight w:val="none"/>
          <w:lang w:val="en-US" w:eastAsia="zh-CN"/>
        </w:rPr>
        <w:t>综合评分法</w:t>
      </w:r>
      <w:r>
        <w:rPr>
          <w:rFonts w:hint="eastAsia"/>
          <w:color w:val="auto"/>
          <w:highlight w:val="none"/>
        </w:rPr>
        <w:t>。</w:t>
      </w:r>
    </w:p>
    <w:p>
      <w:pPr>
        <w:pStyle w:val="19"/>
        <w:spacing w:before="120" w:afterLines="50"/>
        <w:outlineLvl w:val="2"/>
        <w:rPr>
          <w:rFonts w:hint="eastAsia"/>
          <w:color w:val="auto"/>
          <w:highlight w:val="none"/>
        </w:rPr>
      </w:pPr>
      <w:bookmarkStart w:id="136" w:name="_Toc24057"/>
      <w:bookmarkStart w:id="137" w:name="_Toc30310"/>
      <w:bookmarkStart w:id="138" w:name="_Toc1170"/>
      <w:bookmarkStart w:id="139" w:name="_Toc4594"/>
      <w:bookmarkStart w:id="140" w:name="_Toc3352"/>
      <w:bookmarkStart w:id="141" w:name="_Toc12949"/>
      <w:bookmarkStart w:id="142" w:name="_Toc317831565"/>
      <w:bookmarkStart w:id="143" w:name="_Toc1298211293"/>
      <w:r>
        <w:rPr>
          <w:rFonts w:hint="eastAsia"/>
          <w:color w:val="auto"/>
          <w:highlight w:val="none"/>
        </w:rPr>
        <w:t>8. 发布公告的媒介</w:t>
      </w:r>
      <w:bookmarkEnd w:id="111"/>
      <w:bookmarkEnd w:id="112"/>
      <w:bookmarkEnd w:id="113"/>
      <w:bookmarkEnd w:id="114"/>
      <w:bookmarkEnd w:id="115"/>
      <w:bookmarkEnd w:id="116"/>
      <w:bookmarkEnd w:id="117"/>
      <w:bookmarkEnd w:id="118"/>
      <w:bookmarkEnd w:id="119"/>
      <w:bookmarkEnd w:id="136"/>
      <w:bookmarkEnd w:id="137"/>
      <w:bookmarkEnd w:id="138"/>
      <w:bookmarkEnd w:id="139"/>
      <w:bookmarkEnd w:id="140"/>
      <w:bookmarkEnd w:id="141"/>
      <w:bookmarkEnd w:id="142"/>
      <w:bookmarkEnd w:id="143"/>
    </w:p>
    <w:p>
      <w:pPr>
        <w:spacing w:line="440" w:lineRule="exact"/>
        <w:ind w:firstLine="437"/>
        <w:rPr>
          <w:color w:val="auto"/>
          <w:highlight w:val="none"/>
        </w:rPr>
      </w:pPr>
      <w:bookmarkStart w:id="144" w:name="_Toc222032639"/>
      <w:bookmarkStart w:id="145" w:name="_Toc221949941"/>
      <w:bookmarkStart w:id="146" w:name="_Toc222030972"/>
      <w:bookmarkStart w:id="147" w:name="_Toc387753539"/>
      <w:bookmarkStart w:id="148" w:name="_Toc168476035"/>
      <w:bookmarkStart w:id="149" w:name="_Toc222033821"/>
      <w:bookmarkStart w:id="150" w:name="_Toc229305330"/>
      <w:bookmarkStart w:id="151" w:name="_Toc222029470"/>
      <w:bookmarkStart w:id="152" w:name="_Toc168475632"/>
      <w:bookmarkStart w:id="153" w:name="_Toc144974485"/>
      <w:r>
        <w:rPr>
          <w:rFonts w:hint="eastAsia"/>
          <w:color w:val="auto"/>
          <w:highlight w:val="none"/>
        </w:rPr>
        <w:t>本次招标公告同时在</w:t>
      </w:r>
      <w:r>
        <w:rPr>
          <w:rFonts w:hint="eastAsia"/>
          <w:color w:val="auto"/>
          <w:highlight w:val="none"/>
          <w:u w:val="single"/>
        </w:rPr>
        <w:t>广州交易集团有限公司（广州公共资源交易中心）</w:t>
      </w:r>
      <w:r>
        <w:rPr>
          <w:rFonts w:hint="eastAsia"/>
          <w:color w:val="auto"/>
          <w:highlight w:val="none"/>
          <w:u w:val="single"/>
          <w:lang w:val="en-US" w:eastAsia="zh-CN"/>
        </w:rPr>
        <w:t>官网（网址：http://www.gzggzy.cn）</w:t>
      </w:r>
      <w:r>
        <w:rPr>
          <w:rFonts w:hint="eastAsia"/>
          <w:color w:val="auto"/>
          <w:highlight w:val="none"/>
          <w:u w:val="none"/>
        </w:rPr>
        <w:t>、广</w:t>
      </w:r>
      <w:r>
        <w:rPr>
          <w:rFonts w:hint="eastAsia"/>
          <w:color w:val="auto"/>
          <w:highlight w:val="none"/>
        </w:rPr>
        <w:t>东省招标投标监管网（网址：</w:t>
      </w:r>
      <w:r>
        <w:rPr>
          <w:rFonts w:hint="eastAsia"/>
        </w:rPr>
        <w:t>http://zbtb.gd.gov.cn/</w:t>
      </w:r>
      <w:r>
        <w:rPr>
          <w:rFonts w:hint="eastAsia"/>
          <w:color w:val="auto"/>
          <w:highlight w:val="none"/>
        </w:rPr>
        <w:t>）和中国招标投标公共服务平台（网址：http://www.cebpubservice.com/） (发布公告的媒介名称)上发布。本公告的修改、补充，在</w:t>
      </w:r>
      <w:r>
        <w:rPr>
          <w:rFonts w:hint="eastAsia"/>
          <w:color w:val="auto"/>
          <w:highlight w:val="none"/>
          <w:u w:val="single"/>
        </w:rPr>
        <w:t>广州交易集团有限公司（广州公共资源交易中心）</w:t>
      </w:r>
      <w:r>
        <w:rPr>
          <w:rFonts w:hint="eastAsia"/>
          <w:color w:val="auto"/>
          <w:highlight w:val="none"/>
          <w:u w:val="single"/>
          <w:lang w:val="en-US" w:eastAsia="zh-CN"/>
        </w:rPr>
        <w:t>官网</w:t>
      </w:r>
      <w:r>
        <w:rPr>
          <w:rFonts w:hint="eastAsia"/>
          <w:color w:val="auto"/>
          <w:highlight w:val="none"/>
        </w:rPr>
        <w:t>发布。本公告在各媒体发布的文本如有不同之处，以在</w:t>
      </w:r>
      <w:r>
        <w:rPr>
          <w:rFonts w:hint="eastAsia"/>
          <w:color w:val="auto"/>
          <w:highlight w:val="none"/>
          <w:u w:val="single"/>
        </w:rPr>
        <w:t>广州交易集团有限公司（广州公共资源交易中心）</w:t>
      </w:r>
      <w:r>
        <w:rPr>
          <w:rFonts w:hint="eastAsia"/>
          <w:color w:val="auto"/>
          <w:highlight w:val="none"/>
          <w:u w:val="single"/>
          <w:lang w:val="en-US" w:eastAsia="zh-CN"/>
        </w:rPr>
        <w:t>官网</w:t>
      </w:r>
      <w:r>
        <w:rPr>
          <w:rFonts w:hint="eastAsia"/>
          <w:color w:val="auto"/>
          <w:highlight w:val="none"/>
        </w:rPr>
        <w:t>发布的文本为准。</w:t>
      </w:r>
    </w:p>
    <w:p>
      <w:pPr>
        <w:pStyle w:val="19"/>
        <w:numPr>
          <w:ilvl w:val="0"/>
          <w:numId w:val="1"/>
        </w:numPr>
        <w:spacing w:before="120" w:afterLines="50"/>
        <w:outlineLvl w:val="2"/>
        <w:rPr>
          <w:rFonts w:hint="eastAsia"/>
          <w:color w:val="auto"/>
          <w:highlight w:val="none"/>
          <w:lang w:val="en-US" w:eastAsia="zh-CN"/>
        </w:rPr>
      </w:pPr>
      <w:bookmarkStart w:id="154" w:name="_Toc9917"/>
      <w:bookmarkStart w:id="155" w:name="_Toc822"/>
      <w:bookmarkStart w:id="156" w:name="_Toc1407589433"/>
      <w:bookmarkStart w:id="157" w:name="_Toc15125"/>
      <w:bookmarkStart w:id="158" w:name="_Toc13503"/>
      <w:bookmarkStart w:id="159" w:name="_Toc21076"/>
      <w:bookmarkStart w:id="160" w:name="_Toc1370083816"/>
      <w:bookmarkStart w:id="161" w:name="_Toc28940"/>
      <w:r>
        <w:rPr>
          <w:rFonts w:hint="eastAsia"/>
          <w:color w:val="auto"/>
          <w:highlight w:val="none"/>
          <w:lang w:val="en-US" w:eastAsia="zh-CN"/>
        </w:rPr>
        <w:t>异议方式</w:t>
      </w:r>
      <w:bookmarkEnd w:id="154"/>
    </w:p>
    <w:p>
      <w:pPr>
        <w:pStyle w:val="19"/>
        <w:numPr>
          <w:ilvl w:val="0"/>
          <w:numId w:val="0"/>
        </w:numPr>
        <w:spacing w:before="120" w:afterLines="50"/>
        <w:ind w:firstLine="422" w:firstLineChars="200"/>
        <w:outlineLvl w:val="9"/>
        <w:rPr>
          <w:rFonts w:hint="eastAsia"/>
          <w:color w:val="auto"/>
          <w:sz w:val="21"/>
          <w:szCs w:val="15"/>
          <w:highlight w:val="none"/>
        </w:rPr>
      </w:pPr>
      <w:bookmarkStart w:id="162" w:name="_Toc25658"/>
      <w:r>
        <w:rPr>
          <w:rFonts w:hint="eastAsia"/>
          <w:color w:val="auto"/>
          <w:sz w:val="21"/>
          <w:szCs w:val="15"/>
          <w:highlight w:val="none"/>
        </w:rPr>
        <w:t>潜在投标人或利害关系人对本招标公告及招标文件有异议的，向招标人书面提出。</w:t>
      </w:r>
      <w:bookmarkEnd w:id="162"/>
    </w:p>
    <w:p>
      <w:pPr>
        <w:pStyle w:val="19"/>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163" w:name="_Toc29841"/>
      <w:r>
        <w:rPr>
          <w:rFonts w:hint="eastAsia"/>
          <w:b w:val="0"/>
          <w:bCs w:val="0"/>
          <w:color w:val="auto"/>
          <w:sz w:val="21"/>
          <w:szCs w:val="15"/>
          <w:highlight w:val="none"/>
        </w:rPr>
        <w:t>异议受理部门：</w:t>
      </w:r>
      <w:bookmarkEnd w:id="163"/>
      <w:r>
        <w:rPr>
          <w:rFonts w:hint="eastAsia"/>
          <w:b w:val="0"/>
          <w:bCs w:val="0"/>
          <w:color w:val="auto"/>
          <w:sz w:val="21"/>
          <w:szCs w:val="15"/>
          <w:highlight w:val="none"/>
          <w:u w:val="single"/>
          <w:lang w:val="en-US" w:eastAsia="zh-CN"/>
        </w:rPr>
        <w:t>广州市从化区鳌头镇人民政府</w:t>
      </w:r>
    </w:p>
    <w:p>
      <w:pPr>
        <w:pStyle w:val="19"/>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164" w:name="_Toc25873"/>
      <w:r>
        <w:rPr>
          <w:rFonts w:hint="eastAsia"/>
          <w:b w:val="0"/>
          <w:bCs w:val="0"/>
          <w:color w:val="auto"/>
          <w:sz w:val="21"/>
          <w:szCs w:val="15"/>
          <w:highlight w:val="none"/>
        </w:rPr>
        <w:t>异议受理电话：</w:t>
      </w:r>
      <w:bookmarkEnd w:id="164"/>
      <w:r>
        <w:rPr>
          <w:rFonts w:hint="eastAsia"/>
          <w:b w:val="0"/>
          <w:bCs w:val="0"/>
          <w:color w:val="auto"/>
          <w:sz w:val="21"/>
          <w:szCs w:val="15"/>
          <w:highlight w:val="none"/>
          <w:u w:val="single"/>
          <w:lang w:val="en-US" w:eastAsia="zh-CN"/>
        </w:rPr>
        <w:t>020-87876682</w:t>
      </w:r>
    </w:p>
    <w:p>
      <w:pPr>
        <w:pStyle w:val="19"/>
        <w:spacing w:before="120" w:afterLines="50"/>
        <w:ind w:firstLine="420" w:firstLineChars="200"/>
        <w:outlineLvl w:val="9"/>
        <w:rPr>
          <w:rFonts w:hint="default" w:eastAsia="宋体"/>
          <w:b w:val="0"/>
          <w:bCs w:val="0"/>
          <w:color w:val="auto"/>
          <w:sz w:val="21"/>
          <w:szCs w:val="15"/>
          <w:highlight w:val="none"/>
          <w:u w:val="single"/>
          <w:lang w:val="en-US" w:eastAsia="zh-CN"/>
        </w:rPr>
      </w:pPr>
      <w:bookmarkStart w:id="165" w:name="_Toc31538"/>
      <w:r>
        <w:rPr>
          <w:rFonts w:hint="eastAsia"/>
          <w:b w:val="0"/>
          <w:bCs w:val="0"/>
          <w:color w:val="auto"/>
          <w:sz w:val="21"/>
          <w:szCs w:val="15"/>
          <w:highlight w:val="none"/>
        </w:rPr>
        <w:t>地址：</w:t>
      </w:r>
      <w:bookmarkEnd w:id="165"/>
      <w:r>
        <w:rPr>
          <w:rFonts w:hint="eastAsia"/>
          <w:b w:val="0"/>
          <w:bCs w:val="0"/>
          <w:color w:val="auto"/>
          <w:sz w:val="21"/>
          <w:szCs w:val="15"/>
          <w:highlight w:val="none"/>
          <w:u w:val="single"/>
        </w:rPr>
        <w:t>广州市从化区鳌头镇新城西路38号</w:t>
      </w:r>
    </w:p>
    <w:p>
      <w:pPr>
        <w:pStyle w:val="19"/>
        <w:spacing w:before="120" w:afterLines="50"/>
        <w:ind w:firstLine="420" w:firstLineChars="200"/>
        <w:outlineLvl w:val="9"/>
        <w:rPr>
          <w:b w:val="0"/>
          <w:bCs w:val="0"/>
          <w:color w:val="auto"/>
          <w:sz w:val="21"/>
          <w:szCs w:val="15"/>
          <w:highlight w:val="none"/>
        </w:rPr>
      </w:pPr>
      <w:bookmarkStart w:id="166" w:name="_Toc23904"/>
      <w:r>
        <w:rPr>
          <w:rFonts w:hint="eastAsia"/>
          <w:b w:val="0"/>
          <w:bCs w:val="0"/>
          <w:color w:val="auto"/>
          <w:sz w:val="21"/>
          <w:szCs w:val="15"/>
          <w:highlight w:val="none"/>
        </w:rPr>
        <w:t>注：潜在投标人或利害关系人可以通过线下或线上的形式提出异议。线上提出异议的，应通过电子交易平台提交，招标人也应通过电子交易平台答复线上提出的异议。具体按照电子交易平台相关指南进行操作。作出答复前，应当暂停招标投标活动。</w:t>
      </w:r>
      <w:bookmarkEnd w:id="166"/>
    </w:p>
    <w:p>
      <w:pPr>
        <w:pStyle w:val="19"/>
        <w:spacing w:before="120" w:afterLines="50"/>
        <w:outlineLvl w:val="2"/>
        <w:rPr>
          <w:rFonts w:hint="eastAsia"/>
          <w:color w:val="auto"/>
          <w:highlight w:val="none"/>
        </w:rPr>
      </w:pPr>
      <w:bookmarkStart w:id="167" w:name="_Toc30424"/>
      <w:r>
        <w:rPr>
          <w:rFonts w:hint="eastAsia"/>
          <w:color w:val="auto"/>
          <w:highlight w:val="none"/>
        </w:rPr>
        <w:t>10.联系方式</w:t>
      </w:r>
      <w:bookmarkEnd w:id="144"/>
      <w:bookmarkEnd w:id="145"/>
      <w:bookmarkEnd w:id="146"/>
      <w:bookmarkEnd w:id="147"/>
      <w:bookmarkEnd w:id="148"/>
      <w:bookmarkEnd w:id="149"/>
      <w:bookmarkEnd w:id="150"/>
      <w:bookmarkEnd w:id="151"/>
      <w:bookmarkEnd w:id="152"/>
      <w:bookmarkEnd w:id="153"/>
      <w:bookmarkEnd w:id="155"/>
      <w:bookmarkEnd w:id="156"/>
      <w:bookmarkEnd w:id="157"/>
      <w:bookmarkEnd w:id="158"/>
      <w:bookmarkEnd w:id="159"/>
      <w:bookmarkEnd w:id="160"/>
      <w:bookmarkEnd w:id="161"/>
      <w:bookmarkEnd w:id="167"/>
    </w:p>
    <w:p>
      <w:pPr>
        <w:topLinePunct/>
        <w:spacing w:line="400" w:lineRule="exact"/>
        <w:ind w:left="0" w:leftChars="0" w:firstLine="0" w:firstLineChars="0"/>
        <w:rPr>
          <w:rFonts w:hint="eastAsia" w:ascii="宋体" w:hAnsi="宋体" w:cs="宋体"/>
          <w:b w:val="0"/>
          <w:bCs w:val="0"/>
          <w:color w:val="auto"/>
          <w:szCs w:val="21"/>
          <w:highlight w:val="none"/>
        </w:rPr>
      </w:pPr>
      <w:bookmarkStart w:id="168" w:name="_Toc221949942"/>
      <w:r>
        <w:rPr>
          <w:rFonts w:hint="eastAsia" w:ascii="宋体" w:hAnsi="宋体" w:cs="宋体"/>
          <w:color w:val="auto"/>
          <w:szCs w:val="21"/>
          <w:highlight w:val="none"/>
        </w:rPr>
        <w:t>招标人：广州市从化区鳌头镇人民政府</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招标代理机构：广东省国际工程咨询有限公司</w:t>
      </w:r>
    </w:p>
    <w:bookmarkEnd w:id="168"/>
    <w:p>
      <w:pPr>
        <w:topLinePunct/>
        <w:spacing w:line="400" w:lineRule="exact"/>
        <w:ind w:left="0" w:leftChars="0" w:firstLine="0" w:firstLineChars="0"/>
        <w:rPr>
          <w:rFonts w:ascii="宋体" w:hAnsi="宋体" w:cs="宋体"/>
          <w:color w:val="auto"/>
          <w:szCs w:val="21"/>
          <w:highlight w:val="none"/>
        </w:rPr>
      </w:pPr>
      <w:bookmarkStart w:id="169" w:name="_Toc221949943"/>
      <w:r>
        <w:rPr>
          <w:rFonts w:hint="eastAsia" w:ascii="宋体" w:hAnsi="宋体" w:cs="宋体"/>
          <w:color w:val="auto"/>
          <w:szCs w:val="21"/>
          <w:highlight w:val="none"/>
        </w:rPr>
        <w:t>地址：广州市从化区鳌头镇新城西路38号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地址：</w:t>
      </w:r>
      <w:bookmarkEnd w:id="169"/>
      <w:r>
        <w:rPr>
          <w:rFonts w:hint="eastAsia" w:ascii="宋体" w:hAnsi="宋体" w:cs="宋体"/>
          <w:color w:val="auto"/>
          <w:szCs w:val="21"/>
          <w:highlight w:val="none"/>
        </w:rPr>
        <w:t>广州市环市中路316号金鹰大厦16楼</w:t>
      </w:r>
    </w:p>
    <w:p>
      <w:pPr>
        <w:topLinePunct/>
        <w:spacing w:line="400" w:lineRule="exact"/>
        <w:ind w:firstLine="0" w:firstLineChars="0"/>
        <w:rPr>
          <w:rFonts w:hint="default" w:ascii="宋体" w:hAnsi="宋体" w:eastAsia="宋体" w:cs="宋体"/>
          <w:color w:val="auto"/>
          <w:szCs w:val="21"/>
          <w:highlight w:val="none"/>
          <w:lang w:val="en-US" w:eastAsia="zh-CN"/>
        </w:rPr>
      </w:pPr>
      <w:bookmarkStart w:id="170" w:name="_Toc221949944"/>
      <w:r>
        <w:rPr>
          <w:rFonts w:hint="eastAsia" w:ascii="宋体" w:hAnsi="宋体" w:cs="宋体"/>
          <w:color w:val="auto"/>
          <w:szCs w:val="21"/>
          <w:highlight w:val="none"/>
        </w:rPr>
        <w:t xml:space="preserve">邮编：510940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邮编：</w:t>
      </w:r>
      <w:bookmarkEnd w:id="170"/>
      <w:r>
        <w:rPr>
          <w:rFonts w:hint="eastAsia" w:ascii="宋体" w:hAnsi="宋体" w:cs="宋体"/>
          <w:color w:val="auto"/>
          <w:szCs w:val="21"/>
          <w:highlight w:val="none"/>
          <w:lang w:val="en-US" w:eastAsia="zh-CN"/>
        </w:rPr>
        <w:t>510000</w:t>
      </w:r>
    </w:p>
    <w:p>
      <w:pPr>
        <w:topLinePunct/>
        <w:spacing w:line="400" w:lineRule="exact"/>
        <w:ind w:firstLine="0" w:firstLineChars="0"/>
        <w:rPr>
          <w:rFonts w:hint="eastAsia" w:ascii="宋体" w:hAnsi="宋体" w:eastAsia="宋体" w:cs="宋体"/>
          <w:color w:val="auto"/>
          <w:szCs w:val="21"/>
          <w:highlight w:val="none"/>
          <w:lang w:val="en-US" w:eastAsia="zh-CN"/>
        </w:rPr>
      </w:pPr>
      <w:bookmarkStart w:id="171" w:name="_Toc221949945"/>
      <w:r>
        <w:rPr>
          <w:rFonts w:hint="eastAsia" w:ascii="宋体" w:hAnsi="宋体" w:cs="宋体"/>
          <w:color w:val="auto"/>
          <w:szCs w:val="21"/>
          <w:highlight w:val="none"/>
        </w:rPr>
        <w:t xml:space="preserve">联系人：朱工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联系人：</w:t>
      </w:r>
      <w:bookmarkEnd w:id="171"/>
      <w:r>
        <w:rPr>
          <w:rFonts w:hint="eastAsia" w:ascii="宋体" w:hAnsi="宋体" w:cs="宋体"/>
          <w:color w:val="auto"/>
          <w:szCs w:val="21"/>
          <w:highlight w:val="none"/>
          <w:lang w:val="en-US" w:eastAsia="zh-CN"/>
        </w:rPr>
        <w:t>王工</w:t>
      </w:r>
    </w:p>
    <w:p>
      <w:pPr>
        <w:topLinePunct/>
        <w:spacing w:line="400" w:lineRule="exact"/>
        <w:ind w:firstLine="0" w:firstLineChars="0"/>
        <w:rPr>
          <w:rFonts w:hint="default" w:ascii="宋体" w:hAnsi="宋体" w:eastAsia="宋体" w:cs="宋体"/>
          <w:color w:val="auto"/>
          <w:szCs w:val="21"/>
          <w:highlight w:val="none"/>
          <w:lang w:val="en-US" w:eastAsia="zh-CN"/>
        </w:rPr>
      </w:pPr>
      <w:bookmarkStart w:id="172" w:name="_Toc221949946"/>
      <w:r>
        <w:rPr>
          <w:rFonts w:hint="eastAsia" w:ascii="宋体" w:hAnsi="宋体" w:cs="宋体"/>
          <w:color w:val="auto"/>
          <w:szCs w:val="21"/>
          <w:highlight w:val="none"/>
        </w:rPr>
        <w:t xml:space="preserve">电话：020-87876682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bookmarkEnd w:id="172"/>
      <w:r>
        <w:rPr>
          <w:rFonts w:hint="eastAsia" w:ascii="宋体" w:hAnsi="宋体" w:cs="宋体"/>
          <w:color w:val="auto"/>
          <w:szCs w:val="21"/>
          <w:highlight w:val="none"/>
          <w:lang w:val="en-US" w:eastAsia="zh-CN"/>
        </w:rPr>
        <w:t>020-83549690</w:t>
      </w:r>
    </w:p>
    <w:p>
      <w:pPr>
        <w:topLinePunct/>
        <w:spacing w:line="400" w:lineRule="exact"/>
        <w:ind w:firstLine="0" w:firstLineChars="0"/>
        <w:rPr>
          <w:rFonts w:hint="eastAsia" w:ascii="宋体" w:hAnsi="宋体" w:eastAsia="宋体" w:cs="宋体"/>
          <w:color w:val="auto"/>
          <w:szCs w:val="21"/>
          <w:highlight w:val="none"/>
          <w:lang w:val="en-US" w:eastAsia="zh-CN"/>
        </w:rPr>
      </w:pPr>
      <w:bookmarkStart w:id="173" w:name="_Toc221949947"/>
      <w:r>
        <w:rPr>
          <w:rFonts w:hint="eastAsia" w:ascii="宋体" w:hAnsi="宋体" w:cs="宋体"/>
          <w:color w:val="auto"/>
          <w:szCs w:val="21"/>
          <w:highlight w:val="none"/>
        </w:rPr>
        <w:t>传真：</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传真：</w:t>
      </w:r>
      <w:bookmarkEnd w:id="173"/>
      <w:r>
        <w:rPr>
          <w:rFonts w:hint="eastAsia" w:ascii="宋体" w:hAnsi="宋体" w:cs="宋体"/>
          <w:color w:val="auto"/>
          <w:szCs w:val="21"/>
          <w:highlight w:val="none"/>
          <w:lang w:val="en-US" w:eastAsia="zh-CN"/>
        </w:rPr>
        <w:t>/</w:t>
      </w:r>
    </w:p>
    <w:p>
      <w:pPr>
        <w:topLinePunct/>
        <w:spacing w:line="400" w:lineRule="exact"/>
        <w:ind w:firstLine="0" w:firstLineChars="0"/>
        <w:rPr>
          <w:rFonts w:ascii="宋体" w:hAnsi="宋体" w:cs="宋体"/>
          <w:color w:val="auto"/>
          <w:szCs w:val="21"/>
          <w:highlight w:val="none"/>
        </w:rPr>
      </w:pPr>
      <w:bookmarkStart w:id="174" w:name="_Toc221949948"/>
      <w:r>
        <w:rPr>
          <w:rFonts w:hint="eastAsia" w:ascii="宋体" w:hAnsi="宋体" w:cs="宋体"/>
          <w:color w:val="auto"/>
          <w:szCs w:val="21"/>
          <w:highlight w:val="none"/>
        </w:rPr>
        <w:t>电子邮件：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电子邮件：</w:t>
      </w:r>
      <w:bookmarkEnd w:id="174"/>
      <w:r>
        <w:rPr>
          <w:rFonts w:hint="eastAsia" w:ascii="宋体" w:hAnsi="宋体" w:cs="宋体"/>
          <w:color w:val="auto"/>
          <w:szCs w:val="21"/>
          <w:highlight w:val="none"/>
        </w:rPr>
        <w:t>pj3gdgj@163.com</w:t>
      </w:r>
    </w:p>
    <w:p>
      <w:pPr>
        <w:topLinePunct/>
        <w:spacing w:line="400" w:lineRule="exact"/>
        <w:ind w:firstLine="0" w:firstLineChars="0"/>
        <w:rPr>
          <w:rFonts w:hint="eastAsia" w:ascii="宋体" w:hAnsi="宋体" w:eastAsia="宋体" w:cs="宋体"/>
          <w:color w:val="auto"/>
          <w:szCs w:val="21"/>
          <w:highlight w:val="none"/>
          <w:lang w:val="en-US" w:eastAsia="zh-CN"/>
        </w:rPr>
      </w:pPr>
      <w:bookmarkStart w:id="175" w:name="_Toc221949949"/>
      <w:r>
        <w:rPr>
          <w:rFonts w:hint="eastAsia" w:ascii="宋体" w:hAnsi="宋体" w:cs="宋体"/>
          <w:color w:val="auto"/>
          <w:szCs w:val="21"/>
          <w:highlight w:val="none"/>
        </w:rPr>
        <w:t>网址：</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网址：</w:t>
      </w:r>
      <w:bookmarkEnd w:id="175"/>
      <w:r>
        <w:rPr>
          <w:rFonts w:hint="eastAsia" w:ascii="宋体" w:hAnsi="宋体" w:cs="宋体"/>
          <w:color w:val="auto"/>
          <w:szCs w:val="21"/>
          <w:highlight w:val="none"/>
          <w:lang w:val="en-US" w:eastAsia="zh-CN"/>
        </w:rPr>
        <w:t>/</w:t>
      </w:r>
    </w:p>
    <w:p>
      <w:pPr>
        <w:spacing w:line="400" w:lineRule="exact"/>
        <w:rPr>
          <w:rFonts w:ascii="宋体" w:hAnsi="宋体" w:cs="宋体"/>
          <w:color w:val="auto"/>
          <w:szCs w:val="21"/>
          <w:highlight w:val="none"/>
        </w:rPr>
      </w:pPr>
    </w:p>
    <w:p>
      <w:pPr>
        <w:pStyle w:val="30"/>
        <w:rPr>
          <w:color w:val="auto"/>
          <w:highlight w:val="none"/>
        </w:rPr>
      </w:pPr>
    </w:p>
    <w:p>
      <w:pPr>
        <w:spacing w:before="1" w:line="204" w:lineRule="auto"/>
        <w:ind w:firstLine="0" w:firstLineChars="0"/>
        <w:rPr>
          <w:rFonts w:ascii="宋体" w:hAnsi="宋体" w:cs="宋体"/>
          <w:color w:val="auto"/>
          <w:spacing w:val="-23"/>
          <w:w w:val="98"/>
          <w:sz w:val="24"/>
          <w:highlight w:val="none"/>
        </w:rPr>
      </w:pPr>
    </w:p>
    <w:p>
      <w:pPr>
        <w:topLinePunct/>
        <w:spacing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招标监督机构：广州市从化区农业农村局</w:t>
      </w:r>
    </w:p>
    <w:p>
      <w:pPr>
        <w:topLinePunct/>
        <w:spacing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监督电话：020-87976532</w:t>
      </w:r>
    </w:p>
    <w:p>
      <w:pPr>
        <w:topLinePunct/>
        <w:spacing w:line="40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联系地址：广州市从化区江埔街河东北路54号</w:t>
      </w:r>
    </w:p>
    <w:p>
      <w:pPr>
        <w:spacing w:before="1" w:line="204" w:lineRule="auto"/>
        <w:ind w:firstLine="378" w:firstLineChars="200"/>
        <w:rPr>
          <w:rFonts w:ascii="宋体" w:hAnsi="宋体" w:cs="宋体"/>
          <w:color w:val="auto"/>
          <w:spacing w:val="-23"/>
          <w:w w:val="98"/>
          <w:sz w:val="24"/>
          <w:highlight w:val="none"/>
        </w:rPr>
      </w:pPr>
    </w:p>
    <w:p>
      <w:pPr>
        <w:pStyle w:val="30"/>
        <w:rPr>
          <w:color w:val="auto"/>
          <w:highlight w:val="none"/>
        </w:rPr>
      </w:pPr>
    </w:p>
    <w:p>
      <w:pPr>
        <w:pStyle w:val="30"/>
        <w:rPr>
          <w:color w:val="auto"/>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　　　　　　　　　　　　　　　　　　　　　　　　　</w:t>
      </w:r>
      <w:bookmarkStart w:id="176" w:name="_Toc221949952"/>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176"/>
    </w:p>
    <w:p>
      <w:pPr>
        <w:spacing w:line="400" w:lineRule="exact"/>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备注：1. 投标人拟派的项目负责人（建造师）（下同）不得同时担任两个及以上建设工程项目的项目负责人（项目负责人）。存在下列情形之一的，视为未担任其他在建工程项目的项目负责人：（1）同一工程相邻分段发包或分期施工的</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（2）合同约定的工程验收合格的；（3）因非承包方原因致使工程项目停工超过120天（含），经建设单位同意的。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 “在所投标段免费下载招标文件”是指投标人拟参加某标段投标的，应按规定下载该标段的招标文件。投标人的下载活动“电子交易平台”将予以记录，并可在“下载情况查询”中查看，该记录作为投标人是否下载该标段招标文件的依据。</w:t>
      </w:r>
    </w:p>
    <w:p>
      <w:pPr>
        <w:outlineLvl w:val="9"/>
        <w:rPr>
          <w:rFonts w:hint="eastAsia" w:eastAsia="宋体"/>
          <w:color w:val="auto"/>
          <w:highlight w:val="none"/>
          <w:lang w:val="en-US" w:eastAsia="zh-CN"/>
        </w:rPr>
      </w:pPr>
    </w:p>
    <w:sectPr>
      <w:footerReference r:id="rId4" w:type="default"/>
      <w:type w:val="continuous"/>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30CE4"/>
    <w:multiLevelType w:val="singleLevel"/>
    <w:tmpl w:val="FBE30CE4"/>
    <w:lvl w:ilvl="0" w:tentative="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NDg1NTA1OTM4ZTQ0MzdjOTk3ZjkxNDZiYzM3OTkifQ=="/>
    <w:docVar w:name="KSO_WPS_MARK_KEY" w:val="8c213cd5-58e9-47ee-b71b-c99fd61ab990"/>
  </w:docVars>
  <w:rsids>
    <w:rsidRoot w:val="00172A27"/>
    <w:rsid w:val="00172A27"/>
    <w:rsid w:val="00192755"/>
    <w:rsid w:val="0023497A"/>
    <w:rsid w:val="004C300E"/>
    <w:rsid w:val="00627E6B"/>
    <w:rsid w:val="006A79C6"/>
    <w:rsid w:val="00847DE1"/>
    <w:rsid w:val="009764F5"/>
    <w:rsid w:val="00D0337D"/>
    <w:rsid w:val="017716F4"/>
    <w:rsid w:val="01BA528A"/>
    <w:rsid w:val="01CA5F1D"/>
    <w:rsid w:val="022830E4"/>
    <w:rsid w:val="029D33DC"/>
    <w:rsid w:val="02C31095"/>
    <w:rsid w:val="02EE3C38"/>
    <w:rsid w:val="03260241"/>
    <w:rsid w:val="033248DF"/>
    <w:rsid w:val="034B2062"/>
    <w:rsid w:val="034C45ED"/>
    <w:rsid w:val="03922527"/>
    <w:rsid w:val="03AF18D1"/>
    <w:rsid w:val="04A31AD1"/>
    <w:rsid w:val="04A70542"/>
    <w:rsid w:val="04A81553"/>
    <w:rsid w:val="04AE722E"/>
    <w:rsid w:val="04C174DB"/>
    <w:rsid w:val="04E716C3"/>
    <w:rsid w:val="050F36C0"/>
    <w:rsid w:val="05164A25"/>
    <w:rsid w:val="05453FE3"/>
    <w:rsid w:val="057E1C87"/>
    <w:rsid w:val="0583671B"/>
    <w:rsid w:val="05C328E8"/>
    <w:rsid w:val="05FD39CC"/>
    <w:rsid w:val="0631401F"/>
    <w:rsid w:val="06A55DD7"/>
    <w:rsid w:val="06E723F8"/>
    <w:rsid w:val="06F85066"/>
    <w:rsid w:val="07A5520D"/>
    <w:rsid w:val="07D92C60"/>
    <w:rsid w:val="08393E73"/>
    <w:rsid w:val="088B72CA"/>
    <w:rsid w:val="08BB0570"/>
    <w:rsid w:val="08EF3D5E"/>
    <w:rsid w:val="09AD53FA"/>
    <w:rsid w:val="09F922B8"/>
    <w:rsid w:val="0A1270CD"/>
    <w:rsid w:val="0A3C6AF0"/>
    <w:rsid w:val="0A766CF7"/>
    <w:rsid w:val="0B863E3A"/>
    <w:rsid w:val="0B8E5FB8"/>
    <w:rsid w:val="0B8F20D5"/>
    <w:rsid w:val="0BCB2D68"/>
    <w:rsid w:val="0C6A2581"/>
    <w:rsid w:val="0D100AE1"/>
    <w:rsid w:val="0D415BDD"/>
    <w:rsid w:val="0D625687"/>
    <w:rsid w:val="0DB6133E"/>
    <w:rsid w:val="0DE01A63"/>
    <w:rsid w:val="0E1B13CE"/>
    <w:rsid w:val="0EBA4906"/>
    <w:rsid w:val="0F36419E"/>
    <w:rsid w:val="0F704240"/>
    <w:rsid w:val="0F762D63"/>
    <w:rsid w:val="0FA84832"/>
    <w:rsid w:val="0FAF1F1D"/>
    <w:rsid w:val="0FE4264A"/>
    <w:rsid w:val="105C0433"/>
    <w:rsid w:val="10A71E43"/>
    <w:rsid w:val="10DC4A70"/>
    <w:rsid w:val="11403B5A"/>
    <w:rsid w:val="11517434"/>
    <w:rsid w:val="116A2D8F"/>
    <w:rsid w:val="11B80C55"/>
    <w:rsid w:val="11ED6F4D"/>
    <w:rsid w:val="120E12B5"/>
    <w:rsid w:val="12AD3208"/>
    <w:rsid w:val="12C3110E"/>
    <w:rsid w:val="12EA3113"/>
    <w:rsid w:val="12ED4198"/>
    <w:rsid w:val="12F01C1A"/>
    <w:rsid w:val="132C4AE6"/>
    <w:rsid w:val="136F4921"/>
    <w:rsid w:val="13883F55"/>
    <w:rsid w:val="13B41253"/>
    <w:rsid w:val="13F7615B"/>
    <w:rsid w:val="14AC513B"/>
    <w:rsid w:val="15217549"/>
    <w:rsid w:val="15BF5C2B"/>
    <w:rsid w:val="15C9656A"/>
    <w:rsid w:val="15D965DB"/>
    <w:rsid w:val="173637C3"/>
    <w:rsid w:val="17557BE2"/>
    <w:rsid w:val="1756574D"/>
    <w:rsid w:val="175D178A"/>
    <w:rsid w:val="17C06A90"/>
    <w:rsid w:val="188B45D1"/>
    <w:rsid w:val="18BA4890"/>
    <w:rsid w:val="18D23988"/>
    <w:rsid w:val="18EE62E8"/>
    <w:rsid w:val="19120D79"/>
    <w:rsid w:val="19AF0A4A"/>
    <w:rsid w:val="19D11E91"/>
    <w:rsid w:val="19EA7915"/>
    <w:rsid w:val="1A4E60FF"/>
    <w:rsid w:val="1A613215"/>
    <w:rsid w:val="1AA11C84"/>
    <w:rsid w:val="1AC00093"/>
    <w:rsid w:val="1B8B308F"/>
    <w:rsid w:val="1BDE2432"/>
    <w:rsid w:val="1BE063BC"/>
    <w:rsid w:val="1BFC3CBD"/>
    <w:rsid w:val="1C1B528D"/>
    <w:rsid w:val="1CAA782F"/>
    <w:rsid w:val="1CBF2152"/>
    <w:rsid w:val="1CCC570F"/>
    <w:rsid w:val="1CF75960"/>
    <w:rsid w:val="1D7D0CD2"/>
    <w:rsid w:val="1D972D03"/>
    <w:rsid w:val="1DBB0E8E"/>
    <w:rsid w:val="1E236A34"/>
    <w:rsid w:val="1E2D1660"/>
    <w:rsid w:val="1E7F6837"/>
    <w:rsid w:val="1E84031A"/>
    <w:rsid w:val="1E9673A1"/>
    <w:rsid w:val="1EC72E85"/>
    <w:rsid w:val="1EE71A21"/>
    <w:rsid w:val="1F0827F2"/>
    <w:rsid w:val="1F3452D6"/>
    <w:rsid w:val="1F6E2142"/>
    <w:rsid w:val="1F9544D3"/>
    <w:rsid w:val="1FA35DEC"/>
    <w:rsid w:val="1FCE45BD"/>
    <w:rsid w:val="20737BFA"/>
    <w:rsid w:val="20EF05C9"/>
    <w:rsid w:val="210352D4"/>
    <w:rsid w:val="215B37F5"/>
    <w:rsid w:val="21604585"/>
    <w:rsid w:val="21C35049"/>
    <w:rsid w:val="21C377A6"/>
    <w:rsid w:val="21F84D61"/>
    <w:rsid w:val="225A65A3"/>
    <w:rsid w:val="228C57DF"/>
    <w:rsid w:val="22C16090"/>
    <w:rsid w:val="230277F9"/>
    <w:rsid w:val="23562FB2"/>
    <w:rsid w:val="2388446E"/>
    <w:rsid w:val="23A44173"/>
    <w:rsid w:val="23A83237"/>
    <w:rsid w:val="24077A99"/>
    <w:rsid w:val="2484156D"/>
    <w:rsid w:val="24B85237"/>
    <w:rsid w:val="251A293E"/>
    <w:rsid w:val="25221E3E"/>
    <w:rsid w:val="25B212BD"/>
    <w:rsid w:val="25F602DD"/>
    <w:rsid w:val="26641C22"/>
    <w:rsid w:val="266E746B"/>
    <w:rsid w:val="26AC4595"/>
    <w:rsid w:val="26ED00D6"/>
    <w:rsid w:val="270D6265"/>
    <w:rsid w:val="273870AC"/>
    <w:rsid w:val="27881F6C"/>
    <w:rsid w:val="279309F0"/>
    <w:rsid w:val="27D52B4D"/>
    <w:rsid w:val="27F51DBA"/>
    <w:rsid w:val="27F8174D"/>
    <w:rsid w:val="27FA798C"/>
    <w:rsid w:val="28015C6A"/>
    <w:rsid w:val="28277120"/>
    <w:rsid w:val="285B3DDC"/>
    <w:rsid w:val="2868347B"/>
    <w:rsid w:val="287F4144"/>
    <w:rsid w:val="28951DB4"/>
    <w:rsid w:val="28FF8C3E"/>
    <w:rsid w:val="29282EA6"/>
    <w:rsid w:val="29AA0009"/>
    <w:rsid w:val="2A60701A"/>
    <w:rsid w:val="2AC6025F"/>
    <w:rsid w:val="2B0B029A"/>
    <w:rsid w:val="2B1D67DB"/>
    <w:rsid w:val="2B2B6040"/>
    <w:rsid w:val="2B486DE7"/>
    <w:rsid w:val="2B492F95"/>
    <w:rsid w:val="2B7B2D90"/>
    <w:rsid w:val="2B7D5CE8"/>
    <w:rsid w:val="2B807273"/>
    <w:rsid w:val="2BD17810"/>
    <w:rsid w:val="2C220880"/>
    <w:rsid w:val="2C237961"/>
    <w:rsid w:val="2C8D4FB3"/>
    <w:rsid w:val="2D1F06B1"/>
    <w:rsid w:val="2D5C1173"/>
    <w:rsid w:val="2E0C3040"/>
    <w:rsid w:val="2E2824E6"/>
    <w:rsid w:val="2E302DEA"/>
    <w:rsid w:val="2E555FE9"/>
    <w:rsid w:val="2EB83212"/>
    <w:rsid w:val="2EC1468C"/>
    <w:rsid w:val="2EEE3876"/>
    <w:rsid w:val="2F1A5A56"/>
    <w:rsid w:val="2F1B2B61"/>
    <w:rsid w:val="2F4D4820"/>
    <w:rsid w:val="2F63610E"/>
    <w:rsid w:val="2F6A2D7D"/>
    <w:rsid w:val="2F8F13C1"/>
    <w:rsid w:val="2FA23C5C"/>
    <w:rsid w:val="2FC72074"/>
    <w:rsid w:val="2FC854D7"/>
    <w:rsid w:val="2FF92B02"/>
    <w:rsid w:val="300D74F0"/>
    <w:rsid w:val="303666AD"/>
    <w:rsid w:val="308570DA"/>
    <w:rsid w:val="30C25A2F"/>
    <w:rsid w:val="30E84AFF"/>
    <w:rsid w:val="30FC431F"/>
    <w:rsid w:val="310224D9"/>
    <w:rsid w:val="32610823"/>
    <w:rsid w:val="328525BE"/>
    <w:rsid w:val="32A7158A"/>
    <w:rsid w:val="33464A70"/>
    <w:rsid w:val="34533564"/>
    <w:rsid w:val="34591558"/>
    <w:rsid w:val="345D7C37"/>
    <w:rsid w:val="35364B2E"/>
    <w:rsid w:val="35891282"/>
    <w:rsid w:val="35E63852"/>
    <w:rsid w:val="366A3954"/>
    <w:rsid w:val="36741B52"/>
    <w:rsid w:val="367D0F7F"/>
    <w:rsid w:val="36BC6012"/>
    <w:rsid w:val="37164F30"/>
    <w:rsid w:val="376C6090"/>
    <w:rsid w:val="37F05781"/>
    <w:rsid w:val="37F53BFB"/>
    <w:rsid w:val="380F4B5F"/>
    <w:rsid w:val="3828704D"/>
    <w:rsid w:val="38573C0E"/>
    <w:rsid w:val="38795776"/>
    <w:rsid w:val="39292CF8"/>
    <w:rsid w:val="399A1A1B"/>
    <w:rsid w:val="3A282BC0"/>
    <w:rsid w:val="3A7D23E5"/>
    <w:rsid w:val="3AB502B9"/>
    <w:rsid w:val="3AF56EF0"/>
    <w:rsid w:val="3B7CFA2F"/>
    <w:rsid w:val="3BC520F7"/>
    <w:rsid w:val="3BE07517"/>
    <w:rsid w:val="3C061B78"/>
    <w:rsid w:val="3C347559"/>
    <w:rsid w:val="3C753EBD"/>
    <w:rsid w:val="3CB56E7C"/>
    <w:rsid w:val="3D245C5A"/>
    <w:rsid w:val="3D377D8A"/>
    <w:rsid w:val="3D5D5666"/>
    <w:rsid w:val="3D652B23"/>
    <w:rsid w:val="3DD7776F"/>
    <w:rsid w:val="3DEFCDEB"/>
    <w:rsid w:val="3DF02C97"/>
    <w:rsid w:val="3E3E4857"/>
    <w:rsid w:val="3E740419"/>
    <w:rsid w:val="3E8E3879"/>
    <w:rsid w:val="3F161F71"/>
    <w:rsid w:val="3F255D10"/>
    <w:rsid w:val="3F3B3785"/>
    <w:rsid w:val="3F5D5AE0"/>
    <w:rsid w:val="3F7F1678"/>
    <w:rsid w:val="3FB56C6D"/>
    <w:rsid w:val="3FBD91A5"/>
    <w:rsid w:val="3FDF29E1"/>
    <w:rsid w:val="4055002F"/>
    <w:rsid w:val="40A24EE0"/>
    <w:rsid w:val="40A610D2"/>
    <w:rsid w:val="40A869C3"/>
    <w:rsid w:val="40E6539B"/>
    <w:rsid w:val="41681144"/>
    <w:rsid w:val="41766BA2"/>
    <w:rsid w:val="419751D9"/>
    <w:rsid w:val="41C43E62"/>
    <w:rsid w:val="41E8453E"/>
    <w:rsid w:val="41ED19E4"/>
    <w:rsid w:val="42451376"/>
    <w:rsid w:val="42FB6DBC"/>
    <w:rsid w:val="430975C8"/>
    <w:rsid w:val="43E8388F"/>
    <w:rsid w:val="43F6747D"/>
    <w:rsid w:val="4400590E"/>
    <w:rsid w:val="442F6FA8"/>
    <w:rsid w:val="4497554F"/>
    <w:rsid w:val="449974D6"/>
    <w:rsid w:val="44C60AEC"/>
    <w:rsid w:val="44FF3FDA"/>
    <w:rsid w:val="45055BEA"/>
    <w:rsid w:val="46036001"/>
    <w:rsid w:val="461A71B3"/>
    <w:rsid w:val="46397634"/>
    <w:rsid w:val="46A460B4"/>
    <w:rsid w:val="46CC2D7F"/>
    <w:rsid w:val="46D324F5"/>
    <w:rsid w:val="474014BD"/>
    <w:rsid w:val="474D77F3"/>
    <w:rsid w:val="476D241D"/>
    <w:rsid w:val="47732C87"/>
    <w:rsid w:val="47BE7BEE"/>
    <w:rsid w:val="47D26D9C"/>
    <w:rsid w:val="48400AFB"/>
    <w:rsid w:val="48561F5C"/>
    <w:rsid w:val="489F3FFC"/>
    <w:rsid w:val="48A51EAE"/>
    <w:rsid w:val="48CA7C9D"/>
    <w:rsid w:val="48F70541"/>
    <w:rsid w:val="493B5C06"/>
    <w:rsid w:val="49676BEC"/>
    <w:rsid w:val="49686565"/>
    <w:rsid w:val="4A0E5E62"/>
    <w:rsid w:val="4A1277D9"/>
    <w:rsid w:val="4A1B2BD1"/>
    <w:rsid w:val="4A5058F8"/>
    <w:rsid w:val="4A5F6E80"/>
    <w:rsid w:val="4A63098A"/>
    <w:rsid w:val="4ADD23A3"/>
    <w:rsid w:val="4AE02806"/>
    <w:rsid w:val="4AFF7D5D"/>
    <w:rsid w:val="4B5913DF"/>
    <w:rsid w:val="4B9B6666"/>
    <w:rsid w:val="4BFF4505"/>
    <w:rsid w:val="4C25342A"/>
    <w:rsid w:val="4C32568A"/>
    <w:rsid w:val="4C554C45"/>
    <w:rsid w:val="4C58667F"/>
    <w:rsid w:val="4C983FC5"/>
    <w:rsid w:val="4CD76580"/>
    <w:rsid w:val="4CFA2728"/>
    <w:rsid w:val="4D8B1D7C"/>
    <w:rsid w:val="4E255D2C"/>
    <w:rsid w:val="4EA22AC8"/>
    <w:rsid w:val="4F006555"/>
    <w:rsid w:val="4F0A3ABE"/>
    <w:rsid w:val="4F2E0C11"/>
    <w:rsid w:val="4F675E6D"/>
    <w:rsid w:val="4F811CEE"/>
    <w:rsid w:val="4F8E0429"/>
    <w:rsid w:val="505C1C7B"/>
    <w:rsid w:val="5098349E"/>
    <w:rsid w:val="50B31D37"/>
    <w:rsid w:val="50BC5B0F"/>
    <w:rsid w:val="50E20972"/>
    <w:rsid w:val="50FF07CA"/>
    <w:rsid w:val="510E7D84"/>
    <w:rsid w:val="516C5A20"/>
    <w:rsid w:val="51B94BFE"/>
    <w:rsid w:val="51CC5275"/>
    <w:rsid w:val="51DC2B68"/>
    <w:rsid w:val="51FED7AB"/>
    <w:rsid w:val="52A531D0"/>
    <w:rsid w:val="52AC6487"/>
    <w:rsid w:val="53004672"/>
    <w:rsid w:val="531666D6"/>
    <w:rsid w:val="53E96D15"/>
    <w:rsid w:val="54547A6F"/>
    <w:rsid w:val="54791977"/>
    <w:rsid w:val="54AB5BF1"/>
    <w:rsid w:val="54B81A07"/>
    <w:rsid w:val="55045B77"/>
    <w:rsid w:val="55D54465"/>
    <w:rsid w:val="55D938A0"/>
    <w:rsid w:val="55DC09CA"/>
    <w:rsid w:val="55FA3344"/>
    <w:rsid w:val="5609445F"/>
    <w:rsid w:val="56A96530"/>
    <w:rsid w:val="56D15A6E"/>
    <w:rsid w:val="56E2109B"/>
    <w:rsid w:val="57140D07"/>
    <w:rsid w:val="57833AC4"/>
    <w:rsid w:val="57CA34A1"/>
    <w:rsid w:val="58133FA8"/>
    <w:rsid w:val="58242D3F"/>
    <w:rsid w:val="583225CE"/>
    <w:rsid w:val="58397D2F"/>
    <w:rsid w:val="583B08FD"/>
    <w:rsid w:val="586025AF"/>
    <w:rsid w:val="58AE4AF2"/>
    <w:rsid w:val="58B636C1"/>
    <w:rsid w:val="58E30CBE"/>
    <w:rsid w:val="591E6307"/>
    <w:rsid w:val="5A366C08"/>
    <w:rsid w:val="5A662E66"/>
    <w:rsid w:val="5ADB0961"/>
    <w:rsid w:val="5B0B165F"/>
    <w:rsid w:val="5B0C6BFA"/>
    <w:rsid w:val="5C2F6070"/>
    <w:rsid w:val="5CA70254"/>
    <w:rsid w:val="5D3E4715"/>
    <w:rsid w:val="5D6B3425"/>
    <w:rsid w:val="5D9D6CB3"/>
    <w:rsid w:val="5DDC7655"/>
    <w:rsid w:val="5E167DBD"/>
    <w:rsid w:val="5E170065"/>
    <w:rsid w:val="5E60690D"/>
    <w:rsid w:val="5EFA7CCD"/>
    <w:rsid w:val="5FA23A48"/>
    <w:rsid w:val="5FA24513"/>
    <w:rsid w:val="606F72DB"/>
    <w:rsid w:val="60804624"/>
    <w:rsid w:val="608858C6"/>
    <w:rsid w:val="60E127A8"/>
    <w:rsid w:val="615A69F8"/>
    <w:rsid w:val="617C1CB0"/>
    <w:rsid w:val="6203474B"/>
    <w:rsid w:val="629768A3"/>
    <w:rsid w:val="62D842D6"/>
    <w:rsid w:val="62F7218E"/>
    <w:rsid w:val="62FC3200"/>
    <w:rsid w:val="639257BA"/>
    <w:rsid w:val="64A67C7F"/>
    <w:rsid w:val="65024D2A"/>
    <w:rsid w:val="652D5FC3"/>
    <w:rsid w:val="65880B37"/>
    <w:rsid w:val="65E557F1"/>
    <w:rsid w:val="66073390"/>
    <w:rsid w:val="660B26D0"/>
    <w:rsid w:val="662E7F54"/>
    <w:rsid w:val="663A5C95"/>
    <w:rsid w:val="669B3865"/>
    <w:rsid w:val="669F17D2"/>
    <w:rsid w:val="67145A4D"/>
    <w:rsid w:val="671D18B0"/>
    <w:rsid w:val="672EA9ED"/>
    <w:rsid w:val="676B42A5"/>
    <w:rsid w:val="67B007D0"/>
    <w:rsid w:val="67B54711"/>
    <w:rsid w:val="67BF5061"/>
    <w:rsid w:val="67D46E45"/>
    <w:rsid w:val="67ED7271"/>
    <w:rsid w:val="683B6DE1"/>
    <w:rsid w:val="687B36E7"/>
    <w:rsid w:val="68D22DEE"/>
    <w:rsid w:val="69015A74"/>
    <w:rsid w:val="69934A52"/>
    <w:rsid w:val="699A1D68"/>
    <w:rsid w:val="6A01502E"/>
    <w:rsid w:val="6A0779D8"/>
    <w:rsid w:val="6A153145"/>
    <w:rsid w:val="6A61700D"/>
    <w:rsid w:val="6AA54025"/>
    <w:rsid w:val="6AD45637"/>
    <w:rsid w:val="6AE43843"/>
    <w:rsid w:val="6AE628E8"/>
    <w:rsid w:val="6AEC6501"/>
    <w:rsid w:val="6B434BD5"/>
    <w:rsid w:val="6B633598"/>
    <w:rsid w:val="6B7718F2"/>
    <w:rsid w:val="6BC07CEC"/>
    <w:rsid w:val="6C1F4A28"/>
    <w:rsid w:val="6C223A49"/>
    <w:rsid w:val="6C263442"/>
    <w:rsid w:val="6C6E20D3"/>
    <w:rsid w:val="6CA4054A"/>
    <w:rsid w:val="6CB247D7"/>
    <w:rsid w:val="6CCE613F"/>
    <w:rsid w:val="6CE6276D"/>
    <w:rsid w:val="6D072C9C"/>
    <w:rsid w:val="6D2531FB"/>
    <w:rsid w:val="6D521F1F"/>
    <w:rsid w:val="6D527428"/>
    <w:rsid w:val="6D851EEC"/>
    <w:rsid w:val="6DC92D8B"/>
    <w:rsid w:val="6E0E3C8F"/>
    <w:rsid w:val="6E873A42"/>
    <w:rsid w:val="6E8C4E15"/>
    <w:rsid w:val="6EA52F6B"/>
    <w:rsid w:val="6EEF4E24"/>
    <w:rsid w:val="6EFE5B70"/>
    <w:rsid w:val="6F245233"/>
    <w:rsid w:val="6F3256D1"/>
    <w:rsid w:val="6F532BB1"/>
    <w:rsid w:val="6F7630D2"/>
    <w:rsid w:val="6F90417E"/>
    <w:rsid w:val="6F9258DA"/>
    <w:rsid w:val="6FB66D39"/>
    <w:rsid w:val="704B508B"/>
    <w:rsid w:val="70553DF8"/>
    <w:rsid w:val="70D05DE9"/>
    <w:rsid w:val="70F7553D"/>
    <w:rsid w:val="70FC779A"/>
    <w:rsid w:val="7159552E"/>
    <w:rsid w:val="71734CC6"/>
    <w:rsid w:val="721668E6"/>
    <w:rsid w:val="72206DE1"/>
    <w:rsid w:val="72270896"/>
    <w:rsid w:val="727F55C1"/>
    <w:rsid w:val="72855F71"/>
    <w:rsid w:val="72A17B5D"/>
    <w:rsid w:val="72B73B84"/>
    <w:rsid w:val="72CB749C"/>
    <w:rsid w:val="72CD6775"/>
    <w:rsid w:val="72D405E0"/>
    <w:rsid w:val="72E13E1B"/>
    <w:rsid w:val="732E7AA3"/>
    <w:rsid w:val="733540F3"/>
    <w:rsid w:val="73563420"/>
    <w:rsid w:val="73926314"/>
    <w:rsid w:val="73C71D9B"/>
    <w:rsid w:val="748A7DE8"/>
    <w:rsid w:val="749B3DA3"/>
    <w:rsid w:val="752C5223"/>
    <w:rsid w:val="757DE146"/>
    <w:rsid w:val="75C25ED6"/>
    <w:rsid w:val="75EFC646"/>
    <w:rsid w:val="762C1090"/>
    <w:rsid w:val="76455A1A"/>
    <w:rsid w:val="766A7ED1"/>
    <w:rsid w:val="769179AA"/>
    <w:rsid w:val="769F325B"/>
    <w:rsid w:val="76A51580"/>
    <w:rsid w:val="76C03AD6"/>
    <w:rsid w:val="777D1E86"/>
    <w:rsid w:val="77C9104E"/>
    <w:rsid w:val="77E1549F"/>
    <w:rsid w:val="77EF0B18"/>
    <w:rsid w:val="784F737E"/>
    <w:rsid w:val="786F5C73"/>
    <w:rsid w:val="789E7942"/>
    <w:rsid w:val="793967F5"/>
    <w:rsid w:val="7963752C"/>
    <w:rsid w:val="798153CC"/>
    <w:rsid w:val="798C63B0"/>
    <w:rsid w:val="79C00BB7"/>
    <w:rsid w:val="79C454A1"/>
    <w:rsid w:val="79FF945A"/>
    <w:rsid w:val="7A6A20B4"/>
    <w:rsid w:val="7A7B2E7E"/>
    <w:rsid w:val="7A7C15F3"/>
    <w:rsid w:val="7A923C0B"/>
    <w:rsid w:val="7AFD42F9"/>
    <w:rsid w:val="7B212CD8"/>
    <w:rsid w:val="7B361D56"/>
    <w:rsid w:val="7B8F5F9A"/>
    <w:rsid w:val="7B9B803D"/>
    <w:rsid w:val="7BA72FC2"/>
    <w:rsid w:val="7BBA0112"/>
    <w:rsid w:val="7BCC34E5"/>
    <w:rsid w:val="7BF723CD"/>
    <w:rsid w:val="7C090879"/>
    <w:rsid w:val="7C556E26"/>
    <w:rsid w:val="7C6B0CD6"/>
    <w:rsid w:val="7CB15915"/>
    <w:rsid w:val="7CB24D98"/>
    <w:rsid w:val="7CEF1407"/>
    <w:rsid w:val="7CFA38F6"/>
    <w:rsid w:val="7D00352C"/>
    <w:rsid w:val="7D602561"/>
    <w:rsid w:val="7E167D92"/>
    <w:rsid w:val="7E171E3C"/>
    <w:rsid w:val="7E1914E0"/>
    <w:rsid w:val="7E677E64"/>
    <w:rsid w:val="7EAE6ED0"/>
    <w:rsid w:val="7EC47165"/>
    <w:rsid w:val="7EFE1AFE"/>
    <w:rsid w:val="7F0B2B16"/>
    <w:rsid w:val="7F6C6F4D"/>
    <w:rsid w:val="7F7D58EC"/>
    <w:rsid w:val="7FA00746"/>
    <w:rsid w:val="7FB7048A"/>
    <w:rsid w:val="7FC335E9"/>
    <w:rsid w:val="7FC95C68"/>
    <w:rsid w:val="7FFD8351"/>
    <w:rsid w:val="7FFF78DC"/>
    <w:rsid w:val="96DE3BE2"/>
    <w:rsid w:val="96F63A20"/>
    <w:rsid w:val="9D4B5CFF"/>
    <w:rsid w:val="A7CD446F"/>
    <w:rsid w:val="BDFF3740"/>
    <w:rsid w:val="BEFF113C"/>
    <w:rsid w:val="BF7EF6BB"/>
    <w:rsid w:val="BFFE64DC"/>
    <w:rsid w:val="CCF9FE58"/>
    <w:rsid w:val="D5EFE6CB"/>
    <w:rsid w:val="D7F92033"/>
    <w:rsid w:val="DCFB06EB"/>
    <w:rsid w:val="DDBCE7D3"/>
    <w:rsid w:val="DDFE86F2"/>
    <w:rsid w:val="DE370ACC"/>
    <w:rsid w:val="DFEFA670"/>
    <w:rsid w:val="E15E4190"/>
    <w:rsid w:val="E69C0268"/>
    <w:rsid w:val="E9F71EFB"/>
    <w:rsid w:val="EDAEF2D5"/>
    <w:rsid w:val="EFF9FCF9"/>
    <w:rsid w:val="EFFC0B61"/>
    <w:rsid w:val="EFFD3760"/>
    <w:rsid w:val="F3FBF0BC"/>
    <w:rsid w:val="F4B50E80"/>
    <w:rsid w:val="F7BE7CC7"/>
    <w:rsid w:val="F9FB130D"/>
    <w:rsid w:val="FBDF572B"/>
    <w:rsid w:val="FBFD5B9A"/>
    <w:rsid w:val="FEFCDA4D"/>
    <w:rsid w:val="FF3B4BDD"/>
    <w:rsid w:val="FFCF29B1"/>
    <w:rsid w:val="FFFC6958"/>
    <w:rsid w:val="FFFF7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120" w:after="120"/>
      <w:outlineLvl w:val="2"/>
    </w:pPr>
    <w:rPr>
      <w:rFonts w:ascii="宋体" w:hAnsi="宋体"/>
      <w:b/>
      <w:bCs/>
      <w:color w:val="FF0000"/>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pPr>
  </w:style>
  <w:style w:type="paragraph" w:styleId="10">
    <w:name w:val="Body Text Indent"/>
    <w:basedOn w:val="1"/>
    <w:qFormat/>
    <w:uiPriority w:val="0"/>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qFormat/>
    <w:uiPriority w:val="0"/>
    <w:pPr>
      <w:widowControl w:val="0"/>
      <w:spacing w:after="0"/>
      <w:jc w:val="both"/>
    </w:pPr>
    <w:rPr>
      <w:rFonts w:ascii="宋体" w:hAnsi="Courier New"/>
      <w:szCs w:val="20"/>
    </w:rPr>
  </w:style>
  <w:style w:type="paragraph" w:styleId="13">
    <w:name w:val="Balloon Text"/>
    <w:basedOn w:val="1"/>
    <w:link w:val="4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footnote text"/>
    <w:basedOn w:val="1"/>
    <w:qFormat/>
    <w:uiPriority w:val="0"/>
    <w:pPr>
      <w:snapToGrid w:val="0"/>
      <w:jc w:val="left"/>
    </w:pPr>
    <w:rPr>
      <w:sz w:val="18"/>
    </w:rPr>
  </w:style>
  <w:style w:type="paragraph" w:styleId="18">
    <w:name w:val="toc 2"/>
    <w:basedOn w:val="1"/>
    <w:next w:val="19"/>
    <w:qFormat/>
    <w:uiPriority w:val="39"/>
    <w:pPr>
      <w:ind w:left="210"/>
      <w:jc w:val="left"/>
    </w:pPr>
    <w:rPr>
      <w:smallCaps/>
      <w:kern w:val="0"/>
      <w:sz w:val="20"/>
      <w:szCs w:val="20"/>
    </w:rPr>
  </w:style>
  <w:style w:type="paragraph" w:customStyle="1" w:styleId="19">
    <w:name w:val="样式 标题 2 + Times New Roman 四号 非加粗 段前: 5 磅 段后: 0 磅 行距: 固定值 20..."/>
    <w:basedOn w:val="3"/>
    <w:link w:val="35"/>
    <w:qFormat/>
    <w:uiPriority w:val="0"/>
    <w:pPr>
      <w:spacing w:before="100" w:after="0" w:line="400" w:lineRule="exact"/>
    </w:pPr>
    <w:rPr>
      <w:rFonts w:ascii="Times New Roman" w:hAnsi="Times New Roman" w:eastAsia="宋体"/>
      <w:kern w:val="0"/>
      <w:sz w:val="28"/>
      <w:szCs w:val="20"/>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9"/>
    <w:qFormat/>
    <w:uiPriority w:val="0"/>
    <w:pPr>
      <w:ind w:firstLine="420"/>
    </w:pPr>
    <w:rPr>
      <w:rFonts w:ascii="Times New Roman" w:hAnsi="Times New Roman" w:eastAsia="楷体_GB2312"/>
    </w:rPr>
  </w:style>
  <w:style w:type="paragraph" w:styleId="22">
    <w:name w:val="Body Text First Indent 2"/>
    <w:basedOn w:val="10"/>
    <w:qFormat/>
    <w:uiPriority w:val="0"/>
    <w:pPr>
      <w:ind w:firstLine="420"/>
    </w:pPr>
  </w:style>
  <w:style w:type="character" w:styleId="25">
    <w:name w:val="page number"/>
    <w:qFormat/>
    <w:uiPriority w:val="0"/>
    <w:rPr>
      <w:rFonts w:ascii="Arial" w:hAnsi="Arial" w:eastAsia="黑体"/>
      <w:kern w:val="2"/>
      <w:sz w:val="21"/>
      <w:szCs w:val="21"/>
      <w:lang w:val="en-US" w:eastAsia="zh-CN" w:bidi="ar-SA"/>
    </w:rPr>
  </w:style>
  <w:style w:type="character" w:styleId="26">
    <w:name w:val="Emphasis"/>
    <w:basedOn w:val="24"/>
    <w:qFormat/>
    <w:uiPriority w:val="0"/>
    <w:rPr>
      <w:i/>
    </w:rPr>
  </w:style>
  <w:style w:type="character" w:styleId="27">
    <w:name w:val="Hyperlink"/>
    <w:qFormat/>
    <w:uiPriority w:val="99"/>
    <w:rPr>
      <w:rFonts w:ascii="Arial" w:hAnsi="Arial" w:eastAsia="黑体"/>
      <w:color w:val="0000FF"/>
      <w:kern w:val="2"/>
      <w:sz w:val="21"/>
      <w:szCs w:val="21"/>
      <w:u w:val="single"/>
      <w:lang w:val="en-US" w:eastAsia="zh-CN" w:bidi="ar-SA"/>
    </w:rPr>
  </w:style>
  <w:style w:type="character" w:styleId="28">
    <w:name w:val="annotation reference"/>
    <w:basedOn w:val="24"/>
    <w:qFormat/>
    <w:uiPriority w:val="0"/>
    <w:rPr>
      <w:sz w:val="21"/>
      <w:szCs w:val="21"/>
    </w:rPr>
  </w:style>
  <w:style w:type="character" w:styleId="29">
    <w:name w:val="footnote reference"/>
    <w:basedOn w:val="24"/>
    <w:qFormat/>
    <w:uiPriority w:val="0"/>
    <w:rPr>
      <w:vertAlign w:val="superscript"/>
    </w:rPr>
  </w:style>
  <w:style w:type="paragraph" w:customStyle="1" w:styleId="30">
    <w:name w:val="PlainText"/>
    <w:basedOn w:val="1"/>
    <w:qFormat/>
    <w:uiPriority w:val="0"/>
    <w:rPr>
      <w:rFonts w:ascii="宋体" w:hAnsi="Courier New"/>
      <w:kern w:val="0"/>
      <w:sz w:val="20"/>
      <w:szCs w:val="20"/>
    </w:rPr>
  </w:style>
  <w:style w:type="paragraph" w:customStyle="1" w:styleId="31">
    <w:name w:val="样式20"/>
    <w:basedOn w:val="1"/>
    <w:next w:val="1"/>
    <w:qFormat/>
    <w:uiPriority w:val="0"/>
    <w:pPr>
      <w:spacing w:line="460" w:lineRule="exact"/>
      <w:ind w:firstLine="900" w:firstLineChars="300"/>
      <w:outlineLvl w:val="0"/>
    </w:pPr>
    <w:rPr>
      <w:rFonts w:eastAsia="黑体"/>
      <w:sz w:val="30"/>
      <w:szCs w:val="30"/>
      <w:u w:val="single"/>
    </w:rPr>
  </w:style>
  <w:style w:type="paragraph" w:customStyle="1" w:styleId="32">
    <w:name w:val="样式 标题 1 + 黑体 三号 非加粗 居中 段前: 6 磅 段后: 6 磅 行距: 固定值 20 磅"/>
    <w:basedOn w:val="2"/>
    <w:qFormat/>
    <w:uiPriority w:val="0"/>
    <w:pPr>
      <w:spacing w:before="120" w:after="120" w:line="400" w:lineRule="exact"/>
    </w:pPr>
    <w:rPr>
      <w:rFonts w:ascii="黑体" w:hAnsi="黑体" w:eastAsia="黑体"/>
      <w:kern w:val="0"/>
      <w:sz w:val="32"/>
      <w:szCs w:val="20"/>
    </w:rPr>
  </w:style>
  <w:style w:type="paragraph" w:customStyle="1" w:styleId="33">
    <w:name w:val="样式 标题 3 + (中文) 黑体 小四 非加粗 段前: 7.8 磅 段后: 0 磅 行距: 固定值 20 磅"/>
    <w:basedOn w:val="4"/>
    <w:link w:val="37"/>
    <w:qFormat/>
    <w:uiPriority w:val="0"/>
    <w:pPr>
      <w:spacing w:before="0" w:after="0" w:line="400" w:lineRule="exact"/>
    </w:pPr>
    <w:rPr>
      <w:rFonts w:ascii="Times New Roman" w:hAnsi="Times New Roman" w:eastAsia="黑体"/>
      <w:color w:val="000000"/>
      <w:kern w:val="0"/>
      <w:sz w:val="20"/>
      <w:szCs w:val="20"/>
    </w:r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5">
    <w:name w:val="样式 标题 2 + Times New Roman 四号 非加粗 段前: 5 磅 段后: 0 磅 行距: 固定值 20... Char"/>
    <w:link w:val="19"/>
    <w:qFormat/>
    <w:uiPriority w:val="0"/>
    <w:rPr>
      <w:rFonts w:ascii="Times New Roman" w:hAnsi="Times New Roman" w:eastAsia="宋体"/>
      <w:kern w:val="0"/>
      <w:sz w:val="28"/>
      <w:szCs w:val="20"/>
    </w:rPr>
  </w:style>
  <w:style w:type="character" w:customStyle="1" w:styleId="36">
    <w:name w:val="标题 2 Char"/>
    <w:link w:val="3"/>
    <w:qFormat/>
    <w:uiPriority w:val="0"/>
    <w:rPr>
      <w:rFonts w:ascii="Arial" w:hAnsi="Arial" w:eastAsia="黑体"/>
      <w:b/>
      <w:bCs/>
      <w:sz w:val="32"/>
      <w:szCs w:val="32"/>
    </w:rPr>
  </w:style>
  <w:style w:type="character" w:customStyle="1" w:styleId="37">
    <w:name w:val="样式 标题 3 + (中文) 黑体 小四 非加粗 段前: 7.8 磅 段后: 0 磅 行距: 固定值 20 磅 Char"/>
    <w:link w:val="33"/>
    <w:qFormat/>
    <w:uiPriority w:val="0"/>
    <w:rPr>
      <w:rFonts w:ascii="Times New Roman" w:hAnsi="Times New Roman" w:eastAsia="黑体"/>
      <w:color w:val="000000"/>
      <w:kern w:val="0"/>
      <w:sz w:val="20"/>
      <w:szCs w:val="20"/>
    </w:rPr>
  </w:style>
  <w:style w:type="character" w:customStyle="1" w:styleId="38">
    <w:name w:val="标题 3 Char"/>
    <w:link w:val="4"/>
    <w:qFormat/>
    <w:uiPriority w:val="0"/>
    <w:rPr>
      <w:rFonts w:ascii="宋体" w:hAnsi="宋体"/>
      <w:b/>
      <w:bCs/>
      <w:color w:val="FF0000"/>
      <w:sz w:val="24"/>
    </w:rPr>
  </w:style>
  <w:style w:type="paragraph" w:customStyle="1" w:styleId="39">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40">
    <w:name w:val="font7"/>
    <w:basedOn w:val="1"/>
    <w:qFormat/>
    <w:uiPriority w:val="0"/>
    <w:pPr>
      <w:widowControl/>
      <w:spacing w:before="100" w:beforeAutospacing="1" w:after="100" w:afterAutospacing="1"/>
      <w:jc w:val="left"/>
    </w:pPr>
    <w:rPr>
      <w:rFonts w:hint="eastAsia" w:ascii="宋体" w:hAnsi="宋体"/>
      <w:kern w:val="0"/>
      <w:sz w:val="28"/>
      <w:szCs w:val="28"/>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页眉 Char"/>
    <w:basedOn w:val="24"/>
    <w:link w:val="15"/>
    <w:qFormat/>
    <w:uiPriority w:val="0"/>
    <w:rPr>
      <w:kern w:val="2"/>
      <w:sz w:val="18"/>
      <w:szCs w:val="18"/>
    </w:rPr>
  </w:style>
  <w:style w:type="character" w:customStyle="1" w:styleId="43">
    <w:name w:val="批注框文本 Char"/>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Asus</Company>
  <Pages>6</Pages>
  <Words>4043</Words>
  <Characters>4479</Characters>
  <Lines>368</Lines>
  <Paragraphs>306</Paragraphs>
  <TotalTime>1</TotalTime>
  <ScaleCrop>false</ScaleCrop>
  <LinksUpToDate>false</LinksUpToDate>
  <CharactersWithSpaces>4912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2024-01-21T09:35:00Z</dcterms:created>
  <dc:creator>孙长江</dc:creator>
  <cp:lastModifiedBy>TIAMO</cp:lastModifiedBy>
  <cp:lastPrinted>2024-02-22T14:33:00Z</cp:lastPrinted>
  <dcterms:modified xsi:type="dcterms:W3CDTF">2025-08-15T05:52:48Z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C6F031DD45D744AEAD328C15764F61E6</vt:lpwstr>
  </property>
  <property fmtid="{D5CDD505-2E9C-101B-9397-08002B2CF9AE}" pid="4" name="KSOTemplateDocerSaveRecord">
    <vt:lpwstr>eyJoZGlkIjoiZGM0NzE2YzBiYTkwYWU2NTVlOWZlMDNlNDk0ZDg4YWUiLCJ1c2VySWQiOiI1MjI2MTA5MjMifQ==</vt:lpwstr>
  </property>
</Properties>
</file>