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EBC03AE">
      <w:pPr>
        <w:spacing w:line="360" w:lineRule="auto"/>
        <w:ind w:firstLine="723" w:firstLineChars="200"/>
        <w:jc w:val="center"/>
        <w:rPr>
          <w:rFonts w:hint="eastAsia" w:ascii="宋体" w:hAnsi="宋体" w:eastAsia="宋体" w:cs="宋体"/>
          <w:b/>
          <w:bCs w:val="0"/>
          <w:color w:val="auto"/>
          <w:sz w:val="36"/>
          <w:szCs w:val="36"/>
          <w:highlight w:val="none"/>
        </w:rPr>
      </w:pPr>
    </w:p>
    <w:p w14:paraId="6889C23F">
      <w:pPr>
        <w:pStyle w:val="31"/>
        <w:rPr>
          <w:rFonts w:hint="eastAsia" w:ascii="宋体" w:hAnsi="宋体" w:eastAsia="宋体" w:cs="宋体"/>
          <w:highlight w:val="none"/>
        </w:rPr>
      </w:pPr>
    </w:p>
    <w:p w14:paraId="3B2506B1">
      <w:pPr>
        <w:pStyle w:val="12"/>
        <w:kinsoku w:val="0"/>
        <w:overflowPunct w:val="0"/>
        <w:ind w:left="0"/>
        <w:rPr>
          <w:rFonts w:hint="eastAsia" w:ascii="宋体" w:hAnsi="宋体" w:eastAsia="宋体" w:cs="宋体"/>
          <w:color w:val="auto"/>
          <w:sz w:val="20"/>
          <w:szCs w:val="24"/>
          <w:highlight w:val="none"/>
        </w:rPr>
      </w:pPr>
      <w:bookmarkStart w:id="157" w:name="_GoBack"/>
      <w:bookmarkEnd w:id="157"/>
    </w:p>
    <w:p w14:paraId="02EDDCCF">
      <w:pPr>
        <w:pStyle w:val="12"/>
        <w:kinsoku w:val="0"/>
        <w:overflowPunct w:val="0"/>
        <w:ind w:left="0"/>
        <w:rPr>
          <w:rFonts w:hint="eastAsia" w:ascii="宋体" w:hAnsi="宋体" w:eastAsia="宋体" w:cs="宋体"/>
          <w:color w:val="auto"/>
          <w:sz w:val="20"/>
          <w:szCs w:val="24"/>
          <w:highlight w:val="none"/>
        </w:rPr>
      </w:pPr>
    </w:p>
    <w:p w14:paraId="1ECB5739">
      <w:pPr>
        <w:pStyle w:val="12"/>
        <w:kinsoku w:val="0"/>
        <w:overflowPunct w:val="0"/>
        <w:ind w:left="0"/>
        <w:rPr>
          <w:rFonts w:hint="eastAsia" w:ascii="宋体" w:hAnsi="宋体" w:eastAsia="宋体" w:cs="宋体"/>
          <w:color w:val="auto"/>
          <w:sz w:val="20"/>
          <w:szCs w:val="24"/>
          <w:highlight w:val="none"/>
        </w:rPr>
      </w:pPr>
    </w:p>
    <w:p w14:paraId="4A56C3D9">
      <w:pPr>
        <w:pStyle w:val="12"/>
        <w:kinsoku w:val="0"/>
        <w:overflowPunct w:val="0"/>
        <w:ind w:left="0"/>
        <w:rPr>
          <w:rFonts w:hint="eastAsia" w:ascii="宋体" w:hAnsi="宋体" w:eastAsia="宋体" w:cs="宋体"/>
          <w:color w:val="auto"/>
          <w:sz w:val="20"/>
          <w:szCs w:val="24"/>
          <w:highlight w:val="none"/>
        </w:rPr>
      </w:pPr>
    </w:p>
    <w:p w14:paraId="5CB80EB7">
      <w:pPr>
        <w:pStyle w:val="21"/>
        <w:spacing w:line="360" w:lineRule="auto"/>
        <w:jc w:val="center"/>
        <w:rPr>
          <w:rFonts w:hint="eastAsia" w:ascii="宋体" w:hAnsi="宋体" w:eastAsia="宋体" w:cs="宋体"/>
          <w:sz w:val="36"/>
          <w:szCs w:val="36"/>
          <w:highlight w:val="none"/>
        </w:rPr>
      </w:pPr>
      <w:bookmarkStart w:id="0" w:name="_Toc6405"/>
      <w:r>
        <w:rPr>
          <w:rFonts w:hint="eastAsia" w:eastAsia="宋体" w:cs="宋体"/>
          <w:b/>
          <w:bCs/>
          <w:color w:val="000000"/>
          <w:sz w:val="44"/>
          <w:szCs w:val="44"/>
          <w:highlight w:val="none"/>
          <w:u w:val="none"/>
          <w:lang w:eastAsia="zh-CN"/>
        </w:rPr>
        <w:t>前锋污水系统（市桥河以北）水环境系统化治理查缺补漏工程</w:t>
      </w:r>
      <w:r>
        <w:rPr>
          <w:rFonts w:hint="eastAsia" w:ascii="宋体" w:hAnsi="宋体" w:eastAsia="宋体" w:cs="宋体"/>
          <w:b/>
          <w:bCs/>
          <w:sz w:val="44"/>
          <w:szCs w:val="44"/>
          <w:highlight w:val="none"/>
          <w:u w:val="none"/>
          <w:lang w:eastAsia="zh-CN"/>
        </w:rPr>
        <w:t>施工监理</w:t>
      </w:r>
      <w:r>
        <w:rPr>
          <w:rFonts w:hint="eastAsia" w:ascii="宋体" w:hAnsi="宋体" w:eastAsia="宋体" w:cs="宋体"/>
          <w:b/>
          <w:bCs/>
          <w:color w:val="000000"/>
          <w:sz w:val="44"/>
          <w:szCs w:val="44"/>
          <w:highlight w:val="none"/>
          <w:u w:val="none"/>
          <w:lang w:eastAsia="zh-CN"/>
        </w:rPr>
        <w:t>（</w:t>
      </w:r>
      <w:r>
        <w:rPr>
          <w:rFonts w:hint="eastAsia" w:eastAsia="宋体" w:cs="宋体"/>
          <w:b/>
          <w:bCs/>
          <w:color w:val="000000"/>
          <w:sz w:val="44"/>
          <w:szCs w:val="44"/>
          <w:highlight w:val="none"/>
          <w:u w:val="none"/>
          <w:lang w:eastAsia="zh-CN"/>
        </w:rPr>
        <w:t>标段二</w:t>
      </w:r>
      <w:r>
        <w:rPr>
          <w:rFonts w:hint="eastAsia" w:ascii="宋体" w:hAnsi="宋体" w:eastAsia="宋体" w:cs="宋体"/>
          <w:b/>
          <w:bCs/>
          <w:color w:val="000000"/>
          <w:sz w:val="44"/>
          <w:szCs w:val="44"/>
          <w:highlight w:val="none"/>
          <w:u w:val="none"/>
          <w:lang w:eastAsia="zh-CN"/>
        </w:rPr>
        <w:t>）</w:t>
      </w:r>
      <w:bookmarkEnd w:id="0"/>
    </w:p>
    <w:p w14:paraId="4A069990">
      <w:pPr>
        <w:pStyle w:val="12"/>
        <w:kinsoku w:val="0"/>
        <w:overflowPunct w:val="0"/>
        <w:spacing w:before="2"/>
        <w:ind w:left="0"/>
        <w:rPr>
          <w:rFonts w:hint="eastAsia" w:cs="宋体"/>
          <w:color w:val="auto"/>
          <w:sz w:val="23"/>
          <w:szCs w:val="24"/>
          <w:highlight w:val="none"/>
        </w:rPr>
      </w:pPr>
    </w:p>
    <w:p w14:paraId="1897B9DB">
      <w:pPr>
        <w:pStyle w:val="12"/>
        <w:kinsoku w:val="0"/>
        <w:overflowPunct w:val="0"/>
        <w:spacing w:before="2"/>
        <w:ind w:left="0"/>
        <w:rPr>
          <w:rFonts w:hint="eastAsia" w:cs="宋体"/>
          <w:color w:val="auto"/>
          <w:sz w:val="23"/>
          <w:szCs w:val="24"/>
          <w:highlight w:val="none"/>
        </w:rPr>
      </w:pPr>
    </w:p>
    <w:p w14:paraId="698195BB">
      <w:pPr>
        <w:pStyle w:val="12"/>
        <w:kinsoku w:val="0"/>
        <w:overflowPunct w:val="0"/>
        <w:ind w:left="0"/>
        <w:rPr>
          <w:rFonts w:hint="eastAsia" w:cs="宋体"/>
          <w:color w:val="auto"/>
          <w:sz w:val="20"/>
          <w:szCs w:val="24"/>
          <w:highlight w:val="none"/>
        </w:rPr>
      </w:pPr>
    </w:p>
    <w:p w14:paraId="4A628C78">
      <w:pPr>
        <w:pStyle w:val="12"/>
        <w:kinsoku w:val="0"/>
        <w:overflowPunct w:val="0"/>
        <w:ind w:left="0"/>
        <w:rPr>
          <w:rFonts w:hint="eastAsia" w:cs="宋体"/>
          <w:color w:val="auto"/>
          <w:sz w:val="20"/>
          <w:szCs w:val="24"/>
          <w:highlight w:val="none"/>
        </w:rPr>
      </w:pPr>
    </w:p>
    <w:p w14:paraId="045BFE43">
      <w:pPr>
        <w:pStyle w:val="12"/>
        <w:kinsoku w:val="0"/>
        <w:overflowPunct w:val="0"/>
        <w:ind w:left="0"/>
        <w:rPr>
          <w:rFonts w:hint="eastAsia" w:cs="宋体"/>
          <w:color w:val="auto"/>
          <w:sz w:val="20"/>
          <w:szCs w:val="24"/>
          <w:highlight w:val="none"/>
        </w:rPr>
      </w:pPr>
    </w:p>
    <w:p w14:paraId="043771A8">
      <w:pPr>
        <w:pStyle w:val="12"/>
        <w:kinsoku w:val="0"/>
        <w:overflowPunct w:val="0"/>
        <w:ind w:left="0"/>
        <w:rPr>
          <w:rFonts w:hint="eastAsia" w:cs="宋体"/>
          <w:color w:val="auto"/>
          <w:sz w:val="20"/>
          <w:szCs w:val="24"/>
          <w:highlight w:val="none"/>
        </w:rPr>
      </w:pPr>
    </w:p>
    <w:p w14:paraId="66A8F466">
      <w:pPr>
        <w:pStyle w:val="12"/>
        <w:kinsoku w:val="0"/>
        <w:overflowPunct w:val="0"/>
        <w:ind w:left="0"/>
        <w:rPr>
          <w:rFonts w:hint="eastAsia" w:cs="宋体"/>
          <w:color w:val="auto"/>
          <w:sz w:val="20"/>
          <w:szCs w:val="24"/>
          <w:highlight w:val="none"/>
        </w:rPr>
      </w:pPr>
    </w:p>
    <w:p w14:paraId="58D5A95C">
      <w:pPr>
        <w:pStyle w:val="12"/>
        <w:kinsoku w:val="0"/>
        <w:overflowPunct w:val="0"/>
        <w:spacing w:before="106"/>
        <w:ind w:left="3" w:right="4"/>
        <w:jc w:val="center"/>
        <w:rPr>
          <w:rFonts w:hint="eastAsia" w:cs="宋体"/>
          <w:color w:val="auto"/>
          <w:sz w:val="44"/>
          <w:szCs w:val="24"/>
          <w:highlight w:val="none"/>
        </w:rPr>
      </w:pPr>
      <w:r>
        <w:rPr>
          <w:rFonts w:hint="eastAsia" w:ascii="宋体" w:hAnsi="宋体" w:eastAsia="宋体" w:cs="宋体"/>
          <w:color w:val="auto"/>
          <w:sz w:val="84"/>
          <w:szCs w:val="24"/>
          <w:highlight w:val="none"/>
        </w:rPr>
        <w:t>招标文件</w:t>
      </w:r>
    </w:p>
    <w:p w14:paraId="4D9EBE8B">
      <w:pPr>
        <w:pStyle w:val="12"/>
        <w:kinsoku w:val="0"/>
        <w:overflowPunct w:val="0"/>
        <w:ind w:left="0"/>
        <w:rPr>
          <w:rFonts w:hint="eastAsia" w:cs="宋体"/>
          <w:color w:val="auto"/>
          <w:sz w:val="44"/>
          <w:szCs w:val="24"/>
          <w:highlight w:val="none"/>
        </w:rPr>
      </w:pPr>
    </w:p>
    <w:p w14:paraId="2451D6EF">
      <w:pPr>
        <w:pStyle w:val="12"/>
        <w:kinsoku w:val="0"/>
        <w:overflowPunct w:val="0"/>
        <w:ind w:left="0"/>
        <w:rPr>
          <w:rFonts w:hint="eastAsia" w:cs="宋体"/>
          <w:color w:val="auto"/>
          <w:sz w:val="44"/>
          <w:szCs w:val="24"/>
          <w:highlight w:val="none"/>
        </w:rPr>
      </w:pPr>
    </w:p>
    <w:p w14:paraId="5D1F850A">
      <w:pPr>
        <w:pStyle w:val="12"/>
        <w:kinsoku w:val="0"/>
        <w:overflowPunct w:val="0"/>
        <w:ind w:left="0"/>
        <w:rPr>
          <w:rFonts w:hint="eastAsia" w:cs="宋体"/>
          <w:color w:val="auto"/>
          <w:sz w:val="44"/>
          <w:szCs w:val="24"/>
          <w:highlight w:val="none"/>
        </w:rPr>
      </w:pPr>
    </w:p>
    <w:p w14:paraId="37BE0C21">
      <w:pPr>
        <w:pStyle w:val="12"/>
        <w:kinsoku w:val="0"/>
        <w:overflowPunct w:val="0"/>
        <w:ind w:left="0"/>
        <w:rPr>
          <w:rFonts w:hint="eastAsia" w:cs="宋体"/>
          <w:color w:val="auto"/>
          <w:sz w:val="44"/>
          <w:szCs w:val="24"/>
          <w:highlight w:val="none"/>
        </w:rPr>
      </w:pPr>
    </w:p>
    <w:p w14:paraId="49E5D0DA">
      <w:pPr>
        <w:pStyle w:val="12"/>
        <w:kinsoku w:val="0"/>
        <w:overflowPunct w:val="0"/>
        <w:ind w:left="0"/>
        <w:rPr>
          <w:rFonts w:hint="eastAsia" w:cs="宋体"/>
          <w:color w:val="auto"/>
          <w:sz w:val="44"/>
          <w:szCs w:val="24"/>
          <w:highlight w:val="none"/>
        </w:rPr>
      </w:pPr>
    </w:p>
    <w:p w14:paraId="5376CC99">
      <w:pPr>
        <w:pStyle w:val="12"/>
        <w:kinsoku w:val="0"/>
        <w:overflowPunct w:val="0"/>
        <w:ind w:left="0"/>
        <w:rPr>
          <w:rFonts w:hint="eastAsia" w:cs="宋体"/>
          <w:color w:val="auto"/>
          <w:sz w:val="44"/>
          <w:szCs w:val="24"/>
          <w:highlight w:val="none"/>
        </w:rPr>
      </w:pPr>
    </w:p>
    <w:p w14:paraId="3B55C069">
      <w:pPr>
        <w:pStyle w:val="12"/>
        <w:kinsoku w:val="0"/>
        <w:overflowPunct w:val="0"/>
        <w:ind w:left="0"/>
        <w:rPr>
          <w:rFonts w:hint="eastAsia" w:cs="宋体"/>
          <w:color w:val="auto"/>
          <w:sz w:val="44"/>
          <w:szCs w:val="24"/>
          <w:highlight w:val="none"/>
        </w:rPr>
      </w:pPr>
    </w:p>
    <w:p w14:paraId="4EB70A30">
      <w:pPr>
        <w:pStyle w:val="12"/>
        <w:kinsoku w:val="0"/>
        <w:overflowPunct w:val="0"/>
        <w:spacing w:before="8"/>
        <w:ind w:left="0"/>
        <w:rPr>
          <w:rFonts w:hint="eastAsia" w:cs="宋体"/>
          <w:color w:val="auto"/>
          <w:sz w:val="33"/>
          <w:szCs w:val="24"/>
          <w:highlight w:val="none"/>
        </w:rPr>
      </w:pPr>
    </w:p>
    <w:p w14:paraId="7F876512">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cs="宋体"/>
          <w:b/>
          <w:bCs/>
          <w:color w:val="auto"/>
          <w:sz w:val="30"/>
          <w:szCs w:val="30"/>
          <w:highlight w:val="none"/>
          <w:u w:val="single"/>
        </w:rPr>
      </w:pPr>
      <w:r>
        <w:rPr>
          <w:rFonts w:hint="eastAsia" w:ascii="宋体" w:hAnsi="宋体" w:cs="宋体"/>
          <w:b/>
          <w:bCs/>
          <w:color w:val="auto"/>
          <w:sz w:val="30"/>
          <w:szCs w:val="30"/>
          <w:highlight w:val="none"/>
        </w:rPr>
        <w:t>招   标   人：</w:t>
      </w:r>
      <w:r>
        <w:rPr>
          <w:rFonts w:hint="eastAsia" w:ascii="宋体" w:hAnsi="宋体" w:cs="宋体"/>
          <w:b/>
          <w:bCs/>
          <w:color w:val="auto"/>
          <w:sz w:val="30"/>
          <w:szCs w:val="30"/>
          <w:highlight w:val="none"/>
          <w:u w:val="single"/>
        </w:rPr>
        <w:t>广州市番禺区水务工程建管中心</w:t>
      </w:r>
    </w:p>
    <w:p w14:paraId="3F6F481C">
      <w:pPr>
        <w:keepNext w:val="0"/>
        <w:keepLines w:val="0"/>
        <w:pageBreakBefore w:val="0"/>
        <w:widowControl/>
        <w:kinsoku/>
        <w:wordWrap/>
        <w:overflowPunct/>
        <w:topLinePunct w:val="0"/>
        <w:autoSpaceDE/>
        <w:autoSpaceDN/>
        <w:bidi w:val="0"/>
        <w:adjustRightInd/>
        <w:snapToGrid/>
        <w:spacing w:line="360" w:lineRule="auto"/>
        <w:ind w:firstLine="1807" w:firstLineChars="600"/>
        <w:textAlignment w:val="auto"/>
        <w:rPr>
          <w:rFonts w:hint="eastAsia" w:ascii="宋体" w:hAnsi="宋体" w:cs="宋体"/>
          <w:b/>
          <w:bCs/>
          <w:color w:val="auto"/>
          <w:sz w:val="30"/>
          <w:szCs w:val="30"/>
          <w:highlight w:val="none"/>
          <w:u w:val="single"/>
        </w:rPr>
      </w:pPr>
      <w:r>
        <w:rPr>
          <w:rFonts w:hint="eastAsia" w:ascii="宋体" w:hAnsi="宋体" w:cs="宋体"/>
          <w:b/>
          <w:bCs/>
          <w:color w:val="auto"/>
          <w:sz w:val="30"/>
          <w:szCs w:val="30"/>
          <w:highlight w:val="none"/>
          <w:u w:val="single"/>
        </w:rPr>
        <w:t>（广州市番禺区水旱灾害防御中心）（盖单位章）</w:t>
      </w:r>
    </w:p>
    <w:p w14:paraId="3D6064CA">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cs="宋体"/>
          <w:b/>
          <w:bCs/>
          <w:color w:val="auto"/>
          <w:sz w:val="30"/>
          <w:szCs w:val="30"/>
          <w:highlight w:val="none"/>
        </w:rPr>
      </w:pPr>
      <w:r>
        <w:rPr>
          <w:rFonts w:hint="eastAsia" w:ascii="宋体" w:hAnsi="宋体" w:cs="宋体"/>
          <w:b/>
          <w:bCs/>
          <w:color w:val="auto"/>
          <w:sz w:val="30"/>
          <w:szCs w:val="30"/>
          <w:highlight w:val="none"/>
        </w:rPr>
        <w:t>招标代理机构：</w:t>
      </w:r>
      <w:r>
        <w:rPr>
          <w:rFonts w:hint="eastAsia" w:ascii="宋体" w:hAnsi="宋体" w:cs="宋体"/>
          <w:b/>
          <w:bCs/>
          <w:color w:val="auto"/>
          <w:sz w:val="30"/>
          <w:szCs w:val="30"/>
          <w:highlight w:val="none"/>
          <w:u w:val="single"/>
          <w:lang w:eastAsia="zh-CN"/>
        </w:rPr>
        <w:t>广州益扬工程管理有限公司</w:t>
      </w:r>
      <w:r>
        <w:rPr>
          <w:rFonts w:hint="eastAsia" w:ascii="宋体" w:hAnsi="宋体" w:cs="宋体"/>
          <w:b/>
          <w:bCs/>
          <w:color w:val="auto"/>
          <w:sz w:val="30"/>
          <w:szCs w:val="30"/>
          <w:highlight w:val="none"/>
          <w:u w:val="single"/>
        </w:rPr>
        <w:t>（盖单位章）</w:t>
      </w:r>
    </w:p>
    <w:p w14:paraId="5B7D78D7">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cs="宋体"/>
          <w:b/>
          <w:bCs/>
          <w:color w:val="auto"/>
          <w:sz w:val="30"/>
          <w:szCs w:val="30"/>
          <w:highlight w:val="none"/>
        </w:rPr>
      </w:pPr>
      <w:r>
        <w:rPr>
          <w:rFonts w:hint="eastAsia" w:ascii="宋体" w:hAnsi="宋体" w:cs="宋体"/>
          <w:b/>
          <w:bCs/>
          <w:color w:val="auto"/>
          <w:sz w:val="30"/>
          <w:szCs w:val="30"/>
          <w:highlight w:val="none"/>
          <w:u w:val="none"/>
          <w:lang w:eastAsia="zh-CN"/>
        </w:rPr>
        <w:t>日</w:t>
      </w:r>
      <w:r>
        <w:rPr>
          <w:rFonts w:hint="eastAsia" w:ascii="宋体" w:hAnsi="宋体" w:cs="宋体"/>
          <w:b/>
          <w:bCs/>
          <w:color w:val="auto"/>
          <w:sz w:val="30"/>
          <w:szCs w:val="30"/>
          <w:highlight w:val="none"/>
          <w:u w:val="none"/>
          <w:lang w:val="en-US" w:eastAsia="zh-CN"/>
        </w:rPr>
        <w:t xml:space="preserve">        </w:t>
      </w:r>
      <w:r>
        <w:rPr>
          <w:rFonts w:hint="eastAsia" w:ascii="宋体" w:hAnsi="宋体" w:cs="宋体"/>
          <w:b/>
          <w:bCs/>
          <w:color w:val="auto"/>
          <w:sz w:val="30"/>
          <w:szCs w:val="30"/>
          <w:highlight w:val="none"/>
          <w:u w:val="none"/>
          <w:lang w:eastAsia="zh-CN"/>
        </w:rPr>
        <w:t>期：</w:t>
      </w:r>
      <w:r>
        <w:rPr>
          <w:rFonts w:hint="eastAsia" w:ascii="宋体" w:hAnsi="宋体" w:cs="宋体"/>
          <w:b/>
          <w:bCs/>
          <w:color w:val="auto"/>
          <w:sz w:val="30"/>
          <w:szCs w:val="30"/>
          <w:highlight w:val="none"/>
          <w:u w:val="single"/>
        </w:rPr>
        <w:t>202</w:t>
      </w:r>
      <w:r>
        <w:rPr>
          <w:rFonts w:hint="eastAsia" w:ascii="宋体" w:hAnsi="宋体" w:cs="宋体"/>
          <w:b/>
          <w:bCs/>
          <w:color w:val="auto"/>
          <w:sz w:val="30"/>
          <w:szCs w:val="30"/>
          <w:highlight w:val="none"/>
          <w:u w:val="single"/>
          <w:lang w:val="en-US" w:eastAsia="zh-CN"/>
        </w:rPr>
        <w:t>5</w:t>
      </w:r>
      <w:r>
        <w:rPr>
          <w:rFonts w:hint="eastAsia" w:ascii="宋体" w:hAnsi="宋体" w:cs="宋体"/>
          <w:b/>
          <w:bCs/>
          <w:color w:val="auto"/>
          <w:sz w:val="30"/>
          <w:szCs w:val="30"/>
          <w:highlight w:val="none"/>
        </w:rPr>
        <w:t>年</w:t>
      </w:r>
      <w:r>
        <w:rPr>
          <w:rFonts w:hint="eastAsia" w:ascii="宋体" w:hAnsi="宋体" w:cs="宋体"/>
          <w:b/>
          <w:bCs/>
          <w:color w:val="auto"/>
          <w:sz w:val="30"/>
          <w:szCs w:val="30"/>
          <w:highlight w:val="none"/>
          <w:u w:val="single"/>
          <w:lang w:val="en-US" w:eastAsia="zh-CN"/>
        </w:rPr>
        <w:t xml:space="preserve"> 8</w:t>
      </w:r>
      <w:r>
        <w:rPr>
          <w:rFonts w:hint="eastAsia" w:ascii="宋体" w:hAnsi="宋体" w:cs="宋体"/>
          <w:b/>
          <w:bCs/>
          <w:color w:val="auto"/>
          <w:sz w:val="30"/>
          <w:szCs w:val="30"/>
          <w:highlight w:val="none"/>
        </w:rPr>
        <w:t>月</w:t>
      </w:r>
    </w:p>
    <w:p w14:paraId="3FBA15A2">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cs="宋体"/>
          <w:color w:val="auto"/>
          <w:sz w:val="30"/>
          <w:szCs w:val="30"/>
          <w:highlight w:val="none"/>
        </w:rPr>
      </w:pPr>
    </w:p>
    <w:sdt>
      <w:sdtPr>
        <w:rPr>
          <w:rFonts w:hint="eastAsia" w:ascii="宋体" w:hAnsi="宋体" w:eastAsia="宋体" w:cs="宋体"/>
          <w:color w:val="auto"/>
          <w:sz w:val="24"/>
          <w:szCs w:val="24"/>
          <w:highlight w:val="none"/>
        </w:rPr>
        <w:id w:val="147452449"/>
        <w15:color w:val="DBDBDB"/>
        <w:docPartObj>
          <w:docPartGallery w:val="Table of Contents"/>
          <w:docPartUnique/>
        </w:docPartObj>
      </w:sdtPr>
      <w:sdtEndPr>
        <w:rPr>
          <w:rFonts w:hint="eastAsia" w:ascii="宋体" w:hAnsi="宋体" w:eastAsia="宋体" w:cs="宋体"/>
          <w:color w:val="auto"/>
          <w:sz w:val="24"/>
          <w:szCs w:val="24"/>
          <w:highlight w:val="none"/>
          <w:lang w:eastAsia="zh-CN"/>
        </w:rPr>
      </w:sdtEndPr>
      <w:sdtContent>
        <w:p w14:paraId="3CC4B495">
          <w:pPr>
            <w:spacing w:before="0" w:beforeLines="0" w:after="0" w:afterLines="0" w:line="240" w:lineRule="auto"/>
            <w:ind w:left="0" w:leftChars="0" w:right="0" w:rightChars="0" w:firstLine="0" w:firstLineChars="0"/>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目</w:t>
          </w:r>
          <w:r>
            <w:rPr>
              <w:rFonts w:hint="eastAsia" w:ascii="宋体" w:hAnsi="宋体" w:eastAsia="宋体" w:cs="宋体"/>
              <w:b/>
              <w:bCs/>
              <w:color w:val="auto"/>
              <w:sz w:val="30"/>
              <w:szCs w:val="30"/>
              <w:highlight w:val="none"/>
              <w:lang w:val="en-US" w:eastAsia="zh-CN"/>
            </w:rPr>
            <w:t xml:space="preserve"> </w:t>
          </w:r>
          <w:r>
            <w:rPr>
              <w:rFonts w:hint="eastAsia" w:ascii="宋体" w:hAnsi="宋体" w:eastAsia="宋体" w:cs="宋体"/>
              <w:b/>
              <w:bCs/>
              <w:color w:val="auto"/>
              <w:sz w:val="30"/>
              <w:szCs w:val="30"/>
              <w:highlight w:val="none"/>
            </w:rPr>
            <w:t>录</w:t>
          </w:r>
        </w:p>
        <w:p w14:paraId="235392F5">
          <w:pPr>
            <w:pStyle w:val="19"/>
            <w:tabs>
              <w:tab w:val="right" w:leader="dot" w:pos="9071"/>
            </w:tabs>
            <w:spacing w:line="360" w:lineRule="auto"/>
            <w:rPr>
              <w:rFonts w:hint="eastAsia" w:ascii="宋体" w:hAnsi="宋体" w:eastAsia="宋体" w:cs="宋体"/>
              <w:sz w:val="24"/>
              <w:szCs w:val="24"/>
              <w:highlight w:val="none"/>
              <w:lang w:eastAsia="zh-CN"/>
            </w:rPr>
          </w:pPr>
          <w:r>
            <w:rPr>
              <w:rFonts w:hint="eastAsia" w:ascii="宋体" w:hAnsi="宋体" w:eastAsia="宋体" w:cs="宋体"/>
              <w:color w:val="auto"/>
              <w:sz w:val="24"/>
              <w:szCs w:val="24"/>
              <w:highlight w:val="none"/>
              <w:lang w:eastAsia="zh-CN"/>
            </w:rPr>
            <w:fldChar w:fldCharType="begin"/>
          </w:r>
          <w:r>
            <w:rPr>
              <w:rFonts w:hint="eastAsia" w:ascii="宋体" w:hAnsi="宋体" w:eastAsia="宋体" w:cs="宋体"/>
              <w:color w:val="auto"/>
              <w:sz w:val="24"/>
              <w:szCs w:val="24"/>
              <w:highlight w:val="none"/>
              <w:lang w:eastAsia="zh-CN"/>
            </w:rPr>
            <w:instrText xml:space="preserve">TOC \o "1-3" \h \u </w:instrText>
          </w:r>
          <w:r>
            <w:rPr>
              <w:rFonts w:hint="eastAsia" w:ascii="宋体" w:hAnsi="宋体" w:eastAsia="宋体" w:cs="宋体"/>
              <w:color w:val="auto"/>
              <w:sz w:val="24"/>
              <w:szCs w:val="24"/>
              <w:highlight w:val="none"/>
              <w:lang w:eastAsia="zh-CN"/>
            </w:rPr>
            <w:fldChar w:fldCharType="separate"/>
          </w:r>
          <w:r>
            <w:rPr>
              <w:rFonts w:hint="eastAsia" w:ascii="宋体" w:hAnsi="宋体" w:eastAsia="宋体" w:cs="宋体"/>
              <w:b/>
              <w:bCs/>
              <w:color w:val="auto"/>
              <w:sz w:val="24"/>
              <w:szCs w:val="24"/>
              <w:highlight w:val="none"/>
              <w:lang w:eastAsia="zh-CN"/>
            </w:rPr>
            <w:fldChar w:fldCharType="begin"/>
          </w:r>
          <w:r>
            <w:rPr>
              <w:rFonts w:hint="eastAsia" w:ascii="宋体" w:hAnsi="宋体" w:eastAsia="宋体" w:cs="宋体"/>
              <w:b/>
              <w:bCs/>
              <w:sz w:val="24"/>
              <w:szCs w:val="24"/>
              <w:highlight w:val="none"/>
              <w:lang w:eastAsia="zh-CN"/>
            </w:rPr>
            <w:instrText xml:space="preserve"> HYPERLINK \l _Toc1556 </w:instrText>
          </w:r>
          <w:r>
            <w:rPr>
              <w:rFonts w:hint="eastAsia" w:ascii="宋体" w:hAnsi="宋体" w:eastAsia="宋体" w:cs="宋体"/>
              <w:b/>
              <w:bCs/>
              <w:sz w:val="24"/>
              <w:szCs w:val="24"/>
              <w:highlight w:val="none"/>
              <w:lang w:eastAsia="zh-CN"/>
            </w:rPr>
            <w:fldChar w:fldCharType="separate"/>
          </w:r>
          <w:r>
            <w:rPr>
              <w:rFonts w:hint="eastAsia" w:ascii="宋体" w:hAnsi="宋体" w:cs="宋体"/>
              <w:b/>
              <w:bCs/>
              <w:sz w:val="24"/>
              <w:szCs w:val="24"/>
              <w:highlight w:val="none"/>
            </w:rPr>
            <w:t>第一卷</w:t>
          </w:r>
          <w:r>
            <w:rPr>
              <w:rFonts w:hint="eastAsia" w:ascii="宋体" w:hAnsi="宋体" w:cs="宋体"/>
              <w:b/>
              <w:bCs/>
              <w:sz w:val="24"/>
              <w:szCs w:val="24"/>
              <w:highlight w:val="none"/>
            </w:rPr>
            <w:tab/>
          </w:r>
          <w:r>
            <w:rPr>
              <w:rFonts w:hint="eastAsia" w:ascii="宋体" w:hAnsi="宋体" w:eastAsia="宋体" w:cs="宋体"/>
              <w:b/>
              <w:bCs/>
              <w:color w:val="auto"/>
              <w:sz w:val="24"/>
              <w:szCs w:val="24"/>
              <w:highlight w:val="none"/>
              <w:lang w:eastAsia="zh-CN"/>
            </w:rPr>
            <w:fldChar w:fldCharType="end"/>
          </w:r>
          <w:r>
            <w:rPr>
              <w:rFonts w:hint="eastAsia" w:ascii="宋体" w:hAnsi="宋体" w:cs="宋体"/>
              <w:b/>
              <w:bCs/>
              <w:sz w:val="24"/>
              <w:szCs w:val="24"/>
              <w:highlight w:val="none"/>
              <w:lang w:val="en-US" w:eastAsia="zh-CN"/>
            </w:rPr>
            <w:t>1</w:t>
          </w:r>
        </w:p>
        <w:p w14:paraId="56DE45B6">
          <w:pPr>
            <w:pStyle w:val="20"/>
            <w:tabs>
              <w:tab w:val="right" w:leader="dot" w:pos="9071"/>
            </w:tabs>
            <w:spacing w:line="360" w:lineRule="auto"/>
            <w:rPr>
              <w:rFonts w:hint="eastAsia" w:ascii="宋体" w:hAnsi="宋体" w:eastAsia="宋体" w:cs="宋体"/>
              <w:sz w:val="24"/>
              <w:szCs w:val="24"/>
              <w:highlight w:val="none"/>
              <w:lang w:eastAsia="zh-CN"/>
            </w:rPr>
          </w:pPr>
          <w:r>
            <w:rPr>
              <w:rFonts w:hint="eastAsia" w:ascii="宋体" w:hAnsi="宋体" w:eastAsia="宋体" w:cs="宋体"/>
              <w:color w:val="auto"/>
              <w:sz w:val="24"/>
              <w:szCs w:val="24"/>
              <w:highlight w:val="none"/>
              <w:lang w:eastAsia="zh-CN"/>
            </w:rPr>
            <w:fldChar w:fldCharType="begin"/>
          </w:r>
          <w:r>
            <w:rPr>
              <w:rFonts w:hint="eastAsia" w:ascii="宋体" w:hAnsi="宋体" w:eastAsia="宋体" w:cs="宋体"/>
              <w:sz w:val="24"/>
              <w:szCs w:val="24"/>
              <w:highlight w:val="none"/>
              <w:lang w:eastAsia="zh-CN"/>
            </w:rPr>
            <w:instrText xml:space="preserve"> HYPERLINK \l _Toc29772 </w:instrText>
          </w:r>
          <w:r>
            <w:rPr>
              <w:rFonts w:hint="eastAsia" w:ascii="宋体" w:hAnsi="宋体" w:eastAsia="宋体" w:cs="宋体"/>
              <w:sz w:val="24"/>
              <w:szCs w:val="24"/>
              <w:highlight w:val="none"/>
              <w:lang w:eastAsia="zh-CN"/>
            </w:rPr>
            <w:fldChar w:fldCharType="separate"/>
          </w:r>
          <w:r>
            <w:rPr>
              <w:rFonts w:hint="eastAsia" w:ascii="宋体" w:hAnsi="宋体" w:cs="宋体"/>
              <w:sz w:val="24"/>
              <w:szCs w:val="24"/>
              <w:highlight w:val="none"/>
            </w:rPr>
            <w:t>第一章</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招标公告</w:t>
          </w:r>
          <w:r>
            <w:rPr>
              <w:rFonts w:hint="eastAsia" w:ascii="宋体" w:hAnsi="宋体" w:cs="宋体"/>
              <w:sz w:val="24"/>
              <w:szCs w:val="24"/>
              <w:highlight w:val="none"/>
            </w:rPr>
            <w:tab/>
          </w:r>
          <w:r>
            <w:rPr>
              <w:rFonts w:hint="eastAsia" w:ascii="宋体" w:hAnsi="宋体" w:eastAsia="宋体" w:cs="宋体"/>
              <w:color w:val="auto"/>
              <w:sz w:val="24"/>
              <w:szCs w:val="24"/>
              <w:highlight w:val="none"/>
              <w:lang w:eastAsia="zh-CN"/>
            </w:rPr>
            <w:fldChar w:fldCharType="end"/>
          </w:r>
          <w:r>
            <w:rPr>
              <w:rFonts w:hint="eastAsia" w:ascii="宋体" w:hAnsi="宋体" w:cs="宋体"/>
              <w:sz w:val="24"/>
              <w:szCs w:val="24"/>
              <w:highlight w:val="none"/>
              <w:lang w:val="en-US" w:eastAsia="zh-CN"/>
            </w:rPr>
            <w:t>2</w:t>
          </w:r>
        </w:p>
        <w:p w14:paraId="1CC23CC0">
          <w:pPr>
            <w:pStyle w:val="20"/>
            <w:tabs>
              <w:tab w:val="right" w:leader="dot" w:pos="9071"/>
            </w:tabs>
            <w:spacing w:line="360" w:lineRule="auto"/>
            <w:rPr>
              <w:rFonts w:hint="eastAsia" w:ascii="宋体" w:hAnsi="宋体" w:eastAsia="宋体" w:cs="宋体"/>
              <w:sz w:val="24"/>
              <w:szCs w:val="24"/>
              <w:highlight w:val="none"/>
              <w:lang w:eastAsia="zh-CN"/>
            </w:rPr>
          </w:pPr>
          <w:r>
            <w:rPr>
              <w:rFonts w:hint="eastAsia" w:ascii="宋体" w:hAnsi="宋体" w:eastAsia="宋体" w:cs="宋体"/>
              <w:color w:val="auto"/>
              <w:sz w:val="24"/>
              <w:szCs w:val="24"/>
              <w:highlight w:val="none"/>
              <w:lang w:eastAsia="zh-CN"/>
            </w:rPr>
            <w:fldChar w:fldCharType="begin"/>
          </w:r>
          <w:r>
            <w:rPr>
              <w:rFonts w:hint="eastAsia" w:ascii="宋体" w:hAnsi="宋体" w:eastAsia="宋体" w:cs="宋体"/>
              <w:sz w:val="24"/>
              <w:szCs w:val="24"/>
              <w:highlight w:val="none"/>
              <w:lang w:eastAsia="zh-CN"/>
            </w:rPr>
            <w:instrText xml:space="preserve"> HYPERLINK \l _Toc15097 </w:instrText>
          </w:r>
          <w:r>
            <w:rPr>
              <w:rFonts w:hint="eastAsia" w:ascii="宋体" w:hAnsi="宋体" w:eastAsia="宋体" w:cs="宋体"/>
              <w:sz w:val="24"/>
              <w:szCs w:val="24"/>
              <w:highlight w:val="none"/>
              <w:lang w:eastAsia="zh-CN"/>
            </w:rPr>
            <w:fldChar w:fldCharType="separate"/>
          </w:r>
          <w:r>
            <w:rPr>
              <w:rFonts w:hint="eastAsia" w:ascii="宋体" w:hAnsi="宋体" w:cs="宋体"/>
              <w:sz w:val="24"/>
              <w:szCs w:val="24"/>
              <w:highlight w:val="none"/>
            </w:rPr>
            <w:t>第二章</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投标人须知</w:t>
          </w:r>
          <w:r>
            <w:rPr>
              <w:rFonts w:hint="eastAsia" w:ascii="宋体" w:hAnsi="宋体" w:cs="宋体"/>
              <w:sz w:val="24"/>
              <w:szCs w:val="24"/>
              <w:highlight w:val="none"/>
            </w:rPr>
            <w:tab/>
          </w:r>
          <w:r>
            <w:rPr>
              <w:rFonts w:hint="eastAsia" w:ascii="宋体" w:hAnsi="宋体" w:eastAsia="宋体" w:cs="宋体"/>
              <w:color w:val="auto"/>
              <w:sz w:val="24"/>
              <w:szCs w:val="24"/>
              <w:highlight w:val="none"/>
              <w:lang w:eastAsia="zh-CN"/>
            </w:rPr>
            <w:fldChar w:fldCharType="end"/>
          </w:r>
          <w:r>
            <w:rPr>
              <w:rFonts w:hint="eastAsia" w:ascii="宋体" w:hAnsi="宋体" w:cs="宋体"/>
              <w:sz w:val="24"/>
              <w:szCs w:val="24"/>
              <w:highlight w:val="none"/>
              <w:lang w:val="en-US" w:eastAsia="zh-CN"/>
            </w:rPr>
            <w:t>3</w:t>
          </w:r>
        </w:p>
        <w:p w14:paraId="31B4AABA">
          <w:pPr>
            <w:pStyle w:val="20"/>
            <w:tabs>
              <w:tab w:val="right" w:leader="dot" w:pos="9071"/>
            </w:tabs>
            <w:spacing w:line="360" w:lineRule="auto"/>
            <w:rPr>
              <w:rFonts w:hint="default" w:ascii="宋体" w:hAnsi="宋体" w:eastAsia="宋体" w:cs="宋体"/>
              <w:sz w:val="24"/>
              <w:szCs w:val="24"/>
              <w:highlight w:val="none"/>
              <w:lang w:val="en-US" w:eastAsia="zh-CN"/>
            </w:rPr>
          </w:pPr>
          <w:r>
            <w:rPr>
              <w:rFonts w:hint="eastAsia" w:ascii="宋体" w:hAnsi="宋体" w:eastAsia="宋体" w:cs="宋体"/>
              <w:color w:val="auto"/>
              <w:sz w:val="24"/>
              <w:szCs w:val="24"/>
              <w:highlight w:val="none"/>
              <w:lang w:eastAsia="zh-CN"/>
            </w:rPr>
            <w:fldChar w:fldCharType="begin"/>
          </w:r>
          <w:r>
            <w:rPr>
              <w:rFonts w:hint="eastAsia" w:ascii="宋体" w:hAnsi="宋体" w:eastAsia="宋体" w:cs="宋体"/>
              <w:sz w:val="24"/>
              <w:szCs w:val="24"/>
              <w:highlight w:val="none"/>
              <w:lang w:eastAsia="zh-CN"/>
            </w:rPr>
            <w:instrText xml:space="preserve"> HYPERLINK \l _Toc23003 </w:instrText>
          </w:r>
          <w:r>
            <w:rPr>
              <w:rFonts w:hint="eastAsia" w:ascii="宋体" w:hAnsi="宋体" w:eastAsia="宋体" w:cs="宋体"/>
              <w:sz w:val="24"/>
              <w:szCs w:val="24"/>
              <w:highlight w:val="none"/>
              <w:lang w:eastAsia="zh-CN"/>
            </w:rPr>
            <w:fldChar w:fldCharType="separate"/>
          </w:r>
          <w:r>
            <w:rPr>
              <w:rFonts w:hint="eastAsia" w:ascii="宋体" w:hAnsi="宋体" w:cs="宋体"/>
              <w:sz w:val="24"/>
              <w:szCs w:val="24"/>
              <w:highlight w:val="none"/>
            </w:rPr>
            <w:t>第三章</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评标</w:t>
          </w:r>
          <w:r>
            <w:rPr>
              <w:rFonts w:hint="eastAsia" w:ascii="宋体" w:hAnsi="宋体" w:cs="宋体"/>
              <w:sz w:val="24"/>
              <w:szCs w:val="24"/>
              <w:highlight w:val="none"/>
              <w:lang w:eastAsia="zh-CN"/>
            </w:rPr>
            <w:t>、定标</w:t>
          </w:r>
          <w:r>
            <w:rPr>
              <w:rFonts w:hint="eastAsia" w:ascii="宋体" w:hAnsi="宋体" w:cs="宋体"/>
              <w:sz w:val="24"/>
              <w:szCs w:val="24"/>
              <w:highlight w:val="none"/>
            </w:rPr>
            <w:t>办法</w:t>
          </w:r>
          <w:r>
            <w:rPr>
              <w:rFonts w:hint="eastAsia" w:ascii="宋体" w:hAnsi="宋体" w:cs="宋体"/>
              <w:strike/>
              <w:dstrike w:val="0"/>
              <w:sz w:val="24"/>
              <w:szCs w:val="24"/>
              <w:highlight w:val="none"/>
            </w:rPr>
            <w:t>（综合评估法）</w:t>
          </w:r>
          <w:r>
            <w:rPr>
              <w:rFonts w:hint="eastAsia" w:ascii="宋体" w:hAnsi="宋体" w:cs="宋体"/>
              <w:sz w:val="24"/>
              <w:szCs w:val="24"/>
              <w:highlight w:val="none"/>
            </w:rPr>
            <w:tab/>
          </w:r>
          <w:r>
            <w:rPr>
              <w:rFonts w:hint="eastAsia" w:ascii="宋体" w:hAnsi="宋体" w:eastAsia="宋体" w:cs="宋体"/>
              <w:color w:val="auto"/>
              <w:sz w:val="24"/>
              <w:szCs w:val="24"/>
              <w:highlight w:val="none"/>
              <w:lang w:eastAsia="zh-CN"/>
            </w:rPr>
            <w:fldChar w:fldCharType="end"/>
          </w:r>
          <w:r>
            <w:rPr>
              <w:rFonts w:hint="eastAsia" w:ascii="宋体" w:hAnsi="宋体" w:cs="宋体"/>
              <w:sz w:val="24"/>
              <w:szCs w:val="24"/>
              <w:highlight w:val="none"/>
              <w:lang w:val="en-US" w:eastAsia="zh-CN"/>
            </w:rPr>
            <w:t>38</w:t>
          </w:r>
        </w:p>
        <w:p w14:paraId="7B258D85">
          <w:pPr>
            <w:pStyle w:val="20"/>
            <w:tabs>
              <w:tab w:val="right" w:leader="dot" w:pos="9071"/>
            </w:tabs>
            <w:spacing w:line="360" w:lineRule="auto"/>
            <w:rPr>
              <w:rFonts w:hint="default" w:ascii="宋体" w:hAnsi="宋体" w:cs="宋体"/>
              <w:sz w:val="24"/>
              <w:szCs w:val="24"/>
              <w:highlight w:val="none"/>
              <w:lang w:val="en-US"/>
            </w:rPr>
          </w:pPr>
          <w:r>
            <w:rPr>
              <w:rFonts w:hint="eastAsia" w:ascii="宋体" w:hAnsi="宋体" w:eastAsia="宋体" w:cs="宋体"/>
              <w:color w:val="auto"/>
              <w:sz w:val="24"/>
              <w:szCs w:val="24"/>
              <w:highlight w:val="none"/>
              <w:lang w:eastAsia="zh-CN"/>
            </w:rPr>
            <w:fldChar w:fldCharType="begin"/>
          </w:r>
          <w:r>
            <w:rPr>
              <w:rFonts w:hint="eastAsia" w:ascii="宋体" w:hAnsi="宋体" w:eastAsia="宋体" w:cs="宋体"/>
              <w:sz w:val="24"/>
              <w:szCs w:val="24"/>
              <w:highlight w:val="none"/>
              <w:lang w:eastAsia="zh-CN"/>
            </w:rPr>
            <w:instrText xml:space="preserve"> HYPERLINK \l _Toc14321 </w:instrText>
          </w:r>
          <w:r>
            <w:rPr>
              <w:rFonts w:hint="eastAsia" w:ascii="宋体" w:hAnsi="宋体" w:eastAsia="宋体" w:cs="宋体"/>
              <w:sz w:val="24"/>
              <w:szCs w:val="24"/>
              <w:highlight w:val="none"/>
              <w:lang w:eastAsia="zh-CN"/>
            </w:rPr>
            <w:fldChar w:fldCharType="separate"/>
          </w:r>
          <w:r>
            <w:rPr>
              <w:rFonts w:hint="eastAsia" w:ascii="宋体" w:hAnsi="宋体" w:cs="宋体"/>
              <w:sz w:val="24"/>
              <w:szCs w:val="24"/>
              <w:highlight w:val="none"/>
            </w:rPr>
            <w:t>第四章</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合同条款及格式</w:t>
          </w:r>
          <w:r>
            <w:rPr>
              <w:rFonts w:hint="eastAsia" w:ascii="宋体" w:hAnsi="宋体" w:cs="宋体"/>
              <w:sz w:val="24"/>
              <w:szCs w:val="24"/>
              <w:highlight w:val="none"/>
            </w:rPr>
            <w:tab/>
          </w:r>
          <w:r>
            <w:rPr>
              <w:rFonts w:hint="eastAsia" w:ascii="宋体" w:hAnsi="宋体" w:cs="宋体"/>
              <w:sz w:val="24"/>
              <w:szCs w:val="24"/>
              <w:highlight w:val="none"/>
              <w:lang w:val="en-US" w:eastAsia="zh-CN"/>
            </w:rPr>
            <w:t>6</w:t>
          </w:r>
          <w:r>
            <w:rPr>
              <w:rFonts w:hint="eastAsia" w:ascii="宋体" w:hAnsi="宋体" w:eastAsia="宋体" w:cs="宋体"/>
              <w:color w:val="auto"/>
              <w:sz w:val="24"/>
              <w:szCs w:val="24"/>
              <w:highlight w:val="none"/>
              <w:lang w:eastAsia="zh-CN"/>
            </w:rPr>
            <w:fldChar w:fldCharType="end"/>
          </w:r>
          <w:r>
            <w:rPr>
              <w:rFonts w:hint="eastAsia" w:ascii="宋体" w:hAnsi="宋体" w:cs="宋体"/>
              <w:color w:val="auto"/>
              <w:sz w:val="24"/>
              <w:szCs w:val="24"/>
              <w:highlight w:val="none"/>
              <w:lang w:val="en-US" w:eastAsia="zh-CN"/>
            </w:rPr>
            <w:t>2</w:t>
          </w:r>
        </w:p>
        <w:p w14:paraId="10A70FA9">
          <w:pPr>
            <w:pStyle w:val="19"/>
            <w:tabs>
              <w:tab w:val="right" w:leader="dot" w:pos="9071"/>
            </w:tabs>
            <w:spacing w:line="360" w:lineRule="auto"/>
            <w:rPr>
              <w:rFonts w:hint="default" w:ascii="宋体" w:hAnsi="宋体" w:eastAsia="宋体" w:cs="宋体"/>
              <w:b/>
              <w:bCs/>
              <w:sz w:val="24"/>
              <w:szCs w:val="24"/>
              <w:highlight w:val="none"/>
              <w:lang w:val="en-US" w:eastAsia="zh-CN"/>
            </w:rPr>
          </w:pPr>
          <w:r>
            <w:rPr>
              <w:rFonts w:hint="eastAsia" w:ascii="宋体" w:hAnsi="宋体" w:eastAsia="宋体" w:cs="宋体"/>
              <w:b/>
              <w:bCs/>
              <w:color w:val="auto"/>
              <w:sz w:val="24"/>
              <w:szCs w:val="24"/>
              <w:highlight w:val="none"/>
              <w:lang w:eastAsia="zh-CN"/>
            </w:rPr>
            <w:fldChar w:fldCharType="begin"/>
          </w:r>
          <w:r>
            <w:rPr>
              <w:rFonts w:hint="eastAsia" w:ascii="宋体" w:hAnsi="宋体" w:eastAsia="宋体" w:cs="宋体"/>
              <w:b/>
              <w:bCs/>
              <w:sz w:val="24"/>
              <w:szCs w:val="24"/>
              <w:highlight w:val="none"/>
              <w:lang w:eastAsia="zh-CN"/>
            </w:rPr>
            <w:instrText xml:space="preserve"> HYPERLINK \l _Toc2872 </w:instrText>
          </w:r>
          <w:r>
            <w:rPr>
              <w:rFonts w:hint="eastAsia" w:ascii="宋体" w:hAnsi="宋体" w:eastAsia="宋体" w:cs="宋体"/>
              <w:b/>
              <w:bCs/>
              <w:sz w:val="24"/>
              <w:szCs w:val="24"/>
              <w:highlight w:val="none"/>
              <w:lang w:eastAsia="zh-CN"/>
            </w:rPr>
            <w:fldChar w:fldCharType="separate"/>
          </w:r>
          <w:r>
            <w:rPr>
              <w:rFonts w:hint="eastAsia" w:ascii="宋体" w:hAnsi="宋体" w:cs="宋体"/>
              <w:b/>
              <w:bCs/>
              <w:sz w:val="24"/>
              <w:szCs w:val="24"/>
              <w:highlight w:val="none"/>
            </w:rPr>
            <w:t>第二卷</w:t>
          </w:r>
          <w:r>
            <w:rPr>
              <w:rFonts w:hint="eastAsia" w:ascii="宋体" w:hAnsi="宋体" w:cs="宋体"/>
              <w:b/>
              <w:bCs/>
              <w:sz w:val="24"/>
              <w:szCs w:val="24"/>
              <w:highlight w:val="none"/>
            </w:rPr>
            <w:tab/>
          </w:r>
          <w:r>
            <w:rPr>
              <w:rFonts w:hint="eastAsia" w:ascii="宋体" w:hAnsi="宋体" w:eastAsia="宋体" w:cs="宋体"/>
              <w:b/>
              <w:bCs/>
              <w:color w:val="auto"/>
              <w:sz w:val="24"/>
              <w:szCs w:val="24"/>
              <w:highlight w:val="none"/>
              <w:lang w:eastAsia="zh-CN"/>
            </w:rPr>
            <w:fldChar w:fldCharType="end"/>
          </w:r>
          <w:r>
            <w:rPr>
              <w:rFonts w:hint="eastAsia" w:ascii="宋体" w:hAnsi="宋体" w:cs="宋体"/>
              <w:b/>
              <w:bCs/>
              <w:sz w:val="24"/>
              <w:szCs w:val="24"/>
              <w:highlight w:val="none"/>
              <w:lang w:val="en-US" w:eastAsia="zh-CN"/>
            </w:rPr>
            <w:t>63</w:t>
          </w:r>
        </w:p>
        <w:p w14:paraId="459336C1">
          <w:pPr>
            <w:pStyle w:val="20"/>
            <w:tabs>
              <w:tab w:val="right" w:leader="dot" w:pos="9071"/>
            </w:tabs>
            <w:spacing w:line="360" w:lineRule="auto"/>
            <w:rPr>
              <w:rFonts w:hint="default" w:ascii="宋体" w:hAnsi="宋体" w:eastAsia="宋体" w:cs="宋体"/>
              <w:sz w:val="24"/>
              <w:szCs w:val="24"/>
              <w:highlight w:val="none"/>
              <w:lang w:val="en-US" w:eastAsia="zh-CN"/>
            </w:rPr>
          </w:pPr>
          <w:r>
            <w:rPr>
              <w:rFonts w:hint="eastAsia" w:ascii="宋体" w:hAnsi="宋体" w:eastAsia="宋体" w:cs="宋体"/>
              <w:color w:val="auto"/>
              <w:sz w:val="24"/>
              <w:szCs w:val="24"/>
              <w:highlight w:val="none"/>
              <w:lang w:eastAsia="zh-CN"/>
            </w:rPr>
            <w:fldChar w:fldCharType="begin"/>
          </w:r>
          <w:r>
            <w:rPr>
              <w:rFonts w:hint="eastAsia" w:ascii="宋体" w:hAnsi="宋体" w:eastAsia="宋体" w:cs="宋体"/>
              <w:sz w:val="24"/>
              <w:szCs w:val="24"/>
              <w:highlight w:val="none"/>
              <w:lang w:eastAsia="zh-CN"/>
            </w:rPr>
            <w:instrText xml:space="preserve"> HYPERLINK \l _Toc23118 </w:instrText>
          </w:r>
          <w:r>
            <w:rPr>
              <w:rFonts w:hint="eastAsia" w:ascii="宋体" w:hAnsi="宋体" w:eastAsia="宋体" w:cs="宋体"/>
              <w:sz w:val="24"/>
              <w:szCs w:val="24"/>
              <w:highlight w:val="none"/>
              <w:lang w:eastAsia="zh-CN"/>
            </w:rPr>
            <w:fldChar w:fldCharType="separate"/>
          </w:r>
          <w:r>
            <w:rPr>
              <w:rFonts w:hint="eastAsia" w:ascii="宋体" w:hAnsi="宋体" w:cs="宋体"/>
              <w:sz w:val="24"/>
              <w:szCs w:val="24"/>
              <w:highlight w:val="none"/>
            </w:rPr>
            <w:t>第五章</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委托人要求</w:t>
          </w:r>
          <w:r>
            <w:rPr>
              <w:rFonts w:hint="eastAsia" w:ascii="宋体" w:hAnsi="宋体" w:cs="宋体"/>
              <w:sz w:val="24"/>
              <w:szCs w:val="24"/>
              <w:highlight w:val="none"/>
            </w:rPr>
            <w:tab/>
          </w:r>
          <w:r>
            <w:rPr>
              <w:rFonts w:hint="eastAsia" w:ascii="宋体" w:hAnsi="宋体" w:eastAsia="宋体" w:cs="宋体"/>
              <w:color w:val="auto"/>
              <w:sz w:val="24"/>
              <w:szCs w:val="24"/>
              <w:highlight w:val="none"/>
              <w:lang w:eastAsia="zh-CN"/>
            </w:rPr>
            <w:fldChar w:fldCharType="end"/>
          </w:r>
          <w:r>
            <w:rPr>
              <w:rFonts w:hint="eastAsia" w:ascii="宋体" w:hAnsi="宋体" w:cs="宋体"/>
              <w:sz w:val="24"/>
              <w:szCs w:val="24"/>
              <w:highlight w:val="none"/>
              <w:lang w:val="en-US" w:eastAsia="zh-CN"/>
            </w:rPr>
            <w:t>64</w:t>
          </w:r>
        </w:p>
        <w:p w14:paraId="47FDB7B9">
          <w:pPr>
            <w:pStyle w:val="19"/>
            <w:tabs>
              <w:tab w:val="right" w:leader="dot" w:pos="9071"/>
            </w:tabs>
            <w:spacing w:line="360" w:lineRule="auto"/>
            <w:rPr>
              <w:rFonts w:hint="default" w:ascii="宋体" w:hAnsi="宋体" w:eastAsia="宋体" w:cs="宋体"/>
              <w:b/>
              <w:bCs/>
              <w:sz w:val="24"/>
              <w:szCs w:val="24"/>
              <w:highlight w:val="none"/>
              <w:lang w:val="en-US" w:eastAsia="zh-CN"/>
            </w:rPr>
          </w:pPr>
          <w:r>
            <w:rPr>
              <w:rFonts w:hint="eastAsia" w:ascii="宋体" w:hAnsi="宋体" w:eastAsia="宋体" w:cs="宋体"/>
              <w:b/>
              <w:bCs/>
              <w:color w:val="auto"/>
              <w:sz w:val="24"/>
              <w:szCs w:val="24"/>
              <w:highlight w:val="none"/>
              <w:lang w:eastAsia="zh-CN"/>
            </w:rPr>
            <w:fldChar w:fldCharType="begin"/>
          </w:r>
          <w:r>
            <w:rPr>
              <w:rFonts w:hint="eastAsia" w:ascii="宋体" w:hAnsi="宋体" w:eastAsia="宋体" w:cs="宋体"/>
              <w:b/>
              <w:bCs/>
              <w:sz w:val="24"/>
              <w:szCs w:val="24"/>
              <w:highlight w:val="none"/>
              <w:lang w:eastAsia="zh-CN"/>
            </w:rPr>
            <w:instrText xml:space="preserve"> HYPERLINK \l _Toc12210 </w:instrText>
          </w:r>
          <w:r>
            <w:rPr>
              <w:rFonts w:hint="eastAsia" w:ascii="宋体" w:hAnsi="宋体" w:eastAsia="宋体" w:cs="宋体"/>
              <w:b/>
              <w:bCs/>
              <w:sz w:val="24"/>
              <w:szCs w:val="24"/>
              <w:highlight w:val="none"/>
              <w:lang w:eastAsia="zh-CN"/>
            </w:rPr>
            <w:fldChar w:fldCharType="separate"/>
          </w:r>
          <w:r>
            <w:rPr>
              <w:rFonts w:hint="eastAsia" w:ascii="宋体" w:hAnsi="宋体" w:cs="宋体"/>
              <w:b/>
              <w:bCs/>
              <w:sz w:val="24"/>
              <w:szCs w:val="24"/>
              <w:highlight w:val="none"/>
            </w:rPr>
            <w:t>第三卷</w:t>
          </w:r>
          <w:r>
            <w:rPr>
              <w:rFonts w:hint="eastAsia" w:ascii="宋体" w:hAnsi="宋体" w:cs="宋体"/>
              <w:b/>
              <w:bCs/>
              <w:sz w:val="24"/>
              <w:szCs w:val="24"/>
              <w:highlight w:val="none"/>
            </w:rPr>
            <w:tab/>
          </w:r>
          <w:r>
            <w:rPr>
              <w:rFonts w:hint="eastAsia" w:ascii="宋体" w:hAnsi="宋体" w:eastAsia="宋体" w:cs="宋体"/>
              <w:b/>
              <w:bCs/>
              <w:color w:val="auto"/>
              <w:sz w:val="24"/>
              <w:szCs w:val="24"/>
              <w:highlight w:val="none"/>
              <w:lang w:eastAsia="zh-CN"/>
            </w:rPr>
            <w:fldChar w:fldCharType="end"/>
          </w:r>
          <w:r>
            <w:rPr>
              <w:rFonts w:hint="eastAsia" w:ascii="宋体" w:hAnsi="宋体" w:cs="宋体"/>
              <w:b/>
              <w:bCs/>
              <w:sz w:val="24"/>
              <w:szCs w:val="24"/>
              <w:highlight w:val="none"/>
              <w:lang w:val="en-US" w:eastAsia="zh-CN"/>
            </w:rPr>
            <w:t>70</w:t>
          </w:r>
        </w:p>
        <w:p w14:paraId="530E572A">
          <w:pPr>
            <w:pStyle w:val="20"/>
            <w:tabs>
              <w:tab w:val="right" w:leader="dot" w:pos="9071"/>
            </w:tabs>
            <w:spacing w:line="360" w:lineRule="auto"/>
            <w:rPr>
              <w:rFonts w:hint="default" w:ascii="宋体" w:hAnsi="宋体" w:eastAsia="宋体" w:cs="宋体"/>
              <w:sz w:val="24"/>
              <w:szCs w:val="24"/>
              <w:highlight w:val="none"/>
              <w:lang w:val="en-US" w:eastAsia="zh-CN"/>
            </w:rPr>
          </w:pPr>
          <w:r>
            <w:rPr>
              <w:rFonts w:hint="eastAsia" w:ascii="宋体" w:hAnsi="宋体" w:eastAsia="宋体" w:cs="宋体"/>
              <w:color w:val="auto"/>
              <w:sz w:val="24"/>
              <w:szCs w:val="24"/>
              <w:highlight w:val="none"/>
              <w:lang w:eastAsia="zh-CN"/>
            </w:rPr>
            <w:fldChar w:fldCharType="begin"/>
          </w:r>
          <w:r>
            <w:rPr>
              <w:rFonts w:hint="eastAsia" w:ascii="宋体" w:hAnsi="宋体" w:eastAsia="宋体" w:cs="宋体"/>
              <w:sz w:val="24"/>
              <w:szCs w:val="24"/>
              <w:highlight w:val="none"/>
              <w:lang w:eastAsia="zh-CN"/>
            </w:rPr>
            <w:instrText xml:space="preserve"> HYPERLINK \l _Toc26661 </w:instrText>
          </w:r>
          <w:r>
            <w:rPr>
              <w:rFonts w:hint="eastAsia" w:ascii="宋体" w:hAnsi="宋体" w:eastAsia="宋体" w:cs="宋体"/>
              <w:sz w:val="24"/>
              <w:szCs w:val="24"/>
              <w:highlight w:val="none"/>
              <w:lang w:eastAsia="zh-CN"/>
            </w:rPr>
            <w:fldChar w:fldCharType="separate"/>
          </w:r>
          <w:r>
            <w:rPr>
              <w:rFonts w:hint="eastAsia" w:ascii="宋体" w:hAnsi="宋体" w:cs="宋体"/>
              <w:sz w:val="24"/>
              <w:szCs w:val="24"/>
              <w:highlight w:val="none"/>
            </w:rPr>
            <w:t>第六章</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投标文件格式</w:t>
          </w:r>
          <w:r>
            <w:rPr>
              <w:rFonts w:hint="eastAsia" w:ascii="宋体" w:hAnsi="宋体" w:cs="宋体"/>
              <w:sz w:val="24"/>
              <w:szCs w:val="24"/>
              <w:highlight w:val="none"/>
            </w:rPr>
            <w:tab/>
          </w:r>
          <w:r>
            <w:rPr>
              <w:rFonts w:hint="eastAsia" w:ascii="宋体" w:hAnsi="宋体" w:eastAsia="宋体" w:cs="宋体"/>
              <w:color w:val="auto"/>
              <w:sz w:val="24"/>
              <w:szCs w:val="24"/>
              <w:highlight w:val="none"/>
              <w:lang w:eastAsia="zh-CN"/>
            </w:rPr>
            <w:fldChar w:fldCharType="end"/>
          </w:r>
          <w:r>
            <w:rPr>
              <w:rFonts w:hint="eastAsia" w:ascii="宋体" w:hAnsi="宋体" w:cs="宋体"/>
              <w:sz w:val="24"/>
              <w:szCs w:val="24"/>
              <w:highlight w:val="none"/>
              <w:lang w:val="en-US" w:eastAsia="zh-CN"/>
            </w:rPr>
            <w:t>71</w:t>
          </w:r>
        </w:p>
        <w:p w14:paraId="0DF4C305">
          <w:pPr>
            <w:pStyle w:val="20"/>
            <w:tabs>
              <w:tab w:val="right" w:leader="dot" w:pos="9071"/>
            </w:tabs>
            <w:spacing w:line="360" w:lineRule="auto"/>
            <w:rPr>
              <w:rFonts w:hint="default" w:ascii="宋体" w:hAnsi="宋体" w:eastAsia="宋体" w:cs="宋体"/>
              <w:sz w:val="24"/>
              <w:szCs w:val="24"/>
              <w:highlight w:val="none"/>
              <w:lang w:val="en-US" w:eastAsia="zh-CN"/>
            </w:rPr>
          </w:pPr>
          <w:r>
            <w:rPr>
              <w:rFonts w:hint="eastAsia" w:ascii="宋体" w:hAnsi="宋体" w:eastAsia="宋体" w:cs="宋体"/>
              <w:color w:val="auto"/>
              <w:sz w:val="24"/>
              <w:szCs w:val="24"/>
              <w:highlight w:val="none"/>
              <w:lang w:eastAsia="zh-CN"/>
            </w:rPr>
            <w:fldChar w:fldCharType="begin"/>
          </w:r>
          <w:r>
            <w:rPr>
              <w:rFonts w:hint="eastAsia" w:ascii="宋体" w:hAnsi="宋体" w:eastAsia="宋体" w:cs="宋体"/>
              <w:sz w:val="24"/>
              <w:szCs w:val="24"/>
              <w:highlight w:val="none"/>
              <w:lang w:eastAsia="zh-CN"/>
            </w:rPr>
            <w:instrText xml:space="preserve"> HYPERLINK \l _Toc17258 </w:instrText>
          </w:r>
          <w:r>
            <w:rPr>
              <w:rFonts w:hint="eastAsia" w:ascii="宋体" w:hAnsi="宋体" w:eastAsia="宋体" w:cs="宋体"/>
              <w:sz w:val="24"/>
              <w:szCs w:val="24"/>
              <w:highlight w:val="none"/>
              <w:lang w:eastAsia="zh-CN"/>
            </w:rPr>
            <w:fldChar w:fldCharType="separate"/>
          </w:r>
          <w:r>
            <w:rPr>
              <w:rFonts w:hint="eastAsia" w:ascii="宋体" w:hAnsi="宋体" w:cs="宋体"/>
              <w:sz w:val="24"/>
              <w:szCs w:val="24"/>
              <w:highlight w:val="none"/>
              <w:lang w:val="en-US" w:eastAsia="zh-CN"/>
            </w:rPr>
            <w:t xml:space="preserve">第七章 </w:t>
          </w:r>
          <w:r>
            <w:rPr>
              <w:rFonts w:hint="eastAsia" w:ascii="宋体" w:hAnsi="宋体" w:cs="宋体"/>
              <w:sz w:val="24"/>
              <w:szCs w:val="24"/>
              <w:highlight w:val="none"/>
            </w:rPr>
            <w:t>投标人须知前附表规定的其他资料。</w:t>
          </w:r>
          <w:r>
            <w:rPr>
              <w:rFonts w:hint="eastAsia" w:ascii="宋体" w:hAnsi="宋体" w:cs="宋体"/>
              <w:sz w:val="24"/>
              <w:szCs w:val="24"/>
              <w:highlight w:val="none"/>
            </w:rPr>
            <w:tab/>
          </w:r>
          <w:r>
            <w:rPr>
              <w:rFonts w:hint="eastAsia" w:ascii="宋体" w:hAnsi="宋体" w:eastAsia="宋体" w:cs="宋体"/>
              <w:color w:val="auto"/>
              <w:sz w:val="24"/>
              <w:szCs w:val="24"/>
              <w:highlight w:val="none"/>
              <w:lang w:eastAsia="zh-CN"/>
            </w:rPr>
            <w:fldChar w:fldCharType="end"/>
          </w:r>
          <w:r>
            <w:rPr>
              <w:rFonts w:hint="eastAsia" w:ascii="宋体" w:hAnsi="宋体" w:cs="宋体"/>
              <w:sz w:val="24"/>
              <w:szCs w:val="24"/>
              <w:highlight w:val="none"/>
              <w:lang w:val="en-US" w:eastAsia="zh-CN"/>
            </w:rPr>
            <w:t>94</w:t>
          </w:r>
        </w:p>
        <w:p w14:paraId="353D899D">
          <w:pPr>
            <w:pStyle w:val="15"/>
            <w:tabs>
              <w:tab w:val="right" w:leader="dot" w:pos="9071"/>
            </w:tabs>
            <w:spacing w:line="360" w:lineRule="auto"/>
            <w:ind w:left="0" w:leftChars="0" w:firstLine="0" w:firstLineChars="0"/>
            <w:rPr>
              <w:rFonts w:hint="eastAsia" w:ascii="宋体" w:hAnsi="宋体" w:cs="宋体"/>
              <w:sz w:val="24"/>
              <w:szCs w:val="24"/>
              <w:highlight w:val="none"/>
            </w:rPr>
          </w:pPr>
        </w:p>
        <w:p w14:paraId="654432F4">
          <w:pPr>
            <w:pStyle w:val="12"/>
            <w:tabs>
              <w:tab w:val="right" w:leader="dot" w:pos="8714"/>
            </w:tabs>
            <w:kinsoku w:val="0"/>
            <w:overflowPunct w:val="0"/>
            <w:spacing w:line="360" w:lineRule="auto"/>
            <w:ind w:left="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fldChar w:fldCharType="end"/>
          </w:r>
        </w:p>
      </w:sdtContent>
    </w:sdt>
    <w:p w14:paraId="6FE7A5AE">
      <w:pPr>
        <w:pStyle w:val="45"/>
        <w:keepNext w:val="0"/>
        <w:keepLines w:val="0"/>
        <w:pageBreakBefore w:val="0"/>
        <w:widowControl/>
        <w:tabs>
          <w:tab w:val="right" w:leader="dot" w:pos="9071"/>
        </w:tabs>
        <w:kinsoku/>
        <w:wordWrap/>
        <w:overflowPunct/>
        <w:topLinePunct w:val="0"/>
        <w:autoSpaceDE/>
        <w:autoSpaceDN/>
        <w:bidi w:val="0"/>
        <w:adjustRightInd/>
        <w:snapToGrid/>
        <w:spacing w:line="360" w:lineRule="auto"/>
        <w:ind w:left="720" w:leftChars="300"/>
        <w:textAlignment w:val="auto"/>
        <w:rPr>
          <w:rFonts w:hint="eastAsia" w:ascii="宋体" w:hAnsi="宋体" w:eastAsia="宋体" w:cs="宋体"/>
          <w:color w:val="auto"/>
          <w:sz w:val="24"/>
          <w:szCs w:val="24"/>
          <w:highlight w:val="none"/>
          <w:lang w:eastAsia="zh-CN"/>
        </w:rPr>
      </w:pPr>
    </w:p>
    <w:p w14:paraId="6B9799FC">
      <w:pPr>
        <w:pStyle w:val="12"/>
        <w:tabs>
          <w:tab w:val="right" w:leader="dot" w:pos="8714"/>
        </w:tabs>
        <w:kinsoku w:val="0"/>
        <w:overflowPunct w:val="0"/>
        <w:spacing w:line="288" w:lineRule="exact"/>
        <w:ind w:left="0"/>
        <w:jc w:val="center"/>
        <w:rPr>
          <w:rFonts w:hint="eastAsia" w:ascii="宋体" w:hAnsi="宋体" w:eastAsia="宋体" w:cs="宋体"/>
          <w:color w:val="auto"/>
          <w:sz w:val="21"/>
          <w:szCs w:val="24"/>
          <w:highlight w:val="none"/>
          <w:lang w:eastAsia="zh-CN"/>
        </w:rPr>
        <w:sectPr>
          <w:footerReference r:id="rId3" w:type="default"/>
          <w:pgSz w:w="11905" w:h="16838"/>
          <w:pgMar w:top="1417" w:right="1417" w:bottom="1417" w:left="1417" w:header="720" w:footer="720" w:gutter="0"/>
          <w:lnNumType w:countBy="0" w:distance="360"/>
          <w:cols w:space="720" w:num="1"/>
        </w:sectPr>
      </w:pPr>
    </w:p>
    <w:p w14:paraId="51843B58">
      <w:pPr>
        <w:pStyle w:val="12"/>
        <w:kinsoku w:val="0"/>
        <w:overflowPunct w:val="0"/>
        <w:ind w:left="0"/>
        <w:rPr>
          <w:rFonts w:hint="eastAsia" w:ascii="宋体" w:hAnsi="宋体" w:eastAsia="宋体" w:cs="宋体"/>
          <w:color w:val="auto"/>
          <w:sz w:val="44"/>
          <w:szCs w:val="24"/>
          <w:highlight w:val="none"/>
        </w:rPr>
      </w:pPr>
    </w:p>
    <w:p w14:paraId="45A5A783">
      <w:pPr>
        <w:pStyle w:val="2"/>
        <w:keepNext w:val="0"/>
        <w:keepLines w:val="0"/>
        <w:pageBreakBefore w:val="0"/>
        <w:widowControl w:val="0"/>
        <w:wordWrap/>
        <w:topLinePunct w:val="0"/>
        <w:autoSpaceDE w:val="0"/>
        <w:autoSpaceDN w:val="0"/>
        <w:bidi w:val="0"/>
        <w:adjustRightInd w:val="0"/>
        <w:snapToGrid/>
        <w:spacing w:before="0" w:beforeLines="2000"/>
        <w:jc w:val="center"/>
        <w:textAlignment w:val="auto"/>
        <w:rPr>
          <w:rFonts w:hint="eastAsia" w:ascii="宋体" w:hAnsi="宋体" w:eastAsia="宋体" w:cs="宋体"/>
          <w:color w:val="auto"/>
          <w:sz w:val="52"/>
          <w:szCs w:val="52"/>
          <w:highlight w:val="none"/>
        </w:rPr>
      </w:pPr>
      <w:bookmarkStart w:id="1" w:name="bookmark0"/>
      <w:bookmarkEnd w:id="1"/>
      <w:bookmarkStart w:id="2" w:name="_Toc1556"/>
      <w:r>
        <w:rPr>
          <w:rFonts w:hint="eastAsia" w:ascii="宋体" w:hAnsi="宋体" w:eastAsia="宋体" w:cs="宋体"/>
          <w:color w:val="auto"/>
          <w:sz w:val="52"/>
          <w:szCs w:val="52"/>
          <w:highlight w:val="none"/>
        </w:rPr>
        <w:t>第一卷</w:t>
      </w:r>
      <w:bookmarkEnd w:id="2"/>
    </w:p>
    <w:p w14:paraId="6F4E2C41">
      <w:pPr>
        <w:pStyle w:val="12"/>
        <w:kinsoku w:val="0"/>
        <w:overflowPunct w:val="0"/>
        <w:ind w:left="0"/>
        <w:rPr>
          <w:rFonts w:hint="eastAsia" w:ascii="宋体" w:hAnsi="宋体" w:eastAsia="宋体" w:cs="宋体"/>
          <w:b w:val="0"/>
          <w:color w:val="auto"/>
          <w:sz w:val="44"/>
          <w:szCs w:val="24"/>
          <w:highlight w:val="none"/>
        </w:rPr>
        <w:sectPr>
          <w:footerReference r:id="rId4" w:type="default"/>
          <w:pgSz w:w="11905" w:h="16838"/>
          <w:pgMar w:top="1417" w:right="1417" w:bottom="1417" w:left="1417" w:header="720" w:footer="720" w:gutter="0"/>
          <w:lnNumType w:countBy="0" w:distance="360"/>
          <w:pgNumType w:start="1"/>
          <w:cols w:space="720" w:num="1"/>
        </w:sectPr>
      </w:pPr>
    </w:p>
    <w:p w14:paraId="08E9F2A8">
      <w:pPr>
        <w:pStyle w:val="3"/>
        <w:spacing w:line="360" w:lineRule="auto"/>
        <w:outlineLvl w:val="0"/>
        <w:rPr>
          <w:rFonts w:hint="eastAsia" w:cs="宋体"/>
          <w:color w:val="auto"/>
          <w:sz w:val="44"/>
          <w:szCs w:val="24"/>
          <w:highlight w:val="none"/>
        </w:rPr>
      </w:pPr>
      <w:bookmarkStart w:id="3" w:name="bookmark1"/>
      <w:bookmarkEnd w:id="3"/>
      <w:bookmarkStart w:id="4" w:name="_Toc29772"/>
      <w:r>
        <w:rPr>
          <w:rFonts w:hint="eastAsia" w:cs="宋体"/>
          <w:color w:val="auto"/>
          <w:sz w:val="44"/>
          <w:szCs w:val="24"/>
          <w:highlight w:val="none"/>
        </w:rPr>
        <w:t>第一章</w:t>
      </w:r>
      <w:r>
        <w:rPr>
          <w:rFonts w:hint="eastAsia" w:cs="宋体"/>
          <w:color w:val="auto"/>
          <w:sz w:val="44"/>
          <w:szCs w:val="24"/>
          <w:highlight w:val="none"/>
          <w:lang w:val="en-US" w:eastAsia="zh-CN"/>
        </w:rPr>
        <w:t xml:space="preserve"> </w:t>
      </w:r>
      <w:r>
        <w:rPr>
          <w:rFonts w:hint="eastAsia" w:cs="宋体"/>
          <w:color w:val="auto"/>
          <w:sz w:val="44"/>
          <w:szCs w:val="24"/>
          <w:highlight w:val="none"/>
        </w:rPr>
        <w:t>招标公告</w:t>
      </w:r>
      <w:bookmarkEnd w:id="4"/>
    </w:p>
    <w:p w14:paraId="449042BA">
      <w:pPr>
        <w:spacing w:line="360" w:lineRule="auto"/>
        <w:jc w:val="center"/>
        <w:outlineLvl w:val="0"/>
        <w:rPr>
          <w:rFonts w:hint="eastAsia" w:ascii="宋体" w:hAnsi="宋体" w:cs="宋体"/>
          <w:color w:val="auto"/>
          <w:sz w:val="44"/>
          <w:szCs w:val="24"/>
          <w:highlight w:val="none"/>
          <w:lang w:val="en-US" w:eastAsia="zh-CN"/>
        </w:rPr>
      </w:pPr>
      <w:r>
        <w:rPr>
          <w:rFonts w:hint="eastAsia" w:ascii="宋体" w:hAnsi="宋体" w:cs="宋体"/>
          <w:color w:val="auto"/>
          <w:sz w:val="44"/>
          <w:szCs w:val="24"/>
          <w:highlight w:val="none"/>
          <w:lang w:val="en-US" w:eastAsia="zh-CN"/>
        </w:rPr>
        <w:t>(另册)</w:t>
      </w:r>
    </w:p>
    <w:p w14:paraId="6359DB3E">
      <w:pPr>
        <w:outlineLvl w:val="0"/>
        <w:rPr>
          <w:rFonts w:hint="eastAsia" w:ascii="宋体" w:hAnsi="宋体" w:cs="宋体"/>
          <w:color w:val="auto"/>
          <w:sz w:val="44"/>
          <w:szCs w:val="24"/>
          <w:highlight w:val="none"/>
          <w:lang w:val="en-US" w:eastAsia="zh-CN"/>
        </w:rPr>
      </w:pPr>
      <w:r>
        <w:rPr>
          <w:rFonts w:hint="eastAsia" w:ascii="宋体" w:hAnsi="宋体" w:cs="宋体"/>
          <w:color w:val="auto"/>
          <w:sz w:val="44"/>
          <w:szCs w:val="24"/>
          <w:highlight w:val="none"/>
          <w:lang w:val="en-US" w:eastAsia="zh-CN"/>
        </w:rPr>
        <w:br w:type="page"/>
      </w:r>
    </w:p>
    <w:p w14:paraId="6F99DFAE">
      <w:pPr>
        <w:pStyle w:val="3"/>
        <w:ind w:left="0"/>
        <w:outlineLvl w:val="0"/>
        <w:rPr>
          <w:rFonts w:hint="eastAsia" w:ascii="宋体" w:hAnsi="宋体" w:eastAsia="宋体" w:cs="宋体"/>
          <w:b w:val="0"/>
          <w:color w:val="auto"/>
          <w:sz w:val="57"/>
          <w:szCs w:val="24"/>
          <w:highlight w:val="none"/>
        </w:rPr>
      </w:pPr>
      <w:bookmarkStart w:id="5" w:name="bookmark18"/>
      <w:bookmarkEnd w:id="5"/>
      <w:bookmarkStart w:id="6" w:name="bookmark9"/>
      <w:bookmarkEnd w:id="6"/>
      <w:bookmarkStart w:id="7" w:name="_Toc15097"/>
      <w:r>
        <w:rPr>
          <w:rFonts w:hint="eastAsia" w:cs="宋体"/>
          <w:color w:val="auto"/>
          <w:sz w:val="44"/>
          <w:szCs w:val="24"/>
          <w:highlight w:val="none"/>
        </w:rPr>
        <w:t>第二章</w:t>
      </w:r>
      <w:r>
        <w:rPr>
          <w:rFonts w:hint="eastAsia" w:cs="宋体"/>
          <w:color w:val="auto"/>
          <w:sz w:val="44"/>
          <w:szCs w:val="24"/>
          <w:highlight w:val="none"/>
          <w:lang w:val="en-US" w:eastAsia="zh-CN"/>
        </w:rPr>
        <w:t xml:space="preserve"> </w:t>
      </w:r>
      <w:r>
        <w:rPr>
          <w:rFonts w:hint="eastAsia" w:cs="宋体"/>
          <w:color w:val="auto"/>
          <w:sz w:val="44"/>
          <w:szCs w:val="24"/>
          <w:highlight w:val="none"/>
        </w:rPr>
        <w:t>投标人须知</w:t>
      </w:r>
      <w:bookmarkEnd w:id="7"/>
    </w:p>
    <w:p w14:paraId="17F90476">
      <w:pPr>
        <w:pStyle w:val="4"/>
        <w:kinsoku w:val="0"/>
        <w:overflowPunct w:val="0"/>
        <w:ind w:left="220"/>
        <w:jc w:val="center"/>
        <w:outlineLvl w:val="1"/>
        <w:rPr>
          <w:rFonts w:hint="eastAsia" w:ascii="宋体" w:hAnsi="宋体" w:eastAsia="宋体" w:cs="宋体"/>
          <w:b w:val="0"/>
          <w:color w:val="auto"/>
          <w:sz w:val="20"/>
          <w:szCs w:val="24"/>
          <w:highlight w:val="none"/>
        </w:rPr>
      </w:pPr>
      <w:bookmarkStart w:id="8" w:name="bookmark19"/>
      <w:bookmarkEnd w:id="8"/>
      <w:bookmarkStart w:id="9" w:name="_Toc6280"/>
      <w:r>
        <w:rPr>
          <w:rFonts w:hint="eastAsia" w:cs="宋体"/>
          <w:color w:val="auto"/>
          <w:sz w:val="32"/>
          <w:szCs w:val="24"/>
          <w:highlight w:val="none"/>
        </w:rPr>
        <w:t>投标人须知前附表</w:t>
      </w:r>
      <w:bookmarkEnd w:id="9"/>
    </w:p>
    <w:tbl>
      <w:tblPr>
        <w:tblStyle w:val="27"/>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607"/>
        <w:gridCol w:w="5463"/>
      </w:tblGrid>
      <w:tr w14:paraId="19223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blHeader/>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CDB9AF3">
            <w:pPr>
              <w:pStyle w:val="34"/>
              <w:kinsoku w:val="0"/>
              <w:overflowPunct w:val="0"/>
              <w:spacing w:before="41"/>
              <w:jc w:val="center"/>
              <w:rPr>
                <w:rFonts w:hint="eastAsia" w:ascii="宋体" w:hAnsi="宋体" w:cs="宋体"/>
                <w:color w:val="auto"/>
                <w:sz w:val="21"/>
                <w:szCs w:val="24"/>
                <w:highlight w:val="none"/>
              </w:rPr>
            </w:pPr>
            <w:r>
              <w:rPr>
                <w:rFonts w:hint="eastAsia" w:ascii="宋体" w:hAnsi="宋体" w:eastAsia="宋体" w:cs="宋体"/>
                <w:b/>
                <w:color w:val="auto"/>
                <w:sz w:val="21"/>
                <w:szCs w:val="21"/>
                <w:highlight w:val="none"/>
              </w:rPr>
              <w:t>条款号</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EC7ACEB">
            <w:pPr>
              <w:pStyle w:val="34"/>
              <w:kinsoku w:val="0"/>
              <w:overflowPunct w:val="0"/>
              <w:spacing w:before="41"/>
              <w:jc w:val="center"/>
              <w:rPr>
                <w:rFonts w:hint="eastAsia" w:ascii="宋体" w:hAnsi="宋体" w:cs="宋体"/>
                <w:color w:val="auto"/>
                <w:sz w:val="21"/>
                <w:szCs w:val="24"/>
                <w:highlight w:val="none"/>
              </w:rPr>
            </w:pPr>
            <w:r>
              <w:rPr>
                <w:rFonts w:hint="eastAsia" w:ascii="宋体" w:hAnsi="宋体" w:eastAsia="宋体" w:cs="宋体"/>
                <w:b/>
                <w:color w:val="auto"/>
                <w:sz w:val="21"/>
                <w:szCs w:val="21"/>
                <w:highlight w:val="none"/>
              </w:rPr>
              <w:t>条款名称</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A5B6B1F">
            <w:pPr>
              <w:pStyle w:val="34"/>
              <w:kinsoku w:val="0"/>
              <w:overflowPunct w:val="0"/>
              <w:spacing w:before="41"/>
              <w:jc w:val="center"/>
              <w:rPr>
                <w:rFonts w:hint="eastAsia" w:ascii="宋体" w:hAnsi="宋体" w:cs="宋体"/>
                <w:color w:val="auto"/>
                <w:sz w:val="21"/>
                <w:szCs w:val="24"/>
                <w:highlight w:val="none"/>
              </w:rPr>
            </w:pPr>
            <w:r>
              <w:rPr>
                <w:rFonts w:hint="eastAsia" w:ascii="宋体" w:hAnsi="宋体" w:eastAsia="宋体" w:cs="宋体"/>
                <w:b/>
                <w:color w:val="auto"/>
                <w:sz w:val="21"/>
                <w:szCs w:val="21"/>
                <w:highlight w:val="none"/>
              </w:rPr>
              <w:t>编列内容</w:t>
            </w:r>
          </w:p>
        </w:tc>
      </w:tr>
      <w:tr w14:paraId="525D8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7"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F0666F2">
            <w:pPr>
              <w:pStyle w:val="34"/>
              <w:kinsoku w:val="0"/>
              <w:overflowPunct w:val="0"/>
              <w:jc w:val="center"/>
              <w:rPr>
                <w:rFonts w:hint="eastAsia" w:ascii="宋体" w:hAnsi="宋体" w:cs="宋体"/>
                <w:color w:val="auto"/>
                <w:sz w:val="21"/>
                <w:szCs w:val="24"/>
                <w:highlight w:val="none"/>
              </w:rPr>
            </w:pPr>
            <w:r>
              <w:rPr>
                <w:rFonts w:hint="eastAsia" w:ascii="宋体" w:hAnsi="宋体" w:eastAsia="宋体" w:cs="宋体"/>
                <w:color w:val="auto"/>
                <w:sz w:val="21"/>
                <w:szCs w:val="24"/>
                <w:highlight w:val="none"/>
              </w:rPr>
              <w:t>1.1.2</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2474BE7">
            <w:pPr>
              <w:pStyle w:val="34"/>
              <w:kinsoku w:val="0"/>
              <w:overflowPunct w:val="0"/>
              <w:spacing w:line="360" w:lineRule="auto"/>
              <w:jc w:val="both"/>
              <w:rPr>
                <w:rFonts w:hint="eastAsia" w:ascii="宋体" w:hAnsi="宋体" w:cs="宋体"/>
                <w:color w:val="auto"/>
                <w:sz w:val="21"/>
                <w:szCs w:val="24"/>
                <w:highlight w:val="none"/>
              </w:rPr>
            </w:pPr>
            <w:r>
              <w:rPr>
                <w:rFonts w:hint="eastAsia" w:ascii="宋体" w:hAnsi="宋体" w:eastAsia="宋体" w:cs="宋体"/>
                <w:color w:val="auto"/>
                <w:sz w:val="21"/>
                <w:szCs w:val="24"/>
                <w:highlight w:val="none"/>
              </w:rPr>
              <w:t>招标人</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F1BA736">
            <w:pPr>
              <w:pStyle w:val="34"/>
              <w:kinsoku w:val="0"/>
              <w:overflowPunct w:val="0"/>
              <w:adjustRightInd/>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名称：</w:t>
            </w:r>
            <w:r>
              <w:rPr>
                <w:rFonts w:hint="eastAsia" w:ascii="宋体" w:hAnsi="宋体" w:eastAsia="宋体" w:cs="宋体"/>
                <w:color w:val="auto"/>
                <w:sz w:val="21"/>
                <w:szCs w:val="21"/>
                <w:highlight w:val="none"/>
                <w:u w:val="single"/>
              </w:rPr>
              <w:t>广州市番禺区水务工程建管中心（广州市番禺区水旱灾害防御中心）</w:t>
            </w:r>
          </w:p>
          <w:p w14:paraId="64DB921F">
            <w:pPr>
              <w:pStyle w:val="34"/>
              <w:kinsoku w:val="0"/>
              <w:overflowPunct w:val="0"/>
              <w:adjustRightInd/>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u w:val="single"/>
              </w:rPr>
              <w:t>广州市番禺区市桥街环城东路20号首二层</w:t>
            </w:r>
          </w:p>
          <w:p w14:paraId="08C52E0C">
            <w:pPr>
              <w:pStyle w:val="34"/>
              <w:kinsoku w:val="0"/>
              <w:overflowPunct w:val="0"/>
              <w:adjustRightInd/>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w:t>
            </w:r>
            <w:r>
              <w:rPr>
                <w:rFonts w:hint="eastAsia" w:ascii="宋体" w:hAnsi="宋体" w:eastAsia="宋体" w:cs="宋体"/>
                <w:color w:val="auto"/>
                <w:sz w:val="21"/>
                <w:szCs w:val="21"/>
                <w:highlight w:val="none"/>
                <w:u w:val="single"/>
              </w:rPr>
              <w:t>何工</w:t>
            </w:r>
          </w:p>
          <w:p w14:paraId="74A9A785">
            <w:pPr>
              <w:pStyle w:val="34"/>
              <w:kinsoku w:val="0"/>
              <w:overflowPunct w:val="0"/>
              <w:adjustRightInd/>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u w:val="single"/>
              </w:rPr>
              <w:t>020-84614573</w:t>
            </w:r>
          </w:p>
        </w:tc>
      </w:tr>
      <w:tr w14:paraId="06ED4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7"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D9A28B8">
            <w:pPr>
              <w:pStyle w:val="34"/>
              <w:kinsoku w:val="0"/>
              <w:overflowPunct w:val="0"/>
              <w:jc w:val="center"/>
              <w:rPr>
                <w:rFonts w:hint="eastAsia" w:ascii="宋体" w:hAnsi="宋体" w:cs="宋体"/>
                <w:color w:val="auto"/>
                <w:sz w:val="21"/>
                <w:szCs w:val="24"/>
                <w:highlight w:val="none"/>
              </w:rPr>
            </w:pPr>
            <w:r>
              <w:rPr>
                <w:rFonts w:hint="eastAsia" w:ascii="宋体" w:hAnsi="宋体" w:eastAsia="宋体" w:cs="宋体"/>
                <w:color w:val="auto"/>
                <w:sz w:val="21"/>
                <w:szCs w:val="24"/>
                <w:highlight w:val="none"/>
              </w:rPr>
              <w:t>1.1.3</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5312169">
            <w:pPr>
              <w:pStyle w:val="34"/>
              <w:kinsoku w:val="0"/>
              <w:overflowPunct w:val="0"/>
              <w:jc w:val="both"/>
              <w:rPr>
                <w:rFonts w:hint="eastAsia" w:ascii="宋体" w:hAnsi="宋体" w:cs="宋体"/>
                <w:color w:val="auto"/>
                <w:sz w:val="21"/>
                <w:szCs w:val="24"/>
                <w:highlight w:val="none"/>
              </w:rPr>
            </w:pPr>
            <w:r>
              <w:rPr>
                <w:rFonts w:hint="eastAsia" w:ascii="宋体" w:hAnsi="宋体" w:eastAsia="宋体" w:cs="宋体"/>
                <w:color w:val="auto"/>
                <w:sz w:val="21"/>
                <w:szCs w:val="24"/>
                <w:highlight w:val="none"/>
              </w:rPr>
              <w:t>招标代理机构</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D8021FD">
            <w:pPr>
              <w:pStyle w:val="34"/>
              <w:kinsoku w:val="0"/>
              <w:overflowPunct w:val="0"/>
              <w:adjustRightInd/>
              <w:spacing w:line="360" w:lineRule="auto"/>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名称：</w:t>
            </w:r>
            <w:r>
              <w:rPr>
                <w:rFonts w:hint="eastAsia" w:ascii="宋体" w:hAnsi="宋体" w:eastAsia="宋体" w:cs="宋体"/>
                <w:color w:val="auto"/>
                <w:sz w:val="21"/>
                <w:szCs w:val="21"/>
                <w:highlight w:val="none"/>
                <w:u w:val="single"/>
                <w:lang w:eastAsia="zh-CN"/>
              </w:rPr>
              <w:t>广州益扬工程管理有限公司</w:t>
            </w:r>
          </w:p>
          <w:p w14:paraId="73726635">
            <w:pPr>
              <w:pStyle w:val="34"/>
              <w:kinsoku w:val="0"/>
              <w:overflowPunct w:val="0"/>
              <w:adjustRightInd/>
              <w:spacing w:line="360" w:lineRule="auto"/>
              <w:jc w:val="both"/>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u w:val="single"/>
                <w:lang w:val="en-US" w:eastAsia="zh-CN"/>
              </w:rPr>
              <w:t>广州市番禺区东环街东沙东约下街24号102房</w:t>
            </w:r>
          </w:p>
          <w:p w14:paraId="1F7A8E61">
            <w:pPr>
              <w:pStyle w:val="34"/>
              <w:kinsoku w:val="0"/>
              <w:overflowPunct w:val="0"/>
              <w:adjustRightInd/>
              <w:spacing w:line="360" w:lineRule="auto"/>
              <w:jc w:val="both"/>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联系人：</w:t>
            </w:r>
            <w:r>
              <w:rPr>
                <w:rFonts w:hint="eastAsia" w:ascii="宋体" w:hAnsi="宋体" w:eastAsia="宋体" w:cs="宋体"/>
                <w:color w:val="auto"/>
                <w:sz w:val="21"/>
                <w:szCs w:val="21"/>
                <w:highlight w:val="none"/>
                <w:u w:val="single"/>
                <w:lang w:eastAsia="zh-CN"/>
              </w:rPr>
              <w:t>胡</w:t>
            </w:r>
            <w:r>
              <w:rPr>
                <w:rFonts w:hint="eastAsia" w:ascii="宋体" w:hAnsi="宋体" w:eastAsia="宋体" w:cs="宋体"/>
                <w:color w:val="auto"/>
                <w:sz w:val="21"/>
                <w:szCs w:val="21"/>
                <w:highlight w:val="none"/>
                <w:u w:val="single"/>
              </w:rPr>
              <w:t>工</w:t>
            </w:r>
          </w:p>
          <w:p w14:paraId="552EC28C">
            <w:pPr>
              <w:pStyle w:val="34"/>
              <w:kinsoku w:val="0"/>
              <w:overflowPunct w:val="0"/>
              <w:adjustRightInd/>
              <w:spacing w:line="36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u w:val="single"/>
                <w:lang w:val="zh-CN"/>
              </w:rPr>
              <w:t>020</w:t>
            </w:r>
            <w:r>
              <w:rPr>
                <w:rFonts w:hint="eastAsia" w:ascii="宋体" w:hAnsi="宋体" w:eastAsia="宋体" w:cs="宋体"/>
                <w:color w:val="auto"/>
                <w:sz w:val="21"/>
                <w:szCs w:val="21"/>
                <w:highlight w:val="none"/>
                <w:u w:val="single"/>
                <w:lang w:val="zh-CN" w:eastAsia="zh-CN"/>
              </w:rPr>
              <w:t>-</w:t>
            </w:r>
            <w:r>
              <w:rPr>
                <w:rFonts w:hint="eastAsia" w:ascii="宋体" w:hAnsi="宋体" w:eastAsia="宋体" w:cs="宋体"/>
                <w:color w:val="auto"/>
                <w:sz w:val="21"/>
                <w:szCs w:val="21"/>
                <w:highlight w:val="none"/>
                <w:u w:val="single"/>
                <w:lang w:val="en-US" w:eastAsia="zh-CN"/>
              </w:rPr>
              <w:t>84504647</w:t>
            </w:r>
          </w:p>
        </w:tc>
      </w:tr>
      <w:tr w14:paraId="7E6C0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1901F72">
            <w:pPr>
              <w:pStyle w:val="34"/>
              <w:kinsoku w:val="0"/>
              <w:overflowPunct w:val="0"/>
              <w:jc w:val="center"/>
              <w:rPr>
                <w:rFonts w:hint="eastAsia" w:ascii="宋体" w:hAnsi="宋体" w:cs="宋体"/>
                <w:color w:val="auto"/>
                <w:sz w:val="21"/>
                <w:szCs w:val="24"/>
                <w:highlight w:val="none"/>
              </w:rPr>
            </w:pPr>
            <w:r>
              <w:rPr>
                <w:rFonts w:hint="eastAsia" w:ascii="宋体" w:hAnsi="宋体" w:eastAsia="宋体" w:cs="宋体"/>
                <w:color w:val="auto"/>
                <w:sz w:val="21"/>
                <w:szCs w:val="24"/>
                <w:highlight w:val="none"/>
              </w:rPr>
              <w:t>1.1.4</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A5F471F">
            <w:pPr>
              <w:pStyle w:val="34"/>
              <w:kinsoku w:val="0"/>
              <w:overflowPunct w:val="0"/>
              <w:jc w:val="both"/>
              <w:rPr>
                <w:rFonts w:hint="eastAsia" w:ascii="宋体" w:hAnsi="宋体" w:cs="宋体"/>
                <w:color w:val="auto"/>
                <w:sz w:val="21"/>
                <w:szCs w:val="24"/>
                <w:highlight w:val="none"/>
              </w:rPr>
            </w:pPr>
            <w:r>
              <w:rPr>
                <w:rFonts w:hint="eastAsia" w:ascii="宋体" w:hAnsi="宋体" w:cs="宋体"/>
                <w:color w:val="auto"/>
                <w:sz w:val="21"/>
                <w:szCs w:val="24"/>
                <w:highlight w:val="none"/>
                <w:lang w:val="en-US" w:eastAsia="zh-CN"/>
              </w:rPr>
              <w:t>标段</w:t>
            </w:r>
            <w:r>
              <w:rPr>
                <w:rFonts w:hint="eastAsia" w:ascii="宋体" w:hAnsi="宋体" w:eastAsia="宋体" w:cs="宋体"/>
                <w:color w:val="auto"/>
                <w:sz w:val="21"/>
                <w:szCs w:val="24"/>
                <w:highlight w:val="none"/>
              </w:rPr>
              <w:t>名称</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8FA1CC8">
            <w:pPr>
              <w:spacing w:line="360" w:lineRule="auto"/>
              <w:jc w:val="both"/>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u w:val="single"/>
                <w:lang w:eastAsia="zh-CN"/>
              </w:rPr>
              <w:t>前锋污水系统（市桥河以北）水环境系统化治理查缺补漏工程</w:t>
            </w:r>
            <w:r>
              <w:rPr>
                <w:rFonts w:hint="eastAsia" w:ascii="宋体" w:hAnsi="宋体" w:eastAsia="宋体" w:cs="宋体"/>
                <w:color w:val="auto"/>
                <w:sz w:val="21"/>
                <w:szCs w:val="21"/>
                <w:highlight w:val="none"/>
                <w:u w:val="single"/>
              </w:rPr>
              <w:t>施工监理</w:t>
            </w:r>
            <w:r>
              <w:rPr>
                <w:rFonts w:hint="eastAsia" w:ascii="宋体" w:hAnsi="宋体" w:eastAsia="宋体" w:cs="宋体"/>
                <w:color w:val="auto"/>
                <w:sz w:val="21"/>
                <w:szCs w:val="21"/>
                <w:highlight w:val="none"/>
                <w:u w:val="single"/>
                <w:lang w:eastAsia="zh-CN"/>
              </w:rPr>
              <w:t>（</w:t>
            </w:r>
            <w:r>
              <w:rPr>
                <w:rFonts w:hint="eastAsia" w:ascii="宋体" w:hAnsi="宋体" w:cs="宋体"/>
                <w:color w:val="auto"/>
                <w:sz w:val="21"/>
                <w:szCs w:val="21"/>
                <w:highlight w:val="none"/>
                <w:u w:val="single"/>
                <w:lang w:eastAsia="zh-CN"/>
              </w:rPr>
              <w:t>标段二</w:t>
            </w:r>
            <w:r>
              <w:rPr>
                <w:rFonts w:hint="eastAsia" w:ascii="宋体" w:hAnsi="宋体" w:eastAsia="宋体" w:cs="宋体"/>
                <w:color w:val="auto"/>
                <w:sz w:val="21"/>
                <w:szCs w:val="21"/>
                <w:highlight w:val="none"/>
                <w:u w:val="single"/>
                <w:lang w:eastAsia="zh-CN"/>
              </w:rPr>
              <w:t>）</w:t>
            </w:r>
          </w:p>
        </w:tc>
      </w:tr>
      <w:tr w14:paraId="2EA36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346AB71">
            <w:pPr>
              <w:pStyle w:val="34"/>
              <w:kinsoku w:val="0"/>
              <w:overflowPunct w:val="0"/>
              <w:jc w:val="center"/>
              <w:rPr>
                <w:rFonts w:hint="eastAsia" w:ascii="宋体" w:hAnsi="宋体" w:cs="宋体"/>
                <w:color w:val="auto"/>
                <w:sz w:val="21"/>
                <w:szCs w:val="24"/>
                <w:highlight w:val="none"/>
              </w:rPr>
            </w:pPr>
            <w:r>
              <w:rPr>
                <w:rFonts w:hint="eastAsia" w:ascii="宋体" w:hAnsi="宋体" w:eastAsia="宋体" w:cs="宋体"/>
                <w:color w:val="auto"/>
                <w:sz w:val="21"/>
                <w:szCs w:val="24"/>
                <w:highlight w:val="none"/>
              </w:rPr>
              <w:t>1.1.5</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5DDA8ED">
            <w:pPr>
              <w:pStyle w:val="34"/>
              <w:kinsoku w:val="0"/>
              <w:overflowPunct w:val="0"/>
              <w:jc w:val="both"/>
              <w:rPr>
                <w:rFonts w:hint="eastAsia" w:ascii="宋体" w:hAnsi="宋体" w:cs="宋体"/>
                <w:color w:val="auto"/>
                <w:sz w:val="21"/>
                <w:szCs w:val="24"/>
                <w:highlight w:val="none"/>
              </w:rPr>
            </w:pPr>
            <w:r>
              <w:rPr>
                <w:rFonts w:hint="eastAsia" w:ascii="宋体" w:hAnsi="宋体" w:eastAsia="宋体" w:cs="宋体"/>
                <w:color w:val="auto"/>
                <w:sz w:val="21"/>
                <w:szCs w:val="24"/>
                <w:highlight w:val="none"/>
              </w:rPr>
              <w:t>项目建设地点</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A2E36BA">
            <w:pPr>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详见本项目招标公告。</w:t>
            </w:r>
          </w:p>
        </w:tc>
      </w:tr>
      <w:tr w14:paraId="7007E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437D8B0">
            <w:pPr>
              <w:pStyle w:val="34"/>
              <w:kinsoku w:val="0"/>
              <w:overflowPunct w:val="0"/>
              <w:jc w:val="center"/>
              <w:rPr>
                <w:rFonts w:hint="eastAsia" w:ascii="宋体" w:hAnsi="宋体" w:cs="宋体"/>
                <w:color w:val="auto"/>
                <w:sz w:val="21"/>
                <w:szCs w:val="24"/>
                <w:highlight w:val="none"/>
              </w:rPr>
            </w:pPr>
            <w:r>
              <w:rPr>
                <w:rFonts w:hint="eastAsia" w:ascii="宋体" w:hAnsi="宋体" w:eastAsia="宋体" w:cs="宋体"/>
                <w:color w:val="auto"/>
                <w:sz w:val="21"/>
                <w:szCs w:val="24"/>
                <w:highlight w:val="none"/>
              </w:rPr>
              <w:t>1.1.6</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27A24EF">
            <w:pPr>
              <w:pStyle w:val="34"/>
              <w:kinsoku w:val="0"/>
              <w:overflowPunct w:val="0"/>
              <w:jc w:val="both"/>
              <w:rPr>
                <w:rFonts w:hint="eastAsia" w:ascii="宋体" w:hAnsi="宋体" w:cs="宋体"/>
                <w:color w:val="auto"/>
                <w:sz w:val="21"/>
                <w:szCs w:val="24"/>
                <w:highlight w:val="none"/>
              </w:rPr>
            </w:pPr>
            <w:r>
              <w:rPr>
                <w:rFonts w:hint="eastAsia" w:ascii="宋体" w:hAnsi="宋体" w:eastAsia="宋体" w:cs="宋体"/>
                <w:color w:val="auto"/>
                <w:sz w:val="21"/>
                <w:szCs w:val="24"/>
                <w:highlight w:val="none"/>
              </w:rPr>
              <w:t>项目建设规模</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E0F26E3">
            <w:pPr>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详见本项目招标公告。</w:t>
            </w:r>
          </w:p>
        </w:tc>
      </w:tr>
      <w:tr w14:paraId="4607B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B7B14D6">
            <w:pPr>
              <w:pStyle w:val="34"/>
              <w:kinsoku w:val="0"/>
              <w:overflowPunct w:val="0"/>
              <w:jc w:val="center"/>
              <w:rPr>
                <w:rFonts w:hint="eastAsia" w:ascii="宋体" w:hAnsi="宋体" w:cs="宋体"/>
                <w:color w:val="auto"/>
                <w:sz w:val="21"/>
                <w:szCs w:val="24"/>
                <w:highlight w:val="none"/>
              </w:rPr>
            </w:pPr>
            <w:r>
              <w:rPr>
                <w:rFonts w:hint="eastAsia" w:ascii="宋体" w:hAnsi="宋体" w:eastAsia="宋体" w:cs="宋体"/>
                <w:color w:val="auto"/>
                <w:sz w:val="21"/>
                <w:szCs w:val="24"/>
                <w:highlight w:val="none"/>
              </w:rPr>
              <w:t>1.1.7</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3CAA0A7">
            <w:pPr>
              <w:pStyle w:val="34"/>
              <w:kinsoku w:val="0"/>
              <w:overflowPunct w:val="0"/>
              <w:jc w:val="both"/>
              <w:rPr>
                <w:rFonts w:hint="eastAsia" w:ascii="宋体" w:hAnsi="宋体" w:cs="宋体"/>
                <w:color w:val="auto"/>
                <w:sz w:val="21"/>
                <w:szCs w:val="24"/>
                <w:highlight w:val="none"/>
              </w:rPr>
            </w:pPr>
            <w:r>
              <w:rPr>
                <w:rFonts w:hint="eastAsia" w:ascii="宋体" w:hAnsi="宋体" w:eastAsia="宋体" w:cs="宋体"/>
                <w:color w:val="auto"/>
                <w:sz w:val="21"/>
                <w:szCs w:val="24"/>
                <w:highlight w:val="none"/>
              </w:rPr>
              <w:t>工程项目施工预计开工日期和建设周期</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1E7C8D5">
            <w:pPr>
              <w:rPr>
                <w:rFonts w:hint="eastAsia" w:ascii="宋体" w:hAnsi="宋体" w:eastAsia="宋体" w:cs="宋体"/>
                <w:color w:val="auto"/>
                <w:sz w:val="21"/>
                <w:szCs w:val="21"/>
                <w:highlight w:val="none"/>
              </w:rPr>
            </w:pPr>
            <w:r>
              <w:rPr>
                <w:rFonts w:hint="eastAsia" w:ascii="宋体" w:hAnsi="宋体" w:eastAsia="宋体" w:cs="宋体"/>
                <w:sz w:val="21"/>
                <w:szCs w:val="21"/>
                <w:highlight w:val="none"/>
              </w:rPr>
              <w:t>工程施工预计开工日期：</w:t>
            </w:r>
            <w:r>
              <w:rPr>
                <w:rFonts w:hint="eastAsia" w:ascii="宋体" w:hAnsi="宋体" w:eastAsia="宋体" w:cs="宋体"/>
                <w:sz w:val="21"/>
                <w:szCs w:val="21"/>
                <w:highlight w:val="none"/>
                <w:lang w:bidi="ar"/>
              </w:rPr>
              <w:t>具体以施工项目的工期执行。</w:t>
            </w:r>
          </w:p>
        </w:tc>
      </w:tr>
      <w:tr w14:paraId="2AFD0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7F76683">
            <w:pPr>
              <w:pStyle w:val="34"/>
              <w:kinsoku w:val="0"/>
              <w:overflowPunct w:val="0"/>
              <w:jc w:val="center"/>
              <w:rPr>
                <w:rFonts w:hint="eastAsia" w:ascii="宋体" w:hAnsi="宋体" w:cs="宋体"/>
                <w:color w:val="auto"/>
                <w:sz w:val="21"/>
                <w:szCs w:val="24"/>
                <w:highlight w:val="none"/>
              </w:rPr>
            </w:pPr>
            <w:r>
              <w:rPr>
                <w:rFonts w:hint="eastAsia" w:ascii="宋体" w:hAnsi="宋体" w:eastAsia="宋体" w:cs="宋体"/>
                <w:color w:val="auto"/>
                <w:sz w:val="21"/>
                <w:szCs w:val="24"/>
                <w:highlight w:val="none"/>
              </w:rPr>
              <w:t>1.1.8</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2B6E07D">
            <w:pPr>
              <w:pStyle w:val="34"/>
              <w:kinsoku w:val="0"/>
              <w:overflowPunct w:val="0"/>
              <w:jc w:val="both"/>
              <w:rPr>
                <w:rFonts w:hint="eastAsia" w:ascii="宋体" w:hAnsi="宋体" w:cs="宋体"/>
                <w:color w:val="auto"/>
                <w:sz w:val="21"/>
                <w:szCs w:val="24"/>
                <w:highlight w:val="none"/>
              </w:rPr>
            </w:pPr>
            <w:r>
              <w:rPr>
                <w:rFonts w:hint="eastAsia" w:ascii="宋体" w:hAnsi="宋体" w:eastAsia="宋体" w:cs="宋体"/>
                <w:color w:val="auto"/>
                <w:sz w:val="21"/>
                <w:szCs w:val="24"/>
                <w:highlight w:val="none"/>
              </w:rPr>
              <w:t>建筑安装工程费/工程概算</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8371A44">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详见本项目招标公告。</w:t>
            </w:r>
          </w:p>
        </w:tc>
      </w:tr>
      <w:tr w14:paraId="35D53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1EB6331">
            <w:pPr>
              <w:pStyle w:val="34"/>
              <w:kinsoku w:val="0"/>
              <w:overflowPunct w:val="0"/>
              <w:jc w:val="center"/>
              <w:rPr>
                <w:rFonts w:hint="eastAsia" w:ascii="宋体" w:hAnsi="宋体" w:cs="宋体"/>
                <w:color w:val="auto"/>
                <w:sz w:val="21"/>
                <w:szCs w:val="24"/>
                <w:highlight w:val="none"/>
              </w:rPr>
            </w:pPr>
            <w:r>
              <w:rPr>
                <w:rFonts w:hint="eastAsia" w:ascii="宋体" w:hAnsi="宋体" w:eastAsia="宋体" w:cs="宋体"/>
                <w:color w:val="auto"/>
                <w:sz w:val="21"/>
                <w:szCs w:val="24"/>
                <w:highlight w:val="none"/>
              </w:rPr>
              <w:t>1.2.1</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70B0FDB">
            <w:pPr>
              <w:pStyle w:val="34"/>
              <w:kinsoku w:val="0"/>
              <w:overflowPunct w:val="0"/>
              <w:jc w:val="both"/>
              <w:rPr>
                <w:rFonts w:hint="eastAsia" w:ascii="宋体" w:hAnsi="宋体" w:cs="宋体"/>
                <w:color w:val="auto"/>
                <w:sz w:val="21"/>
                <w:szCs w:val="24"/>
                <w:highlight w:val="none"/>
              </w:rPr>
            </w:pPr>
            <w:r>
              <w:rPr>
                <w:rFonts w:hint="eastAsia" w:ascii="宋体" w:hAnsi="宋体" w:eastAsia="宋体" w:cs="宋体"/>
                <w:color w:val="auto"/>
                <w:sz w:val="21"/>
                <w:szCs w:val="24"/>
                <w:highlight w:val="none"/>
              </w:rPr>
              <w:t>资金来源及比例</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C8A4BAD">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详见本项目招标公告。</w:t>
            </w:r>
          </w:p>
        </w:tc>
      </w:tr>
      <w:tr w14:paraId="263CC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0BA6B2A">
            <w:pPr>
              <w:pStyle w:val="34"/>
              <w:kinsoku w:val="0"/>
              <w:overflowPunct w:val="0"/>
              <w:jc w:val="center"/>
              <w:rPr>
                <w:rFonts w:hint="eastAsia" w:ascii="宋体" w:hAnsi="宋体" w:cs="宋体"/>
                <w:color w:val="auto"/>
                <w:sz w:val="21"/>
                <w:szCs w:val="24"/>
                <w:highlight w:val="none"/>
              </w:rPr>
            </w:pPr>
            <w:r>
              <w:rPr>
                <w:rFonts w:hint="eastAsia" w:ascii="宋体" w:hAnsi="宋体" w:eastAsia="宋体" w:cs="宋体"/>
                <w:color w:val="auto"/>
                <w:sz w:val="21"/>
                <w:szCs w:val="24"/>
                <w:highlight w:val="none"/>
              </w:rPr>
              <w:t>1.2.2</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5EF10B7">
            <w:pPr>
              <w:pStyle w:val="34"/>
              <w:kinsoku w:val="0"/>
              <w:overflowPunct w:val="0"/>
              <w:jc w:val="both"/>
              <w:rPr>
                <w:rFonts w:hint="eastAsia" w:ascii="宋体" w:hAnsi="宋体" w:cs="宋体"/>
                <w:color w:val="auto"/>
                <w:sz w:val="21"/>
                <w:szCs w:val="24"/>
                <w:highlight w:val="none"/>
              </w:rPr>
            </w:pPr>
            <w:r>
              <w:rPr>
                <w:rFonts w:hint="eastAsia" w:ascii="宋体" w:hAnsi="宋体" w:eastAsia="宋体" w:cs="宋体"/>
                <w:color w:val="auto"/>
                <w:sz w:val="21"/>
                <w:szCs w:val="24"/>
                <w:highlight w:val="none"/>
              </w:rPr>
              <w:t>资金落实情况</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C6BF968">
            <w:pPr>
              <w:jc w:val="left"/>
              <w:rPr>
                <w:rFonts w:hint="eastAsia" w:ascii="宋体" w:hAnsi="宋体" w:eastAsia="宋体" w:cs="宋体"/>
                <w:color w:val="auto"/>
                <w:sz w:val="21"/>
                <w:szCs w:val="21"/>
                <w:highlight w:val="none"/>
              </w:rPr>
            </w:pPr>
            <w:r>
              <w:rPr>
                <w:rFonts w:hint="eastAsia" w:ascii="宋体" w:hAnsi="宋体" w:eastAsia="宋体" w:cs="宋体"/>
                <w:sz w:val="21"/>
                <w:szCs w:val="21"/>
                <w:highlight w:val="none"/>
              </w:rPr>
              <w:t>已落实</w:t>
            </w:r>
          </w:p>
        </w:tc>
      </w:tr>
      <w:tr w14:paraId="675CF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E937227">
            <w:pPr>
              <w:pStyle w:val="34"/>
              <w:kinsoku w:val="0"/>
              <w:overflowPunct w:val="0"/>
              <w:jc w:val="center"/>
              <w:rPr>
                <w:rFonts w:hint="eastAsia" w:ascii="宋体" w:hAnsi="宋体" w:cs="宋体"/>
                <w:color w:val="auto"/>
                <w:sz w:val="21"/>
                <w:szCs w:val="24"/>
                <w:highlight w:val="none"/>
              </w:rPr>
            </w:pPr>
            <w:r>
              <w:rPr>
                <w:rFonts w:hint="eastAsia" w:ascii="宋体" w:hAnsi="宋体" w:eastAsia="宋体" w:cs="宋体"/>
                <w:color w:val="auto"/>
                <w:sz w:val="21"/>
                <w:szCs w:val="24"/>
                <w:highlight w:val="none"/>
              </w:rPr>
              <w:t>1.3.1</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70E47E7">
            <w:pPr>
              <w:pStyle w:val="34"/>
              <w:kinsoku w:val="0"/>
              <w:overflowPunct w:val="0"/>
              <w:jc w:val="both"/>
              <w:rPr>
                <w:rFonts w:hint="eastAsia" w:ascii="宋体" w:hAnsi="宋体" w:cs="宋体"/>
                <w:color w:val="auto"/>
                <w:sz w:val="21"/>
                <w:szCs w:val="24"/>
                <w:highlight w:val="none"/>
              </w:rPr>
            </w:pPr>
            <w:r>
              <w:rPr>
                <w:rFonts w:hint="eastAsia" w:ascii="宋体" w:hAnsi="宋体" w:eastAsia="宋体" w:cs="宋体"/>
                <w:color w:val="auto"/>
                <w:sz w:val="21"/>
                <w:szCs w:val="24"/>
                <w:highlight w:val="none"/>
              </w:rPr>
              <w:t>招标范围</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464152E">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详见本项目招标公告。</w:t>
            </w:r>
          </w:p>
        </w:tc>
      </w:tr>
      <w:tr w14:paraId="486AC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DD19915">
            <w:pPr>
              <w:pStyle w:val="34"/>
              <w:kinsoku w:val="0"/>
              <w:overflowPunct w:val="0"/>
              <w:jc w:val="center"/>
              <w:rPr>
                <w:rFonts w:hint="eastAsia" w:ascii="宋体" w:hAnsi="宋体" w:cs="宋体"/>
                <w:color w:val="auto"/>
                <w:sz w:val="21"/>
                <w:szCs w:val="24"/>
                <w:highlight w:val="none"/>
              </w:rPr>
            </w:pPr>
            <w:r>
              <w:rPr>
                <w:rFonts w:hint="eastAsia" w:ascii="宋体" w:hAnsi="宋体" w:eastAsia="宋体" w:cs="宋体"/>
                <w:color w:val="auto"/>
                <w:sz w:val="21"/>
                <w:szCs w:val="24"/>
                <w:highlight w:val="none"/>
              </w:rPr>
              <w:t>1.3.2</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371726B">
            <w:pPr>
              <w:pStyle w:val="34"/>
              <w:kinsoku w:val="0"/>
              <w:overflowPunct w:val="0"/>
              <w:jc w:val="both"/>
              <w:rPr>
                <w:rFonts w:hint="eastAsia" w:ascii="宋体" w:hAnsi="宋体" w:cs="宋体"/>
                <w:color w:val="auto"/>
                <w:sz w:val="21"/>
                <w:szCs w:val="24"/>
                <w:highlight w:val="none"/>
              </w:rPr>
            </w:pPr>
            <w:r>
              <w:rPr>
                <w:rFonts w:hint="eastAsia" w:ascii="宋体" w:hAnsi="宋体" w:eastAsia="宋体" w:cs="宋体"/>
                <w:color w:val="auto"/>
                <w:sz w:val="21"/>
                <w:szCs w:val="24"/>
                <w:highlight w:val="none"/>
              </w:rPr>
              <w:t>监理服务期限</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BCEE9F6">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详见本项目招标公告。</w:t>
            </w:r>
          </w:p>
        </w:tc>
      </w:tr>
      <w:tr w14:paraId="2F48A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25C4D59">
            <w:pPr>
              <w:pStyle w:val="34"/>
              <w:kinsoku w:val="0"/>
              <w:overflowPunct w:val="0"/>
              <w:jc w:val="center"/>
              <w:rPr>
                <w:rFonts w:hint="eastAsia" w:ascii="宋体" w:hAnsi="宋体" w:cs="宋体"/>
                <w:color w:val="auto"/>
                <w:sz w:val="21"/>
                <w:szCs w:val="24"/>
                <w:highlight w:val="none"/>
              </w:rPr>
            </w:pPr>
            <w:r>
              <w:rPr>
                <w:rFonts w:hint="eastAsia" w:ascii="宋体" w:hAnsi="宋体" w:eastAsia="宋体" w:cs="宋体"/>
                <w:color w:val="auto"/>
                <w:sz w:val="21"/>
                <w:szCs w:val="24"/>
                <w:highlight w:val="none"/>
              </w:rPr>
              <w:t>1.3.3</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251080A">
            <w:pPr>
              <w:pStyle w:val="34"/>
              <w:kinsoku w:val="0"/>
              <w:overflowPunct w:val="0"/>
              <w:jc w:val="both"/>
              <w:rPr>
                <w:rFonts w:hint="eastAsia" w:ascii="宋体" w:hAnsi="宋体" w:cs="宋体"/>
                <w:color w:val="auto"/>
                <w:sz w:val="21"/>
                <w:szCs w:val="24"/>
                <w:highlight w:val="none"/>
              </w:rPr>
            </w:pPr>
            <w:r>
              <w:rPr>
                <w:rFonts w:hint="eastAsia" w:ascii="宋体" w:hAnsi="宋体" w:eastAsia="宋体" w:cs="宋体"/>
                <w:color w:val="auto"/>
                <w:sz w:val="21"/>
                <w:szCs w:val="24"/>
                <w:highlight w:val="none"/>
              </w:rPr>
              <w:t>质量标准</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F42489D">
            <w:pPr>
              <w:jc w:val="center"/>
              <w:rPr>
                <w:rFonts w:hint="eastAsia" w:ascii="宋体" w:hAnsi="宋体" w:eastAsia="宋体" w:cs="宋体"/>
                <w:sz w:val="21"/>
                <w:szCs w:val="21"/>
                <w:highlight w:val="none"/>
              </w:rPr>
            </w:pPr>
          </w:p>
          <w:p w14:paraId="6180864B">
            <w:pPr>
              <w:rPr>
                <w:rFonts w:hint="eastAsia" w:ascii="宋体" w:hAnsi="宋体" w:eastAsia="宋体" w:cs="宋体"/>
                <w:sz w:val="21"/>
                <w:szCs w:val="21"/>
                <w:highlight w:val="none"/>
                <w:u w:val="single"/>
              </w:rPr>
            </w:pPr>
            <w:r>
              <w:rPr>
                <w:rFonts w:hint="eastAsia" w:ascii="宋体" w:hAnsi="宋体" w:eastAsia="宋体" w:cs="宋体"/>
                <w:sz w:val="21"/>
                <w:szCs w:val="21"/>
                <w:highlight w:val="none"/>
                <w:u w:val="single"/>
              </w:rPr>
              <w:t>合格</w:t>
            </w:r>
          </w:p>
          <w:p w14:paraId="1620F556">
            <w:pPr>
              <w:rPr>
                <w:rFonts w:hint="eastAsia" w:ascii="宋体" w:hAnsi="宋体" w:eastAsia="宋体" w:cs="宋体"/>
                <w:color w:val="auto"/>
                <w:sz w:val="21"/>
                <w:szCs w:val="21"/>
                <w:highlight w:val="none"/>
              </w:rPr>
            </w:pPr>
          </w:p>
        </w:tc>
      </w:tr>
      <w:tr w14:paraId="10C47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C806C33">
            <w:pPr>
              <w:pStyle w:val="34"/>
              <w:kinsoku w:val="0"/>
              <w:overflowPunct w:val="0"/>
              <w:jc w:val="center"/>
              <w:rPr>
                <w:rFonts w:hint="eastAsia" w:ascii="宋体" w:hAnsi="宋体" w:cs="宋体"/>
                <w:color w:val="auto"/>
                <w:sz w:val="21"/>
                <w:szCs w:val="24"/>
                <w:highlight w:val="none"/>
              </w:rPr>
            </w:pPr>
            <w:r>
              <w:rPr>
                <w:rFonts w:hint="eastAsia" w:ascii="宋体" w:hAnsi="宋体" w:eastAsia="宋体" w:cs="宋体"/>
                <w:color w:val="auto"/>
                <w:sz w:val="21"/>
                <w:szCs w:val="24"/>
                <w:highlight w:val="none"/>
              </w:rPr>
              <w:t>1.4.1</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F429EE5">
            <w:pPr>
              <w:pStyle w:val="34"/>
              <w:kinsoku w:val="0"/>
              <w:overflowPunct w:val="0"/>
              <w:jc w:val="both"/>
              <w:rPr>
                <w:rFonts w:hint="eastAsia" w:ascii="宋体" w:hAnsi="宋体" w:cs="宋体"/>
                <w:color w:val="auto"/>
                <w:sz w:val="21"/>
                <w:szCs w:val="24"/>
                <w:highlight w:val="none"/>
              </w:rPr>
            </w:pPr>
            <w:r>
              <w:rPr>
                <w:rFonts w:hint="eastAsia" w:ascii="宋体" w:hAnsi="宋体" w:eastAsia="宋体" w:cs="宋体"/>
                <w:color w:val="auto"/>
                <w:sz w:val="21"/>
                <w:szCs w:val="24"/>
                <w:highlight w:val="none"/>
              </w:rPr>
              <w:t>投标人资质条件、能力、信誉</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BEDB8E0">
            <w:pPr>
              <w:pStyle w:val="34"/>
              <w:kinsoku w:val="0"/>
              <w:overflowPunct w:val="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详见本项目招标公告。</w:t>
            </w:r>
          </w:p>
        </w:tc>
      </w:tr>
      <w:tr w14:paraId="50B02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E39DB18">
            <w:pPr>
              <w:pStyle w:val="34"/>
              <w:kinsoku w:val="0"/>
              <w:overflowPunct w:val="0"/>
              <w:jc w:val="center"/>
              <w:rPr>
                <w:rFonts w:hint="eastAsia" w:ascii="宋体" w:hAnsi="宋体" w:cs="宋体"/>
                <w:color w:val="auto"/>
                <w:sz w:val="21"/>
                <w:szCs w:val="24"/>
                <w:highlight w:val="none"/>
              </w:rPr>
            </w:pPr>
            <w:r>
              <w:rPr>
                <w:rFonts w:hint="eastAsia" w:ascii="宋体" w:hAnsi="宋体" w:eastAsia="宋体" w:cs="宋体"/>
                <w:color w:val="auto"/>
                <w:sz w:val="21"/>
                <w:szCs w:val="24"/>
                <w:highlight w:val="none"/>
              </w:rPr>
              <w:t>1.4.2</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A317645">
            <w:pPr>
              <w:pStyle w:val="34"/>
              <w:kinsoku w:val="0"/>
              <w:overflowPunct w:val="0"/>
              <w:jc w:val="both"/>
              <w:rPr>
                <w:rFonts w:hint="eastAsia" w:ascii="宋体" w:hAnsi="宋体" w:cs="宋体"/>
                <w:color w:val="auto"/>
                <w:sz w:val="21"/>
                <w:szCs w:val="24"/>
                <w:highlight w:val="none"/>
              </w:rPr>
            </w:pPr>
            <w:r>
              <w:rPr>
                <w:rFonts w:hint="eastAsia" w:ascii="宋体" w:hAnsi="宋体" w:eastAsia="宋体" w:cs="宋体"/>
                <w:color w:val="auto"/>
                <w:sz w:val="21"/>
                <w:szCs w:val="24"/>
                <w:highlight w:val="none"/>
              </w:rPr>
              <w:t>是否接受联合体投标</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3D40DFB">
            <w:pPr>
              <w:pStyle w:val="34"/>
              <w:kinsoku w:val="0"/>
              <w:overflowPunct w:val="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sym w:font="Wingdings 2" w:char="0052"/>
            </w:r>
            <w:r>
              <w:rPr>
                <w:rFonts w:hint="eastAsia" w:ascii="宋体" w:hAnsi="宋体" w:eastAsia="宋体" w:cs="宋体"/>
                <w:color w:val="auto"/>
                <w:sz w:val="21"/>
                <w:szCs w:val="21"/>
                <w:highlight w:val="none"/>
              </w:rPr>
              <w:t>不接受</w:t>
            </w:r>
          </w:p>
          <w:p w14:paraId="6A81FE9C">
            <w:pPr>
              <w:pStyle w:val="34"/>
              <w:kinsoku w:val="0"/>
              <w:overflowPunct w:val="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sym w:font="Wingdings 2" w:char="00A3"/>
            </w:r>
            <w:r>
              <w:rPr>
                <w:rFonts w:hint="eastAsia" w:ascii="宋体" w:hAnsi="宋体" w:eastAsia="宋体" w:cs="宋体"/>
                <w:color w:val="auto"/>
                <w:sz w:val="21"/>
                <w:szCs w:val="21"/>
                <w:highlight w:val="none"/>
              </w:rPr>
              <w:t>接受，应满足下列要求：</w:t>
            </w:r>
          </w:p>
        </w:tc>
      </w:tr>
      <w:tr w14:paraId="3043D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B8E82CD">
            <w:pPr>
              <w:pStyle w:val="34"/>
              <w:kinsoku w:val="0"/>
              <w:overflowPunct w:val="0"/>
              <w:jc w:val="center"/>
              <w:rPr>
                <w:rFonts w:hint="eastAsia" w:ascii="宋体" w:hAnsi="宋体" w:eastAsia="宋体" w:cs="宋体"/>
                <w:b/>
                <w:color w:val="auto"/>
                <w:sz w:val="21"/>
                <w:szCs w:val="21"/>
                <w:highlight w:val="none"/>
              </w:rPr>
            </w:pPr>
            <w:r>
              <w:rPr>
                <w:rFonts w:hint="eastAsia" w:ascii="宋体" w:hAnsi="宋体" w:eastAsia="宋体" w:cs="宋体"/>
                <w:color w:val="auto"/>
                <w:sz w:val="21"/>
                <w:szCs w:val="24"/>
                <w:highlight w:val="none"/>
              </w:rPr>
              <w:t>1.4.3</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14FDCC4">
            <w:pPr>
              <w:pStyle w:val="34"/>
              <w:kinsoku w:val="0"/>
              <w:overflowPunct w:val="0"/>
              <w:jc w:val="both"/>
              <w:rPr>
                <w:rFonts w:hint="eastAsia" w:ascii="宋体" w:hAnsi="宋体" w:eastAsia="宋体" w:cs="宋体"/>
                <w:b/>
                <w:color w:val="auto"/>
                <w:sz w:val="21"/>
                <w:szCs w:val="21"/>
                <w:highlight w:val="none"/>
              </w:rPr>
            </w:pPr>
            <w:r>
              <w:rPr>
                <w:rFonts w:hint="eastAsia" w:ascii="宋体" w:hAnsi="宋体" w:eastAsia="宋体" w:cs="宋体"/>
                <w:color w:val="auto"/>
                <w:sz w:val="21"/>
                <w:szCs w:val="24"/>
                <w:highlight w:val="none"/>
              </w:rPr>
              <w:t>投标人不得存在的其他情形</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9B02D69">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0" w:firstLineChars="0"/>
              <w:jc w:val="left"/>
              <w:rPr>
                <w:rFonts w:hint="eastAsia" w:ascii="宋体" w:hAnsi="宋体" w:eastAsia="宋体" w:cs="宋体"/>
                <w:b/>
                <w:color w:val="auto"/>
                <w:sz w:val="21"/>
                <w:szCs w:val="21"/>
                <w:highlight w:val="none"/>
                <w:lang w:eastAsia="zh-CN"/>
              </w:rPr>
            </w:pPr>
            <w:r>
              <w:rPr>
                <w:rFonts w:hint="eastAsia" w:ascii="宋体" w:hAnsi="宋体" w:eastAsia="宋体" w:cs="宋体"/>
                <w:sz w:val="21"/>
                <w:szCs w:val="21"/>
                <w:highlight w:val="none"/>
              </w:rPr>
              <w:t>/</w:t>
            </w:r>
          </w:p>
        </w:tc>
      </w:tr>
      <w:tr w14:paraId="1B091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0C4ED56">
            <w:pPr>
              <w:pStyle w:val="34"/>
              <w:kinsoku w:val="0"/>
              <w:overflowPunct w:val="0"/>
              <w:jc w:val="center"/>
              <w:rPr>
                <w:rFonts w:hint="eastAsia" w:ascii="宋体" w:hAnsi="宋体" w:eastAsia="宋体" w:cs="宋体"/>
                <w:b/>
                <w:color w:val="auto"/>
                <w:sz w:val="21"/>
                <w:szCs w:val="21"/>
                <w:highlight w:val="none"/>
              </w:rPr>
            </w:pPr>
            <w:r>
              <w:rPr>
                <w:rFonts w:hint="eastAsia" w:ascii="宋体" w:hAnsi="宋体" w:eastAsia="宋体" w:cs="宋体"/>
                <w:color w:val="auto"/>
                <w:sz w:val="21"/>
                <w:szCs w:val="24"/>
                <w:highlight w:val="none"/>
              </w:rPr>
              <w:t>1.9.1</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4062D03">
            <w:pPr>
              <w:pStyle w:val="34"/>
              <w:kinsoku w:val="0"/>
              <w:overflowPunct w:val="0"/>
              <w:jc w:val="both"/>
              <w:rPr>
                <w:rFonts w:hint="eastAsia" w:ascii="宋体" w:hAnsi="宋体" w:eastAsia="宋体" w:cs="宋体"/>
                <w:b/>
                <w:color w:val="auto"/>
                <w:sz w:val="21"/>
                <w:szCs w:val="21"/>
                <w:highlight w:val="none"/>
              </w:rPr>
            </w:pPr>
            <w:r>
              <w:rPr>
                <w:rFonts w:hint="eastAsia" w:ascii="宋体" w:hAnsi="宋体" w:eastAsia="宋体" w:cs="宋体"/>
                <w:color w:val="auto"/>
                <w:sz w:val="21"/>
                <w:szCs w:val="24"/>
                <w:highlight w:val="none"/>
              </w:rPr>
              <w:t>踏勘现场</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DAA0143">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招标人不集中组织，由投标人自行踏勘；</w:t>
            </w:r>
          </w:p>
          <w:p w14:paraId="4090A004">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时间：</w:t>
            </w:r>
            <w:r>
              <w:rPr>
                <w:rFonts w:hint="eastAsia" w:ascii="宋体" w:hAnsi="宋体" w:eastAsia="宋体" w:cs="宋体"/>
                <w:color w:val="auto"/>
                <w:sz w:val="21"/>
                <w:szCs w:val="21"/>
                <w:highlight w:val="none"/>
                <w:u w:val="single"/>
              </w:rPr>
              <w:t>自本项目招标公告发布即日</w:t>
            </w:r>
            <w:r>
              <w:rPr>
                <w:rFonts w:hint="eastAsia" w:ascii="宋体" w:hAnsi="宋体" w:eastAsia="宋体" w:cs="宋体"/>
                <w:color w:val="auto"/>
                <w:sz w:val="21"/>
                <w:szCs w:val="21"/>
                <w:highlight w:val="none"/>
              </w:rPr>
              <w:t>起具备现场踏勘条件；</w:t>
            </w:r>
          </w:p>
          <w:p w14:paraId="09F803BE">
            <w:pPr>
              <w:pStyle w:val="34"/>
              <w:kinsoku w:val="0"/>
              <w:overflowPunct w:val="0"/>
              <w:jc w:val="both"/>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现场详细地点：</w:t>
            </w:r>
            <w:r>
              <w:rPr>
                <w:rFonts w:hint="eastAsia" w:ascii="宋体" w:hAnsi="宋体" w:eastAsia="宋体" w:cs="宋体"/>
                <w:color w:val="auto"/>
                <w:sz w:val="21"/>
                <w:szCs w:val="21"/>
                <w:highlight w:val="none"/>
                <w:u w:val="single"/>
                <w:lang w:eastAsia="zh-CN"/>
              </w:rPr>
              <w:t>详见本项目招标公告</w:t>
            </w:r>
            <w:r>
              <w:rPr>
                <w:rFonts w:hint="eastAsia" w:ascii="宋体" w:hAnsi="宋体" w:eastAsia="宋体" w:cs="宋体"/>
                <w:color w:val="auto"/>
                <w:sz w:val="21"/>
                <w:szCs w:val="21"/>
                <w:highlight w:val="none"/>
                <w:u w:val="single"/>
              </w:rPr>
              <w:t>；</w:t>
            </w:r>
          </w:p>
        </w:tc>
      </w:tr>
      <w:tr w14:paraId="118B5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top"/>
          </w:tcPr>
          <w:p w14:paraId="723BE950">
            <w:pPr>
              <w:spacing w:line="283" w:lineRule="auto"/>
              <w:rPr>
                <w:rFonts w:hint="eastAsia" w:ascii="宋体" w:hAnsi="宋体" w:eastAsia="宋体" w:cs="宋体"/>
                <w:color w:val="auto"/>
                <w:sz w:val="21"/>
                <w:szCs w:val="24"/>
                <w:highlight w:val="none"/>
              </w:rPr>
            </w:pPr>
          </w:p>
          <w:p w14:paraId="2F85D994">
            <w:pPr>
              <w:spacing w:line="284" w:lineRule="auto"/>
              <w:rPr>
                <w:rFonts w:hint="eastAsia" w:ascii="宋体" w:hAnsi="宋体" w:eastAsia="宋体" w:cs="宋体"/>
                <w:color w:val="auto"/>
                <w:sz w:val="21"/>
                <w:szCs w:val="24"/>
                <w:highlight w:val="none"/>
              </w:rPr>
            </w:pPr>
          </w:p>
          <w:p w14:paraId="5DCF9058">
            <w:pPr>
              <w:spacing w:before="60" w:line="18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1</w:t>
            </w:r>
            <w:r>
              <w:rPr>
                <w:rFonts w:hint="eastAsia" w:ascii="宋体" w:hAnsi="宋体" w:eastAsia="宋体" w:cs="宋体"/>
                <w:color w:val="auto"/>
                <w:spacing w:val="-4"/>
                <w:sz w:val="21"/>
                <w:szCs w:val="21"/>
                <w:highlight w:val="none"/>
              </w:rPr>
              <w:t>.10.1</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top"/>
          </w:tcPr>
          <w:p w14:paraId="27CF26DF">
            <w:pPr>
              <w:spacing w:line="260" w:lineRule="auto"/>
              <w:rPr>
                <w:rFonts w:hint="eastAsia" w:ascii="宋体" w:hAnsi="宋体" w:eastAsia="宋体" w:cs="宋体"/>
                <w:color w:val="auto"/>
                <w:sz w:val="21"/>
                <w:szCs w:val="24"/>
                <w:highlight w:val="none"/>
              </w:rPr>
            </w:pPr>
          </w:p>
          <w:p w14:paraId="0C1604ED">
            <w:pPr>
              <w:spacing w:line="260" w:lineRule="auto"/>
              <w:rPr>
                <w:rFonts w:hint="eastAsia" w:ascii="宋体" w:hAnsi="宋体" w:eastAsia="宋体" w:cs="宋体"/>
                <w:color w:val="auto"/>
                <w:sz w:val="21"/>
                <w:szCs w:val="24"/>
                <w:highlight w:val="none"/>
              </w:rPr>
            </w:pPr>
          </w:p>
          <w:p w14:paraId="06671957">
            <w:pPr>
              <w:spacing w:before="68" w:line="217"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投标预备会</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top"/>
          </w:tcPr>
          <w:p w14:paraId="0DD7DE6F">
            <w:pPr>
              <w:pStyle w:val="11"/>
              <w:spacing w:before="62" w:beforeLines="20" w:after="62" w:afterLines="20"/>
              <w:ind w:left="48" w:leftChars="20" w:right="48" w:rightChars="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☑不召开</w:t>
            </w:r>
          </w:p>
          <w:p w14:paraId="17A3F191">
            <w:pPr>
              <w:spacing w:before="62" w:beforeLines="20" w:after="62" w:afterLines="20"/>
              <w:ind w:left="48" w:leftChars="20" w:right="48" w:rightChars="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sym w:font="Wingdings 2" w:char="00A3"/>
            </w:r>
            <w:r>
              <w:rPr>
                <w:rFonts w:hint="eastAsia" w:ascii="宋体" w:hAnsi="宋体" w:eastAsia="宋体" w:cs="宋体"/>
                <w:color w:val="auto"/>
                <w:sz w:val="21"/>
                <w:szCs w:val="21"/>
                <w:highlight w:val="none"/>
              </w:rPr>
              <w:t>召开，召开时间：</w:t>
            </w:r>
          </w:p>
          <w:p w14:paraId="711E2877">
            <w:pPr>
              <w:spacing w:before="173"/>
              <w:ind w:right="50" w:firstLine="840" w:firstLineChars="400"/>
              <w:rPr>
                <w:rFonts w:hint="eastAsia" w:ascii="宋体" w:hAnsi="宋体" w:eastAsia="宋体" w:cs="宋体"/>
                <w:color w:val="auto"/>
                <w:sz w:val="21"/>
                <w:szCs w:val="24"/>
                <w:highlight w:val="none"/>
              </w:rPr>
            </w:pPr>
            <w:r>
              <w:rPr>
                <w:rFonts w:hint="eastAsia" w:ascii="宋体" w:hAnsi="宋体" w:eastAsia="宋体" w:cs="宋体"/>
                <w:color w:val="auto"/>
                <w:sz w:val="21"/>
                <w:szCs w:val="21"/>
                <w:highlight w:val="none"/>
              </w:rPr>
              <w:t>召开地点：</w:t>
            </w:r>
          </w:p>
        </w:tc>
      </w:tr>
      <w:tr w14:paraId="6CD54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217"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3B568FF9">
            <w:pPr>
              <w:spacing w:before="60" w:line="186" w:lineRule="auto"/>
              <w:jc w:val="center"/>
              <w:rPr>
                <w:rFonts w:hint="eastAsia" w:ascii="宋体" w:hAnsi="宋体" w:eastAsia="宋体" w:cs="宋体"/>
                <w:color w:val="auto"/>
                <w:spacing w:val="-5"/>
                <w:sz w:val="21"/>
                <w:szCs w:val="21"/>
                <w:highlight w:val="none"/>
              </w:rPr>
            </w:pPr>
            <w:r>
              <w:rPr>
                <w:rFonts w:hint="eastAsia" w:ascii="宋体" w:hAnsi="宋体" w:eastAsia="宋体" w:cs="宋体"/>
                <w:color w:val="auto"/>
                <w:spacing w:val="-5"/>
                <w:sz w:val="21"/>
                <w:szCs w:val="21"/>
                <w:highlight w:val="none"/>
              </w:rPr>
              <w:t>1.10.2</w:t>
            </w:r>
          </w:p>
        </w:tc>
        <w:tc>
          <w:tcPr>
            <w:tcW w:w="2607"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00B9D7BD">
            <w:pPr>
              <w:spacing w:before="68" w:line="217" w:lineRule="auto"/>
              <w:rPr>
                <w:rFonts w:hint="eastAsia" w:ascii="宋体" w:hAnsi="宋体" w:eastAsia="宋体" w:cs="宋体"/>
                <w:color w:val="auto"/>
                <w:spacing w:val="-2"/>
                <w:sz w:val="21"/>
                <w:szCs w:val="21"/>
                <w:highlight w:val="none"/>
              </w:rPr>
            </w:pPr>
            <w:r>
              <w:rPr>
                <w:rFonts w:hint="eastAsia" w:ascii="宋体" w:hAnsi="宋体" w:eastAsia="宋体" w:cs="宋体"/>
                <w:color w:val="auto"/>
                <w:sz w:val="21"/>
                <w:szCs w:val="21"/>
                <w:highlight w:val="none"/>
              </w:rPr>
              <w:t>投标人在投标预备会前提出问题</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FC38ED6">
            <w:pPr>
              <w:autoSpaceDE/>
              <w:autoSpaceDN/>
              <w:adjustRightInd/>
              <w:spacing w:before="63" w:beforeLines="20" w:after="63" w:afterLines="20"/>
              <w:ind w:left="48" w:leftChars="20" w:right="48" w:rightChars="20"/>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时间：</w:t>
            </w:r>
            <w:r>
              <w:rPr>
                <w:rFonts w:hint="eastAsia" w:ascii="宋体" w:hAnsi="宋体" w:eastAsia="宋体" w:cs="宋体"/>
                <w:color w:val="auto"/>
                <w:sz w:val="21"/>
                <w:szCs w:val="21"/>
                <w:highlight w:val="none"/>
                <w:lang w:val="en-US" w:eastAsia="zh-CN"/>
              </w:rPr>
              <w:t xml:space="preserve"> /</w:t>
            </w:r>
          </w:p>
        </w:tc>
      </w:tr>
      <w:tr w14:paraId="4D6CC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21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5F1124C">
            <w:pPr>
              <w:pStyle w:val="34"/>
              <w:kinsoku w:val="0"/>
              <w:overflowPunct w:val="0"/>
              <w:jc w:val="center"/>
              <w:rPr>
                <w:rFonts w:hint="eastAsia" w:ascii="宋体" w:hAnsi="宋体" w:eastAsia="宋体" w:cs="宋体"/>
                <w:color w:val="auto"/>
                <w:sz w:val="21"/>
                <w:szCs w:val="24"/>
                <w:highlight w:val="none"/>
              </w:rPr>
            </w:pPr>
          </w:p>
        </w:tc>
        <w:tc>
          <w:tcPr>
            <w:tcW w:w="260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A52EEB5">
            <w:pPr>
              <w:pStyle w:val="34"/>
              <w:kinsoku w:val="0"/>
              <w:overflowPunct w:val="0"/>
              <w:jc w:val="both"/>
              <w:rPr>
                <w:rFonts w:hint="eastAsia" w:ascii="宋体" w:hAnsi="宋体" w:eastAsia="宋体" w:cs="宋体"/>
                <w:color w:val="auto"/>
                <w:sz w:val="21"/>
                <w:szCs w:val="24"/>
                <w:highlight w:val="none"/>
              </w:rPr>
            </w:pP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01E5579">
            <w:pPr>
              <w:autoSpaceDE/>
              <w:autoSpaceDN/>
              <w:adjustRightInd/>
              <w:spacing w:before="63" w:beforeLines="20" w:after="63" w:afterLines="20"/>
              <w:ind w:left="48" w:leftChars="20" w:right="48" w:rightChars="20"/>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形式：</w:t>
            </w:r>
            <w:r>
              <w:rPr>
                <w:rFonts w:hint="eastAsia" w:ascii="宋体" w:hAnsi="宋体" w:eastAsia="宋体" w:cs="宋体"/>
                <w:color w:val="auto"/>
                <w:sz w:val="21"/>
                <w:szCs w:val="21"/>
                <w:highlight w:val="none"/>
                <w:lang w:val="en-US" w:eastAsia="zh-CN"/>
              </w:rPr>
              <w:t xml:space="preserve"> /</w:t>
            </w:r>
          </w:p>
        </w:tc>
      </w:tr>
      <w:tr w14:paraId="0D367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3682C49">
            <w:pPr>
              <w:spacing w:before="62" w:beforeLines="20" w:after="62" w:afterLines="20"/>
              <w:ind w:left="48" w:leftChars="20" w:right="48" w:rightChars="20"/>
              <w:jc w:val="center"/>
              <w:rPr>
                <w:rFonts w:hint="eastAsia" w:ascii="宋体" w:hAnsi="宋体" w:eastAsia="宋体" w:cs="宋体"/>
                <w:snapToGrid w:val="0"/>
                <w:color w:val="auto"/>
                <w:sz w:val="21"/>
                <w:szCs w:val="21"/>
                <w:highlight w:val="none"/>
              </w:rPr>
            </w:pPr>
            <w:r>
              <w:rPr>
                <w:rFonts w:hint="eastAsia" w:ascii="宋体" w:hAnsi="宋体" w:eastAsia="宋体" w:cs="宋体"/>
                <w:color w:val="auto"/>
                <w:spacing w:val="-5"/>
                <w:sz w:val="21"/>
                <w:szCs w:val="21"/>
                <w:highlight w:val="none"/>
              </w:rPr>
              <w:t>1.10.3</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600686F">
            <w:pPr>
              <w:spacing w:before="62" w:beforeLines="20" w:after="62" w:afterLines="20"/>
              <w:ind w:left="48" w:leftChars="20" w:right="48" w:rightChars="20"/>
              <w:rPr>
                <w:rFonts w:hint="eastAsia" w:ascii="宋体" w:hAnsi="宋体" w:eastAsia="宋体" w:cs="宋体"/>
                <w:snapToGrid w:val="0"/>
                <w:color w:val="auto"/>
                <w:sz w:val="21"/>
                <w:szCs w:val="21"/>
                <w:highlight w:val="none"/>
              </w:rPr>
            </w:pPr>
            <w:r>
              <w:rPr>
                <w:rFonts w:hint="eastAsia" w:ascii="宋体" w:hAnsi="宋体" w:eastAsia="宋体" w:cs="宋体"/>
                <w:color w:val="auto"/>
                <w:sz w:val="21"/>
                <w:szCs w:val="21"/>
                <w:highlight w:val="none"/>
              </w:rPr>
              <w:t>招标文件澄清发出的形式</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0B6670A">
            <w:pPr>
              <w:autoSpaceDE/>
              <w:autoSpaceDN/>
              <w:adjustRightInd/>
              <w:spacing w:before="63" w:beforeLines="20" w:after="63" w:afterLines="20"/>
              <w:ind w:left="48" w:leftChars="20" w:right="48" w:rightChars="2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w:t>
            </w:r>
          </w:p>
        </w:tc>
      </w:tr>
      <w:tr w14:paraId="0DD7D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DDC0F13">
            <w:pPr>
              <w:pStyle w:val="34"/>
              <w:kinsoku w:val="0"/>
              <w:overflowPunct w:val="0"/>
              <w:jc w:val="center"/>
              <w:rPr>
                <w:rFonts w:hint="eastAsia" w:ascii="宋体" w:hAnsi="宋体" w:eastAsia="宋体" w:cs="宋体"/>
                <w:b/>
                <w:color w:val="auto"/>
                <w:sz w:val="21"/>
                <w:szCs w:val="21"/>
                <w:highlight w:val="none"/>
              </w:rPr>
            </w:pPr>
            <w:r>
              <w:rPr>
                <w:rFonts w:hint="eastAsia" w:ascii="宋体" w:hAnsi="宋体" w:eastAsia="宋体" w:cs="宋体"/>
                <w:color w:val="auto"/>
                <w:sz w:val="21"/>
                <w:szCs w:val="24"/>
                <w:highlight w:val="none"/>
              </w:rPr>
              <w:t>1.12.1</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D685A1C">
            <w:pPr>
              <w:pStyle w:val="34"/>
              <w:kinsoku w:val="0"/>
              <w:overflowPunct w:val="0"/>
              <w:jc w:val="both"/>
              <w:rPr>
                <w:rFonts w:hint="eastAsia" w:ascii="宋体" w:hAnsi="宋体" w:eastAsia="宋体" w:cs="宋体"/>
                <w:b/>
                <w:color w:val="auto"/>
                <w:sz w:val="21"/>
                <w:szCs w:val="21"/>
                <w:highlight w:val="none"/>
              </w:rPr>
            </w:pPr>
            <w:r>
              <w:rPr>
                <w:rFonts w:hint="eastAsia" w:ascii="宋体" w:hAnsi="宋体" w:eastAsia="宋体" w:cs="宋体"/>
                <w:color w:val="auto"/>
                <w:sz w:val="21"/>
                <w:szCs w:val="24"/>
                <w:highlight w:val="none"/>
              </w:rPr>
              <w:t>实质性要求和条件</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255AA21">
            <w:pPr>
              <w:ind w:firstLine="420" w:firstLineChars="200"/>
              <w:jc w:val="both"/>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lang w:val="en-US" w:eastAsia="zh-CN"/>
              </w:rPr>
              <w:t>/</w:t>
            </w:r>
          </w:p>
        </w:tc>
      </w:tr>
      <w:tr w14:paraId="00884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426D085">
            <w:pPr>
              <w:pStyle w:val="34"/>
              <w:kinsoku w:val="0"/>
              <w:overflowPunct w:val="0"/>
              <w:jc w:val="center"/>
              <w:rPr>
                <w:rFonts w:hint="eastAsia" w:ascii="宋体" w:hAnsi="宋体" w:eastAsia="宋体" w:cs="宋体"/>
                <w:b/>
                <w:color w:val="auto"/>
                <w:sz w:val="21"/>
                <w:szCs w:val="21"/>
                <w:highlight w:val="none"/>
              </w:rPr>
            </w:pPr>
            <w:r>
              <w:rPr>
                <w:rFonts w:hint="eastAsia" w:ascii="宋体" w:hAnsi="宋体" w:eastAsia="宋体" w:cs="宋体"/>
                <w:color w:val="auto"/>
                <w:sz w:val="21"/>
                <w:szCs w:val="24"/>
                <w:highlight w:val="none"/>
              </w:rPr>
              <w:t>1.12.3</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29334A8">
            <w:pPr>
              <w:pStyle w:val="34"/>
              <w:kinsoku w:val="0"/>
              <w:overflowPunct w:val="0"/>
              <w:jc w:val="both"/>
              <w:rPr>
                <w:rFonts w:hint="eastAsia" w:ascii="宋体" w:hAnsi="宋体" w:eastAsia="宋体" w:cs="宋体"/>
                <w:b/>
                <w:color w:val="auto"/>
                <w:sz w:val="21"/>
                <w:szCs w:val="21"/>
                <w:highlight w:val="none"/>
              </w:rPr>
            </w:pPr>
            <w:r>
              <w:rPr>
                <w:rFonts w:hint="eastAsia" w:ascii="宋体" w:hAnsi="宋体" w:eastAsia="宋体" w:cs="宋体"/>
                <w:color w:val="auto"/>
                <w:sz w:val="21"/>
                <w:szCs w:val="24"/>
                <w:highlight w:val="none"/>
              </w:rPr>
              <w:t>偏差</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F70EC6B">
            <w:pPr>
              <w:pStyle w:val="34"/>
              <w:kinsoku w:val="0"/>
              <w:overflowPunct w:val="0"/>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sym w:font="Wingdings 2" w:char="0052"/>
            </w:r>
            <w:r>
              <w:rPr>
                <w:rFonts w:hint="eastAsia" w:ascii="宋体" w:hAnsi="宋体" w:eastAsia="宋体" w:cs="宋体"/>
                <w:color w:val="auto"/>
                <w:sz w:val="21"/>
                <w:szCs w:val="24"/>
                <w:highlight w:val="none"/>
              </w:rPr>
              <w:t>不允许</w:t>
            </w:r>
          </w:p>
          <w:p w14:paraId="41778D16">
            <w:pPr>
              <w:pStyle w:val="34"/>
              <w:kinsoku w:val="0"/>
              <w:overflowPunct w:val="0"/>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sym w:font="Wingdings 2" w:char="00A3"/>
            </w:r>
            <w:r>
              <w:rPr>
                <w:rFonts w:hint="eastAsia" w:ascii="宋体" w:hAnsi="宋体" w:eastAsia="宋体" w:cs="宋体"/>
                <w:color w:val="auto"/>
                <w:sz w:val="21"/>
                <w:szCs w:val="24"/>
                <w:highlight w:val="none"/>
              </w:rPr>
              <w:t>允许，偏差范围：</w:t>
            </w:r>
          </w:p>
          <w:p w14:paraId="3520259B">
            <w:pPr>
              <w:pStyle w:val="34"/>
              <w:kinsoku w:val="0"/>
              <w:overflowPunct w:val="0"/>
              <w:jc w:val="both"/>
              <w:rPr>
                <w:rFonts w:hint="eastAsia" w:ascii="宋体" w:hAnsi="宋体" w:eastAsia="宋体" w:cs="宋体"/>
                <w:b/>
                <w:color w:val="auto"/>
                <w:sz w:val="21"/>
                <w:szCs w:val="21"/>
                <w:highlight w:val="none"/>
              </w:rPr>
            </w:pPr>
            <w:r>
              <w:rPr>
                <w:rFonts w:hint="eastAsia" w:ascii="宋体" w:hAnsi="宋体" w:eastAsia="宋体" w:cs="宋体"/>
                <w:color w:val="auto"/>
                <w:sz w:val="21"/>
                <w:szCs w:val="24"/>
                <w:highlight w:val="none"/>
              </w:rPr>
              <w:t>偏差幅度：</w:t>
            </w:r>
          </w:p>
        </w:tc>
      </w:tr>
      <w:tr w14:paraId="78CC4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EFFC453">
            <w:pPr>
              <w:pStyle w:val="34"/>
              <w:kinsoku w:val="0"/>
              <w:overflowPunct w:val="0"/>
              <w:jc w:val="center"/>
              <w:rPr>
                <w:rFonts w:hint="eastAsia" w:ascii="宋体" w:hAnsi="宋体" w:eastAsia="宋体" w:cs="宋体"/>
                <w:b/>
                <w:color w:val="auto"/>
                <w:sz w:val="21"/>
                <w:szCs w:val="21"/>
                <w:highlight w:val="none"/>
              </w:rPr>
            </w:pPr>
            <w:r>
              <w:rPr>
                <w:rFonts w:hint="eastAsia" w:ascii="宋体" w:hAnsi="宋体" w:eastAsia="宋体" w:cs="宋体"/>
                <w:color w:val="auto"/>
                <w:sz w:val="21"/>
                <w:szCs w:val="24"/>
                <w:highlight w:val="none"/>
              </w:rPr>
              <w:t>2.1</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238B2AA">
            <w:pPr>
              <w:pStyle w:val="34"/>
              <w:kinsoku w:val="0"/>
              <w:overflowPunct w:val="0"/>
              <w:jc w:val="both"/>
              <w:rPr>
                <w:rFonts w:hint="eastAsia" w:ascii="宋体" w:hAnsi="宋体" w:eastAsia="宋体" w:cs="宋体"/>
                <w:b/>
                <w:color w:val="auto"/>
                <w:sz w:val="21"/>
                <w:szCs w:val="21"/>
                <w:highlight w:val="none"/>
              </w:rPr>
            </w:pPr>
            <w:r>
              <w:rPr>
                <w:rFonts w:hint="eastAsia" w:ascii="宋体" w:hAnsi="宋体" w:eastAsia="宋体" w:cs="宋体"/>
                <w:color w:val="auto"/>
                <w:sz w:val="21"/>
                <w:szCs w:val="24"/>
                <w:highlight w:val="none"/>
              </w:rPr>
              <w:t>构成招标文件的其他资料</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D0D6FAF">
            <w:pPr>
              <w:jc w:val="both"/>
              <w:rPr>
                <w:rFonts w:hint="eastAsia" w:ascii="宋体" w:hAnsi="宋体" w:eastAsia="宋体" w:cs="宋体"/>
                <w:b/>
                <w:color w:val="auto"/>
                <w:sz w:val="21"/>
                <w:szCs w:val="21"/>
                <w:highlight w:val="none"/>
              </w:rPr>
            </w:pPr>
            <w:r>
              <w:rPr>
                <w:rFonts w:hint="eastAsia" w:ascii="宋体" w:hAnsi="宋体" w:cs="宋体"/>
                <w:sz w:val="24"/>
                <w:szCs w:val="24"/>
                <w:highlight w:val="none"/>
              </w:rPr>
              <w:t>/</w:t>
            </w:r>
          </w:p>
        </w:tc>
      </w:tr>
      <w:tr w14:paraId="2088B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EF705E7">
            <w:pPr>
              <w:spacing w:before="60" w:line="186" w:lineRule="auto"/>
              <w:jc w:val="center"/>
              <w:rPr>
                <w:rFonts w:hint="eastAsia" w:ascii="宋体" w:hAnsi="宋体" w:eastAsia="宋体" w:cs="宋体"/>
                <w:color w:val="auto"/>
                <w:sz w:val="21"/>
                <w:szCs w:val="24"/>
                <w:highlight w:val="none"/>
              </w:rPr>
            </w:pPr>
            <w:r>
              <w:rPr>
                <w:rFonts w:hint="eastAsia" w:ascii="宋体" w:hAnsi="宋体" w:eastAsia="宋体" w:cs="宋体"/>
                <w:color w:val="auto"/>
                <w:spacing w:val="-1"/>
                <w:sz w:val="21"/>
                <w:szCs w:val="21"/>
                <w:highlight w:val="none"/>
              </w:rPr>
              <w:t>2.2</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8FEDB7B">
            <w:pPr>
              <w:spacing w:line="272" w:lineRule="auto"/>
              <w:jc w:val="center"/>
              <w:rPr>
                <w:rFonts w:hint="eastAsia" w:ascii="宋体" w:hAnsi="宋体" w:cs="宋体"/>
                <w:color w:val="auto"/>
                <w:sz w:val="21"/>
                <w:szCs w:val="24"/>
                <w:highlight w:val="none"/>
              </w:rPr>
            </w:pPr>
          </w:p>
          <w:p w14:paraId="14EBC00E">
            <w:pPr>
              <w:spacing w:before="69" w:line="220" w:lineRule="auto"/>
              <w:jc w:val="center"/>
              <w:rPr>
                <w:rFonts w:hint="eastAsia" w:ascii="宋体" w:hAnsi="宋体" w:cs="宋体"/>
                <w:color w:val="auto"/>
                <w:sz w:val="21"/>
                <w:szCs w:val="24"/>
                <w:highlight w:val="none"/>
                <w:lang w:eastAsia="zh-CN"/>
              </w:rPr>
            </w:pPr>
            <w:r>
              <w:rPr>
                <w:rFonts w:hint="eastAsia" w:ascii="宋体" w:hAnsi="宋体" w:eastAsia="宋体" w:cs="宋体"/>
                <w:color w:val="auto"/>
                <w:sz w:val="21"/>
                <w:szCs w:val="24"/>
                <w:highlight w:val="none"/>
                <w:lang w:eastAsia="zh-CN"/>
              </w:rPr>
              <w:t>招标答疑</w:t>
            </w:r>
          </w:p>
          <w:p w14:paraId="2FDFBE42">
            <w:pPr>
              <w:jc w:val="center"/>
              <w:rPr>
                <w:rFonts w:hint="eastAsia" w:ascii="宋体" w:hAnsi="宋体" w:cs="宋体"/>
                <w:color w:val="auto"/>
                <w:sz w:val="21"/>
                <w:szCs w:val="24"/>
                <w:highlight w:val="none"/>
                <w:lang w:eastAsia="zh-CN"/>
              </w:rPr>
            </w:pPr>
          </w:p>
          <w:p w14:paraId="693BD88C">
            <w:pPr>
              <w:tabs>
                <w:tab w:val="left" w:pos="1103"/>
              </w:tabs>
              <w:jc w:val="center"/>
              <w:rPr>
                <w:rFonts w:hint="eastAsia" w:ascii="宋体" w:hAnsi="宋体" w:eastAsia="宋体" w:cs="宋体"/>
                <w:color w:val="auto"/>
                <w:sz w:val="21"/>
                <w:szCs w:val="24"/>
                <w:highlight w:val="none"/>
              </w:rPr>
            </w:pP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top"/>
          </w:tcPr>
          <w:p w14:paraId="26740510">
            <w:pPr>
              <w:spacing w:before="156" w:beforeLines="50"/>
              <w:ind w:left="113" w:leftChars="4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疑问提交时间：</w:t>
            </w:r>
            <w:r>
              <w:rPr>
                <w:rFonts w:hint="eastAsia" w:ascii="宋体" w:hAnsi="宋体" w:eastAsia="宋体" w:cs="宋体"/>
                <w:color w:val="auto"/>
                <w:sz w:val="21"/>
                <w:szCs w:val="21"/>
                <w:highlight w:val="none"/>
                <w:u w:val="single"/>
              </w:rPr>
              <w:t>在提交投标文件截止时间18天前提出。</w:t>
            </w:r>
          </w:p>
          <w:p w14:paraId="5672C331">
            <w:pPr>
              <w:spacing w:before="156" w:beforeLines="50"/>
              <w:ind w:left="113" w:leftChars="4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形式：投标人的疑问通过</w:t>
            </w:r>
            <w:r>
              <w:rPr>
                <w:rFonts w:hint="eastAsia" w:ascii="宋体" w:hAnsi="宋体" w:cs="宋体"/>
                <w:color w:val="auto"/>
                <w:sz w:val="21"/>
                <w:szCs w:val="21"/>
                <w:highlight w:val="none"/>
                <w:lang w:eastAsia="zh-CN"/>
              </w:rPr>
              <w:t>广州交易集团有限公司（广州公共资源交易中心）</w:t>
            </w:r>
            <w:r>
              <w:rPr>
                <w:rFonts w:hint="eastAsia" w:ascii="宋体" w:hAnsi="宋体" w:eastAsia="宋体" w:cs="宋体"/>
                <w:color w:val="auto"/>
                <w:sz w:val="21"/>
                <w:szCs w:val="21"/>
                <w:highlight w:val="none"/>
                <w:lang w:eastAsia="zh-CN"/>
              </w:rPr>
              <w:t>网站</w:t>
            </w:r>
            <w:r>
              <w:rPr>
                <w:rFonts w:hint="eastAsia" w:ascii="宋体" w:hAnsi="宋体" w:eastAsia="宋体" w:cs="宋体"/>
                <w:color w:val="auto"/>
                <w:sz w:val="21"/>
                <w:szCs w:val="21"/>
                <w:highlight w:val="none"/>
              </w:rPr>
              <w:t>提交。</w:t>
            </w:r>
          </w:p>
          <w:p w14:paraId="4ECADCBA">
            <w:pPr>
              <w:spacing w:before="156" w:beforeLines="50"/>
              <w:ind w:left="113" w:leftChars="47"/>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具体要求：按照</w:t>
            </w:r>
            <w:r>
              <w:rPr>
                <w:rFonts w:hint="eastAsia" w:ascii="宋体" w:hAnsi="宋体" w:cs="宋体"/>
                <w:color w:val="auto"/>
                <w:sz w:val="21"/>
                <w:szCs w:val="21"/>
                <w:highlight w:val="none"/>
                <w:lang w:eastAsia="zh-CN"/>
              </w:rPr>
              <w:t>广州交易集团有限公司（广州公共资源交易中心）</w:t>
            </w:r>
            <w:r>
              <w:rPr>
                <w:rFonts w:hint="eastAsia" w:ascii="宋体" w:hAnsi="宋体" w:eastAsia="宋体" w:cs="宋体"/>
                <w:color w:val="auto"/>
                <w:sz w:val="21"/>
                <w:szCs w:val="21"/>
                <w:highlight w:val="none"/>
                <w:lang w:eastAsia="zh-CN"/>
              </w:rPr>
              <w:t>网站</w:t>
            </w:r>
            <w:r>
              <w:rPr>
                <w:rFonts w:hint="eastAsia" w:ascii="宋体" w:hAnsi="宋体" w:eastAsia="宋体" w:cs="宋体"/>
                <w:color w:val="auto"/>
                <w:sz w:val="21"/>
                <w:szCs w:val="21"/>
                <w:highlight w:val="none"/>
              </w:rPr>
              <w:t>关于全流程电子化项目的相关指南进行操作，提问一律不得署名。</w:t>
            </w:r>
          </w:p>
        </w:tc>
      </w:tr>
      <w:tr w14:paraId="1E411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8839598">
            <w:pPr>
              <w:spacing w:before="209" w:line="186" w:lineRule="auto"/>
              <w:jc w:val="center"/>
              <w:rPr>
                <w:rFonts w:hint="eastAsia" w:ascii="宋体" w:hAnsi="宋体" w:eastAsia="宋体" w:cs="宋体"/>
                <w:color w:val="auto"/>
                <w:sz w:val="21"/>
                <w:szCs w:val="24"/>
                <w:highlight w:val="none"/>
              </w:rPr>
            </w:pPr>
            <w:r>
              <w:rPr>
                <w:rFonts w:hint="eastAsia" w:ascii="宋体" w:hAnsi="宋体" w:eastAsia="宋体" w:cs="宋体"/>
                <w:color w:val="auto"/>
                <w:spacing w:val="-1"/>
                <w:sz w:val="21"/>
                <w:szCs w:val="21"/>
                <w:highlight w:val="none"/>
              </w:rPr>
              <w:t>2.3</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C727F8F">
            <w:pPr>
              <w:spacing w:before="170" w:line="220" w:lineRule="auto"/>
              <w:jc w:val="center"/>
              <w:rPr>
                <w:rFonts w:hint="eastAsia" w:ascii="宋体" w:hAnsi="宋体" w:eastAsia="宋体" w:cs="宋体"/>
                <w:color w:val="auto"/>
                <w:sz w:val="21"/>
                <w:szCs w:val="24"/>
                <w:highlight w:val="none"/>
              </w:rPr>
            </w:pPr>
            <w:r>
              <w:rPr>
                <w:rFonts w:hint="eastAsia" w:ascii="宋体" w:hAnsi="宋体" w:eastAsia="宋体" w:cs="宋体"/>
                <w:color w:val="auto"/>
                <w:spacing w:val="-1"/>
                <w:sz w:val="21"/>
                <w:szCs w:val="21"/>
                <w:highlight w:val="none"/>
              </w:rPr>
              <w:t>招标文件</w:t>
            </w:r>
            <w:r>
              <w:rPr>
                <w:rFonts w:hint="eastAsia" w:ascii="宋体" w:hAnsi="宋体" w:eastAsia="宋体" w:cs="宋体"/>
                <w:color w:val="auto"/>
                <w:spacing w:val="-1"/>
                <w:sz w:val="21"/>
                <w:szCs w:val="21"/>
                <w:highlight w:val="none"/>
                <w:lang w:eastAsia="zh-CN"/>
              </w:rPr>
              <w:t>的澄清和</w:t>
            </w:r>
            <w:r>
              <w:rPr>
                <w:rFonts w:hint="eastAsia" w:ascii="宋体" w:hAnsi="宋体" w:eastAsia="宋体" w:cs="宋体"/>
                <w:color w:val="auto"/>
                <w:spacing w:val="-1"/>
                <w:sz w:val="21"/>
                <w:szCs w:val="21"/>
                <w:highlight w:val="none"/>
              </w:rPr>
              <w:t>修改</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584218F">
            <w:pPr>
              <w:ind w:left="91" w:leftChars="38"/>
              <w:jc w:val="both"/>
              <w:rPr>
                <w:rFonts w:hint="eastAsia" w:ascii="宋体" w:hAnsi="宋体" w:eastAsia="宋体" w:cs="宋体"/>
                <w:b/>
                <w:color w:val="auto"/>
                <w:sz w:val="21"/>
                <w:szCs w:val="21"/>
                <w:highlight w:val="none"/>
              </w:rPr>
            </w:pPr>
            <w:r>
              <w:rPr>
                <w:rFonts w:hint="eastAsia" w:ascii="宋体" w:hAnsi="宋体" w:eastAsia="宋体" w:cs="宋体"/>
                <w:color w:val="auto"/>
                <w:sz w:val="21"/>
                <w:szCs w:val="24"/>
                <w:highlight w:val="none"/>
              </w:rPr>
              <w:t>招标文件的修改期限：在投标截止时间</w:t>
            </w:r>
            <w:r>
              <w:rPr>
                <w:rFonts w:hint="eastAsia" w:ascii="宋体" w:hAnsi="宋体" w:eastAsia="宋体" w:cs="宋体"/>
                <w:color w:val="auto"/>
                <w:sz w:val="21"/>
                <w:szCs w:val="24"/>
                <w:highlight w:val="none"/>
                <w:u w:val="single"/>
              </w:rPr>
              <w:t xml:space="preserve"> </w:t>
            </w:r>
            <w:r>
              <w:rPr>
                <w:rFonts w:hint="eastAsia" w:ascii="宋体" w:hAnsi="宋体" w:eastAsia="宋体" w:cs="宋体"/>
                <w:color w:val="auto"/>
                <w:sz w:val="21"/>
                <w:szCs w:val="24"/>
                <w:highlight w:val="none"/>
                <w:u w:val="single"/>
                <w:lang w:val="en-US" w:eastAsia="zh-CN"/>
              </w:rPr>
              <w:t>15</w:t>
            </w:r>
            <w:r>
              <w:rPr>
                <w:rFonts w:hint="eastAsia" w:ascii="宋体" w:hAnsi="宋体" w:eastAsia="宋体" w:cs="宋体"/>
                <w:color w:val="auto"/>
                <w:sz w:val="21"/>
                <w:szCs w:val="24"/>
                <w:highlight w:val="none"/>
                <w:u w:val="single"/>
              </w:rPr>
              <w:t xml:space="preserve"> </w:t>
            </w:r>
            <w:r>
              <w:rPr>
                <w:rFonts w:hint="eastAsia" w:ascii="宋体" w:hAnsi="宋体" w:eastAsia="宋体" w:cs="宋体"/>
                <w:color w:val="auto"/>
                <w:sz w:val="21"/>
                <w:szCs w:val="24"/>
                <w:highlight w:val="none"/>
              </w:rPr>
              <w:t>天前</w:t>
            </w:r>
          </w:p>
        </w:tc>
      </w:tr>
      <w:tr w14:paraId="1A760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9B71B71">
            <w:pPr>
              <w:pStyle w:val="34"/>
              <w:kinsoku w:val="0"/>
              <w:overflowPunct w:val="0"/>
              <w:jc w:val="center"/>
              <w:rPr>
                <w:rFonts w:hint="eastAsia" w:ascii="宋体" w:hAnsi="宋体" w:eastAsia="宋体" w:cs="宋体"/>
                <w:b/>
                <w:color w:val="auto"/>
                <w:sz w:val="21"/>
                <w:szCs w:val="21"/>
                <w:highlight w:val="none"/>
              </w:rPr>
            </w:pPr>
            <w:r>
              <w:rPr>
                <w:rFonts w:hint="eastAsia" w:ascii="宋体" w:hAnsi="宋体" w:eastAsia="宋体" w:cs="宋体"/>
                <w:color w:val="auto"/>
                <w:sz w:val="21"/>
                <w:szCs w:val="24"/>
                <w:highlight w:val="none"/>
              </w:rPr>
              <w:t>3.1.1</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6BAE01C">
            <w:pPr>
              <w:pStyle w:val="34"/>
              <w:kinsoku w:val="0"/>
              <w:overflowPunct w:val="0"/>
              <w:jc w:val="both"/>
              <w:rPr>
                <w:rFonts w:hint="eastAsia" w:ascii="宋体" w:hAnsi="宋体" w:eastAsia="宋体" w:cs="宋体"/>
                <w:b/>
                <w:color w:val="auto"/>
                <w:sz w:val="21"/>
                <w:szCs w:val="21"/>
                <w:highlight w:val="none"/>
              </w:rPr>
            </w:pPr>
            <w:r>
              <w:rPr>
                <w:rFonts w:hint="eastAsia" w:ascii="宋体" w:hAnsi="宋体" w:eastAsia="宋体" w:cs="宋体"/>
                <w:color w:val="auto"/>
                <w:sz w:val="21"/>
                <w:szCs w:val="24"/>
                <w:highlight w:val="none"/>
              </w:rPr>
              <w:t>构成投标文件的其他资料</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F93E6CC">
            <w:pPr>
              <w:jc w:val="both"/>
              <w:rPr>
                <w:rFonts w:hint="eastAsia" w:ascii="宋体" w:hAnsi="宋体" w:eastAsia="宋体" w:cs="宋体"/>
                <w:b/>
                <w:color w:val="auto"/>
                <w:sz w:val="21"/>
                <w:szCs w:val="21"/>
                <w:highlight w:val="none"/>
              </w:rPr>
            </w:pPr>
            <w:r>
              <w:rPr>
                <w:rFonts w:hint="eastAsia" w:ascii="宋体" w:hAnsi="宋体" w:eastAsia="宋体" w:cs="宋体"/>
                <w:color w:val="auto"/>
                <w:spacing w:val="-1"/>
                <w:sz w:val="21"/>
                <w:szCs w:val="21"/>
                <w:highlight w:val="none"/>
                <w:lang w:val="en-US" w:eastAsia="zh-CN"/>
              </w:rPr>
              <w:t>满足本项目评审要求的其他资料。</w:t>
            </w:r>
          </w:p>
        </w:tc>
      </w:tr>
      <w:tr w14:paraId="4639B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E69F805">
            <w:pPr>
              <w:pStyle w:val="34"/>
              <w:kinsoku w:val="0"/>
              <w:overflowPunct w:val="0"/>
              <w:jc w:val="center"/>
              <w:rPr>
                <w:rFonts w:hint="eastAsia" w:ascii="宋体" w:hAnsi="宋体" w:eastAsia="宋体" w:cs="宋体"/>
                <w:b/>
                <w:color w:val="auto"/>
                <w:sz w:val="21"/>
                <w:szCs w:val="21"/>
                <w:highlight w:val="none"/>
              </w:rPr>
            </w:pPr>
            <w:r>
              <w:rPr>
                <w:rFonts w:hint="eastAsia" w:ascii="宋体" w:hAnsi="宋体" w:eastAsia="宋体" w:cs="宋体"/>
                <w:color w:val="auto"/>
                <w:sz w:val="21"/>
                <w:szCs w:val="24"/>
                <w:highlight w:val="none"/>
              </w:rPr>
              <w:t>3.2.1</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16AC801">
            <w:pPr>
              <w:pStyle w:val="34"/>
              <w:kinsoku w:val="0"/>
              <w:overflowPunct w:val="0"/>
              <w:jc w:val="both"/>
              <w:rPr>
                <w:rFonts w:hint="eastAsia" w:ascii="宋体" w:hAnsi="宋体" w:eastAsia="宋体" w:cs="宋体"/>
                <w:b w:val="0"/>
                <w:color w:val="auto"/>
                <w:spacing w:val="-1"/>
                <w:sz w:val="21"/>
                <w:szCs w:val="21"/>
                <w:highlight w:val="none"/>
                <w:lang w:val="en-US" w:eastAsia="zh-CN"/>
              </w:rPr>
            </w:pPr>
            <w:r>
              <w:rPr>
                <w:rFonts w:hint="eastAsia" w:ascii="宋体" w:hAnsi="宋体" w:eastAsia="宋体" w:cs="宋体"/>
                <w:color w:val="auto"/>
                <w:spacing w:val="-1"/>
                <w:sz w:val="21"/>
                <w:szCs w:val="21"/>
                <w:highlight w:val="none"/>
                <w:lang w:val="en-US" w:eastAsia="zh-CN"/>
              </w:rPr>
              <w:t>增值税税金的计算方法</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4065B93">
            <w:pPr>
              <w:jc w:val="both"/>
              <w:rPr>
                <w:rFonts w:hint="eastAsia" w:ascii="宋体" w:hAnsi="宋体" w:eastAsia="宋体" w:cs="宋体"/>
                <w:b w:val="0"/>
                <w:color w:val="auto"/>
                <w:spacing w:val="-1"/>
                <w:sz w:val="21"/>
                <w:szCs w:val="21"/>
                <w:highlight w:val="none"/>
                <w:lang w:val="en-US" w:eastAsia="zh-CN"/>
              </w:rPr>
            </w:pPr>
            <w:r>
              <w:rPr>
                <w:rFonts w:hint="eastAsia" w:ascii="宋体" w:hAnsi="宋体" w:cs="宋体"/>
                <w:color w:val="auto"/>
                <w:spacing w:val="-1"/>
                <w:sz w:val="21"/>
                <w:szCs w:val="21"/>
                <w:highlight w:val="none"/>
                <w:lang w:val="en-US" w:eastAsia="zh-CN"/>
              </w:rPr>
              <w:t>一般计税方法计算</w:t>
            </w:r>
          </w:p>
        </w:tc>
      </w:tr>
      <w:tr w14:paraId="63869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1E8DF0D">
            <w:pPr>
              <w:pStyle w:val="34"/>
              <w:kinsoku w:val="0"/>
              <w:overflowPunct w:val="0"/>
              <w:jc w:val="center"/>
              <w:rPr>
                <w:rFonts w:hint="eastAsia" w:ascii="宋体" w:hAnsi="宋体" w:eastAsia="宋体" w:cs="宋体"/>
                <w:b/>
                <w:color w:val="auto"/>
                <w:sz w:val="21"/>
                <w:szCs w:val="21"/>
                <w:highlight w:val="none"/>
              </w:rPr>
            </w:pPr>
            <w:r>
              <w:rPr>
                <w:rFonts w:hint="eastAsia" w:ascii="宋体" w:hAnsi="宋体" w:eastAsia="宋体" w:cs="宋体"/>
                <w:color w:val="auto"/>
                <w:sz w:val="21"/>
                <w:szCs w:val="24"/>
                <w:highlight w:val="none"/>
              </w:rPr>
              <w:t>3.2.3</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13A1878">
            <w:pPr>
              <w:pStyle w:val="34"/>
              <w:kinsoku w:val="0"/>
              <w:overflowPunct w:val="0"/>
              <w:jc w:val="both"/>
              <w:rPr>
                <w:rFonts w:hint="eastAsia" w:ascii="宋体" w:hAnsi="宋体" w:eastAsia="宋体" w:cs="宋体"/>
                <w:b/>
                <w:color w:val="auto"/>
                <w:sz w:val="21"/>
                <w:szCs w:val="21"/>
                <w:highlight w:val="none"/>
              </w:rPr>
            </w:pPr>
            <w:r>
              <w:rPr>
                <w:rFonts w:hint="eastAsia" w:ascii="宋体" w:hAnsi="宋体" w:eastAsia="宋体" w:cs="宋体"/>
                <w:color w:val="auto"/>
                <w:sz w:val="21"/>
                <w:szCs w:val="24"/>
                <w:highlight w:val="none"/>
              </w:rPr>
              <w:t>报价方式</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3F05D37">
            <w:pPr>
              <w:jc w:val="both"/>
              <w:rPr>
                <w:rFonts w:hint="eastAsia" w:ascii="宋体" w:hAnsi="宋体" w:eastAsia="宋体" w:cs="宋体"/>
                <w:b/>
                <w:color w:val="auto"/>
                <w:sz w:val="21"/>
                <w:szCs w:val="21"/>
                <w:highlight w:val="none"/>
              </w:rPr>
            </w:pPr>
            <w:r>
              <w:rPr>
                <w:rFonts w:hint="eastAsia" w:ascii="宋体" w:hAnsi="宋体" w:eastAsia="宋体" w:cs="宋体"/>
                <w:b w:val="0"/>
                <w:bCs/>
                <w:color w:val="auto"/>
                <w:sz w:val="21"/>
                <w:szCs w:val="21"/>
                <w:highlight w:val="none"/>
              </w:rPr>
              <w:t>各投标人自行报价，以元为单位（小数点后保留两位小数，第三位小数四舍五入）。</w:t>
            </w:r>
          </w:p>
        </w:tc>
      </w:tr>
      <w:tr w14:paraId="22ADD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4760A3D">
            <w:pPr>
              <w:pStyle w:val="34"/>
              <w:kinsoku w:val="0"/>
              <w:overflowPunct w:val="0"/>
              <w:jc w:val="center"/>
              <w:rPr>
                <w:rFonts w:hint="eastAsia" w:ascii="宋体" w:hAnsi="宋体" w:eastAsia="宋体" w:cs="宋体"/>
                <w:color w:val="auto"/>
                <w:sz w:val="21"/>
                <w:szCs w:val="24"/>
                <w:highlight w:val="none"/>
              </w:rPr>
            </w:pPr>
          </w:p>
          <w:p w14:paraId="0EA4FA56">
            <w:pPr>
              <w:pStyle w:val="34"/>
              <w:kinsoku w:val="0"/>
              <w:overflowPunct w:val="0"/>
              <w:jc w:val="center"/>
              <w:rPr>
                <w:rFonts w:hint="eastAsia" w:ascii="宋体" w:hAnsi="宋体" w:eastAsia="宋体" w:cs="宋体"/>
                <w:b/>
                <w:color w:val="auto"/>
                <w:sz w:val="21"/>
                <w:szCs w:val="21"/>
                <w:highlight w:val="none"/>
              </w:rPr>
            </w:pPr>
            <w:r>
              <w:rPr>
                <w:rFonts w:hint="eastAsia" w:ascii="宋体" w:hAnsi="宋体" w:eastAsia="宋体" w:cs="宋体"/>
                <w:color w:val="auto"/>
                <w:sz w:val="21"/>
                <w:szCs w:val="24"/>
                <w:highlight w:val="none"/>
              </w:rPr>
              <w:t>3.2.4</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82640A2">
            <w:pPr>
              <w:pStyle w:val="34"/>
              <w:kinsoku w:val="0"/>
              <w:overflowPunct w:val="0"/>
              <w:jc w:val="both"/>
              <w:rPr>
                <w:rFonts w:hint="eastAsia" w:ascii="宋体" w:hAnsi="宋体" w:eastAsia="宋体" w:cs="宋体"/>
                <w:b/>
                <w:color w:val="auto"/>
                <w:sz w:val="21"/>
                <w:szCs w:val="21"/>
                <w:highlight w:val="none"/>
              </w:rPr>
            </w:pPr>
            <w:r>
              <w:rPr>
                <w:rFonts w:hint="eastAsia" w:ascii="宋体" w:hAnsi="宋体" w:eastAsia="宋体" w:cs="宋体"/>
                <w:color w:val="auto"/>
                <w:sz w:val="21"/>
                <w:szCs w:val="24"/>
                <w:highlight w:val="none"/>
              </w:rPr>
              <w:t>最高投标限价</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8E9EE05">
            <w:pPr>
              <w:pStyle w:val="34"/>
              <w:kinsoku w:val="0"/>
              <w:overflowPunct w:val="0"/>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sym w:font="Wingdings 2" w:char="00A3"/>
            </w:r>
            <w:r>
              <w:rPr>
                <w:rFonts w:hint="eastAsia" w:ascii="宋体" w:hAnsi="宋体" w:eastAsia="宋体" w:cs="宋体"/>
                <w:color w:val="auto"/>
                <w:sz w:val="21"/>
                <w:szCs w:val="24"/>
                <w:highlight w:val="none"/>
              </w:rPr>
              <w:t>无</w:t>
            </w:r>
          </w:p>
          <w:p w14:paraId="6512CB24">
            <w:pPr>
              <w:pStyle w:val="34"/>
              <w:kinsoku w:val="0"/>
              <w:overflowPunct w:val="0"/>
              <w:jc w:val="both"/>
              <w:rPr>
                <w:rFonts w:hint="eastAsia" w:ascii="宋体" w:hAnsi="宋体" w:eastAsia="宋体" w:cs="宋体"/>
                <w:b/>
                <w:color w:val="auto"/>
                <w:sz w:val="21"/>
                <w:szCs w:val="21"/>
                <w:highlight w:val="none"/>
                <w:lang w:val="en-US" w:eastAsia="zh-CN"/>
              </w:rPr>
            </w:pPr>
            <w:r>
              <w:rPr>
                <w:rFonts w:hint="eastAsia" w:ascii="宋体" w:hAnsi="宋体" w:eastAsia="宋体" w:cs="宋体"/>
                <w:color w:val="auto"/>
                <w:sz w:val="21"/>
                <w:szCs w:val="24"/>
                <w:highlight w:val="none"/>
              </w:rPr>
              <w:sym w:font="Wingdings 2" w:char="0052"/>
            </w:r>
            <w:r>
              <w:rPr>
                <w:rFonts w:hint="eastAsia" w:ascii="宋体" w:hAnsi="宋体" w:eastAsia="宋体" w:cs="宋体"/>
                <w:color w:val="auto"/>
                <w:sz w:val="21"/>
                <w:szCs w:val="24"/>
                <w:highlight w:val="none"/>
              </w:rPr>
              <w:t>有，最高投标限价：</w:t>
            </w:r>
            <w:r>
              <w:rPr>
                <w:rFonts w:hint="eastAsia" w:ascii="宋体" w:hAnsi="宋体" w:cs="宋体"/>
                <w:color w:val="auto"/>
                <w:sz w:val="21"/>
                <w:szCs w:val="24"/>
                <w:highlight w:val="none"/>
                <w:u w:val="single"/>
                <w:lang w:val="en-US" w:eastAsia="zh-CN"/>
              </w:rPr>
              <w:t>2358971.00元</w:t>
            </w:r>
          </w:p>
        </w:tc>
      </w:tr>
      <w:tr w14:paraId="75A47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8F14A97">
            <w:pPr>
              <w:pStyle w:val="34"/>
              <w:kinsoku w:val="0"/>
              <w:overflowPunct w:val="0"/>
              <w:jc w:val="center"/>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3.2.5</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E2B3DC8">
            <w:pPr>
              <w:pStyle w:val="34"/>
              <w:kinsoku w:val="0"/>
              <w:overflowPunct w:val="0"/>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投标报价的其他要求</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9F43703">
            <w:pPr>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投标报价超过最高投标限价的投标文件将被否决其投标。</w:t>
            </w:r>
          </w:p>
          <w:p w14:paraId="271BDAD4">
            <w:pPr>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投标人的报价，应是其按第五章“委托人要求”完成监理工作的所有费用，凡在本项目合同中提及即与监理服务有关的一切费用均含在监理酬金中，具体包括人员工资、福利、社保、办公费用（资料费、电脑、打印机、复印机等办公设备及耗材费）、受托人为监理本项目使用的设备和设施费用、交通差旅费用、餐费、管理费、利润、税金等一切费用。</w:t>
            </w:r>
          </w:p>
          <w:p w14:paraId="76D9390A">
            <w:pPr>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投标人必须详细审阅全部招标文件及招标图纸，充分考虑职责和义务,全面地理解招标文件对投标报价的要求,并按招标人提出的条件及内容进行报价。</w:t>
            </w:r>
          </w:p>
        </w:tc>
      </w:tr>
      <w:tr w14:paraId="66B7F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2755EFB">
            <w:pPr>
              <w:pStyle w:val="34"/>
              <w:kinsoku w:val="0"/>
              <w:overflowPunct w:val="0"/>
              <w:jc w:val="center"/>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3.3.1</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BEF1D4F">
            <w:pPr>
              <w:pStyle w:val="34"/>
              <w:kinsoku w:val="0"/>
              <w:overflowPunct w:val="0"/>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投标有效期</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BACDB09">
            <w:pPr>
              <w:jc w:val="both"/>
              <w:rPr>
                <w:rFonts w:hint="eastAsia" w:ascii="宋体" w:hAnsi="宋体" w:eastAsia="宋体" w:cs="宋体"/>
                <w:color w:val="auto"/>
                <w:sz w:val="21"/>
                <w:szCs w:val="24"/>
                <w:highlight w:val="none"/>
              </w:rPr>
            </w:pPr>
            <w:r>
              <w:rPr>
                <w:rFonts w:hint="eastAsia" w:ascii="宋体" w:hAnsi="宋体" w:cs="宋体"/>
                <w:color w:val="auto"/>
                <w:sz w:val="21"/>
                <w:szCs w:val="24"/>
                <w:highlight w:val="none"/>
                <w:u w:val="single"/>
                <w:lang w:val="en-US" w:eastAsia="zh-CN"/>
              </w:rPr>
              <w:t xml:space="preserve"> 120 </w:t>
            </w:r>
            <w:r>
              <w:rPr>
                <w:rFonts w:hint="eastAsia" w:ascii="宋体" w:hAnsi="宋体" w:eastAsia="宋体" w:cs="宋体"/>
                <w:color w:val="auto"/>
                <w:sz w:val="21"/>
                <w:szCs w:val="24"/>
                <w:highlight w:val="none"/>
              </w:rPr>
              <w:t>日历天（从投标截止之日计起）</w:t>
            </w:r>
          </w:p>
        </w:tc>
      </w:tr>
      <w:tr w14:paraId="6C7C3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3"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8D930AE">
            <w:pPr>
              <w:pStyle w:val="34"/>
              <w:kinsoku w:val="0"/>
              <w:overflowPunct w:val="0"/>
              <w:jc w:val="center"/>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3.4.1</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65ACB6">
            <w:pPr>
              <w:pStyle w:val="34"/>
              <w:kinsoku w:val="0"/>
              <w:overflowPunct w:val="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投标保证金</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EBF46DC">
            <w:pPr>
              <w:spacing w:before="139" w:line="240" w:lineRule="auto"/>
              <w:ind w:left="117"/>
              <w:rPr>
                <w:rFonts w:hint="eastAsia" w:ascii="宋体" w:hAnsi="宋体" w:eastAsia="宋体" w:cs="宋体"/>
                <w:color w:val="auto"/>
                <w:spacing w:val="-3"/>
                <w:sz w:val="21"/>
                <w:szCs w:val="21"/>
                <w:highlight w:val="none"/>
              </w:rPr>
            </w:pPr>
            <w:r>
              <w:rPr>
                <w:rFonts w:hint="eastAsia" w:ascii="宋体" w:hAnsi="宋体" w:eastAsia="宋体" w:cs="宋体"/>
                <w:color w:val="auto"/>
                <w:spacing w:val="-6"/>
                <w:sz w:val="21"/>
                <w:szCs w:val="21"/>
                <w:highlight w:val="none"/>
              </w:rPr>
              <w:t>是否要</w:t>
            </w:r>
            <w:r>
              <w:rPr>
                <w:rFonts w:hint="eastAsia" w:ascii="宋体" w:hAnsi="宋体" w:eastAsia="宋体" w:cs="宋体"/>
                <w:color w:val="auto"/>
                <w:spacing w:val="-5"/>
                <w:sz w:val="21"/>
                <w:szCs w:val="21"/>
                <w:highlight w:val="none"/>
              </w:rPr>
              <w:t>求</w:t>
            </w:r>
            <w:r>
              <w:rPr>
                <w:rFonts w:hint="eastAsia" w:ascii="宋体" w:hAnsi="宋体" w:eastAsia="宋体" w:cs="宋体"/>
                <w:color w:val="auto"/>
                <w:spacing w:val="-3"/>
                <w:sz w:val="21"/>
                <w:szCs w:val="21"/>
                <w:highlight w:val="none"/>
              </w:rPr>
              <w:t>投标人递交投标保证金：</w:t>
            </w:r>
          </w:p>
          <w:p w14:paraId="4E0E80AC">
            <w:pPr>
              <w:pStyle w:val="34"/>
              <w:kinsoku w:val="0"/>
              <w:overflowPunct w:val="0"/>
              <w:spacing w:line="240" w:lineRule="auto"/>
              <w:ind w:firstLine="198" w:firstLineChars="100"/>
              <w:jc w:val="both"/>
              <w:rPr>
                <w:rFonts w:hint="eastAsia" w:ascii="宋体" w:hAnsi="宋体" w:eastAsia="宋体" w:cs="宋体"/>
                <w:color w:val="auto"/>
                <w:spacing w:val="-6"/>
                <w:sz w:val="21"/>
                <w:szCs w:val="21"/>
                <w:highlight w:val="none"/>
              </w:rPr>
            </w:pPr>
          </w:p>
          <w:p w14:paraId="53C4F2DB">
            <w:pPr>
              <w:spacing w:line="240" w:lineRule="auto"/>
              <w:jc w:val="both"/>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sym w:font="Wingdings 2" w:char="0052"/>
            </w:r>
            <w:r>
              <w:rPr>
                <w:rFonts w:hint="eastAsia" w:ascii="宋体" w:hAnsi="宋体" w:eastAsia="宋体" w:cs="宋体"/>
                <w:color w:val="auto"/>
                <w:spacing w:val="0"/>
                <w:sz w:val="21"/>
                <w:szCs w:val="21"/>
                <w:highlight w:val="none"/>
              </w:rPr>
              <w:t>不要求</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具体规定如下：</w:t>
            </w:r>
          </w:p>
          <w:p w14:paraId="3E3D1A98">
            <w:pPr>
              <w:spacing w:line="240" w:lineRule="auto"/>
              <w:jc w:val="both"/>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1、提供《关于投标保证金的承诺》（详见第六章投标文件格式）。</w:t>
            </w:r>
          </w:p>
          <w:p w14:paraId="6715D270">
            <w:pPr>
              <w:spacing w:before="0" w:line="240" w:lineRule="auto"/>
              <w:ind w:right="0" w:firstLine="0" w:firstLineChars="0"/>
              <w:jc w:val="both"/>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2、对于投标人已提供《关于投标保证金的承诺》，若投标人存在3.4.4条款所列情形，投标人应按照招标人的要求在发现存在 3.4.4条款所列情形之日起5个工作日内补交人民币</w:t>
            </w:r>
            <w:r>
              <w:rPr>
                <w:rFonts w:hint="eastAsia" w:ascii="宋体" w:hAnsi="宋体" w:cs="宋体"/>
                <w:color w:val="auto"/>
                <w:sz w:val="21"/>
                <w:szCs w:val="21"/>
                <w:highlight w:val="none"/>
                <w:u w:val="single"/>
                <w:lang w:val="en-US" w:eastAsia="zh-CN"/>
              </w:rPr>
              <w:t>2</w:t>
            </w:r>
            <w:r>
              <w:rPr>
                <w:rFonts w:hint="eastAsia" w:ascii="宋体" w:hAnsi="宋体" w:eastAsia="宋体" w:cs="宋体"/>
                <w:color w:val="auto"/>
                <w:sz w:val="21"/>
                <w:szCs w:val="21"/>
                <w:highlight w:val="none"/>
                <w:u w:val="single"/>
              </w:rPr>
              <w:t>万元投标保证金;若未按要求补交投标保证金的，将暂停其参与招标人后续工程投标，直至完成补交手续为止。</w:t>
            </w:r>
          </w:p>
          <w:p w14:paraId="57D474B7">
            <w:pPr>
              <w:spacing w:before="0" w:line="240" w:lineRule="auto"/>
              <w:ind w:right="0"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pacing w:val="0"/>
                <w:sz w:val="21"/>
                <w:szCs w:val="21"/>
                <w:highlight w:val="none"/>
              </w:rPr>
              <w:sym w:font="Wingdings 2" w:char="00A3"/>
            </w:r>
            <w:r>
              <w:rPr>
                <w:rFonts w:hint="eastAsia" w:ascii="宋体" w:hAnsi="宋体" w:eastAsia="宋体" w:cs="宋体"/>
                <w:color w:val="auto"/>
                <w:spacing w:val="0"/>
                <w:sz w:val="21"/>
                <w:szCs w:val="21"/>
                <w:highlight w:val="none"/>
              </w:rPr>
              <w:t>要求，投标保证金的形式：</w:t>
            </w:r>
            <w:r>
              <w:rPr>
                <w:rFonts w:hint="eastAsia" w:ascii="宋体" w:hAnsi="宋体" w:eastAsia="宋体" w:cs="宋体"/>
                <w:color w:val="auto"/>
                <w:sz w:val="21"/>
                <w:szCs w:val="21"/>
                <w:highlight w:val="none"/>
              </w:rPr>
              <w:t xml:space="preserve"> </w:t>
            </w:r>
          </w:p>
          <w:p w14:paraId="6FCFCA84">
            <w:pPr>
              <w:pStyle w:val="34"/>
              <w:kinsoku w:val="0"/>
              <w:overflowPunct w:val="0"/>
              <w:ind w:firstLine="210" w:firstLineChars="100"/>
              <w:jc w:val="both"/>
              <w:rPr>
                <w:rFonts w:hint="eastAsia" w:ascii="宋体" w:hAnsi="宋体" w:eastAsia="宋体" w:cs="宋体"/>
                <w:color w:val="auto"/>
                <w:sz w:val="21"/>
                <w:szCs w:val="21"/>
                <w:highlight w:val="none"/>
              </w:rPr>
            </w:pPr>
          </w:p>
        </w:tc>
      </w:tr>
      <w:tr w14:paraId="42C13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6FC22B0">
            <w:pPr>
              <w:pStyle w:val="34"/>
              <w:kinsoku w:val="0"/>
              <w:overflowPunct w:val="0"/>
              <w:jc w:val="center"/>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3.5</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D88F817">
            <w:pPr>
              <w:pStyle w:val="34"/>
              <w:kinsoku w:val="0"/>
              <w:overflowPunct w:val="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资格审查资料的特殊要求</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7FBDEF6">
            <w:pPr>
              <w:pStyle w:val="34"/>
              <w:kinsoku w:val="0"/>
              <w:overflowPunct w:val="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sym w:font="Wingdings 2" w:char="00A3"/>
            </w:r>
            <w:r>
              <w:rPr>
                <w:rFonts w:hint="eastAsia" w:ascii="宋体" w:hAnsi="宋体" w:eastAsia="宋体" w:cs="宋体"/>
                <w:color w:val="auto"/>
                <w:sz w:val="21"/>
                <w:szCs w:val="21"/>
                <w:highlight w:val="none"/>
              </w:rPr>
              <w:t>无</w:t>
            </w:r>
          </w:p>
          <w:p w14:paraId="1D1632E2">
            <w:pPr>
              <w:pStyle w:val="34"/>
              <w:kinsoku w:val="0"/>
              <w:overflowPunct w:val="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sym w:font="Wingdings 2" w:char="0052"/>
            </w:r>
            <w:r>
              <w:rPr>
                <w:rFonts w:hint="eastAsia" w:ascii="宋体" w:hAnsi="宋体" w:eastAsia="宋体" w:cs="宋体"/>
                <w:color w:val="auto"/>
                <w:sz w:val="21"/>
                <w:szCs w:val="21"/>
                <w:highlight w:val="none"/>
              </w:rPr>
              <w:t>有，具体要求：</w:t>
            </w:r>
            <w:r>
              <w:rPr>
                <w:rFonts w:hint="eastAsia" w:ascii="宋体" w:hAnsi="宋体" w:cs="宋体"/>
                <w:sz w:val="21"/>
                <w:szCs w:val="21"/>
                <w:highlight w:val="none"/>
                <w:u w:val="single"/>
              </w:rPr>
              <w:t>详见招标文件第二章第3.5条规定。</w:t>
            </w:r>
          </w:p>
        </w:tc>
      </w:tr>
      <w:tr w14:paraId="29657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245914F">
            <w:pPr>
              <w:pStyle w:val="34"/>
              <w:kinsoku w:val="0"/>
              <w:overflowPunct w:val="0"/>
              <w:jc w:val="center"/>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3.5.3</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487D289">
            <w:pPr>
              <w:pStyle w:val="34"/>
              <w:kinsoku w:val="0"/>
              <w:overflowPunct w:val="0"/>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近年完成的类似项目情况的时间要求</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D6B5646">
            <w:pPr>
              <w:pStyle w:val="34"/>
              <w:tabs>
                <w:tab w:val="left" w:pos="799"/>
                <w:tab w:val="left" w:pos="1569"/>
                <w:tab w:val="left" w:pos="2340"/>
              </w:tabs>
              <w:kinsoku w:val="0"/>
              <w:overflowPunct w:val="0"/>
              <w:jc w:val="both"/>
              <w:rPr>
                <w:rFonts w:hint="eastAsia" w:ascii="宋体" w:hAnsi="宋体" w:eastAsia="宋体" w:cs="宋体"/>
                <w:color w:val="auto"/>
                <w:sz w:val="21"/>
                <w:szCs w:val="24"/>
                <w:highlight w:val="none"/>
                <w:lang w:eastAsia="zh-CN"/>
              </w:rPr>
            </w:pPr>
            <w:r>
              <w:rPr>
                <w:rFonts w:hint="eastAsia" w:ascii="宋体" w:hAnsi="宋体" w:eastAsia="宋体" w:cs="宋体"/>
                <w:color w:val="auto"/>
                <w:sz w:val="21"/>
                <w:szCs w:val="24"/>
                <w:highlight w:val="none"/>
                <w:u w:val="single"/>
              </w:rPr>
              <w:t xml:space="preserve"> </w:t>
            </w:r>
            <w:r>
              <w:rPr>
                <w:rFonts w:hint="eastAsia" w:ascii="宋体" w:hAnsi="宋体" w:cs="宋体"/>
                <w:sz w:val="24"/>
                <w:szCs w:val="24"/>
                <w:highlight w:val="none"/>
                <w:u w:val="single"/>
              </w:rPr>
              <w:t>/</w:t>
            </w:r>
          </w:p>
        </w:tc>
      </w:tr>
      <w:tr w14:paraId="66FB4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919E682">
            <w:pPr>
              <w:pStyle w:val="34"/>
              <w:kinsoku w:val="0"/>
              <w:overflowPunct w:val="0"/>
              <w:jc w:val="center"/>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3.6.1</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72A64BF">
            <w:pPr>
              <w:pStyle w:val="34"/>
              <w:kinsoku w:val="0"/>
              <w:overflowPunct w:val="0"/>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是否允许递交备选投标方案</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C16ECE6">
            <w:pPr>
              <w:pStyle w:val="34"/>
              <w:kinsoku w:val="0"/>
              <w:overflowPunct w:val="0"/>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sym w:font="Wingdings 2" w:char="0052"/>
            </w:r>
            <w:r>
              <w:rPr>
                <w:rFonts w:hint="eastAsia" w:ascii="宋体" w:hAnsi="宋体" w:eastAsia="宋体" w:cs="宋体"/>
                <w:color w:val="auto"/>
                <w:sz w:val="21"/>
                <w:szCs w:val="24"/>
                <w:highlight w:val="none"/>
              </w:rPr>
              <w:t>不允许</w:t>
            </w:r>
          </w:p>
          <w:p w14:paraId="59F1F4E8">
            <w:pPr>
              <w:pStyle w:val="34"/>
              <w:kinsoku w:val="0"/>
              <w:overflowPunct w:val="0"/>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sym w:font="Wingdings 2" w:char="00A3"/>
            </w:r>
            <w:r>
              <w:rPr>
                <w:rFonts w:hint="eastAsia" w:ascii="宋体" w:hAnsi="宋体" w:eastAsia="宋体" w:cs="宋体"/>
                <w:color w:val="auto"/>
                <w:sz w:val="21"/>
                <w:szCs w:val="24"/>
                <w:highlight w:val="none"/>
              </w:rPr>
              <w:t>允许</w:t>
            </w:r>
          </w:p>
        </w:tc>
      </w:tr>
      <w:tr w14:paraId="43BED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15D8482">
            <w:pPr>
              <w:pStyle w:val="34"/>
              <w:kinsoku w:val="0"/>
              <w:overflowPunct w:val="0"/>
              <w:jc w:val="center"/>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3.7.3</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BC0A38E">
            <w:pPr>
              <w:pStyle w:val="34"/>
              <w:kinsoku w:val="0"/>
              <w:overflowPunct w:val="0"/>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投标文件签字或盖章要求</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0A800B4">
            <w:pPr>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投标文件格式规定需个人签字的，应签字或签章后扫描上传</w:t>
            </w:r>
            <w:r>
              <w:rPr>
                <w:rFonts w:hint="eastAsia" w:ascii="宋体" w:hAnsi="宋体" w:cs="宋体"/>
                <w:color w:val="auto"/>
                <w:kern w:val="2"/>
                <w:sz w:val="21"/>
                <w:szCs w:val="21"/>
                <w:highlight w:val="none"/>
                <w:lang w:val="en-US" w:eastAsia="zh-CN"/>
              </w:rPr>
              <w:t>（</w:t>
            </w:r>
            <w:r>
              <w:rPr>
                <w:rFonts w:hint="eastAsia" w:ascii="宋体" w:hAnsi="宋体" w:eastAsia="宋体" w:cs="宋体"/>
                <w:color w:val="auto"/>
                <w:kern w:val="2"/>
                <w:sz w:val="21"/>
                <w:szCs w:val="24"/>
                <w:highlight w:val="none"/>
                <w:lang w:val="en-US" w:eastAsia="zh-CN" w:bidi="ar-SA"/>
              </w:rPr>
              <w:t>可靠的电子签名与手写签名或者盖章具有同等的法律效力</w:t>
            </w:r>
            <w:r>
              <w:rPr>
                <w:rFonts w:hint="eastAsia" w:ascii="宋体" w:hAnsi="宋体" w:cs="宋体"/>
                <w:color w:val="auto"/>
                <w:kern w:val="2"/>
                <w:sz w:val="21"/>
                <w:szCs w:val="21"/>
                <w:highlight w:val="none"/>
                <w:lang w:val="en-US" w:eastAsia="zh-CN"/>
              </w:rPr>
              <w:t>）</w:t>
            </w:r>
            <w:r>
              <w:rPr>
                <w:rFonts w:hint="eastAsia" w:ascii="宋体" w:hAnsi="宋体" w:eastAsia="宋体" w:cs="宋体"/>
                <w:color w:val="auto"/>
                <w:sz w:val="21"/>
                <w:szCs w:val="24"/>
                <w:highlight w:val="none"/>
              </w:rPr>
              <w:t>。投标文件格式规定盖单位公章的页面必须盖单位公章（公章与电子公章具有相同法律效力）</w:t>
            </w:r>
          </w:p>
        </w:tc>
      </w:tr>
      <w:tr w14:paraId="41119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6926825">
            <w:pPr>
              <w:pStyle w:val="34"/>
              <w:kinsoku w:val="0"/>
              <w:overflowPunct w:val="0"/>
              <w:jc w:val="center"/>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4.2.1</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9C28393">
            <w:pPr>
              <w:pStyle w:val="34"/>
              <w:kinsoku w:val="0"/>
              <w:overflowPunct w:val="0"/>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投标截止时间</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52BF21C">
            <w:pPr>
              <w:spacing w:before="62" w:beforeLines="20" w:after="62" w:afterLines="20"/>
              <w:ind w:left="48" w:leftChars="20" w:right="48" w:rightChars="2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lang w:eastAsia="zh-CN"/>
              </w:rPr>
              <w:t>投标截止时间：</w:t>
            </w:r>
            <w:r>
              <w:rPr>
                <w:rFonts w:hint="eastAsia" w:ascii="宋体" w:hAnsi="宋体" w:eastAsia="宋体" w:cs="宋体"/>
                <w:color w:val="auto"/>
                <w:sz w:val="21"/>
                <w:szCs w:val="24"/>
                <w:highlight w:val="none"/>
                <w:u w:val="single"/>
                <w:lang w:val="en-US" w:eastAsia="zh-CN"/>
              </w:rPr>
              <w:t xml:space="preserve">       </w:t>
            </w:r>
            <w:r>
              <w:rPr>
                <w:rFonts w:hint="eastAsia" w:ascii="宋体" w:hAnsi="宋体" w:eastAsia="宋体" w:cs="宋体"/>
                <w:color w:val="auto"/>
                <w:sz w:val="21"/>
                <w:szCs w:val="24"/>
                <w:highlight w:val="none"/>
                <w:u w:val="single"/>
                <w:lang w:eastAsia="zh-CN"/>
              </w:rPr>
              <w:t>年</w:t>
            </w:r>
            <w:r>
              <w:rPr>
                <w:rFonts w:hint="eastAsia" w:ascii="宋体" w:hAnsi="宋体" w:eastAsia="宋体" w:cs="宋体"/>
                <w:color w:val="auto"/>
                <w:sz w:val="21"/>
                <w:szCs w:val="24"/>
                <w:highlight w:val="none"/>
                <w:u w:val="single"/>
                <w:lang w:val="en-US" w:eastAsia="zh-CN"/>
              </w:rPr>
              <w:t xml:space="preserve">     </w:t>
            </w:r>
            <w:r>
              <w:rPr>
                <w:rFonts w:hint="eastAsia" w:ascii="宋体" w:hAnsi="宋体" w:eastAsia="宋体" w:cs="宋体"/>
                <w:color w:val="auto"/>
                <w:sz w:val="21"/>
                <w:szCs w:val="24"/>
                <w:highlight w:val="none"/>
                <w:u w:val="single"/>
                <w:lang w:eastAsia="zh-CN"/>
              </w:rPr>
              <w:t>月</w:t>
            </w:r>
            <w:r>
              <w:rPr>
                <w:rFonts w:hint="eastAsia" w:ascii="宋体" w:hAnsi="宋体" w:eastAsia="宋体" w:cs="宋体"/>
                <w:color w:val="auto"/>
                <w:sz w:val="21"/>
                <w:szCs w:val="24"/>
                <w:highlight w:val="none"/>
                <w:u w:val="single"/>
                <w:lang w:val="en-US" w:eastAsia="zh-CN"/>
              </w:rPr>
              <w:t xml:space="preserve">      </w:t>
            </w:r>
            <w:r>
              <w:rPr>
                <w:rFonts w:hint="eastAsia" w:ascii="宋体" w:hAnsi="宋体" w:eastAsia="宋体" w:cs="宋体"/>
                <w:color w:val="auto"/>
                <w:sz w:val="21"/>
                <w:szCs w:val="24"/>
                <w:highlight w:val="none"/>
                <w:u w:val="single"/>
                <w:lang w:eastAsia="zh-CN"/>
              </w:rPr>
              <w:t>日</w:t>
            </w:r>
            <w:r>
              <w:rPr>
                <w:rFonts w:hint="eastAsia" w:ascii="宋体" w:hAnsi="宋体" w:eastAsia="宋体" w:cs="宋体"/>
                <w:color w:val="auto"/>
                <w:sz w:val="21"/>
                <w:szCs w:val="24"/>
                <w:highlight w:val="none"/>
                <w:u w:val="single"/>
                <w:lang w:val="en-US" w:eastAsia="zh-CN"/>
              </w:rPr>
              <w:t xml:space="preserve">     </w:t>
            </w:r>
            <w:r>
              <w:rPr>
                <w:rFonts w:hint="eastAsia" w:ascii="宋体" w:hAnsi="宋体" w:eastAsia="宋体" w:cs="宋体"/>
                <w:color w:val="auto"/>
                <w:sz w:val="21"/>
                <w:szCs w:val="24"/>
                <w:highlight w:val="none"/>
                <w:u w:val="single"/>
                <w:lang w:eastAsia="zh-CN"/>
              </w:rPr>
              <w:t>时</w:t>
            </w:r>
            <w:r>
              <w:rPr>
                <w:rFonts w:hint="eastAsia" w:ascii="宋体" w:hAnsi="宋体" w:eastAsia="宋体" w:cs="宋体"/>
                <w:color w:val="auto"/>
                <w:sz w:val="21"/>
                <w:szCs w:val="24"/>
                <w:highlight w:val="none"/>
                <w:u w:val="single"/>
                <w:lang w:val="en-US" w:eastAsia="zh-CN"/>
              </w:rPr>
              <w:t xml:space="preserve">   </w:t>
            </w:r>
            <w:r>
              <w:rPr>
                <w:rFonts w:hint="eastAsia" w:ascii="宋体" w:hAnsi="宋体" w:eastAsia="宋体" w:cs="宋体"/>
                <w:color w:val="auto"/>
                <w:sz w:val="21"/>
                <w:szCs w:val="24"/>
                <w:highlight w:val="none"/>
                <w:u w:val="single"/>
                <w:lang w:eastAsia="zh-CN"/>
              </w:rPr>
              <w:t>分</w:t>
            </w:r>
            <w:r>
              <w:rPr>
                <w:rFonts w:hint="eastAsia" w:ascii="宋体" w:hAnsi="宋体" w:eastAsia="宋体" w:cs="宋体"/>
                <w:color w:val="auto"/>
                <w:sz w:val="21"/>
                <w:szCs w:val="24"/>
                <w:highlight w:val="none"/>
                <w:lang w:eastAsia="zh-CN"/>
              </w:rPr>
              <w:t>（北京时间）</w:t>
            </w:r>
          </w:p>
        </w:tc>
      </w:tr>
      <w:tr w14:paraId="27D48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DBFF561">
            <w:pPr>
              <w:pStyle w:val="34"/>
              <w:kinsoku w:val="0"/>
              <w:overflowPunct w:val="0"/>
              <w:jc w:val="center"/>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5.1</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DB9D363">
            <w:pPr>
              <w:pStyle w:val="34"/>
              <w:kinsoku w:val="0"/>
              <w:overflowPunct w:val="0"/>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开标时间和地点</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22BDEFA">
            <w:pPr>
              <w:keepNext w:val="0"/>
              <w:keepLines w:val="0"/>
              <w:pageBreakBefore w:val="0"/>
              <w:widowControl w:val="0"/>
              <w:kinsoku/>
              <w:wordWrap/>
              <w:overflowPunct/>
              <w:topLinePunct w:val="0"/>
              <w:autoSpaceDE w:val="0"/>
              <w:autoSpaceDN w:val="0"/>
              <w:bidi w:val="0"/>
              <w:adjustRightInd w:val="0"/>
              <w:snapToGrid/>
              <w:spacing w:before="120" w:beforeLines="50" w:line="240" w:lineRule="auto"/>
              <w:textAlignment w:val="auto"/>
              <w:rPr>
                <w:rFonts w:hint="eastAsia" w:ascii="宋体" w:hAnsi="宋体" w:cs="宋体"/>
                <w:color w:val="auto"/>
                <w:sz w:val="21"/>
                <w:szCs w:val="24"/>
                <w:highlight w:val="none"/>
              </w:rPr>
            </w:pPr>
            <w:r>
              <w:rPr>
                <w:rFonts w:hint="eastAsia" w:ascii="宋体" w:hAnsi="宋体" w:cs="宋体"/>
                <w:color w:val="auto"/>
                <w:sz w:val="21"/>
                <w:szCs w:val="24"/>
                <w:highlight w:val="none"/>
              </w:rPr>
              <w:t>1</w:t>
            </w:r>
            <w:r>
              <w:rPr>
                <w:rFonts w:hint="eastAsia" w:ascii="宋体" w:hAnsi="宋体" w:eastAsia="宋体" w:cs="宋体"/>
                <w:color w:val="auto"/>
                <w:sz w:val="21"/>
                <w:szCs w:val="24"/>
                <w:highlight w:val="none"/>
              </w:rPr>
              <w:t>、开标时间</w:t>
            </w:r>
            <w:r>
              <w:rPr>
                <w:rFonts w:hint="eastAsia" w:ascii="宋体" w:hAnsi="宋体" w:eastAsia="宋体" w:cs="宋体"/>
                <w:color w:val="auto"/>
                <w:sz w:val="21"/>
                <w:szCs w:val="21"/>
                <w:highlight w:val="none"/>
              </w:rPr>
              <w:t>：同投标截止时间</w:t>
            </w:r>
          </w:p>
          <w:p w14:paraId="40EE5E30">
            <w:pPr>
              <w:keepNext w:val="0"/>
              <w:keepLines w:val="0"/>
              <w:pageBreakBefore w:val="0"/>
              <w:widowControl w:val="0"/>
              <w:kinsoku/>
              <w:wordWrap/>
              <w:overflowPunct/>
              <w:topLinePunct w:val="0"/>
              <w:autoSpaceDE w:val="0"/>
              <w:autoSpaceDN w:val="0"/>
              <w:bidi w:val="0"/>
              <w:adjustRightInd w:val="0"/>
              <w:snapToGrid/>
              <w:spacing w:before="174" w:line="24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开标</w:t>
            </w:r>
            <w:r>
              <w:rPr>
                <w:rFonts w:hint="eastAsia" w:ascii="宋体" w:hAnsi="宋体" w:eastAsia="宋体" w:cs="宋体"/>
                <w:color w:val="auto"/>
                <w:sz w:val="21"/>
                <w:szCs w:val="21"/>
                <w:highlight w:val="none"/>
              </w:rPr>
              <w:t>地点：</w:t>
            </w:r>
            <w:r>
              <w:rPr>
                <w:rFonts w:hint="eastAsia" w:ascii="宋体" w:hAnsi="宋体" w:cs="宋体"/>
                <w:color w:val="auto"/>
                <w:sz w:val="21"/>
                <w:szCs w:val="21"/>
                <w:highlight w:val="none"/>
                <w:lang w:eastAsia="zh-CN"/>
              </w:rPr>
              <w:t>广州交易集团有限公司（广州公共资源交易中心）</w:t>
            </w:r>
            <w:r>
              <w:rPr>
                <w:rFonts w:hint="eastAsia" w:ascii="宋体" w:hAnsi="宋体" w:eastAsia="宋体" w:cs="宋体"/>
                <w:color w:val="auto"/>
                <w:sz w:val="21"/>
                <w:szCs w:val="21"/>
                <w:highlight w:val="none"/>
              </w:rPr>
              <w:t>开标室</w:t>
            </w:r>
          </w:p>
          <w:p w14:paraId="51537B08">
            <w:pPr>
              <w:keepNext w:val="0"/>
              <w:keepLines w:val="0"/>
              <w:pageBreakBefore w:val="0"/>
              <w:widowControl w:val="0"/>
              <w:kinsoku/>
              <w:wordWrap/>
              <w:overflowPunct/>
              <w:topLinePunct w:val="0"/>
              <w:autoSpaceDE w:val="0"/>
              <w:autoSpaceDN w:val="0"/>
              <w:bidi w:val="0"/>
              <w:adjustRightInd w:val="0"/>
              <w:snapToGrid/>
              <w:spacing w:before="174" w:beforeLines="-2147483648" w:line="240" w:lineRule="auto"/>
              <w:contextualSpacing w:val="0"/>
              <w:textAlignment w:val="auto"/>
              <w:rPr>
                <w:rFonts w:hint="eastAsia" w:ascii="宋体" w:hAnsi="宋体" w:cs="宋体"/>
                <w:color w:val="auto"/>
                <w:sz w:val="21"/>
                <w:szCs w:val="18"/>
                <w:highlight w:val="none"/>
              </w:rPr>
            </w:pPr>
            <w:r>
              <w:rPr>
                <w:rFonts w:hint="eastAsia" w:ascii="宋体" w:hAnsi="宋体" w:cs="宋体"/>
                <w:color w:val="auto"/>
                <w:sz w:val="21"/>
                <w:szCs w:val="18"/>
                <w:highlight w:val="none"/>
                <w:lang w:val="en-US" w:eastAsia="zh-CN"/>
              </w:rPr>
              <w:t>3</w:t>
            </w:r>
            <w:r>
              <w:rPr>
                <w:rFonts w:hint="eastAsia" w:ascii="宋体" w:hAnsi="宋体" w:cs="宋体"/>
                <w:color w:val="auto"/>
                <w:sz w:val="21"/>
                <w:szCs w:val="18"/>
                <w:highlight w:val="none"/>
              </w:rPr>
              <w:t>、递交投标文件备用光盘时间：____年____月____日____时____分至____年____月____日____时____分；递交地点：</w:t>
            </w:r>
            <w:r>
              <w:rPr>
                <w:rFonts w:hint="eastAsia" w:ascii="宋体" w:hAnsi="宋体" w:cs="宋体"/>
                <w:color w:val="auto"/>
                <w:sz w:val="21"/>
                <w:szCs w:val="21"/>
                <w:highlight w:val="none"/>
                <w:lang w:eastAsia="zh-CN"/>
              </w:rPr>
              <w:t>广州交易集团有限公司（广州公共资源交易中心）</w:t>
            </w:r>
            <w:r>
              <w:rPr>
                <w:rFonts w:hint="eastAsia" w:ascii="宋体" w:hAnsi="宋体" w:eastAsia="宋体" w:cs="宋体"/>
                <w:color w:val="auto"/>
                <w:sz w:val="21"/>
                <w:szCs w:val="21"/>
                <w:highlight w:val="none"/>
              </w:rPr>
              <w:t>开标室</w:t>
            </w:r>
            <w:r>
              <w:rPr>
                <w:rFonts w:hint="eastAsia" w:ascii="宋体" w:hAnsi="宋体" w:cs="宋体"/>
                <w:color w:val="auto"/>
                <w:sz w:val="21"/>
                <w:szCs w:val="18"/>
                <w:highlight w:val="none"/>
              </w:rPr>
              <w:t>。</w:t>
            </w:r>
          </w:p>
          <w:p w14:paraId="6909E7D8">
            <w:pPr>
              <w:keepNext w:val="0"/>
              <w:keepLines w:val="0"/>
              <w:pageBreakBefore w:val="0"/>
              <w:widowControl w:val="0"/>
              <w:kinsoku/>
              <w:wordWrap/>
              <w:overflowPunct/>
              <w:topLinePunct w:val="0"/>
              <w:autoSpaceDE w:val="0"/>
              <w:autoSpaceDN w:val="0"/>
              <w:bidi w:val="0"/>
              <w:adjustRightInd w:val="0"/>
              <w:snapToGrid/>
              <w:spacing w:before="120" w:beforeLines="50" w:line="240" w:lineRule="auto"/>
              <w:contextualSpacing/>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rPr>
              <w:t>、提交投标文件光盘备用</w:t>
            </w:r>
          </w:p>
          <w:p w14:paraId="12F7C9B9">
            <w:pPr>
              <w:keepNext w:val="0"/>
              <w:keepLines w:val="0"/>
              <w:pageBreakBefore w:val="0"/>
              <w:widowControl w:val="0"/>
              <w:kinsoku/>
              <w:wordWrap/>
              <w:overflowPunct/>
              <w:topLinePunct w:val="0"/>
              <w:autoSpaceDE w:val="0"/>
              <w:autoSpaceDN w:val="0"/>
              <w:bidi w:val="0"/>
              <w:adjustRightInd w:val="0"/>
              <w:snapToGrid/>
              <w:spacing w:before="120" w:beforeLines="50" w:line="240" w:lineRule="auto"/>
              <w:contextualSpacing/>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投标人可制作非加密的电子投标文件（PDF 格式）刻入光盘（1份），在投标须知前附表规定的时间、地点提交备用。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投标人也可不提交备用光盘。</w:t>
            </w:r>
          </w:p>
          <w:p w14:paraId="59A10385">
            <w:pPr>
              <w:keepNext w:val="0"/>
              <w:keepLines w:val="0"/>
              <w:pageBreakBefore w:val="0"/>
              <w:widowControl w:val="0"/>
              <w:kinsoku/>
              <w:wordWrap/>
              <w:overflowPunct/>
              <w:topLinePunct w:val="0"/>
              <w:autoSpaceDE w:val="0"/>
              <w:autoSpaceDN w:val="0"/>
              <w:bidi w:val="0"/>
              <w:adjustRightInd w:val="0"/>
              <w:snapToGrid/>
              <w:spacing w:before="120" w:beforeLines="50" w:line="240" w:lineRule="auto"/>
              <w:contextualSpacing/>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、补救方案</w:t>
            </w:r>
          </w:p>
          <w:p w14:paraId="01582388">
            <w:pPr>
              <w:keepNext w:val="0"/>
              <w:keepLines w:val="0"/>
              <w:pageBreakBefore w:val="0"/>
              <w:widowControl w:val="0"/>
              <w:kinsoku/>
              <w:wordWrap/>
              <w:overflowPunct/>
              <w:topLinePunct w:val="0"/>
              <w:autoSpaceDE w:val="0"/>
              <w:autoSpaceDN w:val="0"/>
              <w:bidi w:val="0"/>
              <w:adjustRightInd w:val="0"/>
              <w:snapToGrid/>
              <w:spacing w:before="120" w:beforeLines="50" w:line="240" w:lineRule="auto"/>
              <w:contextualSpacing/>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（1）投标文件解密失败的补救方案：</w:t>
            </w:r>
          </w:p>
          <w:p w14:paraId="1B59E674">
            <w:pPr>
              <w:keepNext w:val="0"/>
              <w:keepLines w:val="0"/>
              <w:pageBreakBefore w:val="0"/>
              <w:widowControl w:val="0"/>
              <w:kinsoku/>
              <w:wordWrap/>
              <w:overflowPunct/>
              <w:topLinePunct w:val="0"/>
              <w:autoSpaceDE w:val="0"/>
              <w:autoSpaceDN w:val="0"/>
              <w:bidi w:val="0"/>
              <w:adjustRightInd w:val="0"/>
              <w:snapToGrid/>
              <w:spacing w:before="120" w:beforeLines="50" w:line="240" w:lineRule="auto"/>
              <w:contextualSpacing/>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在规定时间内，因投标人之外原因(指网络瘫痪、服务器损坏、交易系统故障短期无法恢复)导致的电子投标文件解密失败，在开标现场读取光盘内容，继续开标程序。评标委员会、定标委员会对其投标文件的评审以光盘内容为准。因投标人之外原因解密失败且未递交电子光盘的，视为撤回投标文件。</w:t>
            </w:r>
          </w:p>
          <w:p w14:paraId="37CA8CD7">
            <w:pPr>
              <w:keepNext w:val="0"/>
              <w:keepLines w:val="0"/>
              <w:pageBreakBefore w:val="0"/>
              <w:widowControl w:val="0"/>
              <w:kinsoku/>
              <w:wordWrap/>
              <w:overflowPunct/>
              <w:topLinePunct w:val="0"/>
              <w:autoSpaceDE w:val="0"/>
              <w:autoSpaceDN w:val="0"/>
              <w:bidi w:val="0"/>
              <w:adjustRightInd w:val="0"/>
              <w:snapToGrid/>
              <w:spacing w:before="120" w:beforeLines="50" w:line="240" w:lineRule="auto"/>
              <w:contextualSpacing/>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（2）评标时突发情况的补救方案</w:t>
            </w:r>
          </w:p>
          <w:p w14:paraId="3D72BE9F">
            <w:pPr>
              <w:keepNext w:val="0"/>
              <w:keepLines w:val="0"/>
              <w:pageBreakBefore w:val="0"/>
              <w:widowControl w:val="0"/>
              <w:kinsoku/>
              <w:wordWrap/>
              <w:overflowPunct/>
              <w:topLinePunct w:val="0"/>
              <w:autoSpaceDE w:val="0"/>
              <w:autoSpaceDN w:val="0"/>
              <w:bidi w:val="0"/>
              <w:adjustRightInd w:val="0"/>
              <w:snapToGrid/>
              <w:spacing w:before="120" w:beforeLines="50" w:line="240" w:lineRule="auto"/>
              <w:contextualSpacing/>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若遇不可抗力发生（指网络瘫痪、服务器损坏、交易系统故障短期无法恢复等因素），由评标委员会</w:t>
            </w:r>
            <w:r>
              <w:rPr>
                <w:rFonts w:hint="eastAsia" w:ascii="宋体" w:hAnsi="宋体" w:cs="宋体"/>
                <w:color w:val="auto"/>
                <w:sz w:val="21"/>
                <w:szCs w:val="21"/>
                <w:highlight w:val="none"/>
                <w:u w:val="none"/>
              </w:rPr>
              <w:t>、定标委员会</w:t>
            </w:r>
            <w:r>
              <w:rPr>
                <w:rFonts w:hint="eastAsia" w:ascii="宋体" w:hAnsi="宋体" w:cs="宋体"/>
                <w:color w:val="auto"/>
                <w:sz w:val="21"/>
                <w:szCs w:val="21"/>
                <w:highlight w:val="none"/>
              </w:rPr>
              <w:t>开启投标人递交的全部投标文件光盘，并按光盘内容进行评审。</w:t>
            </w:r>
          </w:p>
          <w:p w14:paraId="68011837">
            <w:pPr>
              <w:keepNext w:val="0"/>
              <w:keepLines w:val="0"/>
              <w:pageBreakBefore w:val="0"/>
              <w:widowControl w:val="0"/>
              <w:kinsoku/>
              <w:wordWrap/>
              <w:overflowPunct/>
              <w:topLinePunct w:val="0"/>
              <w:autoSpaceDE w:val="0"/>
              <w:autoSpaceDN w:val="0"/>
              <w:bidi w:val="0"/>
              <w:adjustRightInd w:val="0"/>
              <w:snapToGrid/>
              <w:spacing w:before="120" w:beforeLines="50" w:line="240" w:lineRule="auto"/>
              <w:contextualSpacing/>
              <w:textAlignment w:val="auto"/>
              <w:rPr>
                <w:rFonts w:hint="eastAsia" w:ascii="宋体" w:hAnsi="宋体" w:eastAsia="宋体" w:cs="宋体"/>
                <w:bCs w:val="0"/>
                <w:color w:val="auto"/>
                <w:kern w:val="2"/>
                <w:sz w:val="21"/>
                <w:szCs w:val="21"/>
                <w:highlight w:val="none"/>
              </w:rPr>
            </w:pPr>
            <w:r>
              <w:rPr>
                <w:rFonts w:hint="eastAsia" w:ascii="宋体" w:hAnsi="宋体" w:cs="宋体"/>
                <w:color w:val="auto"/>
                <w:sz w:val="21"/>
                <w:szCs w:val="21"/>
                <w:highlight w:val="none"/>
              </w:rPr>
              <w:t>（3）除发生上述情况外，开标评标</w:t>
            </w:r>
            <w:r>
              <w:rPr>
                <w:rFonts w:hint="eastAsia" w:ascii="宋体" w:hAnsi="宋体" w:cs="宋体"/>
                <w:color w:val="auto"/>
                <w:sz w:val="21"/>
                <w:szCs w:val="21"/>
                <w:highlight w:val="none"/>
                <w:lang w:eastAsia="zh-CN"/>
              </w:rPr>
              <w:t>定标</w:t>
            </w:r>
            <w:r>
              <w:rPr>
                <w:rFonts w:hint="eastAsia" w:ascii="宋体" w:hAnsi="宋体" w:cs="宋体"/>
                <w:color w:val="auto"/>
                <w:sz w:val="21"/>
                <w:szCs w:val="21"/>
                <w:highlight w:val="none"/>
              </w:rPr>
              <w:t>均以投标人通过交易平台网上递交的电子投标文件为准。</w:t>
            </w:r>
          </w:p>
          <w:p w14:paraId="717D5DE7">
            <w:pPr>
              <w:keepNext w:val="0"/>
              <w:keepLines w:val="0"/>
              <w:pageBreakBefore w:val="0"/>
              <w:widowControl w:val="0"/>
              <w:kinsoku/>
              <w:wordWrap/>
              <w:overflowPunct/>
              <w:topLinePunct w:val="0"/>
              <w:autoSpaceDE w:val="0"/>
              <w:autoSpaceDN w:val="0"/>
              <w:bidi w:val="0"/>
              <w:adjustRightInd w:val="0"/>
              <w:snapToGrid/>
              <w:spacing w:line="240" w:lineRule="auto"/>
              <w:contextualSpacing/>
              <w:textAlignment w:val="auto"/>
              <w:rPr>
                <w:rFonts w:hint="eastAsia" w:ascii="宋体" w:hAnsi="宋体" w:cs="宋体"/>
                <w:color w:val="auto"/>
                <w:sz w:val="21"/>
                <w:szCs w:val="21"/>
                <w:highlight w:val="none"/>
              </w:rPr>
            </w:pPr>
            <w:r>
              <w:rPr>
                <w:rFonts w:hint="eastAsia" w:ascii="宋体" w:hAnsi="宋体" w:eastAsia="宋体" w:cs="宋体"/>
                <w:bCs w:val="0"/>
                <w:color w:val="auto"/>
                <w:kern w:val="2"/>
                <w:sz w:val="21"/>
                <w:szCs w:val="21"/>
                <w:highlight w:val="none"/>
              </w:rPr>
              <w:t>开标时，投标人代表有权参加现场开标或</w:t>
            </w:r>
            <w:r>
              <w:rPr>
                <w:rFonts w:hint="eastAsia" w:ascii="宋体" w:hAnsi="宋体" w:eastAsia="宋体" w:cs="宋体"/>
                <w:b w:val="0"/>
                <w:bCs w:val="0"/>
                <w:color w:val="auto"/>
                <w:kern w:val="2"/>
                <w:sz w:val="21"/>
                <w:szCs w:val="21"/>
                <w:highlight w:val="none"/>
              </w:rPr>
              <w:t>在线开标</w:t>
            </w:r>
            <w:r>
              <w:rPr>
                <w:rFonts w:hint="eastAsia" w:ascii="宋体" w:hAnsi="宋体" w:eastAsia="宋体" w:cs="宋体"/>
                <w:bCs w:val="0"/>
                <w:color w:val="auto"/>
                <w:kern w:val="2"/>
                <w:sz w:val="21"/>
                <w:szCs w:val="21"/>
                <w:highlight w:val="none"/>
              </w:rPr>
              <w:t>，也可以自主决定不参加开标</w:t>
            </w:r>
            <w:r>
              <w:rPr>
                <w:rFonts w:hint="eastAsia" w:ascii="宋体" w:hAnsi="宋体" w:eastAsia="宋体" w:cs="宋体"/>
                <w:bCs w:val="0"/>
                <w:color w:val="auto"/>
                <w:kern w:val="2"/>
                <w:sz w:val="21"/>
                <w:szCs w:val="21"/>
                <w:highlight w:val="none"/>
                <w:lang w:eastAsia="zh-CN"/>
              </w:rPr>
              <w:t>，</w:t>
            </w:r>
            <w:r>
              <w:rPr>
                <w:rFonts w:hint="eastAsia" w:ascii="宋体" w:hAnsi="宋体" w:eastAsia="宋体" w:cs="宋体"/>
                <w:color w:val="auto"/>
                <w:sz w:val="21"/>
                <w:szCs w:val="21"/>
                <w:highlight w:val="none"/>
                <w:lang w:eastAsia="zh-CN"/>
              </w:rPr>
              <w:t>投标人选择参加在线开标的，具</w:t>
            </w:r>
            <w:r>
              <w:rPr>
                <w:rFonts w:hint="eastAsia" w:ascii="宋体" w:hAnsi="宋体" w:cs="宋体"/>
                <w:color w:val="auto"/>
                <w:sz w:val="21"/>
                <w:szCs w:val="21"/>
                <w:highlight w:val="none"/>
                <w:lang w:eastAsia="zh-CN"/>
              </w:rPr>
              <w:t>体按照交易平台相关指南进行操作。</w:t>
            </w:r>
          </w:p>
          <w:p w14:paraId="7AA1984C">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color w:val="auto"/>
                <w:sz w:val="21"/>
                <w:szCs w:val="24"/>
                <w:highlight w:val="none"/>
              </w:rPr>
            </w:pP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rPr>
              <w:t>、上述时间及地点是否有改变，请密切留意</w:t>
            </w:r>
            <w:r>
              <w:rPr>
                <w:rFonts w:hint="eastAsia" w:ascii="宋体" w:hAnsi="宋体" w:cs="宋体"/>
                <w:color w:val="auto"/>
                <w:sz w:val="21"/>
                <w:szCs w:val="21"/>
                <w:highlight w:val="none"/>
                <w:lang w:eastAsia="zh-CN"/>
              </w:rPr>
              <w:t>补充公告或</w:t>
            </w:r>
            <w:r>
              <w:rPr>
                <w:rFonts w:hint="eastAsia" w:ascii="宋体" w:hAnsi="宋体" w:cs="宋体"/>
                <w:color w:val="auto"/>
                <w:sz w:val="21"/>
                <w:szCs w:val="21"/>
                <w:highlight w:val="none"/>
              </w:rPr>
              <w:t>招标答疑纪要的相关信息。</w:t>
            </w:r>
          </w:p>
        </w:tc>
      </w:tr>
      <w:tr w14:paraId="30658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2"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DB26B53">
            <w:pPr>
              <w:pStyle w:val="34"/>
              <w:kinsoku w:val="0"/>
              <w:overflowPunct w:val="0"/>
              <w:jc w:val="center"/>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6.1.1</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AE6BD78">
            <w:pPr>
              <w:pStyle w:val="34"/>
              <w:kinsoku w:val="0"/>
              <w:overflowPunct w:val="0"/>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评标委员会的组建</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1640FD9">
            <w:pPr>
              <w:pStyle w:val="34"/>
              <w:keepNext w:val="0"/>
              <w:keepLines w:val="0"/>
              <w:pageBreakBefore w:val="0"/>
              <w:widowControl w:val="0"/>
              <w:tabs>
                <w:tab w:val="left" w:pos="2729"/>
              </w:tabs>
              <w:kinsoku w:val="0"/>
              <w:wordWrap/>
              <w:overflowPunct w:val="0"/>
              <w:topLinePunct w:val="0"/>
              <w:autoSpaceDE w:val="0"/>
              <w:autoSpaceDN w:val="0"/>
              <w:bidi w:val="0"/>
              <w:adjustRightInd w:val="0"/>
              <w:snapToGrid/>
              <w:spacing w:line="360" w:lineRule="auto"/>
              <w:jc w:val="both"/>
              <w:textAlignment w:val="auto"/>
              <w:rPr>
                <w:rFonts w:hint="eastAsia" w:ascii="宋体" w:hAnsi="宋体" w:eastAsia="宋体" w:cs="宋体"/>
                <w:color w:val="auto"/>
                <w:sz w:val="21"/>
                <w:szCs w:val="24"/>
                <w:highlight w:val="none"/>
              </w:rPr>
            </w:pPr>
            <w:r>
              <w:rPr>
                <w:rFonts w:hint="eastAsia" w:ascii="宋体" w:hAnsi="宋体" w:eastAsia="宋体" w:cs="宋体"/>
                <w:color w:val="auto"/>
                <w:spacing w:val="-2"/>
                <w:sz w:val="21"/>
                <w:szCs w:val="24"/>
                <w:highlight w:val="none"/>
              </w:rPr>
              <w:t>评标委员会构成：</w:t>
            </w:r>
            <w:r>
              <w:rPr>
                <w:rFonts w:hint="eastAsia" w:ascii="宋体" w:hAnsi="宋体" w:cs="宋体"/>
                <w:color w:val="auto"/>
                <w:spacing w:val="-2"/>
                <w:sz w:val="21"/>
                <w:szCs w:val="24"/>
                <w:highlight w:val="none"/>
                <w:u w:val="single"/>
                <w:lang w:val="en-US" w:eastAsia="zh-CN"/>
              </w:rPr>
              <w:t>5</w:t>
            </w:r>
            <w:r>
              <w:rPr>
                <w:rFonts w:hint="eastAsia" w:ascii="宋体" w:hAnsi="宋体" w:eastAsia="宋体" w:cs="宋体"/>
                <w:color w:val="auto"/>
                <w:sz w:val="21"/>
                <w:szCs w:val="24"/>
                <w:highlight w:val="none"/>
              </w:rPr>
              <w:t>人</w:t>
            </w:r>
          </w:p>
          <w:p w14:paraId="341CD14B">
            <w:pPr>
              <w:pStyle w:val="34"/>
              <w:keepNext w:val="0"/>
              <w:keepLines w:val="0"/>
              <w:pageBreakBefore w:val="0"/>
              <w:widowControl w:val="0"/>
              <w:tabs>
                <w:tab w:val="left" w:pos="2309"/>
                <w:tab w:val="left" w:pos="3826"/>
              </w:tabs>
              <w:kinsoku w:val="0"/>
              <w:wordWrap/>
              <w:overflowPunct w:val="0"/>
              <w:topLinePunct w:val="0"/>
              <w:autoSpaceDE w:val="0"/>
              <w:autoSpaceDN w:val="0"/>
              <w:bidi w:val="0"/>
              <w:adjustRightInd w:val="0"/>
              <w:snapToGrid/>
              <w:spacing w:line="360" w:lineRule="auto"/>
              <w:jc w:val="both"/>
              <w:textAlignment w:val="auto"/>
              <w:rPr>
                <w:rFonts w:hint="eastAsia" w:ascii="宋体" w:hAnsi="宋体" w:eastAsia="宋体" w:cs="宋体"/>
                <w:color w:val="auto"/>
                <w:spacing w:val="-3"/>
                <w:sz w:val="21"/>
                <w:szCs w:val="24"/>
                <w:highlight w:val="none"/>
              </w:rPr>
            </w:pPr>
            <w:r>
              <w:rPr>
                <w:rFonts w:hint="eastAsia" w:ascii="宋体" w:hAnsi="宋体" w:eastAsia="宋体" w:cs="宋体"/>
                <w:color w:val="auto"/>
                <w:spacing w:val="-2"/>
                <w:sz w:val="21"/>
                <w:szCs w:val="24"/>
                <w:highlight w:val="none"/>
              </w:rPr>
              <w:t>其中招标人代表</w:t>
            </w:r>
            <w:r>
              <w:rPr>
                <w:rFonts w:hint="eastAsia" w:ascii="宋体" w:hAnsi="宋体" w:cs="宋体"/>
                <w:color w:val="auto"/>
                <w:spacing w:val="-2"/>
                <w:sz w:val="21"/>
                <w:szCs w:val="24"/>
                <w:highlight w:val="none"/>
                <w:u w:val="single"/>
                <w:lang w:val="en-US" w:eastAsia="zh-CN"/>
              </w:rPr>
              <w:t>1</w:t>
            </w:r>
            <w:r>
              <w:rPr>
                <w:rFonts w:hint="eastAsia" w:ascii="宋体" w:hAnsi="宋体" w:eastAsia="宋体" w:cs="宋体"/>
                <w:color w:val="auto"/>
                <w:spacing w:val="-16"/>
                <w:sz w:val="21"/>
                <w:szCs w:val="24"/>
                <w:highlight w:val="none"/>
              </w:rPr>
              <w:t>人，专家</w:t>
            </w:r>
            <w:r>
              <w:rPr>
                <w:rFonts w:hint="eastAsia" w:ascii="宋体" w:hAnsi="宋体" w:cs="宋体"/>
                <w:color w:val="auto"/>
                <w:spacing w:val="-16"/>
                <w:sz w:val="21"/>
                <w:szCs w:val="24"/>
                <w:highlight w:val="none"/>
                <w:u w:val="single"/>
                <w:lang w:val="en-US" w:eastAsia="zh-CN"/>
              </w:rPr>
              <w:t>4</w:t>
            </w:r>
            <w:r>
              <w:rPr>
                <w:rFonts w:hint="eastAsia" w:ascii="宋体" w:hAnsi="宋体" w:eastAsia="宋体" w:cs="宋体"/>
                <w:color w:val="auto"/>
                <w:spacing w:val="-3"/>
                <w:sz w:val="21"/>
                <w:szCs w:val="24"/>
                <w:highlight w:val="none"/>
              </w:rPr>
              <w:t>人；</w:t>
            </w:r>
          </w:p>
          <w:p w14:paraId="09359B76">
            <w:pPr>
              <w:pStyle w:val="34"/>
              <w:keepNext w:val="0"/>
              <w:keepLines w:val="0"/>
              <w:pageBreakBefore w:val="0"/>
              <w:widowControl w:val="0"/>
              <w:tabs>
                <w:tab w:val="left" w:pos="2309"/>
                <w:tab w:val="left" w:pos="3826"/>
              </w:tabs>
              <w:kinsoku w:val="0"/>
              <w:wordWrap/>
              <w:overflowPunct w:val="0"/>
              <w:topLinePunct w:val="0"/>
              <w:autoSpaceDE w:val="0"/>
              <w:autoSpaceDN w:val="0"/>
              <w:bidi w:val="0"/>
              <w:adjustRightInd w:val="0"/>
              <w:snapToGrid/>
              <w:spacing w:line="360" w:lineRule="auto"/>
              <w:jc w:val="both"/>
              <w:textAlignment w:val="auto"/>
              <w:rPr>
                <w:rFonts w:hint="eastAsia" w:ascii="宋体" w:hAnsi="宋体" w:eastAsia="宋体" w:cs="宋体"/>
                <w:color w:val="auto"/>
                <w:sz w:val="21"/>
                <w:szCs w:val="24"/>
                <w:highlight w:val="none"/>
              </w:rPr>
            </w:pPr>
            <w:r>
              <w:rPr>
                <w:rFonts w:hint="eastAsia" w:ascii="宋体" w:hAnsi="宋体" w:eastAsia="宋体" w:cs="宋体"/>
                <w:color w:val="auto"/>
                <w:spacing w:val="-103"/>
                <w:sz w:val="21"/>
                <w:szCs w:val="24"/>
                <w:highlight w:val="none"/>
              </w:rPr>
              <w:t xml:space="preserve"> </w:t>
            </w:r>
            <w:r>
              <w:rPr>
                <w:rFonts w:hint="eastAsia" w:ascii="宋体" w:hAnsi="宋体" w:eastAsia="宋体" w:cs="宋体"/>
                <w:color w:val="auto"/>
                <w:sz w:val="21"/>
                <w:szCs w:val="24"/>
                <w:highlight w:val="none"/>
              </w:rPr>
              <w:t>评标专家确定方式：</w:t>
            </w:r>
            <w:r>
              <w:rPr>
                <w:rFonts w:hint="eastAsia" w:ascii="宋体" w:hAnsi="宋体" w:cs="宋体"/>
                <w:sz w:val="21"/>
                <w:szCs w:val="21"/>
                <w:highlight w:val="none"/>
                <w:u w:val="single"/>
              </w:rPr>
              <w:t>在广东省综合评标评审专家库中随机抽取。</w:t>
            </w:r>
          </w:p>
        </w:tc>
      </w:tr>
      <w:tr w14:paraId="74CF7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AF135EB">
            <w:pPr>
              <w:pStyle w:val="34"/>
              <w:kinsoku w:val="0"/>
              <w:overflowPunct w:val="0"/>
              <w:jc w:val="center"/>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6.3.2</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7BCA72D">
            <w:pPr>
              <w:pStyle w:val="34"/>
              <w:kinsoku w:val="0"/>
              <w:overflowPunct w:val="0"/>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评标委员会推荐</w:t>
            </w:r>
            <w:r>
              <w:rPr>
                <w:rFonts w:hint="eastAsia" w:ascii="宋体" w:hAnsi="宋体" w:cs="宋体"/>
                <w:color w:val="auto"/>
                <w:sz w:val="21"/>
                <w:highlight w:val="none"/>
                <w:u w:val="single"/>
              </w:rPr>
              <w:t>合格</w:t>
            </w:r>
            <w:r>
              <w:rPr>
                <w:rFonts w:hint="eastAsia" w:ascii="宋体" w:hAnsi="宋体" w:eastAsia="宋体" w:cs="宋体"/>
                <w:color w:val="auto"/>
                <w:sz w:val="21"/>
                <w:szCs w:val="24"/>
                <w:highlight w:val="none"/>
              </w:rPr>
              <w:t>中标候选人的人数</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7B96045">
            <w:pPr>
              <w:adjustRightInd w:val="0"/>
              <w:snapToGrid w:val="0"/>
              <w:spacing w:before="120" w:beforeLines="5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评标委员会对投标文件</w:t>
            </w:r>
            <w:r>
              <w:rPr>
                <w:rFonts w:hint="eastAsia" w:ascii="宋体" w:hAnsi="宋体" w:eastAsia="宋体" w:cs="宋体"/>
                <w:color w:val="auto"/>
                <w:kern w:val="2"/>
                <w:sz w:val="21"/>
                <w:szCs w:val="21"/>
                <w:highlight w:val="none"/>
                <w:lang w:eastAsia="zh-CN"/>
              </w:rPr>
              <w:t>（评标部分）</w:t>
            </w:r>
            <w:r>
              <w:rPr>
                <w:rFonts w:hint="eastAsia" w:ascii="宋体" w:hAnsi="宋体" w:eastAsia="宋体" w:cs="宋体"/>
                <w:color w:val="auto"/>
                <w:kern w:val="2"/>
                <w:sz w:val="21"/>
                <w:szCs w:val="21"/>
                <w:highlight w:val="none"/>
              </w:rPr>
              <w:t>进行资格审查，再对通过资格审查的</w:t>
            </w:r>
            <w:r>
              <w:rPr>
                <w:rFonts w:hint="eastAsia" w:ascii="宋体" w:hAnsi="宋体" w:eastAsia="宋体" w:cs="宋体"/>
                <w:color w:val="auto"/>
                <w:kern w:val="2"/>
                <w:sz w:val="21"/>
                <w:szCs w:val="21"/>
                <w:highlight w:val="none"/>
                <w:lang w:val="en-US" w:eastAsia="zh-CN"/>
              </w:rPr>
              <w:t>投标文件</w:t>
            </w:r>
            <w:r>
              <w:rPr>
                <w:rFonts w:hint="eastAsia" w:ascii="宋体" w:hAnsi="宋体" w:eastAsia="宋体" w:cs="宋体"/>
                <w:color w:val="auto"/>
                <w:kern w:val="2"/>
                <w:sz w:val="21"/>
                <w:szCs w:val="21"/>
                <w:highlight w:val="none"/>
                <w:lang w:eastAsia="zh-CN"/>
              </w:rPr>
              <w:t>（评标部分）</w:t>
            </w:r>
            <w:r>
              <w:rPr>
                <w:rFonts w:hint="eastAsia" w:ascii="宋体" w:hAnsi="宋体" w:eastAsia="宋体" w:cs="宋体"/>
                <w:color w:val="auto"/>
                <w:kern w:val="2"/>
                <w:sz w:val="21"/>
                <w:szCs w:val="21"/>
                <w:highlight w:val="none"/>
                <w:lang w:val="en-US" w:eastAsia="zh-CN"/>
              </w:rPr>
              <w:t>进行形式评审和响应性评审</w:t>
            </w:r>
            <w:r>
              <w:rPr>
                <w:rFonts w:hint="eastAsia" w:ascii="宋体" w:hAnsi="宋体" w:eastAsia="宋体" w:cs="宋体"/>
                <w:color w:val="auto"/>
                <w:kern w:val="2"/>
                <w:sz w:val="21"/>
                <w:szCs w:val="21"/>
                <w:highlight w:val="none"/>
              </w:rPr>
              <w:t>，评出合格投标人。若通过</w:t>
            </w:r>
            <w:r>
              <w:rPr>
                <w:rFonts w:hint="eastAsia" w:ascii="宋体" w:hAnsi="宋体" w:eastAsia="宋体" w:cs="宋体"/>
                <w:color w:val="auto"/>
                <w:kern w:val="2"/>
                <w:sz w:val="21"/>
                <w:szCs w:val="21"/>
                <w:highlight w:val="none"/>
                <w:lang w:val="en-US" w:eastAsia="zh-CN"/>
              </w:rPr>
              <w:t>初步评审</w:t>
            </w:r>
            <w:r>
              <w:rPr>
                <w:rFonts w:hint="eastAsia" w:ascii="宋体" w:hAnsi="宋体" w:eastAsia="宋体" w:cs="宋体"/>
                <w:color w:val="auto"/>
                <w:kern w:val="2"/>
                <w:sz w:val="21"/>
                <w:szCs w:val="21"/>
                <w:highlight w:val="none"/>
              </w:rPr>
              <w:t>的合格投标人大于等于</w:t>
            </w:r>
            <w:r>
              <w:rPr>
                <w:rFonts w:hint="eastAsia" w:ascii="宋体" w:hAnsi="宋体" w:eastAsia="宋体" w:cs="宋体"/>
                <w:color w:val="auto"/>
                <w:kern w:val="2"/>
                <w:sz w:val="21"/>
                <w:szCs w:val="21"/>
                <w:highlight w:val="none"/>
                <w:lang w:val="en-US" w:eastAsia="zh-CN"/>
              </w:rPr>
              <w:t>5</w:t>
            </w:r>
            <w:r>
              <w:rPr>
                <w:rFonts w:hint="eastAsia" w:ascii="宋体" w:hAnsi="宋体" w:eastAsia="宋体" w:cs="宋体"/>
                <w:color w:val="auto"/>
                <w:kern w:val="2"/>
                <w:sz w:val="21"/>
                <w:szCs w:val="21"/>
                <w:highlight w:val="none"/>
              </w:rPr>
              <w:t>家，小于等于</w:t>
            </w:r>
            <w:r>
              <w:rPr>
                <w:rFonts w:hint="eastAsia" w:ascii="宋体" w:hAnsi="宋体" w:cs="宋体"/>
                <w:color w:val="auto"/>
                <w:kern w:val="2"/>
                <w:sz w:val="21"/>
                <w:szCs w:val="21"/>
                <w:highlight w:val="none"/>
                <w:lang w:val="en-US" w:eastAsia="zh-CN"/>
              </w:rPr>
              <w:t>20</w:t>
            </w:r>
            <w:r>
              <w:rPr>
                <w:rFonts w:hint="eastAsia" w:ascii="宋体" w:hAnsi="宋体" w:eastAsia="宋体" w:cs="宋体"/>
                <w:color w:val="auto"/>
                <w:kern w:val="2"/>
                <w:sz w:val="21"/>
                <w:szCs w:val="21"/>
                <w:highlight w:val="none"/>
              </w:rPr>
              <w:t>家的，则全部通过</w:t>
            </w:r>
            <w:r>
              <w:rPr>
                <w:rFonts w:hint="eastAsia" w:ascii="宋体" w:hAnsi="宋体" w:eastAsia="宋体" w:cs="宋体"/>
                <w:color w:val="auto"/>
                <w:kern w:val="2"/>
                <w:sz w:val="21"/>
                <w:szCs w:val="21"/>
                <w:highlight w:val="none"/>
                <w:lang w:eastAsia="zh-CN"/>
              </w:rPr>
              <w:t>初步评审</w:t>
            </w:r>
            <w:r>
              <w:rPr>
                <w:rFonts w:hint="eastAsia" w:ascii="宋体" w:hAnsi="宋体" w:eastAsia="宋体" w:cs="宋体"/>
                <w:color w:val="auto"/>
                <w:kern w:val="2"/>
                <w:sz w:val="21"/>
                <w:szCs w:val="21"/>
                <w:highlight w:val="none"/>
              </w:rPr>
              <w:t>的合格投标人</w:t>
            </w:r>
            <w:r>
              <w:rPr>
                <w:rFonts w:hint="eastAsia" w:ascii="宋体" w:hAnsi="宋体" w:cs="宋体"/>
                <w:color w:val="auto"/>
                <w:kern w:val="2"/>
                <w:sz w:val="21"/>
                <w:szCs w:val="21"/>
                <w:highlight w:val="none"/>
                <w:lang w:val="en-US" w:eastAsia="zh-CN"/>
              </w:rPr>
              <w:t>不排序</w:t>
            </w:r>
            <w:r>
              <w:rPr>
                <w:rFonts w:hint="eastAsia" w:ascii="宋体" w:hAnsi="宋体" w:eastAsia="宋体" w:cs="宋体"/>
                <w:color w:val="auto"/>
                <w:kern w:val="2"/>
                <w:sz w:val="21"/>
                <w:szCs w:val="21"/>
                <w:highlight w:val="none"/>
              </w:rPr>
              <w:t>进入定标阶段；</w:t>
            </w:r>
          </w:p>
          <w:p w14:paraId="7FAE521F">
            <w:pPr>
              <w:keepNext w:val="0"/>
              <w:keepLines w:val="0"/>
              <w:pageBreakBefore w:val="0"/>
              <w:widowControl w:val="0"/>
              <w:kinsoku/>
              <w:wordWrap/>
              <w:overflowPunct/>
              <w:topLinePunct w:val="0"/>
              <w:autoSpaceDE w:val="0"/>
              <w:autoSpaceDN w:val="0"/>
              <w:bidi w:val="0"/>
              <w:adjustRightInd w:val="0"/>
              <w:snapToGrid/>
              <w:spacing w:before="120" w:beforeLines="50" w:line="240" w:lineRule="auto"/>
              <w:contextualSpacing/>
              <w:textAlignment w:val="auto"/>
              <w:rPr>
                <w:rFonts w:hint="eastAsia" w:ascii="宋体" w:hAnsi="宋体" w:eastAsia="宋体" w:cs="宋体"/>
                <w:color w:val="auto"/>
                <w:sz w:val="21"/>
                <w:szCs w:val="24"/>
                <w:highlight w:val="none"/>
                <w:lang w:val="en-US" w:eastAsia="zh-CN"/>
              </w:rPr>
            </w:pPr>
            <w:r>
              <w:rPr>
                <w:rFonts w:hint="eastAsia" w:ascii="宋体" w:hAnsi="宋体" w:eastAsia="宋体" w:cs="宋体"/>
                <w:color w:val="auto"/>
                <w:kern w:val="2"/>
                <w:sz w:val="21"/>
                <w:szCs w:val="21"/>
                <w:highlight w:val="none"/>
              </w:rPr>
              <w:t>若通过</w:t>
            </w:r>
            <w:r>
              <w:rPr>
                <w:rFonts w:hint="eastAsia" w:ascii="宋体" w:hAnsi="宋体" w:cs="宋体"/>
                <w:color w:val="auto"/>
                <w:kern w:val="2"/>
                <w:sz w:val="21"/>
                <w:szCs w:val="21"/>
                <w:highlight w:val="none"/>
                <w:lang w:val="en-US" w:eastAsia="zh-CN"/>
              </w:rPr>
              <w:t>初步评审</w:t>
            </w:r>
            <w:r>
              <w:rPr>
                <w:rFonts w:hint="eastAsia" w:ascii="宋体" w:hAnsi="宋体" w:eastAsia="宋体" w:cs="宋体"/>
                <w:color w:val="auto"/>
                <w:kern w:val="2"/>
                <w:sz w:val="21"/>
                <w:szCs w:val="21"/>
                <w:highlight w:val="none"/>
              </w:rPr>
              <w:t>的合格投标人大于</w:t>
            </w:r>
            <w:r>
              <w:rPr>
                <w:rFonts w:hint="eastAsia" w:ascii="宋体" w:hAnsi="宋体" w:cs="宋体"/>
                <w:color w:val="auto"/>
                <w:kern w:val="2"/>
                <w:sz w:val="21"/>
                <w:szCs w:val="21"/>
                <w:highlight w:val="none"/>
                <w:lang w:val="en-US" w:eastAsia="zh-CN"/>
              </w:rPr>
              <w:t>20</w:t>
            </w:r>
            <w:r>
              <w:rPr>
                <w:rFonts w:hint="eastAsia" w:ascii="宋体" w:hAnsi="宋体" w:eastAsia="宋体" w:cs="宋体"/>
                <w:color w:val="auto"/>
                <w:kern w:val="2"/>
                <w:sz w:val="21"/>
                <w:szCs w:val="21"/>
                <w:highlight w:val="none"/>
              </w:rPr>
              <w:t>家的，按投标文件</w:t>
            </w:r>
            <w:r>
              <w:rPr>
                <w:rFonts w:hint="eastAsia" w:ascii="宋体" w:hAnsi="宋体" w:eastAsia="宋体" w:cs="宋体"/>
                <w:color w:val="auto"/>
                <w:kern w:val="2"/>
                <w:sz w:val="21"/>
                <w:szCs w:val="21"/>
                <w:highlight w:val="none"/>
                <w:lang w:eastAsia="zh-CN"/>
              </w:rPr>
              <w:t>（评标部分）</w:t>
            </w:r>
            <w:r>
              <w:rPr>
                <w:rFonts w:hint="eastAsia" w:ascii="宋体" w:hAnsi="宋体" w:cs="宋体"/>
                <w:color w:val="auto"/>
                <w:kern w:val="2"/>
                <w:sz w:val="21"/>
                <w:szCs w:val="21"/>
                <w:highlight w:val="none"/>
                <w:lang w:val="en-US" w:eastAsia="zh-CN"/>
              </w:rPr>
              <w:t>总</w:t>
            </w:r>
            <w:r>
              <w:rPr>
                <w:rFonts w:hint="eastAsia" w:ascii="宋体" w:hAnsi="宋体" w:eastAsia="宋体" w:cs="宋体"/>
                <w:color w:val="auto"/>
                <w:kern w:val="2"/>
                <w:sz w:val="21"/>
                <w:szCs w:val="21"/>
                <w:highlight w:val="none"/>
              </w:rPr>
              <w:t>得分从高到低进行排序，推荐排序位于前</w:t>
            </w:r>
            <w:r>
              <w:rPr>
                <w:rFonts w:hint="eastAsia" w:ascii="宋体" w:hAnsi="宋体" w:cs="宋体"/>
                <w:color w:val="auto"/>
                <w:kern w:val="2"/>
                <w:sz w:val="21"/>
                <w:szCs w:val="21"/>
                <w:highlight w:val="none"/>
                <w:lang w:val="en-US" w:eastAsia="zh-CN"/>
              </w:rPr>
              <w:t>20</w:t>
            </w:r>
            <w:r>
              <w:rPr>
                <w:rFonts w:hint="eastAsia" w:ascii="宋体" w:hAnsi="宋体" w:eastAsia="宋体" w:cs="宋体"/>
                <w:color w:val="auto"/>
                <w:kern w:val="2"/>
                <w:sz w:val="21"/>
                <w:szCs w:val="21"/>
                <w:highlight w:val="none"/>
              </w:rPr>
              <w:t>名次</w:t>
            </w:r>
            <w:r>
              <w:rPr>
                <w:rFonts w:hint="eastAsia" w:ascii="宋体" w:hAnsi="宋体" w:cs="宋体"/>
                <w:color w:val="auto"/>
                <w:kern w:val="2"/>
                <w:sz w:val="21"/>
                <w:szCs w:val="21"/>
                <w:highlight w:val="none"/>
                <w:lang w:val="en-US" w:eastAsia="zh-CN"/>
              </w:rPr>
              <w:t>的合格投标人</w:t>
            </w:r>
            <w:r>
              <w:rPr>
                <w:rFonts w:hint="eastAsia" w:ascii="宋体" w:hAnsi="宋体" w:eastAsia="宋体" w:cs="宋体"/>
                <w:color w:val="auto"/>
                <w:kern w:val="2"/>
                <w:sz w:val="21"/>
                <w:szCs w:val="21"/>
                <w:highlight w:val="none"/>
              </w:rPr>
              <w:t>不排序进入定标阶段（若前</w:t>
            </w:r>
            <w:r>
              <w:rPr>
                <w:rFonts w:hint="eastAsia" w:ascii="宋体" w:hAnsi="宋体" w:cs="宋体"/>
                <w:color w:val="auto"/>
                <w:kern w:val="2"/>
                <w:sz w:val="21"/>
                <w:szCs w:val="21"/>
                <w:highlight w:val="none"/>
                <w:lang w:val="en-US" w:eastAsia="zh-CN"/>
              </w:rPr>
              <w:t>20</w:t>
            </w:r>
            <w:r>
              <w:rPr>
                <w:rFonts w:hint="eastAsia" w:ascii="宋体" w:hAnsi="宋体" w:eastAsia="宋体" w:cs="宋体"/>
                <w:color w:val="auto"/>
                <w:kern w:val="2"/>
                <w:sz w:val="21"/>
                <w:szCs w:val="21"/>
                <w:highlight w:val="none"/>
              </w:rPr>
              <w:t>名次的合格投标人中存在投标文件</w:t>
            </w:r>
            <w:r>
              <w:rPr>
                <w:rFonts w:hint="eastAsia" w:ascii="宋体" w:hAnsi="宋体" w:eastAsia="宋体" w:cs="宋体"/>
                <w:color w:val="auto"/>
                <w:kern w:val="2"/>
                <w:sz w:val="21"/>
                <w:szCs w:val="21"/>
                <w:highlight w:val="none"/>
                <w:lang w:eastAsia="zh-CN"/>
              </w:rPr>
              <w:t>（评标部分）</w:t>
            </w:r>
            <w:r>
              <w:rPr>
                <w:rFonts w:hint="eastAsia" w:ascii="宋体" w:hAnsi="宋体" w:cs="宋体"/>
                <w:color w:val="auto"/>
                <w:kern w:val="2"/>
                <w:sz w:val="21"/>
                <w:szCs w:val="21"/>
                <w:highlight w:val="none"/>
                <w:lang w:val="en-US" w:eastAsia="zh-CN"/>
              </w:rPr>
              <w:t>总</w:t>
            </w:r>
            <w:r>
              <w:rPr>
                <w:rFonts w:hint="eastAsia" w:ascii="宋体" w:hAnsi="宋体" w:eastAsia="宋体" w:cs="宋体"/>
                <w:color w:val="auto"/>
                <w:kern w:val="2"/>
                <w:sz w:val="21"/>
                <w:szCs w:val="21"/>
                <w:highlight w:val="none"/>
              </w:rPr>
              <w:t>得分相同的，</w:t>
            </w:r>
            <w:r>
              <w:rPr>
                <w:rFonts w:hint="eastAsia" w:ascii="宋体" w:hAnsi="宋体" w:cs="宋体"/>
                <w:color w:val="auto"/>
                <w:kern w:val="2"/>
                <w:sz w:val="21"/>
                <w:szCs w:val="21"/>
                <w:highlight w:val="none"/>
                <w:lang w:val="en-US" w:eastAsia="zh-CN"/>
              </w:rPr>
              <w:t>则按第三章“评标、定标办法”第1款的原则确定排序。</w:t>
            </w:r>
            <w:r>
              <w:rPr>
                <w:rFonts w:hint="eastAsia" w:ascii="宋体" w:hAnsi="宋体" w:eastAsia="宋体" w:cs="宋体"/>
                <w:color w:val="auto"/>
                <w:kern w:val="2"/>
                <w:sz w:val="21"/>
                <w:szCs w:val="21"/>
                <w:highlight w:val="none"/>
              </w:rPr>
              <w:t>）。</w:t>
            </w:r>
          </w:p>
        </w:tc>
      </w:tr>
      <w:tr w14:paraId="46A9E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0ADE4F4">
            <w:pPr>
              <w:pStyle w:val="34"/>
              <w:kinsoku w:val="0"/>
              <w:overflowPunct w:val="0"/>
              <w:jc w:val="center"/>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7.1</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5DB2B82">
            <w:pPr>
              <w:pStyle w:val="34"/>
              <w:kinsoku w:val="0"/>
              <w:overflowPunct w:val="0"/>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u w:val="single"/>
              </w:rPr>
              <w:t>合格</w:t>
            </w:r>
            <w:r>
              <w:rPr>
                <w:rFonts w:hint="eastAsia" w:ascii="宋体" w:hAnsi="宋体" w:eastAsia="宋体" w:cs="宋体"/>
                <w:color w:val="auto"/>
                <w:sz w:val="21"/>
                <w:szCs w:val="24"/>
                <w:highlight w:val="none"/>
              </w:rPr>
              <w:t>中标候选人公示媒介及期限</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E410DBF">
            <w:pPr>
              <w:spacing w:before="171"/>
              <w:ind w:left="40"/>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公</w:t>
            </w:r>
            <w:r>
              <w:rPr>
                <w:rFonts w:hint="eastAsia" w:ascii="宋体" w:hAnsi="宋体" w:eastAsia="宋体" w:cs="宋体"/>
                <w:color w:val="auto"/>
                <w:spacing w:val="-10"/>
                <w:sz w:val="21"/>
                <w:szCs w:val="21"/>
                <w:highlight w:val="none"/>
              </w:rPr>
              <w:t>示媒介：中国招标投标公共服务平台、</w:t>
            </w:r>
            <w:r>
              <w:rPr>
                <w:rFonts w:hint="eastAsia" w:ascii="宋体" w:hAnsi="宋体" w:cs="宋体"/>
                <w:color w:val="auto"/>
                <w:sz w:val="21"/>
                <w:szCs w:val="21"/>
                <w:highlight w:val="none"/>
                <w:lang w:val="zh-CN"/>
              </w:rPr>
              <w:t>广州交易集团有限公司（广州公共资源交易中心）</w:t>
            </w:r>
            <w:r>
              <w:rPr>
                <w:rFonts w:hint="eastAsia" w:ascii="宋体" w:hAnsi="宋体" w:eastAsia="宋体" w:cs="宋体"/>
                <w:color w:val="auto"/>
                <w:sz w:val="21"/>
                <w:szCs w:val="21"/>
                <w:highlight w:val="none"/>
                <w:lang w:val="zh-CN"/>
              </w:rPr>
              <w:t>网和广东省招标投标监管网</w:t>
            </w:r>
          </w:p>
          <w:p w14:paraId="75FC3206">
            <w:pPr>
              <w:pStyle w:val="34"/>
              <w:tabs>
                <w:tab w:val="left" w:pos="2100"/>
              </w:tabs>
              <w:kinsoku w:val="0"/>
              <w:overflowPunct w:val="0"/>
              <w:jc w:val="both"/>
              <w:rPr>
                <w:rFonts w:hint="eastAsia" w:ascii="宋体" w:hAnsi="宋体" w:eastAsia="宋体" w:cs="宋体"/>
                <w:color w:val="auto"/>
                <w:sz w:val="21"/>
                <w:szCs w:val="24"/>
                <w:highlight w:val="none"/>
              </w:rPr>
            </w:pPr>
            <w:r>
              <w:rPr>
                <w:rFonts w:hint="eastAsia" w:ascii="宋体" w:hAnsi="宋体" w:eastAsia="宋体" w:cs="宋体"/>
                <w:color w:val="auto"/>
                <w:spacing w:val="-8"/>
                <w:sz w:val="21"/>
                <w:szCs w:val="21"/>
                <w:highlight w:val="none"/>
              </w:rPr>
              <w:t>公示期</w:t>
            </w:r>
            <w:r>
              <w:rPr>
                <w:rFonts w:hint="eastAsia" w:ascii="宋体" w:hAnsi="宋体" w:eastAsia="宋体" w:cs="宋体"/>
                <w:color w:val="auto"/>
                <w:spacing w:val="-4"/>
                <w:sz w:val="21"/>
                <w:szCs w:val="21"/>
                <w:highlight w:val="none"/>
              </w:rPr>
              <w:t>限：</w:t>
            </w:r>
            <w:r>
              <w:rPr>
                <w:rFonts w:hint="eastAsia" w:ascii="宋体" w:hAnsi="宋体" w:eastAsia="宋体" w:cs="宋体"/>
                <w:color w:val="auto"/>
                <w:spacing w:val="-4"/>
                <w:sz w:val="21"/>
                <w:szCs w:val="21"/>
                <w:highlight w:val="none"/>
                <w:u w:val="single" w:color="auto"/>
                <w:lang w:eastAsia="zh-CN"/>
              </w:rPr>
              <w:t>不少于</w:t>
            </w:r>
            <w:r>
              <w:rPr>
                <w:rFonts w:hint="eastAsia" w:ascii="宋体" w:hAnsi="宋体" w:eastAsia="宋体" w:cs="宋体"/>
                <w:color w:val="auto"/>
                <w:spacing w:val="-4"/>
                <w:sz w:val="21"/>
                <w:szCs w:val="21"/>
                <w:highlight w:val="none"/>
                <w:u w:val="single" w:color="auto"/>
                <w:lang w:val="en-US" w:eastAsia="zh-CN"/>
              </w:rPr>
              <w:t>3</w:t>
            </w:r>
            <w:r>
              <w:rPr>
                <w:rFonts w:hint="eastAsia" w:ascii="宋体" w:hAnsi="宋体" w:eastAsia="宋体" w:cs="宋体"/>
                <w:color w:val="auto"/>
                <w:spacing w:val="-4"/>
                <w:sz w:val="21"/>
                <w:szCs w:val="21"/>
                <w:highlight w:val="none"/>
              </w:rPr>
              <w:t>日</w:t>
            </w:r>
            <w:r>
              <w:rPr>
                <w:rFonts w:hint="eastAsia" w:ascii="宋体" w:hAnsi="宋体" w:eastAsia="宋体" w:cs="宋体"/>
                <w:color w:val="auto"/>
                <w:spacing w:val="-5"/>
                <w:sz w:val="21"/>
                <w:szCs w:val="21"/>
                <w:highlight w:val="none"/>
                <w:lang w:eastAsia="zh-CN"/>
              </w:rPr>
              <w:t>（</w:t>
            </w:r>
            <w:r>
              <w:rPr>
                <w:rFonts w:hint="eastAsia" w:ascii="宋体" w:hAnsi="宋体" w:eastAsia="宋体" w:cs="宋体"/>
                <w:color w:val="auto"/>
                <w:spacing w:val="-5"/>
                <w:sz w:val="21"/>
                <w:szCs w:val="21"/>
                <w:highlight w:val="none"/>
              </w:rPr>
              <w:t>最后一天应为工作日</w:t>
            </w:r>
            <w:r>
              <w:rPr>
                <w:rFonts w:hint="eastAsia" w:ascii="宋体" w:hAnsi="宋体" w:eastAsia="宋体" w:cs="宋体"/>
                <w:color w:val="auto"/>
                <w:spacing w:val="-5"/>
                <w:sz w:val="21"/>
                <w:szCs w:val="21"/>
                <w:highlight w:val="none"/>
                <w:lang w:eastAsia="zh-CN"/>
              </w:rPr>
              <w:t>）</w:t>
            </w:r>
          </w:p>
        </w:tc>
      </w:tr>
      <w:tr w14:paraId="1206E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050AE47">
            <w:pPr>
              <w:pStyle w:val="34"/>
              <w:kinsoku w:val="0"/>
              <w:overflowPunct w:val="0"/>
              <w:jc w:val="center"/>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7.4</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1D290F5">
            <w:pPr>
              <w:pStyle w:val="34"/>
              <w:kinsoku w:val="0"/>
              <w:overflowPunct w:val="0"/>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是否授权评标委员会确定中标人</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D26C1B3">
            <w:pPr>
              <w:pStyle w:val="34"/>
              <w:kinsoku w:val="0"/>
              <w:overflowPunct w:val="0"/>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sym w:font="Wingdings 2" w:char="00A3"/>
            </w:r>
            <w:r>
              <w:rPr>
                <w:rFonts w:hint="eastAsia" w:ascii="宋体" w:hAnsi="宋体" w:eastAsia="宋体" w:cs="宋体"/>
                <w:color w:val="auto"/>
                <w:sz w:val="21"/>
                <w:szCs w:val="24"/>
                <w:highlight w:val="none"/>
              </w:rPr>
              <w:t>是</w:t>
            </w:r>
          </w:p>
          <w:p w14:paraId="2FB5C0F8">
            <w:pPr>
              <w:pStyle w:val="34"/>
              <w:kinsoku w:val="0"/>
              <w:overflowPunct w:val="0"/>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sym w:font="Wingdings 2" w:char="0052"/>
            </w:r>
            <w:r>
              <w:rPr>
                <w:rFonts w:hint="eastAsia" w:ascii="宋体" w:hAnsi="宋体" w:eastAsia="宋体" w:cs="宋体"/>
                <w:color w:val="auto"/>
                <w:sz w:val="21"/>
                <w:szCs w:val="24"/>
                <w:highlight w:val="none"/>
              </w:rPr>
              <w:t>否</w:t>
            </w:r>
          </w:p>
          <w:p w14:paraId="106474D7">
            <w:pPr>
              <w:pStyle w:val="34"/>
              <w:kinsoku w:val="0"/>
              <w:overflowPunct w:val="0"/>
              <w:jc w:val="both"/>
              <w:rPr>
                <w:rFonts w:hint="eastAsia" w:ascii="宋体" w:hAnsi="宋体" w:eastAsia="宋体" w:cs="宋体"/>
                <w:color w:val="auto"/>
                <w:sz w:val="21"/>
                <w:szCs w:val="24"/>
                <w:highlight w:val="none"/>
                <w:lang w:eastAsia="zh-CN"/>
              </w:rPr>
            </w:pPr>
            <w:r>
              <w:rPr>
                <w:rFonts w:hint="eastAsia" w:ascii="宋体" w:hAnsi="宋体" w:eastAsia="宋体" w:cs="宋体"/>
                <w:color w:val="auto"/>
                <w:sz w:val="21"/>
                <w:szCs w:val="24"/>
                <w:highlight w:val="none"/>
                <w:u w:val="single"/>
                <w:lang w:eastAsia="zh-CN"/>
              </w:rPr>
              <w:t>本项目采用“评定分离”确定中标人，由评标委员会推荐合格中标候选人名单，进入定标阶段。</w:t>
            </w:r>
          </w:p>
        </w:tc>
      </w:tr>
      <w:tr w14:paraId="0B31B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9E618A6">
            <w:pPr>
              <w:pStyle w:val="34"/>
              <w:kinsoku w:val="0"/>
              <w:overflowPunct w:val="0"/>
              <w:jc w:val="center"/>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7.6.1</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A99AB58">
            <w:pPr>
              <w:pStyle w:val="34"/>
              <w:kinsoku w:val="0"/>
              <w:overflowPunct w:val="0"/>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履约保证金</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56DADAE">
            <w:pPr>
              <w:pStyle w:val="34"/>
              <w:keepNext w:val="0"/>
              <w:keepLines w:val="0"/>
              <w:pageBreakBefore w:val="0"/>
              <w:widowControl w:val="0"/>
              <w:kinsoku w:val="0"/>
              <w:wordWrap/>
              <w:overflowPunct w:val="0"/>
              <w:topLinePunct w:val="0"/>
              <w:autoSpaceDE w:val="0"/>
              <w:autoSpaceDN w:val="0"/>
              <w:bidi w:val="0"/>
              <w:adjustRightInd w:val="0"/>
              <w:snapToGrid/>
              <w:spacing w:line="240" w:lineRule="atLeast"/>
              <w:jc w:val="both"/>
              <w:textAlignment w:val="auto"/>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是否要求中标人提交履约保证金：</w:t>
            </w:r>
          </w:p>
          <w:p w14:paraId="08F8C836">
            <w:pPr>
              <w:pStyle w:val="34"/>
              <w:keepNext w:val="0"/>
              <w:keepLines w:val="0"/>
              <w:pageBreakBefore w:val="0"/>
              <w:widowControl w:val="0"/>
              <w:kinsoku w:val="0"/>
              <w:wordWrap/>
              <w:overflowPunct w:val="0"/>
              <w:topLinePunct w:val="0"/>
              <w:autoSpaceDE w:val="0"/>
              <w:autoSpaceDN w:val="0"/>
              <w:bidi w:val="0"/>
              <w:adjustRightInd w:val="0"/>
              <w:snapToGrid/>
              <w:spacing w:line="240" w:lineRule="atLeast"/>
              <w:jc w:val="both"/>
              <w:textAlignment w:val="auto"/>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sym w:font="Wingdings 2" w:char="0052"/>
            </w:r>
            <w:r>
              <w:rPr>
                <w:rFonts w:hint="eastAsia" w:ascii="宋体" w:hAnsi="宋体" w:eastAsia="宋体" w:cs="宋体"/>
                <w:color w:val="auto"/>
                <w:sz w:val="21"/>
                <w:szCs w:val="24"/>
                <w:highlight w:val="none"/>
              </w:rPr>
              <w:t>不要求</w:t>
            </w:r>
          </w:p>
          <w:p w14:paraId="165147B5">
            <w:pPr>
              <w:pStyle w:val="34"/>
              <w:keepNext w:val="0"/>
              <w:keepLines w:val="0"/>
              <w:pageBreakBefore w:val="0"/>
              <w:widowControl w:val="0"/>
              <w:kinsoku w:val="0"/>
              <w:wordWrap/>
              <w:overflowPunct w:val="0"/>
              <w:topLinePunct w:val="0"/>
              <w:autoSpaceDE w:val="0"/>
              <w:autoSpaceDN w:val="0"/>
              <w:bidi w:val="0"/>
              <w:adjustRightInd w:val="0"/>
              <w:snapToGrid/>
              <w:spacing w:line="240" w:lineRule="atLeast"/>
              <w:jc w:val="both"/>
              <w:textAlignment w:val="auto"/>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sym w:font="Wingdings 2" w:char="00A3"/>
            </w:r>
            <w:r>
              <w:rPr>
                <w:rFonts w:hint="eastAsia" w:ascii="宋体" w:hAnsi="宋体" w:eastAsia="宋体" w:cs="宋体"/>
                <w:color w:val="auto"/>
                <w:sz w:val="21"/>
                <w:szCs w:val="24"/>
                <w:highlight w:val="none"/>
              </w:rPr>
              <w:t>要求，履约保证金的形式：</w:t>
            </w:r>
            <w:r>
              <w:rPr>
                <w:rFonts w:hint="eastAsia" w:ascii="宋体" w:hAnsi="宋体" w:cs="宋体"/>
                <w:sz w:val="24"/>
                <w:szCs w:val="24"/>
                <w:highlight w:val="none"/>
                <w:u w:val="single"/>
              </w:rPr>
              <w:t>/</w:t>
            </w:r>
          </w:p>
          <w:p w14:paraId="5B5341D1">
            <w:pPr>
              <w:pStyle w:val="34"/>
              <w:keepNext w:val="0"/>
              <w:keepLines w:val="0"/>
              <w:pageBreakBefore w:val="0"/>
              <w:widowControl w:val="0"/>
              <w:kinsoku w:val="0"/>
              <w:wordWrap/>
              <w:overflowPunct w:val="0"/>
              <w:topLinePunct w:val="0"/>
              <w:autoSpaceDE w:val="0"/>
              <w:autoSpaceDN w:val="0"/>
              <w:bidi w:val="0"/>
              <w:adjustRightInd w:val="0"/>
              <w:snapToGrid/>
              <w:spacing w:line="240" w:lineRule="atLeast"/>
              <w:ind w:firstLine="840" w:firstLineChars="400"/>
              <w:jc w:val="both"/>
              <w:textAlignment w:val="auto"/>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履约保证金的金额：</w:t>
            </w:r>
            <w:r>
              <w:rPr>
                <w:rFonts w:hint="eastAsia" w:ascii="宋体" w:hAnsi="宋体" w:cs="宋体"/>
                <w:sz w:val="24"/>
                <w:szCs w:val="24"/>
                <w:highlight w:val="none"/>
                <w:u w:val="single"/>
              </w:rPr>
              <w:t>/</w:t>
            </w:r>
          </w:p>
          <w:p w14:paraId="6D550D16">
            <w:pPr>
              <w:pStyle w:val="34"/>
              <w:keepNext w:val="0"/>
              <w:keepLines w:val="0"/>
              <w:pageBreakBefore w:val="0"/>
              <w:widowControl w:val="0"/>
              <w:kinsoku w:val="0"/>
              <w:wordWrap/>
              <w:overflowPunct w:val="0"/>
              <w:topLinePunct w:val="0"/>
              <w:autoSpaceDE w:val="0"/>
              <w:autoSpaceDN w:val="0"/>
              <w:bidi w:val="0"/>
              <w:adjustRightInd w:val="0"/>
              <w:snapToGrid/>
              <w:spacing w:line="240" w:lineRule="atLeast"/>
              <w:jc w:val="both"/>
              <w:textAlignment w:val="auto"/>
              <w:rPr>
                <w:rFonts w:hint="eastAsia" w:ascii="宋体" w:hAnsi="宋体" w:eastAsia="宋体" w:cs="宋体"/>
                <w:color w:val="auto"/>
                <w:sz w:val="21"/>
                <w:szCs w:val="24"/>
                <w:highlight w:val="none"/>
              </w:rPr>
            </w:pPr>
          </w:p>
        </w:tc>
      </w:tr>
      <w:tr w14:paraId="6EEC3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E438BDE">
            <w:pPr>
              <w:pStyle w:val="34"/>
              <w:kinsoku w:val="0"/>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C1D9ACB">
            <w:pPr>
              <w:pStyle w:val="34"/>
              <w:kinsoku w:val="0"/>
              <w:overflowPunct w:val="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需要补充的其他内容</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B352F4B">
            <w:pPr>
              <w:jc w:val="both"/>
              <w:rPr>
                <w:rFonts w:hint="eastAsia" w:ascii="宋体" w:hAnsi="宋体" w:eastAsia="宋体" w:cs="宋体"/>
                <w:color w:val="auto"/>
                <w:sz w:val="21"/>
                <w:szCs w:val="21"/>
                <w:highlight w:val="none"/>
              </w:rPr>
            </w:pPr>
          </w:p>
        </w:tc>
      </w:tr>
      <w:tr w14:paraId="68376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666F901">
            <w:pPr>
              <w:snapToGrid w:val="0"/>
              <w:jc w:val="center"/>
              <w:rPr>
                <w:rFonts w:hint="eastAsia" w:ascii="宋体" w:hAnsi="宋体" w:eastAsia="宋体" w:cs="宋体"/>
                <w:color w:val="auto"/>
                <w:sz w:val="21"/>
                <w:szCs w:val="21"/>
                <w:highlight w:val="none"/>
              </w:rPr>
            </w:pPr>
            <w:r>
              <w:rPr>
                <w:rFonts w:hint="eastAsia" w:ascii="宋体" w:hAnsi="宋体" w:cs="宋体"/>
                <w:sz w:val="21"/>
                <w:szCs w:val="21"/>
                <w:highlight w:val="none"/>
              </w:rPr>
              <w:t>10.1</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B2A4444">
            <w:pPr>
              <w:jc w:val="center"/>
              <w:rPr>
                <w:rFonts w:hint="eastAsia" w:ascii="宋体" w:hAnsi="宋体" w:eastAsia="宋体" w:cs="宋体"/>
                <w:color w:val="auto"/>
                <w:sz w:val="21"/>
                <w:szCs w:val="21"/>
                <w:highlight w:val="none"/>
              </w:rPr>
            </w:pPr>
            <w:r>
              <w:rPr>
                <w:rFonts w:hint="eastAsia" w:ascii="宋体" w:hAnsi="宋体" w:cs="宋体"/>
                <w:sz w:val="21"/>
                <w:szCs w:val="21"/>
                <w:highlight w:val="none"/>
              </w:rPr>
              <w:t>招标失败的情形</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0D9E5F2">
            <w:pPr>
              <w:ind w:left="1" w:leftChars="0"/>
              <w:rPr>
                <w:rFonts w:hint="eastAsia" w:ascii="宋体" w:hAnsi="宋体" w:eastAsia="宋体" w:cs="宋体"/>
                <w:color w:val="auto"/>
                <w:sz w:val="21"/>
                <w:szCs w:val="21"/>
                <w:highlight w:val="none"/>
              </w:rPr>
            </w:pPr>
            <w:r>
              <w:rPr>
                <w:rFonts w:hint="eastAsia" w:ascii="宋体" w:hAnsi="宋体" w:cs="宋体"/>
                <w:sz w:val="21"/>
                <w:szCs w:val="21"/>
                <w:highlight w:val="none"/>
              </w:rPr>
              <w:t>本项目采用资格后审方式，满足资格审查合格条件或通过初步评审的投标申请人不足</w:t>
            </w:r>
            <w:r>
              <w:rPr>
                <w:rFonts w:hint="eastAsia" w:ascii="宋体" w:hAnsi="宋体" w:cs="宋体"/>
                <w:sz w:val="21"/>
                <w:szCs w:val="21"/>
                <w:highlight w:val="none"/>
                <w:lang w:val="en-US" w:eastAsia="zh-CN"/>
              </w:rPr>
              <w:t>5</w:t>
            </w:r>
            <w:r>
              <w:rPr>
                <w:rFonts w:hint="eastAsia" w:ascii="宋体" w:hAnsi="宋体" w:cs="宋体"/>
                <w:sz w:val="21"/>
                <w:szCs w:val="21"/>
                <w:highlight w:val="none"/>
              </w:rPr>
              <w:t>名时为招标失败。招标人分析招标失败原因，修正招标方案，报有关管理部门核准后，重新组织招标。</w:t>
            </w:r>
          </w:p>
        </w:tc>
      </w:tr>
      <w:tr w14:paraId="39D6B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0B2B0FF">
            <w:pPr>
              <w:snapToGrid w:val="0"/>
              <w:jc w:val="center"/>
              <w:rPr>
                <w:rFonts w:hint="eastAsia" w:ascii="宋体" w:hAnsi="宋体" w:eastAsia="宋体" w:cs="宋体"/>
                <w:color w:val="auto"/>
                <w:sz w:val="21"/>
                <w:szCs w:val="21"/>
                <w:highlight w:val="none"/>
              </w:rPr>
            </w:pPr>
            <w:r>
              <w:rPr>
                <w:rFonts w:hint="eastAsia" w:ascii="宋体" w:hAnsi="宋体" w:cs="宋体"/>
                <w:sz w:val="21"/>
                <w:szCs w:val="21"/>
                <w:highlight w:val="none"/>
              </w:rPr>
              <w:t>10.2</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C2F4349">
            <w:pPr>
              <w:jc w:val="center"/>
              <w:rPr>
                <w:rFonts w:hint="eastAsia" w:ascii="宋体" w:hAnsi="宋体" w:eastAsia="宋体" w:cs="宋体"/>
                <w:color w:val="auto"/>
                <w:sz w:val="21"/>
                <w:szCs w:val="21"/>
                <w:highlight w:val="none"/>
              </w:rPr>
            </w:pPr>
            <w:r>
              <w:rPr>
                <w:rFonts w:hint="eastAsia" w:ascii="宋体" w:hAnsi="宋体" w:cs="宋体"/>
                <w:sz w:val="21"/>
                <w:szCs w:val="21"/>
                <w:highlight w:val="none"/>
              </w:rPr>
              <w:t>提交纸质投标文件要求</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067A0AB">
            <w:pPr>
              <w:ind w:left="1" w:leftChars="0"/>
              <w:rPr>
                <w:rFonts w:hint="eastAsia" w:ascii="宋体" w:hAnsi="宋体" w:eastAsia="宋体" w:cs="宋体"/>
                <w:color w:val="auto"/>
                <w:sz w:val="21"/>
                <w:szCs w:val="21"/>
                <w:highlight w:val="none"/>
              </w:rPr>
            </w:pPr>
            <w:r>
              <w:rPr>
                <w:rFonts w:hint="eastAsia" w:ascii="宋体" w:hAnsi="宋体" w:cs="宋体"/>
                <w:sz w:val="21"/>
                <w:szCs w:val="21"/>
                <w:highlight w:val="none"/>
              </w:rPr>
              <w:t>发出中标通知书后3天内中标人需打印投标文件，投标文件需与中标人在</w:t>
            </w:r>
            <w:r>
              <w:rPr>
                <w:rFonts w:hint="eastAsia" w:ascii="宋体" w:hAnsi="宋体" w:cs="宋体"/>
                <w:color w:val="auto"/>
                <w:sz w:val="21"/>
                <w:szCs w:val="21"/>
                <w:highlight w:val="none"/>
                <w:lang w:val="zh-CN"/>
              </w:rPr>
              <w:t>广州交易集团有限公司（广州公共资源交易中心）</w:t>
            </w:r>
            <w:r>
              <w:rPr>
                <w:rFonts w:hint="eastAsia" w:ascii="宋体" w:hAnsi="宋体" w:cs="宋体"/>
                <w:sz w:val="21"/>
                <w:szCs w:val="21"/>
                <w:highlight w:val="none"/>
              </w:rPr>
              <w:t>网站提交的投标文件一致，中标人加盖公章，一正两副，合共三套投标文件提供给招标人，相关费用由中标人支付。</w:t>
            </w:r>
          </w:p>
        </w:tc>
      </w:tr>
      <w:tr w14:paraId="23FC3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0043C66">
            <w:pPr>
              <w:jc w:val="center"/>
              <w:rPr>
                <w:rFonts w:hint="eastAsia" w:ascii="宋体" w:hAnsi="宋体" w:eastAsia="宋体" w:cs="宋体"/>
                <w:color w:val="auto"/>
                <w:sz w:val="21"/>
                <w:szCs w:val="21"/>
                <w:highlight w:val="none"/>
                <w:lang w:eastAsia="zh-CN"/>
              </w:rPr>
            </w:pPr>
            <w:r>
              <w:rPr>
                <w:rFonts w:hint="eastAsia" w:ascii="宋体" w:hAnsi="宋体" w:eastAsia="宋体" w:cs="宋体"/>
                <w:sz w:val="21"/>
                <w:szCs w:val="21"/>
                <w:highlight w:val="none"/>
              </w:rPr>
              <w:t>10.</w:t>
            </w:r>
            <w:r>
              <w:rPr>
                <w:rFonts w:hint="eastAsia" w:ascii="宋体" w:hAnsi="宋体" w:cs="宋体"/>
                <w:sz w:val="21"/>
                <w:szCs w:val="21"/>
                <w:highlight w:val="none"/>
                <w:lang w:val="en-US" w:eastAsia="zh-CN"/>
              </w:rPr>
              <w:t>3</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BEADACC">
            <w:pPr>
              <w:jc w:val="center"/>
              <w:rPr>
                <w:rFonts w:hint="eastAsia" w:ascii="宋体" w:hAnsi="宋体" w:eastAsia="宋体" w:cs="宋体"/>
                <w:color w:val="auto"/>
                <w:sz w:val="21"/>
                <w:szCs w:val="21"/>
                <w:highlight w:val="none"/>
              </w:rPr>
            </w:pPr>
            <w:r>
              <w:rPr>
                <w:rFonts w:hint="eastAsia" w:ascii="宋体" w:hAnsi="宋体" w:eastAsia="宋体" w:cs="宋体"/>
                <w:sz w:val="21"/>
                <w:szCs w:val="21"/>
                <w:highlight w:val="none"/>
              </w:rPr>
              <w:t>其他费用</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8EBA457">
            <w:pPr>
              <w:snapToGrid w:val="0"/>
              <w:jc w:val="left"/>
              <w:rPr>
                <w:rFonts w:hint="eastAsia" w:ascii="宋体" w:hAnsi="宋体" w:eastAsia="宋体" w:cs="宋体"/>
                <w:color w:val="auto"/>
                <w:sz w:val="21"/>
                <w:szCs w:val="21"/>
                <w:highlight w:val="none"/>
              </w:rPr>
            </w:pPr>
            <w:r>
              <w:rPr>
                <w:rFonts w:hint="eastAsia" w:ascii="宋体" w:hAnsi="宋体" w:eastAsia="宋体" w:cs="宋体"/>
                <w:sz w:val="21"/>
                <w:szCs w:val="21"/>
                <w:highlight w:val="none"/>
                <w:u w:val="single"/>
              </w:rPr>
              <w:t>中标人缴交</w:t>
            </w:r>
            <w:r>
              <w:rPr>
                <w:rFonts w:hint="eastAsia" w:ascii="宋体" w:hAnsi="宋体" w:cs="宋体"/>
                <w:color w:val="auto"/>
                <w:sz w:val="21"/>
                <w:szCs w:val="21"/>
                <w:highlight w:val="none"/>
                <w:lang w:val="zh-CN"/>
              </w:rPr>
              <w:t>广州交易集团有限公司（广州公共资源交易中心）</w:t>
            </w:r>
            <w:r>
              <w:rPr>
                <w:rFonts w:hint="eastAsia" w:ascii="宋体" w:hAnsi="宋体" w:eastAsia="宋体" w:cs="宋体"/>
                <w:sz w:val="21"/>
                <w:szCs w:val="21"/>
                <w:highlight w:val="none"/>
                <w:u w:val="single"/>
              </w:rPr>
              <w:t>交易服务费，其费用包含在中标人报价中，由</w:t>
            </w:r>
            <w:r>
              <w:rPr>
                <w:rFonts w:hint="eastAsia" w:ascii="宋体" w:hAnsi="宋体" w:cs="宋体"/>
                <w:color w:val="auto"/>
                <w:sz w:val="21"/>
                <w:szCs w:val="21"/>
                <w:highlight w:val="none"/>
                <w:lang w:val="zh-CN"/>
              </w:rPr>
              <w:t>广州交易集团有限公司（广州公共资源交易中心）</w:t>
            </w:r>
            <w:r>
              <w:rPr>
                <w:rFonts w:hint="eastAsia" w:ascii="宋体" w:hAnsi="宋体" w:eastAsia="宋体" w:cs="宋体"/>
                <w:sz w:val="21"/>
                <w:szCs w:val="21"/>
                <w:highlight w:val="none"/>
                <w:u w:val="single"/>
              </w:rPr>
              <w:t>向中标人开具增值税发票。</w:t>
            </w:r>
          </w:p>
        </w:tc>
      </w:tr>
      <w:tr w14:paraId="7A6CA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A8D437A">
            <w:pPr>
              <w:jc w:val="center"/>
              <w:rPr>
                <w:rFonts w:hint="eastAsia" w:ascii="宋体" w:hAnsi="宋体" w:eastAsia="宋体" w:cs="宋体"/>
                <w:color w:val="auto"/>
                <w:sz w:val="21"/>
                <w:szCs w:val="21"/>
                <w:highlight w:val="none"/>
                <w:lang w:eastAsia="zh-CN"/>
              </w:rPr>
            </w:pPr>
            <w:r>
              <w:rPr>
                <w:rFonts w:hint="eastAsia" w:ascii="宋体" w:hAnsi="宋体" w:eastAsia="宋体" w:cs="宋体"/>
                <w:sz w:val="21"/>
                <w:szCs w:val="21"/>
                <w:highlight w:val="none"/>
              </w:rPr>
              <w:t>10.</w:t>
            </w:r>
            <w:r>
              <w:rPr>
                <w:rFonts w:hint="eastAsia" w:ascii="宋体" w:hAnsi="宋体" w:cs="宋体"/>
                <w:sz w:val="21"/>
                <w:szCs w:val="21"/>
                <w:highlight w:val="none"/>
                <w:lang w:val="en-US" w:eastAsia="zh-CN"/>
              </w:rPr>
              <w:t>4</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3DBB536">
            <w:pPr>
              <w:jc w:val="center"/>
              <w:rPr>
                <w:rFonts w:hint="eastAsia" w:ascii="宋体" w:hAnsi="宋体" w:eastAsia="宋体" w:cs="宋体"/>
                <w:color w:val="auto"/>
                <w:sz w:val="21"/>
                <w:szCs w:val="21"/>
                <w:highlight w:val="none"/>
              </w:rPr>
            </w:pPr>
            <w:r>
              <w:rPr>
                <w:rFonts w:hint="eastAsia" w:ascii="宋体" w:hAnsi="宋体" w:eastAsia="宋体" w:cs="宋体"/>
                <w:sz w:val="21"/>
                <w:szCs w:val="21"/>
                <w:highlight w:val="none"/>
              </w:rPr>
              <w:t>社保要求</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C3FA7F4">
            <w:pPr>
              <w:snapToGrid/>
              <w:spacing w:before="120" w:beforeLines="50" w:line="360" w:lineRule="auto"/>
              <w:contextualSpacing/>
              <w:jc w:val="left"/>
              <w:rPr>
                <w:rFonts w:hint="eastAsia" w:ascii="宋体" w:hAnsi="宋体" w:eastAsia="宋体" w:cs="宋体"/>
                <w:color w:val="auto"/>
                <w:sz w:val="21"/>
                <w:szCs w:val="21"/>
                <w:highlight w:val="none"/>
              </w:rPr>
            </w:pPr>
            <w:r>
              <w:rPr>
                <w:rFonts w:hint="eastAsia" w:ascii="宋体" w:hAnsi="宋体" w:eastAsia="宋体" w:cs="宋体"/>
                <w:sz w:val="21"/>
                <w:szCs w:val="21"/>
                <w:highlight w:val="none"/>
                <w:u w:val="single"/>
              </w:rPr>
              <w:t>投标人提供的人员社保证明需提供投标截止时间最近一个</w:t>
            </w:r>
            <w:r>
              <w:rPr>
                <w:rFonts w:hint="eastAsia" w:ascii="宋体" w:hAnsi="宋体" w:eastAsia="宋体" w:cs="宋体"/>
                <w:sz w:val="21"/>
                <w:szCs w:val="21"/>
                <w:highlight w:val="none"/>
                <w:u w:val="single"/>
              </w:rPr>
              <w:t>月（时间为：2025年</w:t>
            </w:r>
            <w:r>
              <w:rPr>
                <w:rFonts w:hint="eastAsia" w:ascii="宋体" w:hAnsi="宋体" w:cs="宋体"/>
                <w:sz w:val="21"/>
                <w:szCs w:val="21"/>
                <w:highlight w:val="none"/>
                <w:u w:val="single"/>
                <w:lang w:val="en-US" w:eastAsia="zh-CN"/>
              </w:rPr>
              <w:t>7</w:t>
            </w:r>
            <w:r>
              <w:rPr>
                <w:rFonts w:hint="eastAsia" w:ascii="宋体" w:hAnsi="宋体" w:eastAsia="宋体" w:cs="宋体"/>
                <w:sz w:val="21"/>
                <w:szCs w:val="21"/>
                <w:highlight w:val="none"/>
                <w:u w:val="single"/>
              </w:rPr>
              <w:t>月</w:t>
            </w:r>
            <w:r>
              <w:rPr>
                <w:rFonts w:hint="eastAsia" w:ascii="宋体" w:hAnsi="宋体" w:eastAsia="宋体" w:cs="宋体"/>
                <w:sz w:val="21"/>
                <w:szCs w:val="21"/>
                <w:highlight w:val="none"/>
                <w:u w:val="single"/>
              </w:rPr>
              <w:t>）在本单位</w:t>
            </w:r>
            <w:r>
              <w:rPr>
                <w:rFonts w:hint="eastAsia" w:ascii="宋体" w:hAnsi="宋体" w:cs="宋体"/>
                <w:sz w:val="21"/>
                <w:szCs w:val="21"/>
                <w:highlight w:val="none"/>
                <w:u w:val="single"/>
                <w:lang w:val="en-US" w:eastAsia="zh-CN"/>
              </w:rPr>
              <w:t>(不含子公司)</w:t>
            </w:r>
            <w:r>
              <w:rPr>
                <w:rFonts w:hint="eastAsia" w:ascii="宋体" w:hAnsi="宋体" w:eastAsia="宋体" w:cs="宋体"/>
                <w:sz w:val="21"/>
                <w:szCs w:val="21"/>
                <w:highlight w:val="none"/>
                <w:u w:val="single"/>
              </w:rPr>
              <w:t>交纳的社保证明文件，退休返聘人员需提供退休及返聘证明。社保证明文件以加盖社会保险相关部门印章的相关资料为准，退休返聘人员需提供退休及返聘证明。注：（1）因当地政府政策规定未能反映本项目投标截止时间最近一个月（时间为：2025年</w:t>
            </w:r>
            <w:r>
              <w:rPr>
                <w:rFonts w:hint="eastAsia" w:ascii="宋体" w:hAnsi="宋体" w:cs="宋体"/>
                <w:sz w:val="21"/>
                <w:szCs w:val="21"/>
                <w:highlight w:val="none"/>
                <w:u w:val="single"/>
                <w:lang w:val="en-US" w:eastAsia="zh-CN"/>
              </w:rPr>
              <w:t>7</w:t>
            </w:r>
            <w:r>
              <w:rPr>
                <w:rFonts w:hint="eastAsia" w:ascii="宋体" w:hAnsi="宋体" w:eastAsia="宋体" w:cs="宋体"/>
                <w:sz w:val="21"/>
                <w:szCs w:val="21"/>
                <w:highlight w:val="none"/>
                <w:u w:val="single"/>
              </w:rPr>
              <w:t>月</w:t>
            </w:r>
            <w:r>
              <w:rPr>
                <w:rFonts w:hint="eastAsia" w:ascii="宋体" w:hAnsi="宋体" w:eastAsia="宋体" w:cs="宋体"/>
                <w:sz w:val="21"/>
                <w:szCs w:val="21"/>
                <w:highlight w:val="none"/>
                <w:u w:val="single"/>
              </w:rPr>
              <w:t>）信息的，投标人须提供当地社会保险相关部门的相关文件及本单位最近一个月的社保证明文件作为缴纳社保的证明。（2）中标后需提供投标文件中人员的社保补缴情况相关证明报招标人核实。</w:t>
            </w:r>
          </w:p>
        </w:tc>
      </w:tr>
      <w:tr w14:paraId="372A3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3AD78A8">
            <w:pPr>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10.5</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913A5CA">
            <w:pPr>
              <w:jc w:val="center"/>
              <w:rPr>
                <w:rFonts w:hint="eastAsia" w:ascii="宋体" w:hAnsi="宋体" w:eastAsia="宋体" w:cs="宋体"/>
                <w:sz w:val="21"/>
                <w:szCs w:val="21"/>
                <w:highlight w:val="none"/>
              </w:rPr>
            </w:pPr>
            <w:r>
              <w:rPr>
                <w:rFonts w:hint="eastAsia" w:ascii="宋体" w:hAnsi="宋体"/>
                <w:sz w:val="21"/>
                <w:highlight w:val="none"/>
                <w:u w:val="single"/>
              </w:rPr>
              <w:t>投标报价</w:t>
            </w:r>
            <w:r>
              <w:rPr>
                <w:rFonts w:ascii="宋体" w:hAnsi="宋体"/>
                <w:sz w:val="21"/>
                <w:highlight w:val="none"/>
                <w:u w:val="single"/>
              </w:rPr>
              <w:t>评审优惠政策</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A427B5D">
            <w:pPr>
              <w:spacing w:line="360" w:lineRule="auto"/>
              <w:rPr>
                <w:rFonts w:ascii="宋体" w:hAnsi="宋体" w:cs="宋体"/>
                <w:sz w:val="21"/>
                <w:szCs w:val="21"/>
                <w:highlight w:val="none"/>
                <w:u w:val="single"/>
              </w:rPr>
            </w:pPr>
            <w:r>
              <w:rPr>
                <w:rFonts w:ascii="宋体" w:hAnsi="宋体" w:cs="宋体"/>
                <w:sz w:val="21"/>
                <w:szCs w:val="21"/>
                <w:highlight w:val="none"/>
                <w:u w:val="single"/>
              </w:rPr>
              <w:t>本招标项目执行</w:t>
            </w:r>
            <w:r>
              <w:rPr>
                <w:rFonts w:hint="eastAsia" w:ascii="宋体" w:hAnsi="宋体" w:cs="宋体"/>
                <w:sz w:val="21"/>
                <w:szCs w:val="21"/>
                <w:highlight w:val="none"/>
                <w:u w:val="single"/>
              </w:rPr>
              <w:t>投标报价得分</w:t>
            </w:r>
            <w:r>
              <w:rPr>
                <w:rFonts w:ascii="宋体" w:hAnsi="宋体" w:cs="宋体"/>
                <w:sz w:val="21"/>
                <w:szCs w:val="21"/>
                <w:highlight w:val="none"/>
                <w:u w:val="single"/>
              </w:rPr>
              <w:t>评审优惠政策</w:t>
            </w:r>
          </w:p>
          <w:p w14:paraId="5D579862">
            <w:pPr>
              <w:spacing w:line="360" w:lineRule="auto"/>
              <w:rPr>
                <w:rFonts w:ascii="宋体" w:hAnsi="宋体" w:cs="宋体"/>
                <w:kern w:val="2"/>
                <w:sz w:val="21"/>
                <w:szCs w:val="21"/>
                <w:highlight w:val="none"/>
                <w:u w:val="single"/>
              </w:rPr>
            </w:pPr>
            <w:r>
              <w:rPr>
                <w:rFonts w:ascii="宋体" w:hAnsi="宋体" w:cs="宋体"/>
                <w:kern w:val="2"/>
                <w:sz w:val="21"/>
                <w:szCs w:val="21"/>
                <w:highlight w:val="none"/>
                <w:u w:val="single"/>
              </w:rPr>
              <w:t>1、根据《广东省政府采购促进中小企业发展实施细则（试行）》（粤财采购〔2022〕10号）</w:t>
            </w:r>
            <w:r>
              <w:rPr>
                <w:rFonts w:hint="eastAsia" w:ascii="宋体" w:hAnsi="宋体" w:cs="宋体"/>
                <w:kern w:val="2"/>
                <w:sz w:val="21"/>
                <w:szCs w:val="21"/>
                <w:highlight w:val="none"/>
                <w:u w:val="single"/>
              </w:rPr>
              <w:t>、《广州市财政局</w:t>
            </w:r>
            <w:r>
              <w:rPr>
                <w:rFonts w:ascii="宋体" w:hAnsi="宋体" w:cs="宋体"/>
                <w:kern w:val="2"/>
                <w:sz w:val="21"/>
                <w:szCs w:val="21"/>
                <w:highlight w:val="none"/>
                <w:u w:val="single"/>
              </w:rPr>
              <w:t xml:space="preserve"> </w:t>
            </w:r>
            <w:r>
              <w:rPr>
                <w:rFonts w:hint="eastAsia" w:ascii="宋体" w:hAnsi="宋体" w:cs="宋体"/>
                <w:kern w:val="2"/>
                <w:sz w:val="21"/>
                <w:szCs w:val="21"/>
                <w:highlight w:val="none"/>
                <w:u w:val="single"/>
              </w:rPr>
              <w:t>广州市工业和信息化局转发广东省财政厅</w:t>
            </w:r>
            <w:r>
              <w:rPr>
                <w:rFonts w:ascii="宋体" w:hAnsi="宋体" w:cs="宋体"/>
                <w:kern w:val="2"/>
                <w:sz w:val="21"/>
                <w:szCs w:val="21"/>
                <w:highlight w:val="none"/>
                <w:u w:val="single"/>
              </w:rPr>
              <w:t xml:space="preserve"> </w:t>
            </w:r>
            <w:r>
              <w:rPr>
                <w:rFonts w:hint="eastAsia" w:ascii="宋体" w:hAnsi="宋体" w:cs="宋体"/>
                <w:kern w:val="2"/>
                <w:sz w:val="21"/>
                <w:szCs w:val="21"/>
                <w:highlight w:val="none"/>
                <w:u w:val="single"/>
              </w:rPr>
              <w:t>广东省发展和改革委员会</w:t>
            </w:r>
            <w:r>
              <w:rPr>
                <w:rFonts w:ascii="宋体" w:hAnsi="宋体" w:cs="宋体"/>
                <w:kern w:val="2"/>
                <w:sz w:val="21"/>
                <w:szCs w:val="21"/>
                <w:highlight w:val="none"/>
                <w:u w:val="single"/>
              </w:rPr>
              <w:t xml:space="preserve"> </w:t>
            </w:r>
            <w:r>
              <w:rPr>
                <w:rFonts w:hint="eastAsia" w:ascii="宋体" w:hAnsi="宋体" w:cs="宋体"/>
                <w:kern w:val="2"/>
                <w:sz w:val="21"/>
                <w:szCs w:val="21"/>
                <w:highlight w:val="none"/>
                <w:u w:val="single"/>
              </w:rPr>
              <w:t>广东省工业和信息化厅</w:t>
            </w:r>
            <w:r>
              <w:rPr>
                <w:rFonts w:ascii="宋体" w:hAnsi="宋体" w:cs="宋体"/>
                <w:kern w:val="2"/>
                <w:sz w:val="21"/>
                <w:szCs w:val="21"/>
                <w:highlight w:val="none"/>
                <w:u w:val="single"/>
              </w:rPr>
              <w:t xml:space="preserve"> </w:t>
            </w:r>
            <w:r>
              <w:rPr>
                <w:rFonts w:hint="eastAsia" w:ascii="宋体" w:hAnsi="宋体" w:cs="宋体"/>
                <w:kern w:val="2"/>
                <w:sz w:val="21"/>
                <w:szCs w:val="21"/>
                <w:highlight w:val="none"/>
                <w:u w:val="single"/>
              </w:rPr>
              <w:t>广东省地方金融监督管理局关于印发</w:t>
            </w:r>
            <w:r>
              <w:rPr>
                <w:rFonts w:ascii="宋体" w:hAnsi="宋体" w:cs="宋体"/>
                <w:kern w:val="2"/>
                <w:sz w:val="21"/>
                <w:szCs w:val="21"/>
                <w:highlight w:val="none"/>
                <w:u w:val="single"/>
              </w:rPr>
              <w:t>&lt;广东省政府采购促进中小企业发展实施细则（试行）&gt;的通知》（穗财采〔2023〕8号）要求，对符合《政府采购促进中小企业发展管理办法》（财库〔2020〕46号）的投标人，给予相应的价格评审优惠。</w:t>
            </w:r>
          </w:p>
          <w:p w14:paraId="047DD094">
            <w:pPr>
              <w:spacing w:line="360" w:lineRule="auto"/>
              <w:rPr>
                <w:rFonts w:ascii="宋体" w:hAnsi="宋体" w:cs="宋体"/>
                <w:kern w:val="2"/>
                <w:sz w:val="21"/>
                <w:szCs w:val="21"/>
                <w:highlight w:val="none"/>
                <w:u w:val="single"/>
              </w:rPr>
            </w:pPr>
            <w:r>
              <w:rPr>
                <w:rFonts w:ascii="宋体" w:hAnsi="宋体" w:cs="宋体"/>
                <w:kern w:val="2"/>
                <w:sz w:val="21"/>
                <w:szCs w:val="21"/>
                <w:highlight w:val="none"/>
                <w:u w:val="single"/>
              </w:rPr>
              <w:t>2、本招标项目评标计算</w:t>
            </w:r>
            <w:r>
              <w:rPr>
                <w:rFonts w:hint="eastAsia" w:ascii="宋体" w:hAnsi="宋体" w:cs="宋体"/>
                <w:kern w:val="2"/>
                <w:sz w:val="21"/>
                <w:szCs w:val="21"/>
                <w:highlight w:val="none"/>
                <w:u w:val="single"/>
              </w:rPr>
              <w:t>投标报价得</w:t>
            </w:r>
            <w:r>
              <w:rPr>
                <w:rFonts w:hint="eastAsia" w:ascii="宋体" w:hAnsi="宋体" w:cs="宋体"/>
                <w:kern w:val="2"/>
                <w:sz w:val="21"/>
                <w:szCs w:val="21"/>
                <w:highlight w:val="none"/>
                <w:u w:val="single"/>
                <w:lang w:val="zh-CN"/>
              </w:rPr>
              <w:t>分</w:t>
            </w:r>
            <w:r>
              <w:rPr>
                <w:rFonts w:ascii="宋体" w:hAnsi="宋体" w:cs="宋体"/>
                <w:kern w:val="2"/>
                <w:sz w:val="21"/>
                <w:szCs w:val="21"/>
                <w:highlight w:val="none"/>
                <w:u w:val="single"/>
              </w:rPr>
              <w:t>时，</w:t>
            </w:r>
            <w:r>
              <w:rPr>
                <w:rFonts w:hint="eastAsia" w:ascii="宋体" w:hAnsi="宋体" w:cs="宋体"/>
                <w:kern w:val="2"/>
                <w:sz w:val="21"/>
                <w:szCs w:val="21"/>
                <w:highlight w:val="none"/>
                <w:u w:val="single"/>
              </w:rPr>
              <w:t>对为小微企业投标的</w:t>
            </w:r>
            <w:r>
              <w:rPr>
                <w:rFonts w:ascii="宋体" w:hAnsi="宋体" w:cs="宋体"/>
                <w:kern w:val="2"/>
                <w:sz w:val="21"/>
                <w:szCs w:val="21"/>
                <w:highlight w:val="none"/>
                <w:u w:val="single"/>
              </w:rPr>
              <w:t>，在采用原报价进行评分的基础上增加其价格得分的5%作为其</w:t>
            </w:r>
            <w:r>
              <w:rPr>
                <w:rFonts w:hint="eastAsia" w:ascii="宋体" w:hAnsi="宋体" w:cs="宋体"/>
                <w:kern w:val="2"/>
                <w:sz w:val="21"/>
                <w:szCs w:val="21"/>
                <w:highlight w:val="none"/>
                <w:u w:val="single"/>
              </w:rPr>
              <w:t>投标报价得</w:t>
            </w:r>
            <w:r>
              <w:rPr>
                <w:rFonts w:hint="eastAsia" w:ascii="宋体" w:hAnsi="宋体" w:cs="宋体"/>
                <w:kern w:val="2"/>
                <w:sz w:val="21"/>
                <w:szCs w:val="21"/>
                <w:highlight w:val="none"/>
                <w:u w:val="single"/>
                <w:lang w:val="zh-CN"/>
              </w:rPr>
              <w:t>分</w:t>
            </w:r>
            <w:r>
              <w:rPr>
                <w:rFonts w:ascii="宋体" w:hAnsi="宋体" w:cs="宋体"/>
                <w:kern w:val="2"/>
                <w:sz w:val="21"/>
                <w:szCs w:val="21"/>
                <w:highlight w:val="none"/>
                <w:u w:val="single"/>
              </w:rPr>
              <w:t>；</w:t>
            </w:r>
            <w:r>
              <w:rPr>
                <w:rFonts w:hint="eastAsia" w:ascii="宋体" w:hAnsi="宋体" w:cs="宋体"/>
                <w:kern w:val="2"/>
                <w:sz w:val="21"/>
                <w:szCs w:val="21"/>
                <w:highlight w:val="none"/>
                <w:u w:val="single"/>
                <w:lang w:val="zh-CN"/>
              </w:rPr>
              <w:t>若原报价已满分，仍可突破满分上限继续享受加分优惠，以实际计算结果作为最终</w:t>
            </w:r>
            <w:r>
              <w:rPr>
                <w:rFonts w:hint="eastAsia" w:ascii="宋体" w:hAnsi="宋体" w:cs="宋体"/>
                <w:kern w:val="2"/>
                <w:sz w:val="21"/>
                <w:szCs w:val="21"/>
                <w:highlight w:val="none"/>
                <w:u w:val="single"/>
              </w:rPr>
              <w:t>投标报价得</w:t>
            </w:r>
            <w:r>
              <w:rPr>
                <w:rFonts w:hint="eastAsia" w:ascii="宋体" w:hAnsi="宋体" w:cs="宋体"/>
                <w:kern w:val="2"/>
                <w:sz w:val="21"/>
                <w:szCs w:val="21"/>
                <w:highlight w:val="none"/>
                <w:u w:val="single"/>
                <w:lang w:val="zh-CN"/>
              </w:rPr>
              <w:t>分。</w:t>
            </w:r>
          </w:p>
          <w:p w14:paraId="69B78399">
            <w:pPr>
              <w:spacing w:line="360" w:lineRule="auto"/>
              <w:rPr>
                <w:rFonts w:ascii="宋体" w:hAnsi="宋体" w:cs="宋体"/>
                <w:kern w:val="2"/>
                <w:sz w:val="21"/>
                <w:szCs w:val="21"/>
                <w:highlight w:val="none"/>
                <w:u w:val="single"/>
              </w:rPr>
            </w:pPr>
            <w:r>
              <w:rPr>
                <w:rFonts w:ascii="宋体" w:hAnsi="宋体" w:cs="宋体"/>
                <w:kern w:val="2"/>
                <w:sz w:val="21"/>
                <w:szCs w:val="21"/>
                <w:highlight w:val="none"/>
                <w:u w:val="single"/>
              </w:rPr>
              <w:t>3、投标人应按《政府采购促进中小企业发展管理办法》（财库〔2020〕46号）规定出具《中小企业声明函》</w:t>
            </w:r>
            <w:r>
              <w:rPr>
                <w:rFonts w:ascii="宋体" w:hAnsi="宋体" w:cs="宋体"/>
                <w:sz w:val="21"/>
                <w:szCs w:val="21"/>
                <w:highlight w:val="none"/>
                <w:u w:val="single"/>
              </w:rPr>
              <w:t>（格式详见第</w:t>
            </w:r>
            <w:r>
              <w:rPr>
                <w:rFonts w:hint="eastAsia" w:ascii="宋体" w:hAnsi="宋体" w:cs="宋体"/>
                <w:sz w:val="21"/>
                <w:szCs w:val="21"/>
                <w:highlight w:val="none"/>
                <w:u w:val="single"/>
              </w:rPr>
              <w:t>六</w:t>
            </w:r>
            <w:r>
              <w:rPr>
                <w:rFonts w:ascii="宋体" w:hAnsi="宋体" w:cs="宋体"/>
                <w:sz w:val="21"/>
                <w:szCs w:val="21"/>
                <w:highlight w:val="none"/>
                <w:u w:val="single"/>
              </w:rPr>
              <w:t>章投标文件格式）</w:t>
            </w:r>
            <w:r>
              <w:rPr>
                <w:rFonts w:ascii="宋体" w:hAnsi="宋体" w:cs="宋体"/>
                <w:kern w:val="2"/>
                <w:sz w:val="21"/>
                <w:szCs w:val="21"/>
                <w:highlight w:val="none"/>
                <w:u w:val="single"/>
              </w:rPr>
              <w:t>，否则不得享受相关价格评审优惠。投标人填写《中小企业声明函》时，对于已纳入统计部门统计范围的企业，所属行业、从业人员、营业收入、资产总额、规模类型应与统计部门报表一致。对于未纳入统计部门统计范围的企业，应对照《国民经济行业分类》确定所属行业，当企业从事两种以上经济活动时，则按照主要活动确定其所属行业；从业人数可以社会保险参保人数为准；营业收入、资产总额可以第三方出具的报告为准。</w:t>
            </w:r>
          </w:p>
          <w:p w14:paraId="40406983">
            <w:pPr>
              <w:spacing w:line="360" w:lineRule="auto"/>
              <w:rPr>
                <w:highlight w:val="none"/>
                <w:u w:val="single"/>
              </w:rPr>
            </w:pPr>
            <w:r>
              <w:rPr>
                <w:rFonts w:ascii="宋体" w:hAnsi="宋体" w:cs="宋体"/>
                <w:kern w:val="2"/>
                <w:sz w:val="21"/>
                <w:szCs w:val="21"/>
                <w:highlight w:val="none"/>
                <w:u w:val="single"/>
              </w:rPr>
              <w:t>4</w:t>
            </w:r>
            <w:r>
              <w:rPr>
                <w:rFonts w:hint="eastAsia" w:ascii="宋体" w:hAnsi="宋体" w:cs="宋体"/>
                <w:kern w:val="2"/>
                <w:sz w:val="21"/>
                <w:szCs w:val="21"/>
                <w:highlight w:val="none"/>
                <w:u w:val="single"/>
              </w:rPr>
              <w:t>、</w:t>
            </w:r>
            <w:r>
              <w:rPr>
                <w:rFonts w:ascii="宋体" w:hAnsi="宋体" w:cs="宋体"/>
                <w:kern w:val="2"/>
                <w:sz w:val="21"/>
                <w:szCs w:val="21"/>
                <w:highlight w:val="none"/>
                <w:u w:val="single"/>
              </w:rPr>
              <w:t>小微企业划分标准按照《工业和信息化部 国家统计局 国家发展和改革委员会 财政部关于印发中小企业划型标准规定的通知》（工信部联企业〔2011〕300号）执行。</w:t>
            </w:r>
            <w:r>
              <w:rPr>
                <w:rFonts w:hint="eastAsia" w:ascii="宋体" w:hAnsi="宋体" w:cs="宋体"/>
                <w:kern w:val="2"/>
                <w:sz w:val="21"/>
                <w:szCs w:val="21"/>
                <w:highlight w:val="none"/>
                <w:u w:val="single"/>
              </w:rPr>
              <w:t>本招标项目属于其他未列明行业。从业人员</w:t>
            </w:r>
            <w:r>
              <w:rPr>
                <w:rFonts w:ascii="宋体" w:hAnsi="宋体" w:cs="宋体"/>
                <w:kern w:val="2"/>
                <w:sz w:val="21"/>
                <w:szCs w:val="21"/>
                <w:highlight w:val="none"/>
                <w:u w:val="single"/>
              </w:rPr>
              <w:t>300人以下的为中小微型企业。其中，从业人员100人及以上的为中型企业;从业人员10人及以上的为小型企业;从业人员10人以下的为微型企业。</w:t>
            </w:r>
          </w:p>
          <w:p w14:paraId="021C93C5">
            <w:pPr>
              <w:spacing w:line="360" w:lineRule="auto"/>
              <w:rPr>
                <w:rFonts w:ascii="宋体" w:hAnsi="宋体" w:cs="宋体"/>
                <w:kern w:val="2"/>
                <w:sz w:val="21"/>
                <w:szCs w:val="21"/>
                <w:highlight w:val="none"/>
                <w:u w:val="single"/>
              </w:rPr>
            </w:pPr>
            <w:r>
              <w:rPr>
                <w:rFonts w:ascii="宋体" w:hAnsi="宋体" w:cs="宋体"/>
                <w:kern w:val="2"/>
                <w:sz w:val="21"/>
                <w:szCs w:val="21"/>
                <w:highlight w:val="none"/>
                <w:u w:val="single"/>
              </w:rPr>
              <w:t>注：（1）小微企业，是指在中华人民共和国境内依法设立，依据国务院批准的中小企业划分标准确定的小型企业和微型企业，但与大企业的负责人为同一人，或者与大企业存在直接控股、管理关系的除外。</w:t>
            </w:r>
          </w:p>
          <w:p w14:paraId="0060DF92">
            <w:pPr>
              <w:spacing w:before="120" w:beforeLines="50" w:line="360" w:lineRule="auto"/>
              <w:contextualSpacing/>
              <w:rPr>
                <w:rFonts w:ascii="宋体" w:hAnsi="宋体" w:cs="宋体"/>
                <w:color w:val="000000" w:themeColor="text1"/>
                <w:sz w:val="21"/>
                <w:szCs w:val="21"/>
                <w:highlight w:val="none"/>
                <w:u w:val="single"/>
                <w14:textFill>
                  <w14:solidFill>
                    <w14:schemeClr w14:val="tx1"/>
                  </w14:solidFill>
                </w14:textFill>
              </w:rPr>
            </w:pPr>
            <w:r>
              <w:rPr>
                <w:rFonts w:hint="eastAsia" w:ascii="宋体" w:hAnsi="宋体" w:cs="宋体"/>
                <w:color w:val="000000" w:themeColor="text1"/>
                <w:sz w:val="21"/>
                <w:szCs w:val="21"/>
                <w:highlight w:val="none"/>
                <w:u w:val="single"/>
                <w14:textFill>
                  <w14:solidFill>
                    <w14:schemeClr w14:val="tx1"/>
                  </w14:solidFill>
                </w14:textFill>
              </w:rPr>
              <w:t>（2）接受分包合同的小微企业与分包企业之间存在直接控股、管理关系的，不享受价格评分优惠。</w:t>
            </w:r>
          </w:p>
          <w:p w14:paraId="0737471E">
            <w:pPr>
              <w:wordWrap w:val="0"/>
              <w:snapToGrid w:val="0"/>
              <w:spacing w:line="360" w:lineRule="auto"/>
              <w:rPr>
                <w:rFonts w:ascii="宋体" w:hAnsi="宋体" w:cs="宋体"/>
                <w:color w:val="000000" w:themeColor="text1"/>
                <w:sz w:val="21"/>
                <w:szCs w:val="21"/>
                <w:highlight w:val="none"/>
                <w:u w:val="single"/>
                <w14:textFill>
                  <w14:solidFill>
                    <w14:schemeClr w14:val="tx1"/>
                  </w14:solidFill>
                </w14:textFill>
              </w:rPr>
            </w:pPr>
            <w:r>
              <w:rPr>
                <w:rFonts w:hint="eastAsia" w:ascii="宋体" w:hAnsi="宋体" w:cs="宋体"/>
                <w:color w:val="000000" w:themeColor="text1"/>
                <w:sz w:val="21"/>
                <w:szCs w:val="21"/>
                <w:highlight w:val="none"/>
                <w:u w:val="single"/>
                <w14:textFill>
                  <w14:solidFill>
                    <w14:schemeClr w14:val="tx1"/>
                  </w14:solidFill>
                </w14:textFill>
              </w:rPr>
              <w:t>（</w:t>
            </w:r>
            <w:r>
              <w:rPr>
                <w:rFonts w:hint="eastAsia" w:ascii="宋体" w:hAnsi="宋体" w:cs="宋体"/>
                <w:color w:val="000000" w:themeColor="text1"/>
                <w:sz w:val="21"/>
                <w:szCs w:val="21"/>
                <w:highlight w:val="none"/>
                <w:u w:val="single"/>
                <w:lang w:val="en-US" w:eastAsia="zh-CN"/>
                <w14:textFill>
                  <w14:solidFill>
                    <w14:schemeClr w14:val="tx1"/>
                  </w14:solidFill>
                </w14:textFill>
              </w:rPr>
              <w:t>3</w:t>
            </w:r>
            <w:r>
              <w:rPr>
                <w:rFonts w:hint="eastAsia" w:ascii="宋体" w:hAnsi="宋体" w:cs="宋体"/>
                <w:color w:val="000000" w:themeColor="text1"/>
                <w:sz w:val="21"/>
                <w:szCs w:val="21"/>
                <w:highlight w:val="none"/>
                <w:u w:val="single"/>
                <w14:textFill>
                  <w14:solidFill>
                    <w14:schemeClr w14:val="tx1"/>
                  </w14:solidFill>
                </w14:textFill>
              </w:rPr>
              <w:t>）规定享受扶持政策获得承包合同的，小微企业不得将合同分包给大中型企业，中型企业不得将合同分包给大型企业。</w:t>
            </w:r>
          </w:p>
          <w:p w14:paraId="586C7A38">
            <w:pPr>
              <w:snapToGrid/>
              <w:spacing w:before="120" w:beforeLines="50" w:line="360" w:lineRule="auto"/>
              <w:contextualSpacing/>
              <w:jc w:val="left"/>
              <w:rPr>
                <w:rFonts w:hint="eastAsia" w:ascii="宋体" w:hAnsi="宋体" w:cs="宋体"/>
                <w:kern w:val="2"/>
                <w:sz w:val="21"/>
                <w:szCs w:val="21"/>
                <w:highlight w:val="none"/>
                <w:u w:val="single"/>
              </w:rPr>
            </w:pPr>
            <w:r>
              <w:rPr>
                <w:rFonts w:hint="eastAsia" w:ascii="宋体" w:hAnsi="宋体" w:cs="宋体"/>
                <w:kern w:val="2"/>
                <w:sz w:val="21"/>
                <w:szCs w:val="21"/>
                <w:highlight w:val="none"/>
                <w:u w:val="single"/>
              </w:rPr>
              <w:t>（</w:t>
            </w:r>
            <w:r>
              <w:rPr>
                <w:rFonts w:hint="eastAsia" w:ascii="宋体" w:hAnsi="宋体" w:cs="宋体"/>
                <w:kern w:val="2"/>
                <w:sz w:val="21"/>
                <w:szCs w:val="21"/>
                <w:highlight w:val="none"/>
                <w:u w:val="single"/>
                <w:lang w:val="en-US" w:eastAsia="zh-CN"/>
              </w:rPr>
              <w:t>4</w:t>
            </w:r>
            <w:r>
              <w:rPr>
                <w:rFonts w:hint="eastAsia" w:ascii="宋体" w:hAnsi="宋体" w:cs="宋体"/>
                <w:kern w:val="2"/>
                <w:sz w:val="21"/>
                <w:szCs w:val="21"/>
                <w:highlight w:val="none"/>
                <w:u w:val="single"/>
              </w:rPr>
              <w:t>）根据《财政部 司法部关于政府采购支持监狱企业发展有关问题的通知》（财库〔2014〕68号）规定，监狱企业视同小型、微型企业，需提供由省级以上监狱管理局、戒毒管理局（含新疆生产建设兵团）出具的属于监狱企业的证明文件，经评审满足要求后，可享受上述加分优惠，否则不得享受上述加分优惠。根据《财政部 民政部 中国残疾人联合会关于促进残疾人就业政府采购政策的通知》（财库〔2017〕141号）规定，残疾人福利性单位视同小型、微型企业，需提供《残疾人福利性单位声明函》（格式详见第六章投标文件格式），经评审满足要求后，可享受上述加分优惠，否则不得享受上述加分优惠。监狱企业、残疾人福利性单位属于小型、微型企业的，不重复享受政策。</w:t>
            </w:r>
          </w:p>
          <w:p w14:paraId="2336AA64">
            <w:pPr>
              <w:snapToGrid/>
              <w:spacing w:before="120" w:beforeLines="50" w:line="360" w:lineRule="auto"/>
              <w:contextualSpacing/>
              <w:jc w:val="left"/>
              <w:rPr>
                <w:rFonts w:hint="eastAsia"/>
                <w:highlight w:val="none"/>
              </w:rPr>
            </w:pPr>
            <w:r>
              <w:rPr>
                <w:rFonts w:hint="eastAsia" w:ascii="宋体" w:hAnsi="宋体" w:eastAsia="宋体" w:cs="宋体"/>
                <w:kern w:val="2"/>
                <w:sz w:val="21"/>
                <w:szCs w:val="21"/>
                <w:highlight w:val="none"/>
                <w:u w:val="single"/>
                <w:lang w:val="en-US" w:eastAsia="zh-CN"/>
              </w:rPr>
              <w:t>（5）投标人应对声明的真实性负责，提供《中小企业声明函》内容不实的，属于提供虚假材料谋取中标，依照有关规定追究相应责任。</w:t>
            </w:r>
          </w:p>
        </w:tc>
      </w:tr>
    </w:tbl>
    <w:p w14:paraId="1EF1192A">
      <w:pPr>
        <w:pStyle w:val="4"/>
        <w:jc w:val="center"/>
        <w:rPr>
          <w:rFonts w:hint="eastAsia" w:cs="宋体"/>
          <w:color w:val="auto"/>
          <w:sz w:val="32"/>
          <w:szCs w:val="24"/>
          <w:highlight w:val="none"/>
        </w:rPr>
      </w:pPr>
      <w:bookmarkStart w:id="10" w:name="_Toc262229161"/>
      <w:bookmarkStart w:id="11" w:name="_Toc17452664"/>
      <w:bookmarkStart w:id="12" w:name="_Toc17454922"/>
      <w:bookmarkStart w:id="13" w:name="_Toc17556931"/>
      <w:bookmarkStart w:id="14" w:name="_Toc17451101"/>
      <w:bookmarkStart w:id="15" w:name="_Toc26588"/>
      <w:bookmarkStart w:id="16" w:name="_Toc17454871"/>
      <w:bookmarkStart w:id="17" w:name="_Toc17451623"/>
      <w:bookmarkStart w:id="18" w:name="_Toc17556876"/>
      <w:bookmarkStart w:id="19" w:name="_Toc17451578"/>
      <w:r>
        <w:rPr>
          <w:rFonts w:hint="eastAsia" w:cs="宋体"/>
          <w:color w:val="auto"/>
          <w:sz w:val="32"/>
          <w:szCs w:val="24"/>
          <w:highlight w:val="none"/>
        </w:rPr>
        <w:t>投标须知修改表</w:t>
      </w:r>
      <w:bookmarkEnd w:id="10"/>
      <w:bookmarkEnd w:id="11"/>
      <w:bookmarkEnd w:id="12"/>
      <w:bookmarkEnd w:id="13"/>
      <w:bookmarkEnd w:id="14"/>
      <w:bookmarkEnd w:id="15"/>
      <w:bookmarkEnd w:id="16"/>
      <w:bookmarkEnd w:id="17"/>
      <w:bookmarkEnd w:id="18"/>
      <w:bookmarkEnd w:id="19"/>
    </w:p>
    <w:p w14:paraId="3A43C979">
      <w:pPr>
        <w:pStyle w:val="24"/>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本投标须知使用</w:t>
      </w:r>
      <w:r>
        <w:rPr>
          <w:rFonts w:hint="eastAsia" w:ascii="宋体" w:hAnsi="宋体" w:eastAsia="宋体" w:cs="宋体"/>
          <w:b/>
          <w:color w:val="auto"/>
          <w:sz w:val="24"/>
          <w:szCs w:val="24"/>
          <w:highlight w:val="none"/>
          <w:lang w:eastAsia="zh-CN"/>
        </w:rPr>
        <w:t>SWZB2024-05</w:t>
      </w:r>
      <w:r>
        <w:rPr>
          <w:rFonts w:hint="eastAsia" w:ascii="宋体" w:hAnsi="宋体" w:eastAsia="宋体" w:cs="宋体"/>
          <w:b/>
          <w:color w:val="auto"/>
          <w:sz w:val="24"/>
          <w:szCs w:val="24"/>
          <w:highlight w:val="none"/>
        </w:rPr>
        <w:t>招标文件范本的投标须知通用条款，与该通用条款不同之处，均在本表中列明，并以现文为准，原文不再有效。</w:t>
      </w:r>
    </w:p>
    <w:p w14:paraId="77CEA369">
      <w:pPr>
        <w:spacing w:line="360" w:lineRule="auto"/>
        <w:ind w:firstLine="540" w:firstLineChars="224"/>
        <w:rPr>
          <w:rFonts w:hint="eastAsia" w:ascii="宋体" w:hAnsi="宋体" w:cs="宋体"/>
          <w:b/>
          <w:bCs/>
          <w:highlight w:val="none"/>
        </w:rPr>
      </w:pPr>
    </w:p>
    <w:p w14:paraId="19A0B51C">
      <w:pPr>
        <w:spacing w:line="360" w:lineRule="auto"/>
        <w:ind w:firstLine="540" w:firstLineChars="224"/>
        <w:rPr>
          <w:rFonts w:hint="eastAsia" w:ascii="宋体" w:hAnsi="宋体" w:cs="宋体"/>
          <w:b/>
          <w:bCs/>
          <w:highlight w:val="none"/>
        </w:rPr>
      </w:pPr>
      <w:r>
        <w:rPr>
          <w:rFonts w:hint="eastAsia" w:ascii="宋体" w:hAnsi="宋体" w:cs="宋体"/>
          <w:b/>
          <w:bCs/>
          <w:highlight w:val="none"/>
        </w:rPr>
        <w:t>条款号：</w:t>
      </w:r>
      <w:r>
        <w:rPr>
          <w:rFonts w:hint="eastAsia" w:ascii="宋体" w:hAnsi="宋体" w:cs="宋体"/>
          <w:b/>
          <w:bCs/>
          <w:highlight w:val="none"/>
          <w:lang w:val="en-US" w:eastAsia="zh-CN"/>
        </w:rPr>
        <w:t>1.1.4</w:t>
      </w:r>
      <w:r>
        <w:rPr>
          <w:rFonts w:hint="eastAsia" w:ascii="宋体" w:hAnsi="宋体" w:cs="宋体"/>
          <w:b/>
          <w:bCs/>
          <w:highlight w:val="none"/>
        </w:rPr>
        <w:t xml:space="preserve">             修改类型：修改</w:t>
      </w:r>
    </w:p>
    <w:p w14:paraId="1AC94547">
      <w:pPr>
        <w:pStyle w:val="24"/>
        <w:spacing w:line="360" w:lineRule="auto"/>
        <w:ind w:left="0" w:firstLine="482" w:firstLineChars="200"/>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原文：</w:t>
      </w:r>
      <w:r>
        <w:rPr>
          <w:rFonts w:hint="eastAsia" w:ascii="宋体" w:hAnsi="宋体" w:eastAsia="宋体" w:cs="宋体"/>
          <w:b w:val="0"/>
          <w:color w:val="auto"/>
          <w:sz w:val="24"/>
          <w:szCs w:val="24"/>
          <w:highlight w:val="none"/>
          <w:lang w:val="en-US" w:eastAsia="zh-CN"/>
        </w:rPr>
        <w:t>招标项目</w:t>
      </w:r>
      <w:r>
        <w:rPr>
          <w:rFonts w:hint="eastAsia" w:ascii="宋体" w:hAnsi="宋体" w:eastAsia="宋体" w:cs="宋体"/>
          <w:color w:val="auto"/>
          <w:sz w:val="24"/>
          <w:szCs w:val="24"/>
          <w:highlight w:val="none"/>
        </w:rPr>
        <w:t>名称：见投标人须知前附表。</w:t>
      </w:r>
    </w:p>
    <w:p w14:paraId="216BE5FF">
      <w:pPr>
        <w:pStyle w:val="24"/>
        <w:pBdr>
          <w:bottom w:val="single" w:color="auto" w:sz="4" w:space="0"/>
        </w:pBdr>
        <w:spacing w:line="360" w:lineRule="auto"/>
        <w:ind w:left="0" w:firstLine="482" w:firstLineChars="200"/>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现文：</w:t>
      </w:r>
      <w:r>
        <w:rPr>
          <w:rFonts w:hint="eastAsia" w:ascii="宋体" w:hAnsi="宋体" w:eastAsia="宋体" w:cs="宋体"/>
          <w:color w:val="auto"/>
          <w:sz w:val="24"/>
          <w:szCs w:val="24"/>
          <w:highlight w:val="none"/>
          <w:u w:val="single"/>
          <w:lang w:val="en-US" w:eastAsia="zh-CN"/>
        </w:rPr>
        <w:t>标段</w:t>
      </w:r>
      <w:r>
        <w:rPr>
          <w:rFonts w:hint="eastAsia" w:ascii="宋体" w:hAnsi="宋体" w:eastAsia="宋体" w:cs="宋体"/>
          <w:color w:val="auto"/>
          <w:sz w:val="24"/>
          <w:szCs w:val="24"/>
          <w:highlight w:val="none"/>
          <w:u w:val="single"/>
        </w:rPr>
        <w:t>名称：</w:t>
      </w:r>
      <w:r>
        <w:rPr>
          <w:rFonts w:hint="eastAsia" w:ascii="宋体" w:hAnsi="宋体" w:eastAsia="宋体" w:cs="宋体"/>
          <w:color w:val="auto"/>
          <w:sz w:val="24"/>
          <w:szCs w:val="24"/>
          <w:highlight w:val="none"/>
        </w:rPr>
        <w:t>见投标人须知前附表。</w:t>
      </w:r>
    </w:p>
    <w:p w14:paraId="438B2062">
      <w:pPr>
        <w:keepNext w:val="0"/>
        <w:keepLines w:val="0"/>
        <w:pageBreakBefore w:val="0"/>
        <w:widowControl w:val="0"/>
        <w:wordWrap/>
        <w:topLinePunct w:val="0"/>
        <w:autoSpaceDE w:val="0"/>
        <w:autoSpaceDN w:val="0"/>
        <w:bidi w:val="0"/>
        <w:adjustRightInd w:val="0"/>
        <w:snapToGrid/>
        <w:spacing w:line="360" w:lineRule="auto"/>
        <w:ind w:firstLine="540" w:firstLineChars="224"/>
        <w:textAlignment w:val="auto"/>
        <w:rPr>
          <w:rFonts w:hint="eastAsia" w:ascii="宋体" w:hAnsi="宋体" w:eastAsia="宋体" w:cs="宋体"/>
          <w:b/>
          <w:bCs/>
          <w:highlight w:val="none"/>
          <w:lang w:eastAsia="zh-CN"/>
        </w:rPr>
      </w:pPr>
      <w:r>
        <w:rPr>
          <w:rFonts w:hint="eastAsia" w:ascii="宋体" w:hAnsi="宋体" w:cs="宋体"/>
          <w:b/>
          <w:bCs/>
          <w:highlight w:val="none"/>
        </w:rPr>
        <w:t>条款号：1.4.2             修改类型：</w:t>
      </w:r>
      <w:r>
        <w:rPr>
          <w:rFonts w:hint="eastAsia" w:ascii="宋体" w:hAnsi="宋体" w:cs="宋体"/>
          <w:b/>
          <w:bCs/>
          <w:highlight w:val="none"/>
          <w:lang w:val="en-US" w:eastAsia="zh-CN"/>
        </w:rPr>
        <w:t>删除</w:t>
      </w:r>
    </w:p>
    <w:p w14:paraId="328A823A">
      <w:pPr>
        <w:pStyle w:val="1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firstLine="482" w:firstLineChars="200"/>
        <w:jc w:val="both"/>
        <w:textAlignment w:val="auto"/>
        <w:rPr>
          <w:rFonts w:hint="eastAsia" w:cs="宋体"/>
          <w:sz w:val="24"/>
          <w:highlight w:val="none"/>
        </w:rPr>
      </w:pPr>
      <w:r>
        <w:rPr>
          <w:rFonts w:hint="eastAsia" w:cs="宋体"/>
          <w:b/>
          <w:bCs/>
          <w:sz w:val="24"/>
          <w:highlight w:val="none"/>
        </w:rPr>
        <w:t>原文：</w:t>
      </w:r>
      <w:r>
        <w:rPr>
          <w:rFonts w:hint="eastAsia" w:cs="宋体"/>
          <w:sz w:val="24"/>
          <w:highlight w:val="none"/>
        </w:rPr>
        <w:t>1.4.2 投标人须知前附表规定接受联合体投标的，联合体除应符合本章第 1.4.1 项和投标人须知前附表的要求外，还应遵守以下规定：</w:t>
      </w:r>
    </w:p>
    <w:p w14:paraId="4F6B2BD7">
      <w:pPr>
        <w:pStyle w:val="1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firstLine="480" w:firstLineChars="200"/>
        <w:jc w:val="both"/>
        <w:textAlignment w:val="auto"/>
        <w:rPr>
          <w:rFonts w:hint="eastAsia" w:cs="宋体"/>
          <w:sz w:val="24"/>
          <w:highlight w:val="none"/>
        </w:rPr>
      </w:pPr>
      <w:r>
        <w:rPr>
          <w:rFonts w:hint="eastAsia" w:cs="宋体"/>
          <w:sz w:val="24"/>
          <w:highlight w:val="none"/>
        </w:rPr>
        <w:t>（1）联合体各方应按招标文件提供的格式签订联合体协议书，明确联合体</w:t>
      </w:r>
      <w:r>
        <w:rPr>
          <w:rFonts w:hint="eastAsia" w:cs="宋体"/>
          <w:spacing w:val="-2"/>
          <w:sz w:val="24"/>
          <w:highlight w:val="none"/>
        </w:rPr>
        <w:t>主办方</w:t>
      </w:r>
      <w:r>
        <w:rPr>
          <w:rFonts w:hint="eastAsia" w:cs="宋体"/>
          <w:sz w:val="24"/>
          <w:highlight w:val="none"/>
        </w:rPr>
        <w:t>和各方权利义务，并承诺就中标项目向招标人承担连带责任；</w:t>
      </w:r>
    </w:p>
    <w:p w14:paraId="7FDBD21D">
      <w:pPr>
        <w:pStyle w:val="1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firstLine="480" w:firstLineChars="200"/>
        <w:jc w:val="both"/>
        <w:textAlignment w:val="auto"/>
        <w:rPr>
          <w:rFonts w:hint="eastAsia" w:cs="宋体"/>
          <w:sz w:val="24"/>
          <w:highlight w:val="none"/>
        </w:rPr>
      </w:pPr>
      <w:r>
        <w:rPr>
          <w:rFonts w:hint="eastAsia" w:cs="宋体"/>
          <w:sz w:val="24"/>
          <w:highlight w:val="none"/>
        </w:rPr>
        <w:t>（2）由同一专业的单位组成的联合体，按照资质等级较低的单位确定资质等级；</w:t>
      </w:r>
    </w:p>
    <w:p w14:paraId="6260ABE8">
      <w:pPr>
        <w:pStyle w:val="12"/>
        <w:keepNext w:val="0"/>
        <w:keepLines w:val="0"/>
        <w:pageBreakBefore w:val="0"/>
        <w:widowControl w:val="0"/>
        <w:pBdr>
          <w:top w:val="none" w:color="auto" w:sz="0" w:space="0"/>
          <w:left w:val="none" w:color="auto" w:sz="0" w:space="0"/>
          <w:bottom w:val="single" w:color="auto" w:sz="4" w:space="0"/>
          <w:right w:val="none" w:color="auto" w:sz="0" w:space="0"/>
          <w:between w:val="none" w:color="auto" w:sz="0" w:space="0"/>
        </w:pBdr>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firstLine="480" w:firstLineChars="200"/>
        <w:jc w:val="both"/>
        <w:textAlignment w:val="auto"/>
        <w:rPr>
          <w:rFonts w:hint="eastAsia" w:cs="宋体"/>
          <w:sz w:val="24"/>
          <w:highlight w:val="none"/>
        </w:rPr>
      </w:pPr>
      <w:r>
        <w:rPr>
          <w:rFonts w:hint="eastAsia" w:cs="宋体"/>
          <w:sz w:val="24"/>
          <w:highlight w:val="none"/>
        </w:rPr>
        <w:t>（3）联合体各方不得再以自己名义单独或参加其他联合体在本招标项目中投标，否则各相关投标均无效。</w:t>
      </w:r>
    </w:p>
    <w:p w14:paraId="2512F4EC">
      <w:pPr>
        <w:keepNext w:val="0"/>
        <w:keepLines w:val="0"/>
        <w:pageBreakBefore w:val="0"/>
        <w:widowControl w:val="0"/>
        <w:pBdr>
          <w:top w:val="none" w:color="auto" w:sz="0" w:space="0"/>
          <w:left w:val="none" w:color="auto" w:sz="0" w:space="0"/>
          <w:bottom w:val="none" w:color="auto" w:sz="0" w:space="1"/>
          <w:right w:val="none" w:color="auto" w:sz="0" w:space="0"/>
          <w:between w:val="none" w:color="auto" w:sz="0" w:space="0"/>
        </w:pBdr>
        <w:wordWrap/>
        <w:topLinePunct w:val="0"/>
        <w:autoSpaceDE w:val="0"/>
        <w:autoSpaceDN w:val="0"/>
        <w:bidi w:val="0"/>
        <w:adjustRightInd w:val="0"/>
        <w:snapToGrid/>
        <w:spacing w:line="360" w:lineRule="auto"/>
        <w:ind w:firstLine="540" w:firstLineChars="224"/>
        <w:textAlignment w:val="auto"/>
        <w:rPr>
          <w:rFonts w:hint="eastAsia" w:ascii="宋体" w:hAnsi="宋体" w:cs="宋体"/>
          <w:b/>
          <w:bCs/>
          <w:highlight w:val="none"/>
          <w:lang w:val="en-US" w:eastAsia="zh-CN"/>
        </w:rPr>
      </w:pPr>
      <w:r>
        <w:rPr>
          <w:rFonts w:hint="eastAsia" w:ascii="宋体" w:hAnsi="宋体" w:cs="宋体"/>
          <w:b/>
          <w:bCs/>
          <w:highlight w:val="none"/>
        </w:rPr>
        <w:t>条款号：1.4.</w:t>
      </w:r>
      <w:r>
        <w:rPr>
          <w:rFonts w:hint="eastAsia" w:ascii="宋体" w:hAnsi="宋体" w:cs="宋体"/>
          <w:b/>
          <w:bCs/>
          <w:highlight w:val="none"/>
          <w:lang w:val="en-US" w:eastAsia="zh-CN"/>
        </w:rPr>
        <w:t>4</w:t>
      </w:r>
      <w:r>
        <w:rPr>
          <w:rFonts w:hint="eastAsia" w:ascii="宋体" w:hAnsi="宋体" w:cs="宋体"/>
          <w:b/>
          <w:bCs/>
          <w:highlight w:val="none"/>
        </w:rPr>
        <w:t xml:space="preserve">             修改类型：</w:t>
      </w:r>
      <w:r>
        <w:rPr>
          <w:rFonts w:hint="eastAsia" w:ascii="宋体" w:hAnsi="宋体" w:cs="宋体"/>
          <w:b/>
          <w:bCs/>
          <w:highlight w:val="none"/>
          <w:lang w:val="en-US" w:eastAsia="zh-CN"/>
        </w:rPr>
        <w:t>增加</w:t>
      </w:r>
    </w:p>
    <w:p w14:paraId="1105DE12">
      <w:pPr>
        <w:pStyle w:val="12"/>
        <w:keepNext w:val="0"/>
        <w:keepLines w:val="0"/>
        <w:pageBreakBefore w:val="0"/>
        <w:widowControl w:val="0"/>
        <w:pBdr>
          <w:bottom w:val="single" w:color="auto" w:sz="4" w:space="0"/>
        </w:pBdr>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firstLine="482" w:firstLineChars="200"/>
        <w:jc w:val="both"/>
        <w:textAlignment w:val="auto"/>
        <w:rPr>
          <w:rFonts w:hint="eastAsia" w:ascii="宋体" w:hAnsi="宋体" w:eastAsia="宋体" w:cs="宋体"/>
          <w:color w:val="auto"/>
          <w:sz w:val="24"/>
          <w:szCs w:val="24"/>
          <w:highlight w:val="none"/>
        </w:rPr>
      </w:pPr>
      <w:r>
        <w:rPr>
          <w:rFonts w:hint="eastAsia" w:cs="宋体"/>
          <w:b/>
          <w:bCs/>
          <w:sz w:val="24"/>
          <w:highlight w:val="none"/>
          <w:lang w:val="en-US" w:eastAsia="zh-CN"/>
        </w:rPr>
        <w:t>现文：</w:t>
      </w:r>
      <w:r>
        <w:rPr>
          <w:rFonts w:hint="eastAsia" w:cs="宋体"/>
          <w:color w:val="auto"/>
          <w:sz w:val="24"/>
          <w:szCs w:val="24"/>
          <w:highlight w:val="none"/>
          <w:u w:val="single"/>
        </w:rPr>
        <w:t>1.4.4 单位负责人为同一人或者存在控股、管理关系的不同单位，不得同时参加本招标项目投标。</w:t>
      </w:r>
    </w:p>
    <w:p w14:paraId="4A71930A">
      <w:pPr>
        <w:keepNext w:val="0"/>
        <w:keepLines w:val="0"/>
        <w:pageBreakBefore w:val="0"/>
        <w:widowControl w:val="0"/>
        <w:wordWrap/>
        <w:topLinePunct w:val="0"/>
        <w:autoSpaceDE w:val="0"/>
        <w:autoSpaceDN w:val="0"/>
        <w:bidi w:val="0"/>
        <w:adjustRightInd w:val="0"/>
        <w:snapToGrid/>
        <w:spacing w:line="360" w:lineRule="auto"/>
        <w:ind w:firstLine="540" w:firstLineChars="224"/>
        <w:textAlignment w:val="auto"/>
        <w:rPr>
          <w:rFonts w:hint="eastAsia" w:ascii="宋体" w:hAnsi="宋体" w:eastAsia="宋体" w:cs="宋体"/>
          <w:b/>
          <w:bCs/>
          <w:highlight w:val="none"/>
          <w:lang w:eastAsia="zh-CN"/>
        </w:rPr>
      </w:pPr>
      <w:r>
        <w:rPr>
          <w:rFonts w:hint="eastAsia" w:ascii="宋体" w:hAnsi="宋体" w:cs="宋体"/>
          <w:b/>
          <w:bCs/>
          <w:highlight w:val="none"/>
        </w:rPr>
        <w:t xml:space="preserve">条款号：1.10       </w:t>
      </w:r>
      <w:r>
        <w:rPr>
          <w:rFonts w:hint="eastAsia" w:ascii="宋体" w:hAnsi="宋体" w:cs="宋体"/>
          <w:b/>
          <w:bCs/>
          <w:highlight w:val="none"/>
          <w:lang w:val="en-US" w:eastAsia="zh-CN"/>
        </w:rPr>
        <w:t xml:space="preserve">  </w:t>
      </w:r>
      <w:r>
        <w:rPr>
          <w:rFonts w:hint="eastAsia" w:ascii="宋体" w:hAnsi="宋体" w:cs="宋体"/>
          <w:b/>
          <w:bCs/>
          <w:highlight w:val="none"/>
        </w:rPr>
        <w:t xml:space="preserve">     修改类型：</w:t>
      </w:r>
      <w:r>
        <w:rPr>
          <w:rFonts w:hint="eastAsia" w:ascii="宋体" w:hAnsi="宋体" w:cs="宋体"/>
          <w:b/>
          <w:bCs/>
          <w:highlight w:val="none"/>
          <w:lang w:val="en-US" w:eastAsia="zh-CN"/>
        </w:rPr>
        <w:t>删除</w:t>
      </w:r>
    </w:p>
    <w:p w14:paraId="0C6A2CDD">
      <w:pPr>
        <w:pStyle w:val="1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firstLine="480"/>
        <w:jc w:val="both"/>
        <w:textAlignment w:val="auto"/>
        <w:rPr>
          <w:rFonts w:hint="eastAsia" w:cs="宋体"/>
          <w:b/>
          <w:bCs/>
          <w:sz w:val="24"/>
          <w:highlight w:val="none"/>
        </w:rPr>
      </w:pPr>
      <w:r>
        <w:rPr>
          <w:rFonts w:hint="eastAsia" w:cs="宋体"/>
          <w:b/>
          <w:bCs/>
          <w:sz w:val="24"/>
          <w:highlight w:val="none"/>
        </w:rPr>
        <w:t>原文：</w:t>
      </w:r>
      <w:r>
        <w:rPr>
          <w:sz w:val="24"/>
          <w:highlight w:val="none"/>
        </w:rPr>
        <w:t>1.10 投标预备会</w:t>
      </w:r>
    </w:p>
    <w:p w14:paraId="3B6B0337">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jc w:val="both"/>
        <w:rPr>
          <w:rFonts w:hint="eastAsia" w:cs="宋体"/>
          <w:sz w:val="24"/>
          <w:highlight w:val="none"/>
        </w:rPr>
      </w:pPr>
      <w:r>
        <w:rPr>
          <w:rFonts w:hint="eastAsia" w:cs="宋体"/>
          <w:sz w:val="24"/>
          <w:highlight w:val="none"/>
        </w:rPr>
        <w:t>1.10.1 投标人须知前附表规定召开投标预备会的，招标人按投标人须知前附表规定的时间和地点召开投标预备会，澄清投标人提出的问题。</w:t>
      </w:r>
    </w:p>
    <w:p w14:paraId="09AA878F">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jc w:val="both"/>
        <w:rPr>
          <w:rFonts w:hint="eastAsia" w:cs="宋体"/>
          <w:sz w:val="24"/>
          <w:highlight w:val="none"/>
        </w:rPr>
      </w:pPr>
      <w:r>
        <w:rPr>
          <w:rFonts w:hint="eastAsia" w:cs="宋体"/>
          <w:sz w:val="24"/>
          <w:highlight w:val="none"/>
        </w:rPr>
        <w:t>1.10.2 投标人应按投标人须知前附表规定的时间和形式将提出的问题送达招标人，以便招标人在会议期间澄清。</w:t>
      </w:r>
    </w:p>
    <w:p w14:paraId="32231CE8">
      <w:pPr>
        <w:pStyle w:val="12"/>
        <w:pBdr>
          <w:bottom w:val="single" w:color="auto" w:sz="4" w:space="0"/>
        </w:pBdr>
        <w:tabs>
          <w:tab w:val="left" w:pos="1343"/>
          <w:tab w:val="left" w:pos="2697"/>
          <w:tab w:val="left" w:pos="3264"/>
          <w:tab w:val="left" w:pos="4896"/>
          <w:tab w:val="left" w:pos="6005"/>
          <w:tab w:val="left" w:pos="7085"/>
          <w:tab w:val="left" w:pos="7498"/>
        </w:tabs>
        <w:kinsoku w:val="0"/>
        <w:overflowPunct w:val="0"/>
        <w:spacing w:line="351" w:lineRule="auto"/>
        <w:ind w:left="0" w:firstLine="480"/>
        <w:jc w:val="both"/>
        <w:rPr>
          <w:rFonts w:hint="eastAsia" w:cs="宋体"/>
          <w:sz w:val="24"/>
          <w:highlight w:val="none"/>
        </w:rPr>
      </w:pPr>
      <w:r>
        <w:rPr>
          <w:rFonts w:hint="eastAsia" w:cs="宋体"/>
          <w:sz w:val="24"/>
          <w:highlight w:val="none"/>
        </w:rPr>
        <w:t>1.10.3 投标预备会后，招标人将对投标人所提问题的澄清，以投标人须知前附表规定的形式通知所有潜在投标人。该澄清内容为招标文件的组成部分。</w:t>
      </w:r>
    </w:p>
    <w:p w14:paraId="44BC5C72">
      <w:pPr>
        <w:keepNext w:val="0"/>
        <w:keepLines w:val="0"/>
        <w:pageBreakBefore w:val="0"/>
        <w:widowControl w:val="0"/>
        <w:wordWrap/>
        <w:topLinePunct w:val="0"/>
        <w:autoSpaceDE w:val="0"/>
        <w:autoSpaceDN w:val="0"/>
        <w:bidi w:val="0"/>
        <w:adjustRightInd w:val="0"/>
        <w:snapToGrid/>
        <w:spacing w:line="360" w:lineRule="auto"/>
        <w:ind w:firstLine="540" w:firstLineChars="224"/>
        <w:textAlignment w:val="auto"/>
        <w:rPr>
          <w:rFonts w:hint="eastAsia" w:ascii="宋体" w:hAnsi="宋体" w:eastAsia="宋体" w:cs="宋体"/>
          <w:b/>
          <w:bCs/>
          <w:highlight w:val="none"/>
          <w:lang w:eastAsia="zh-CN"/>
        </w:rPr>
      </w:pPr>
      <w:r>
        <w:rPr>
          <w:rFonts w:hint="eastAsia" w:ascii="宋体" w:hAnsi="宋体" w:cs="宋体"/>
          <w:b/>
          <w:bCs/>
          <w:highlight w:val="none"/>
        </w:rPr>
        <w:t>条款号：</w:t>
      </w:r>
      <w:r>
        <w:rPr>
          <w:rFonts w:hint="eastAsia" w:ascii="宋体" w:hAnsi="宋体" w:cs="宋体"/>
          <w:b/>
          <w:bCs/>
          <w:highlight w:val="none"/>
          <w:lang w:val="en-US" w:eastAsia="zh-CN"/>
        </w:rPr>
        <w:t>2.</w:t>
      </w:r>
      <w:r>
        <w:rPr>
          <w:rFonts w:hint="eastAsia" w:ascii="宋体" w:hAnsi="宋体" w:cs="宋体"/>
          <w:b/>
          <w:bCs/>
          <w:highlight w:val="none"/>
        </w:rPr>
        <w:t xml:space="preserve">1       </w:t>
      </w:r>
      <w:r>
        <w:rPr>
          <w:rFonts w:hint="eastAsia" w:ascii="宋体" w:hAnsi="宋体" w:cs="宋体"/>
          <w:b/>
          <w:bCs/>
          <w:highlight w:val="none"/>
          <w:lang w:val="en-US" w:eastAsia="zh-CN"/>
        </w:rPr>
        <w:t xml:space="preserve">  </w:t>
      </w:r>
      <w:r>
        <w:rPr>
          <w:rFonts w:hint="eastAsia" w:ascii="宋体" w:hAnsi="宋体" w:cs="宋体"/>
          <w:b/>
          <w:bCs/>
          <w:highlight w:val="none"/>
        </w:rPr>
        <w:t xml:space="preserve">     修改类型：</w:t>
      </w:r>
      <w:r>
        <w:rPr>
          <w:rFonts w:hint="eastAsia" w:ascii="宋体" w:hAnsi="宋体" w:cs="宋体"/>
          <w:b/>
          <w:bCs/>
          <w:highlight w:val="none"/>
          <w:lang w:val="en-US" w:eastAsia="zh-CN"/>
        </w:rPr>
        <w:t>修改</w:t>
      </w:r>
    </w:p>
    <w:p w14:paraId="76C91262">
      <w:pPr>
        <w:keepNext w:val="0"/>
        <w:keepLines w:val="0"/>
        <w:pageBreakBefore w:val="0"/>
        <w:widowControl w:val="0"/>
        <w:kinsoku/>
        <w:wordWrap/>
        <w:overflowPunct/>
        <w:topLinePunct w:val="0"/>
        <w:autoSpaceDE w:val="0"/>
        <w:autoSpaceDN w:val="0"/>
        <w:bidi w:val="0"/>
        <w:adjustRightInd w:val="0"/>
        <w:snapToGrid/>
        <w:spacing w:line="360" w:lineRule="auto"/>
        <w:ind w:firstLine="241" w:firstLineChars="100"/>
        <w:textAlignment w:val="auto"/>
        <w:rPr>
          <w:rFonts w:hint="eastAsia" w:ascii="宋体" w:hAnsi="宋体" w:eastAsia="宋体" w:cs="宋体"/>
          <w:highlight w:val="none"/>
        </w:rPr>
      </w:pPr>
      <w:r>
        <w:rPr>
          <w:rFonts w:hint="eastAsia" w:cs="宋体"/>
          <w:b/>
          <w:bCs/>
          <w:sz w:val="24"/>
          <w:highlight w:val="none"/>
        </w:rPr>
        <w:t>原文：</w:t>
      </w:r>
      <w:r>
        <w:rPr>
          <w:rFonts w:hint="eastAsia" w:ascii="宋体" w:hAnsi="宋体" w:eastAsia="宋体" w:cs="宋体"/>
          <w:highlight w:val="none"/>
        </w:rPr>
        <w:t>2.1 招标文件的组成</w:t>
      </w:r>
    </w:p>
    <w:p w14:paraId="55335CB5">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本招标文件包括：</w:t>
      </w:r>
    </w:p>
    <w:p w14:paraId="34B217A9">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（1）招标公告；</w:t>
      </w:r>
    </w:p>
    <w:p w14:paraId="76DCD4FF">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（2）投标人须知；</w:t>
      </w:r>
    </w:p>
    <w:p w14:paraId="4540393B">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（3）评标办法；</w:t>
      </w:r>
    </w:p>
    <w:p w14:paraId="7CDD35B4">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（4）合同条款及格式；</w:t>
      </w:r>
    </w:p>
    <w:p w14:paraId="32CE6246">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（5）委托人要求；</w:t>
      </w:r>
    </w:p>
    <w:p w14:paraId="3B28486E">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（6）投标文件格式；</w:t>
      </w:r>
    </w:p>
    <w:p w14:paraId="248D7984">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（7）投标人须知前附表规定的其他资料。</w:t>
      </w:r>
    </w:p>
    <w:p w14:paraId="3504EC95">
      <w:pPr>
        <w:pStyle w:val="1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left="0" w:firstLine="480"/>
        <w:jc w:val="both"/>
        <w:textAlignment w:val="auto"/>
        <w:rPr>
          <w:rFonts w:hint="eastAsia" w:cs="宋体"/>
          <w:sz w:val="24"/>
          <w:highlight w:val="none"/>
        </w:rPr>
      </w:pPr>
      <w:r>
        <w:rPr>
          <w:rFonts w:hint="eastAsia" w:cs="宋体"/>
          <w:color w:val="auto"/>
          <w:sz w:val="24"/>
          <w:szCs w:val="24"/>
          <w:highlight w:val="none"/>
        </w:rPr>
        <w:t>根据本章第1.10款、第2.2款和第2.3款对招标文件所作的澄清、修改，构成招标文件的组成部分。</w:t>
      </w:r>
    </w:p>
    <w:p w14:paraId="0E286F73">
      <w:pPr>
        <w:keepNext w:val="0"/>
        <w:keepLines w:val="0"/>
        <w:pageBreakBefore w:val="0"/>
        <w:widowControl w:val="0"/>
        <w:kinsoku/>
        <w:wordWrap/>
        <w:overflowPunct/>
        <w:topLinePunct w:val="0"/>
        <w:autoSpaceDE w:val="0"/>
        <w:autoSpaceDN w:val="0"/>
        <w:bidi w:val="0"/>
        <w:adjustRightInd w:val="0"/>
        <w:snapToGrid/>
        <w:spacing w:line="360" w:lineRule="auto"/>
        <w:ind w:firstLine="241" w:firstLineChars="100"/>
        <w:textAlignment w:val="auto"/>
        <w:rPr>
          <w:rFonts w:hint="eastAsia" w:ascii="宋体" w:hAnsi="宋体" w:eastAsia="宋体" w:cs="宋体"/>
          <w:highlight w:val="none"/>
        </w:rPr>
      </w:pPr>
      <w:r>
        <w:rPr>
          <w:rFonts w:hint="eastAsia" w:cs="宋体"/>
          <w:b/>
          <w:bCs/>
          <w:sz w:val="24"/>
          <w:highlight w:val="none"/>
          <w:lang w:eastAsia="zh-CN"/>
        </w:rPr>
        <w:t>现</w:t>
      </w:r>
      <w:r>
        <w:rPr>
          <w:rFonts w:hint="eastAsia" w:cs="宋体"/>
          <w:b/>
          <w:bCs/>
          <w:sz w:val="24"/>
          <w:highlight w:val="none"/>
        </w:rPr>
        <w:t>文：</w:t>
      </w:r>
      <w:r>
        <w:rPr>
          <w:rFonts w:hint="eastAsia" w:ascii="宋体" w:hAnsi="宋体" w:eastAsia="宋体" w:cs="宋体"/>
          <w:highlight w:val="none"/>
        </w:rPr>
        <w:t>2.1 招标文件的组成</w:t>
      </w:r>
    </w:p>
    <w:p w14:paraId="44B5A54A">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本招标文件包括：</w:t>
      </w:r>
    </w:p>
    <w:p w14:paraId="6614D19D">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（1）招标公告；</w:t>
      </w:r>
    </w:p>
    <w:p w14:paraId="3700CC9C">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（2）投标人须知；</w:t>
      </w:r>
    </w:p>
    <w:p w14:paraId="09109121">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（3）评标</w:t>
      </w:r>
      <w:r>
        <w:rPr>
          <w:rFonts w:hint="eastAsia" w:cs="宋体"/>
          <w:color w:val="auto"/>
          <w:sz w:val="24"/>
          <w:szCs w:val="24"/>
          <w:highlight w:val="none"/>
          <w:u w:val="single"/>
          <w:lang w:eastAsia="zh-CN"/>
        </w:rPr>
        <w:t>、定标</w:t>
      </w:r>
      <w:r>
        <w:rPr>
          <w:rFonts w:hint="eastAsia" w:cs="宋体"/>
          <w:color w:val="auto"/>
          <w:sz w:val="24"/>
          <w:szCs w:val="24"/>
          <w:highlight w:val="none"/>
        </w:rPr>
        <w:t>办法；</w:t>
      </w:r>
    </w:p>
    <w:p w14:paraId="548CE898">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（4）合同条款及格式；</w:t>
      </w:r>
    </w:p>
    <w:p w14:paraId="7B5F4F3F">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（5）委托人要求；</w:t>
      </w:r>
    </w:p>
    <w:p w14:paraId="49398A3B">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（6）投标文件格式；</w:t>
      </w:r>
    </w:p>
    <w:p w14:paraId="52474A2A">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（7）投标人须知前附表规定的其他资料。</w:t>
      </w:r>
    </w:p>
    <w:p w14:paraId="5EDD57D1">
      <w:pPr>
        <w:pStyle w:val="24"/>
        <w:keepNext w:val="0"/>
        <w:keepLines w:val="0"/>
        <w:pageBreakBefore w:val="0"/>
        <w:widowControl w:val="0"/>
        <w:pBdr>
          <w:bottom w:val="single" w:color="auto" w:sz="4" w:space="0"/>
        </w:pBdr>
        <w:wordWrap/>
        <w:topLinePunct w:val="0"/>
        <w:autoSpaceDE w:val="0"/>
        <w:autoSpaceDN w:val="0"/>
        <w:bidi w:val="0"/>
        <w:adjustRightInd w:val="0"/>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根据本章</w:t>
      </w:r>
      <w:r>
        <w:rPr>
          <w:rFonts w:hint="eastAsia" w:ascii="宋体" w:hAnsi="宋体" w:eastAsia="宋体" w:cs="宋体"/>
          <w:strike/>
          <w:dstrike w:val="0"/>
          <w:color w:val="auto"/>
          <w:sz w:val="24"/>
          <w:szCs w:val="24"/>
          <w:highlight w:val="none"/>
        </w:rPr>
        <w:t>第1.10款、</w:t>
      </w:r>
      <w:r>
        <w:rPr>
          <w:rFonts w:hint="eastAsia" w:ascii="宋体" w:hAnsi="宋体" w:eastAsia="宋体" w:cs="宋体"/>
          <w:color w:val="auto"/>
          <w:sz w:val="24"/>
          <w:szCs w:val="24"/>
          <w:highlight w:val="none"/>
        </w:rPr>
        <w:t>第2.2款和第2.3款对招标文件所作的澄清、修改，构成招标文件的组成部分。</w:t>
      </w:r>
    </w:p>
    <w:p w14:paraId="3121118C">
      <w:pPr>
        <w:pStyle w:val="24"/>
        <w:rPr>
          <w:rFonts w:hint="eastAsia" w:ascii="宋体" w:hAnsi="宋体" w:eastAsia="宋体" w:cs="宋体"/>
          <w:highlight w:val="none"/>
        </w:rPr>
      </w:pPr>
    </w:p>
    <w:p w14:paraId="5002CA2B">
      <w:pPr>
        <w:keepNext w:val="0"/>
        <w:keepLines w:val="0"/>
        <w:pageBreakBefore w:val="0"/>
        <w:widowControl w:val="0"/>
        <w:kinsoku/>
        <w:wordWrap/>
        <w:overflowPunct/>
        <w:topLinePunct w:val="0"/>
        <w:autoSpaceDE w:val="0"/>
        <w:autoSpaceDN w:val="0"/>
        <w:bidi w:val="0"/>
        <w:adjustRightInd w:val="0"/>
        <w:snapToGrid/>
        <w:spacing w:line="360" w:lineRule="auto"/>
        <w:ind w:firstLine="540" w:firstLineChars="224"/>
        <w:textAlignment w:val="auto"/>
        <w:rPr>
          <w:rFonts w:hint="eastAsia" w:ascii="宋体" w:hAnsi="宋体" w:cs="宋体"/>
          <w:b/>
          <w:bCs/>
          <w:highlight w:val="none"/>
          <w:lang w:val="en-US" w:eastAsia="zh-CN"/>
        </w:rPr>
      </w:pPr>
      <w:r>
        <w:rPr>
          <w:rFonts w:hint="eastAsia" w:ascii="宋体" w:hAnsi="宋体" w:cs="宋体"/>
          <w:b/>
          <w:bCs/>
          <w:highlight w:val="none"/>
        </w:rPr>
        <w:t>条款号：</w:t>
      </w:r>
      <w:r>
        <w:rPr>
          <w:rFonts w:hint="eastAsia" w:ascii="宋体" w:hAnsi="宋体" w:cs="宋体"/>
          <w:b/>
          <w:bCs/>
          <w:highlight w:val="none"/>
          <w:lang w:val="en-US" w:eastAsia="zh-CN"/>
        </w:rPr>
        <w:t>2.4</w:t>
      </w:r>
      <w:r>
        <w:rPr>
          <w:rFonts w:hint="eastAsia" w:ascii="宋体" w:hAnsi="宋体" w:cs="宋体"/>
          <w:b/>
          <w:bCs/>
          <w:highlight w:val="none"/>
        </w:rPr>
        <w:t xml:space="preserve">       </w:t>
      </w:r>
      <w:r>
        <w:rPr>
          <w:rFonts w:hint="eastAsia" w:ascii="宋体" w:hAnsi="宋体" w:cs="宋体"/>
          <w:b/>
          <w:bCs/>
          <w:highlight w:val="none"/>
          <w:lang w:val="en-US" w:eastAsia="zh-CN"/>
        </w:rPr>
        <w:t xml:space="preserve">   </w:t>
      </w:r>
      <w:r>
        <w:rPr>
          <w:rFonts w:hint="eastAsia" w:ascii="宋体" w:hAnsi="宋体" w:cs="宋体"/>
          <w:b/>
          <w:bCs/>
          <w:highlight w:val="none"/>
        </w:rPr>
        <w:t xml:space="preserve">     修改类型：</w:t>
      </w:r>
      <w:r>
        <w:rPr>
          <w:rFonts w:hint="eastAsia" w:ascii="宋体" w:hAnsi="宋体" w:cs="宋体"/>
          <w:b/>
          <w:bCs/>
          <w:highlight w:val="none"/>
          <w:lang w:val="en-US" w:eastAsia="zh-CN"/>
        </w:rPr>
        <w:t>增加</w:t>
      </w:r>
    </w:p>
    <w:p w14:paraId="0F3899A3">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0"/>
        <w:jc w:val="both"/>
        <w:rPr>
          <w:rFonts w:hint="eastAsia" w:cs="宋体"/>
          <w:b w:val="0"/>
          <w:bCs w:val="0"/>
          <w:color w:val="auto"/>
          <w:sz w:val="24"/>
          <w:szCs w:val="24"/>
          <w:highlight w:val="none"/>
          <w:u w:val="single"/>
        </w:rPr>
      </w:pPr>
      <w:r>
        <w:rPr>
          <w:rFonts w:hint="eastAsia" w:ascii="宋体" w:hAnsi="宋体" w:cs="宋体"/>
          <w:b/>
          <w:bCs/>
          <w:sz w:val="24"/>
          <w:highlight w:val="none"/>
          <w:lang w:val="en-US" w:eastAsia="zh-CN"/>
        </w:rPr>
        <w:t>现文：</w:t>
      </w:r>
      <w:r>
        <w:rPr>
          <w:rFonts w:hint="eastAsia" w:cs="宋体"/>
          <w:b w:val="0"/>
          <w:bCs w:val="0"/>
          <w:color w:val="auto"/>
          <w:sz w:val="24"/>
          <w:szCs w:val="24"/>
          <w:highlight w:val="none"/>
          <w:u w:val="single"/>
        </w:rPr>
        <w:t>2.4 招标文件的异议</w:t>
      </w:r>
    </w:p>
    <w:p w14:paraId="27A90975">
      <w:pPr>
        <w:pStyle w:val="12"/>
        <w:pBdr>
          <w:bottom w:val="single" w:color="auto" w:sz="4" w:space="0"/>
        </w:pBdr>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u w:val="single"/>
        </w:rPr>
      </w:pPr>
      <w:r>
        <w:rPr>
          <w:rFonts w:hint="eastAsia" w:cs="宋体"/>
          <w:color w:val="auto"/>
          <w:sz w:val="24"/>
          <w:szCs w:val="24"/>
          <w:highlight w:val="none"/>
          <w:u w:val="single"/>
        </w:rPr>
        <w:t>投标人或者其他利害关系人对招标文件有异议的，应当在投标截止时间10日前向招标人提出，可以通过线下或线上的形式提出异议。线上提出异议的，应通过交易平台进行提交。具体按照交易平台相关指南进行操作。招标人将在收到异议之日起3日内作出答复；作出答复前，将暂停招标投标活动。</w:t>
      </w:r>
    </w:p>
    <w:p w14:paraId="1EF95D68">
      <w:pPr>
        <w:keepNext w:val="0"/>
        <w:keepLines w:val="0"/>
        <w:pageBreakBefore w:val="0"/>
        <w:widowControl w:val="0"/>
        <w:kinsoku/>
        <w:wordWrap/>
        <w:overflowPunct/>
        <w:topLinePunct w:val="0"/>
        <w:autoSpaceDE w:val="0"/>
        <w:autoSpaceDN w:val="0"/>
        <w:bidi w:val="0"/>
        <w:adjustRightInd w:val="0"/>
        <w:snapToGrid/>
        <w:spacing w:line="360" w:lineRule="auto"/>
        <w:ind w:firstLine="241" w:firstLineChars="100"/>
        <w:textAlignment w:val="auto"/>
        <w:rPr>
          <w:rFonts w:hint="eastAsia" w:ascii="宋体" w:hAnsi="宋体" w:cs="宋体"/>
          <w:b/>
          <w:bCs/>
          <w:highlight w:val="none"/>
        </w:rPr>
      </w:pPr>
      <w:r>
        <w:rPr>
          <w:rFonts w:hint="eastAsia" w:ascii="宋体" w:hAnsi="宋体" w:cs="宋体"/>
          <w:b/>
          <w:bCs/>
          <w:highlight w:val="none"/>
        </w:rPr>
        <w:t>条款号：</w:t>
      </w:r>
      <w:r>
        <w:rPr>
          <w:rFonts w:hint="eastAsia" w:ascii="宋体" w:hAnsi="宋体" w:cs="宋体"/>
          <w:b/>
          <w:bCs/>
          <w:highlight w:val="none"/>
          <w:lang w:val="en-US" w:eastAsia="zh-CN"/>
        </w:rPr>
        <w:t>3.1 投标文件组成</w:t>
      </w:r>
      <w:r>
        <w:rPr>
          <w:rFonts w:hint="eastAsia" w:ascii="宋体" w:hAnsi="宋体" w:cs="宋体"/>
          <w:b/>
          <w:bCs/>
          <w:highlight w:val="none"/>
        </w:rPr>
        <w:t xml:space="preserve">           修改类型：修改</w:t>
      </w:r>
    </w:p>
    <w:p w14:paraId="51DCD1FA">
      <w:pPr>
        <w:keepNext w:val="0"/>
        <w:keepLines w:val="0"/>
        <w:pageBreakBefore w:val="0"/>
        <w:widowControl w:val="0"/>
        <w:kinsoku/>
        <w:wordWrap/>
        <w:overflowPunct/>
        <w:topLinePunct w:val="0"/>
        <w:autoSpaceDE w:val="0"/>
        <w:autoSpaceDN w:val="0"/>
        <w:bidi w:val="0"/>
        <w:adjustRightInd w:val="0"/>
        <w:snapToGrid/>
        <w:spacing w:line="360" w:lineRule="auto"/>
        <w:ind w:firstLine="241" w:firstLineChars="100"/>
        <w:textAlignment w:val="auto"/>
        <w:rPr>
          <w:rFonts w:hint="eastAsia" w:ascii="宋体" w:hAnsi="宋体" w:eastAsia="宋体" w:cs="宋体"/>
          <w:highlight w:val="none"/>
        </w:rPr>
      </w:pPr>
      <w:r>
        <w:rPr>
          <w:rFonts w:hint="eastAsia" w:ascii="宋体" w:hAnsi="宋体" w:eastAsia="宋体" w:cs="宋体"/>
          <w:b/>
          <w:bCs/>
          <w:sz w:val="24"/>
          <w:highlight w:val="none"/>
          <w:lang w:val="en-US" w:eastAsia="zh-CN"/>
        </w:rPr>
        <w:t>原文：</w:t>
      </w:r>
      <w:r>
        <w:rPr>
          <w:rFonts w:hint="eastAsia" w:ascii="宋体" w:hAnsi="宋体" w:eastAsia="宋体" w:cs="宋体"/>
          <w:highlight w:val="none"/>
        </w:rPr>
        <w:t>3.1 投标文件的组成</w:t>
      </w:r>
    </w:p>
    <w:p w14:paraId="5B3799FE">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3.1.1 投标文件应包括下列内容：</w:t>
      </w:r>
    </w:p>
    <w:p w14:paraId="0EBFB084">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（1）投标函及投标函附录；</w:t>
      </w:r>
    </w:p>
    <w:p w14:paraId="5D50EF1B">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（2）法定代表人身份证明或授权委托书；</w:t>
      </w:r>
    </w:p>
    <w:p w14:paraId="025F835C">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（3）联合体协议书；</w:t>
      </w:r>
    </w:p>
    <w:p w14:paraId="4E300859">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（4）投标保证金；</w:t>
      </w:r>
    </w:p>
    <w:p w14:paraId="24EBB6DC">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（5）监理报酬清单；</w:t>
      </w:r>
    </w:p>
    <w:p w14:paraId="05951C58">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（6）资格审查资料；</w:t>
      </w:r>
    </w:p>
    <w:p w14:paraId="32F08D57">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（7）监理大纲；</w:t>
      </w:r>
    </w:p>
    <w:p w14:paraId="7820F24F">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（8）投标人须知前附表规定的其他资料。投标人在评标过程中作出的符合法律法规和招标文件规定的澄清确认，构成投标文件的组成部分。</w:t>
      </w:r>
    </w:p>
    <w:p w14:paraId="71DA2C61">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strike w:val="0"/>
          <w:color w:val="auto"/>
          <w:sz w:val="24"/>
          <w:szCs w:val="24"/>
          <w:highlight w:val="none"/>
        </w:rPr>
      </w:pPr>
      <w:r>
        <w:rPr>
          <w:rFonts w:hint="eastAsia" w:cs="宋体"/>
          <w:strike w:val="0"/>
          <w:color w:val="auto"/>
          <w:sz w:val="24"/>
          <w:szCs w:val="24"/>
          <w:highlight w:val="none"/>
        </w:rPr>
        <w:t>3.1.2 投标人须知前附表规定不接受联合体投标的，或投标人没有组成联合体的，投标文件不包括本章第 3.1.1（3）目所指的联合体协议书。</w:t>
      </w:r>
    </w:p>
    <w:p w14:paraId="08E3C41D">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lang w:val="en-US" w:eastAsia="zh-CN"/>
        </w:rPr>
      </w:pPr>
      <w:r>
        <w:rPr>
          <w:rFonts w:hint="eastAsia" w:cs="宋体"/>
          <w:strike w:val="0"/>
          <w:color w:val="auto"/>
          <w:sz w:val="24"/>
          <w:szCs w:val="24"/>
          <w:highlight w:val="none"/>
        </w:rPr>
        <w:t>3.1.3 投标人须知前附表未要求提交投标保证金的，投标文件不包括本章第 3.1.1（4）目所指的投标保证金。</w:t>
      </w:r>
    </w:p>
    <w:p w14:paraId="38EF33DF">
      <w:pPr>
        <w:keepNext w:val="0"/>
        <w:keepLines w:val="0"/>
        <w:pageBreakBefore w:val="0"/>
        <w:widowControl w:val="0"/>
        <w:kinsoku/>
        <w:wordWrap/>
        <w:overflowPunct/>
        <w:topLinePunct w:val="0"/>
        <w:autoSpaceDE w:val="0"/>
        <w:autoSpaceDN w:val="0"/>
        <w:bidi w:val="0"/>
        <w:adjustRightInd w:val="0"/>
        <w:snapToGrid/>
        <w:spacing w:line="360" w:lineRule="auto"/>
        <w:ind w:firstLine="241" w:firstLineChars="100"/>
        <w:textAlignment w:val="auto"/>
        <w:rPr>
          <w:rFonts w:hint="eastAsia" w:ascii="宋体" w:hAnsi="宋体" w:eastAsia="宋体" w:cs="宋体"/>
          <w:highlight w:val="none"/>
        </w:rPr>
      </w:pPr>
      <w:r>
        <w:rPr>
          <w:rFonts w:hint="eastAsia" w:ascii="宋体" w:hAnsi="宋体" w:eastAsia="宋体" w:cs="宋体"/>
          <w:b/>
          <w:bCs/>
          <w:sz w:val="24"/>
          <w:highlight w:val="none"/>
          <w:lang w:val="en-US" w:eastAsia="zh-CN"/>
        </w:rPr>
        <w:t>现文：</w:t>
      </w:r>
      <w:r>
        <w:rPr>
          <w:rFonts w:hint="eastAsia" w:ascii="宋体" w:hAnsi="宋体" w:eastAsia="宋体" w:cs="宋体"/>
          <w:highlight w:val="none"/>
        </w:rPr>
        <w:t>3.1 投标文件的组成</w:t>
      </w:r>
    </w:p>
    <w:p w14:paraId="375BC7A5">
      <w:pPr>
        <w:keepNext w:val="0"/>
        <w:keepLines w:val="0"/>
        <w:pageBreakBefore w:val="0"/>
        <w:widowControl w:val="0"/>
        <w:kinsoku/>
        <w:wordWrap/>
        <w:overflowPunct/>
        <w:topLinePunct w:val="0"/>
        <w:autoSpaceDE w:val="0"/>
        <w:autoSpaceDN w:val="0"/>
        <w:bidi w:val="0"/>
        <w:adjustRightInd w:val="0"/>
        <w:snapToGrid/>
        <w:spacing w:line="360" w:lineRule="auto"/>
        <w:ind w:firstLine="241" w:firstLineChars="100"/>
        <w:textAlignment w:val="auto"/>
        <w:rPr>
          <w:rFonts w:hint="eastAsia" w:ascii="宋体" w:hAnsi="宋体" w:eastAsia="宋体" w:cs="宋体"/>
          <w:highlight w:val="none"/>
        </w:rPr>
      </w:pPr>
      <w:r>
        <w:rPr>
          <w:rFonts w:hint="eastAsia" w:ascii="宋体" w:hAnsi="宋体" w:eastAsia="宋体" w:cs="宋体"/>
          <w:b/>
          <w:bCs/>
          <w:highlight w:val="none"/>
        </w:rPr>
        <w:t>投标文件由评标部分及定标部分两部分组成，各部分文件应分别编制。</w:t>
      </w:r>
    </w:p>
    <w:p w14:paraId="054C210B">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3.1.1 投标文件</w:t>
      </w:r>
      <w:r>
        <w:rPr>
          <w:rFonts w:hint="eastAsia" w:ascii="宋体" w:hAnsi="宋体"/>
          <w:b/>
          <w:bCs/>
          <w:sz w:val="24"/>
          <w:szCs w:val="24"/>
          <w:highlight w:val="none"/>
          <w:u w:val="single"/>
        </w:rPr>
        <w:t>（评标部分）</w:t>
      </w:r>
      <w:r>
        <w:rPr>
          <w:rFonts w:hint="eastAsia" w:cs="宋体"/>
          <w:color w:val="auto"/>
          <w:sz w:val="24"/>
          <w:szCs w:val="24"/>
          <w:highlight w:val="none"/>
        </w:rPr>
        <w:t>应包括下列内容：</w:t>
      </w:r>
    </w:p>
    <w:p w14:paraId="7CF617D4">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（1）投标函及投标函附录；</w:t>
      </w:r>
    </w:p>
    <w:p w14:paraId="63CA737B">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（2）法定代表人身份证明或授权委托书；</w:t>
      </w:r>
    </w:p>
    <w:p w14:paraId="44E79E72">
      <w:pPr>
        <w:spacing w:line="360" w:lineRule="auto"/>
        <w:ind w:firstLine="472" w:firstLineChars="200"/>
        <w:rPr>
          <w:rFonts w:hint="eastAsia" w:ascii="宋体" w:hAnsi="宋体" w:cs="宋体"/>
          <w:highlight w:val="none"/>
        </w:rPr>
      </w:pPr>
      <w:r>
        <w:rPr>
          <w:rFonts w:hint="eastAsia" w:ascii="宋体" w:hAnsi="宋体" w:eastAsia="宋体" w:cs="宋体"/>
          <w:color w:val="auto"/>
          <w:spacing w:val="-2"/>
          <w:sz w:val="24"/>
          <w:highlight w:val="none"/>
          <w:u w:val="single"/>
          <w:lang w:eastAsia="zh-CN"/>
        </w:rPr>
        <w:t>（</w:t>
      </w:r>
      <w:r>
        <w:rPr>
          <w:rFonts w:hint="eastAsia" w:ascii="宋体" w:hAnsi="宋体" w:eastAsia="宋体" w:cs="宋体"/>
          <w:color w:val="auto"/>
          <w:spacing w:val="-2"/>
          <w:sz w:val="24"/>
          <w:highlight w:val="none"/>
          <w:u w:val="single"/>
          <w:lang w:val="en-US" w:eastAsia="zh-CN"/>
        </w:rPr>
        <w:t>3</w:t>
      </w:r>
      <w:r>
        <w:rPr>
          <w:rFonts w:hint="eastAsia" w:ascii="宋体" w:hAnsi="宋体" w:eastAsia="宋体" w:cs="宋体"/>
          <w:color w:val="auto"/>
          <w:spacing w:val="-2"/>
          <w:sz w:val="24"/>
          <w:highlight w:val="none"/>
          <w:u w:val="single"/>
          <w:lang w:eastAsia="zh-CN"/>
        </w:rPr>
        <w:t>）《</w:t>
      </w:r>
      <w:r>
        <w:rPr>
          <w:rFonts w:hint="eastAsia" w:ascii="宋体" w:hAnsi="宋体" w:eastAsia="宋体" w:cs="宋体"/>
          <w:color w:val="auto"/>
          <w:spacing w:val="-2"/>
          <w:sz w:val="24"/>
          <w:highlight w:val="none"/>
          <w:u w:val="single"/>
        </w:rPr>
        <w:t>关于投标保证金的承诺</w:t>
      </w:r>
      <w:r>
        <w:rPr>
          <w:rFonts w:hint="eastAsia" w:ascii="宋体" w:hAnsi="宋体" w:eastAsia="宋体" w:cs="宋体"/>
          <w:color w:val="auto"/>
          <w:spacing w:val="-2"/>
          <w:sz w:val="24"/>
          <w:highlight w:val="none"/>
          <w:u w:val="single"/>
          <w:lang w:eastAsia="zh-CN"/>
        </w:rPr>
        <w:t>》</w:t>
      </w:r>
    </w:p>
    <w:p w14:paraId="448CDC4D">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w:t>
      </w:r>
      <w:r>
        <w:rPr>
          <w:rFonts w:hint="eastAsia" w:cs="宋体"/>
          <w:color w:val="auto"/>
          <w:sz w:val="24"/>
          <w:szCs w:val="24"/>
          <w:highlight w:val="none"/>
          <w:lang w:val="en-US" w:eastAsia="zh-CN"/>
        </w:rPr>
        <w:t>4</w:t>
      </w:r>
      <w:r>
        <w:rPr>
          <w:rFonts w:hint="eastAsia" w:cs="宋体"/>
          <w:color w:val="auto"/>
          <w:sz w:val="24"/>
          <w:szCs w:val="24"/>
          <w:highlight w:val="none"/>
        </w:rPr>
        <w:t>）监理报酬清单；</w:t>
      </w:r>
    </w:p>
    <w:p w14:paraId="5F4D4FA3">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w:t>
      </w:r>
      <w:r>
        <w:rPr>
          <w:rFonts w:hint="eastAsia" w:cs="宋体"/>
          <w:color w:val="auto"/>
          <w:sz w:val="24"/>
          <w:szCs w:val="24"/>
          <w:highlight w:val="none"/>
          <w:lang w:val="en-US" w:eastAsia="zh-CN"/>
        </w:rPr>
        <w:t>5</w:t>
      </w:r>
      <w:r>
        <w:rPr>
          <w:rFonts w:hint="eastAsia" w:cs="宋体"/>
          <w:color w:val="auto"/>
          <w:sz w:val="24"/>
          <w:szCs w:val="24"/>
          <w:highlight w:val="none"/>
        </w:rPr>
        <w:t>）资格审查资料；</w:t>
      </w:r>
    </w:p>
    <w:p w14:paraId="16FC20E0">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w:t>
      </w:r>
      <w:r>
        <w:rPr>
          <w:rFonts w:hint="eastAsia" w:cs="宋体"/>
          <w:color w:val="auto"/>
          <w:sz w:val="24"/>
          <w:szCs w:val="24"/>
          <w:highlight w:val="none"/>
          <w:lang w:val="en-US" w:eastAsia="zh-CN"/>
        </w:rPr>
        <w:t>6</w:t>
      </w:r>
      <w:r>
        <w:rPr>
          <w:rFonts w:hint="eastAsia" w:cs="宋体"/>
          <w:color w:val="auto"/>
          <w:sz w:val="24"/>
          <w:szCs w:val="24"/>
          <w:highlight w:val="none"/>
        </w:rPr>
        <w:t>）监理大纲；</w:t>
      </w:r>
    </w:p>
    <w:p w14:paraId="4367FB5A">
      <w:pPr>
        <w:pStyle w:val="12"/>
        <w:pBdr>
          <w:top w:val="none" w:color="auto" w:sz="0" w:space="0"/>
          <w:left w:val="none" w:color="auto" w:sz="0" w:space="0"/>
          <w:bottom w:val="none" w:color="auto" w:sz="0" w:space="0"/>
          <w:right w:val="none" w:color="auto" w:sz="0" w:space="0"/>
          <w:between w:val="none" w:color="auto" w:sz="0" w:space="0"/>
        </w:pBdr>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w:t>
      </w:r>
      <w:r>
        <w:rPr>
          <w:rFonts w:hint="eastAsia" w:cs="宋体"/>
          <w:color w:val="auto"/>
          <w:sz w:val="24"/>
          <w:szCs w:val="24"/>
          <w:highlight w:val="none"/>
          <w:lang w:val="en-US" w:eastAsia="zh-CN"/>
        </w:rPr>
        <w:t>7</w:t>
      </w:r>
      <w:r>
        <w:rPr>
          <w:rFonts w:hint="eastAsia" w:cs="宋体"/>
          <w:color w:val="auto"/>
          <w:sz w:val="24"/>
          <w:szCs w:val="24"/>
          <w:highlight w:val="none"/>
        </w:rPr>
        <w:t>）投标人须知前附表规定的其他资料。投标人在评标过程中作出的符合法律法规和招标文件规定的澄清确认，构成投标文件的组成部分。</w:t>
      </w:r>
    </w:p>
    <w:p w14:paraId="006D466F">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rFonts w:hint="eastAsia" w:ascii="宋体" w:hAnsi="宋体" w:eastAsia="宋体" w:cs="宋体"/>
          <w:color w:val="000000"/>
          <w:sz w:val="24"/>
          <w:highlight w:val="none"/>
          <w:u w:val="single"/>
        </w:rPr>
      </w:pPr>
      <w:r>
        <w:rPr>
          <w:rFonts w:hint="eastAsia" w:ascii="宋体" w:hAnsi="宋体" w:cs="宋体"/>
          <w:color w:val="000000"/>
          <w:sz w:val="24"/>
          <w:highlight w:val="none"/>
          <w:u w:val="single"/>
          <w:lang w:val="en-US" w:eastAsia="zh-CN"/>
        </w:rPr>
        <w:t>3.1.2</w:t>
      </w:r>
      <w:r>
        <w:rPr>
          <w:rFonts w:hint="eastAsia" w:ascii="宋体" w:hAnsi="宋体" w:eastAsia="宋体" w:cs="宋体"/>
          <w:color w:val="000000"/>
          <w:sz w:val="24"/>
          <w:highlight w:val="none"/>
          <w:u w:val="single"/>
          <w:lang w:val="en-US" w:eastAsia="zh-CN"/>
        </w:rPr>
        <w:t>投标文件（定标部分）</w:t>
      </w:r>
      <w:r>
        <w:rPr>
          <w:rFonts w:hint="eastAsia" w:ascii="宋体" w:hAnsi="宋体" w:eastAsia="宋体" w:cs="宋体"/>
          <w:color w:val="000000"/>
          <w:sz w:val="24"/>
          <w:highlight w:val="none"/>
          <w:u w:val="single"/>
        </w:rPr>
        <w:t>应包括下列内容：</w:t>
      </w:r>
    </w:p>
    <w:p w14:paraId="74811071">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rFonts w:hint="eastAsia" w:ascii="宋体" w:hAnsi="宋体" w:eastAsia="宋体" w:cs="宋体"/>
          <w:color w:val="000000"/>
          <w:sz w:val="24"/>
          <w:highlight w:val="none"/>
          <w:u w:val="single"/>
          <w:lang w:val="en-US" w:eastAsia="zh-CN"/>
        </w:rPr>
      </w:pPr>
      <w:r>
        <w:rPr>
          <w:rFonts w:hint="eastAsia" w:ascii="宋体" w:hAnsi="宋体" w:eastAsia="宋体" w:cs="宋体"/>
          <w:color w:val="000000"/>
          <w:sz w:val="24"/>
          <w:highlight w:val="none"/>
          <w:u w:val="single"/>
        </w:rPr>
        <w:t>（1）</w:t>
      </w:r>
      <w:r>
        <w:rPr>
          <w:rFonts w:hint="eastAsia" w:ascii="宋体" w:hAnsi="宋体" w:eastAsia="宋体" w:cs="宋体"/>
          <w:color w:val="000000"/>
          <w:sz w:val="24"/>
          <w:highlight w:val="none"/>
          <w:u w:val="single"/>
          <w:lang w:val="en-US" w:eastAsia="zh-CN"/>
        </w:rPr>
        <w:t>投标人依据《定标因素表》提供资料</w:t>
      </w:r>
      <w:r>
        <w:rPr>
          <w:rFonts w:hint="eastAsia" w:cs="宋体"/>
          <w:color w:val="000000"/>
          <w:sz w:val="24"/>
          <w:highlight w:val="none"/>
          <w:u w:val="single"/>
          <w:lang w:val="en-US" w:eastAsia="zh-CN"/>
        </w:rPr>
        <w:t>；</w:t>
      </w:r>
    </w:p>
    <w:p w14:paraId="43387D93">
      <w:pPr>
        <w:pStyle w:val="12"/>
        <w:pBdr>
          <w:bottom w:val="single" w:color="auto" w:sz="4" w:space="0"/>
        </w:pBdr>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rFonts w:hint="eastAsia" w:ascii="宋体" w:hAnsi="宋体" w:eastAsia="宋体" w:cs="宋体"/>
          <w:b/>
          <w:bCs/>
          <w:sz w:val="24"/>
          <w:highlight w:val="none"/>
          <w:lang w:val="en-US" w:eastAsia="zh-CN"/>
        </w:rPr>
      </w:pPr>
      <w:r>
        <w:rPr>
          <w:rFonts w:hint="eastAsia" w:ascii="宋体" w:hAnsi="宋体" w:eastAsia="宋体" w:cs="宋体"/>
          <w:color w:val="000000"/>
          <w:sz w:val="24"/>
          <w:highlight w:val="none"/>
          <w:u w:val="single"/>
        </w:rPr>
        <w:t>（2）</w:t>
      </w:r>
      <w:r>
        <w:rPr>
          <w:rFonts w:hint="eastAsia" w:ascii="宋体" w:hAnsi="宋体" w:eastAsia="宋体" w:cs="宋体"/>
          <w:color w:val="auto"/>
          <w:sz w:val="24"/>
          <w:highlight w:val="none"/>
          <w:u w:val="single"/>
          <w:lang w:val="en-US" w:eastAsia="zh-CN"/>
        </w:rPr>
        <w:t>投标人认为</w:t>
      </w:r>
      <w:r>
        <w:rPr>
          <w:rFonts w:hint="eastAsia" w:ascii="宋体" w:hAnsi="宋体" w:eastAsia="宋体" w:cs="宋体"/>
          <w:color w:val="000000"/>
          <w:sz w:val="24"/>
          <w:highlight w:val="none"/>
          <w:u w:val="single"/>
        </w:rPr>
        <w:t>其他应提交的材料</w:t>
      </w:r>
      <w:r>
        <w:rPr>
          <w:rFonts w:hint="eastAsia" w:ascii="宋体" w:hAnsi="宋体" w:eastAsia="宋体" w:cs="宋体"/>
          <w:color w:val="000000"/>
          <w:sz w:val="24"/>
          <w:highlight w:val="none"/>
          <w:u w:val="single"/>
          <w:lang w:val="en-US" w:eastAsia="zh-CN"/>
        </w:rPr>
        <w:t>。</w:t>
      </w:r>
    </w:p>
    <w:p w14:paraId="05EC30ED">
      <w:pPr>
        <w:keepNext w:val="0"/>
        <w:keepLines w:val="0"/>
        <w:pageBreakBefore w:val="0"/>
        <w:widowControl w:val="0"/>
        <w:wordWrap/>
        <w:topLinePunct w:val="0"/>
        <w:bidi w:val="0"/>
        <w:adjustRightInd w:val="0"/>
        <w:snapToGrid/>
        <w:spacing w:line="360" w:lineRule="auto"/>
        <w:ind w:firstLine="540" w:firstLineChars="224"/>
        <w:textAlignment w:val="auto"/>
        <w:rPr>
          <w:rFonts w:hint="eastAsia" w:ascii="宋体" w:hAnsi="宋体" w:cs="宋体"/>
          <w:b/>
          <w:bCs/>
          <w:highlight w:val="none"/>
          <w:lang w:val="en-US" w:eastAsia="zh-CN"/>
        </w:rPr>
      </w:pPr>
      <w:r>
        <w:rPr>
          <w:rFonts w:hint="eastAsia" w:ascii="宋体" w:hAnsi="宋体" w:cs="宋体"/>
          <w:b/>
          <w:bCs/>
          <w:highlight w:val="none"/>
        </w:rPr>
        <w:t>条款号：</w:t>
      </w:r>
      <w:r>
        <w:rPr>
          <w:rFonts w:hint="eastAsia" w:ascii="宋体" w:hAnsi="宋体" w:eastAsia="宋体" w:cs="宋体"/>
          <w:strike w:val="0"/>
          <w:color w:val="auto"/>
          <w:sz w:val="24"/>
          <w:szCs w:val="24"/>
          <w:highlight w:val="none"/>
        </w:rPr>
        <w:t>3.</w:t>
      </w:r>
      <w:r>
        <w:rPr>
          <w:rFonts w:hint="eastAsia" w:ascii="宋体" w:hAnsi="宋体" w:cs="宋体"/>
          <w:strike w:val="0"/>
          <w:color w:val="auto"/>
          <w:sz w:val="24"/>
          <w:szCs w:val="24"/>
          <w:highlight w:val="none"/>
          <w:lang w:val="en-US" w:eastAsia="zh-CN"/>
        </w:rPr>
        <w:t>3.1</w:t>
      </w:r>
      <w:r>
        <w:rPr>
          <w:rFonts w:hint="eastAsia" w:ascii="宋体" w:hAnsi="宋体" w:eastAsia="宋体" w:cs="宋体"/>
          <w:strike w:val="0"/>
          <w:color w:val="auto"/>
          <w:sz w:val="24"/>
          <w:szCs w:val="24"/>
          <w:highlight w:val="none"/>
        </w:rPr>
        <w:t xml:space="preserve"> </w:t>
      </w:r>
      <w:r>
        <w:rPr>
          <w:rFonts w:hint="eastAsia" w:ascii="宋体" w:hAnsi="宋体" w:eastAsia="宋体" w:cs="宋体"/>
          <w:strike w:val="0"/>
          <w:color w:val="auto"/>
          <w:sz w:val="24"/>
          <w:szCs w:val="24"/>
          <w:highlight w:val="none"/>
          <w:lang w:val="en-US" w:eastAsia="zh-CN"/>
        </w:rPr>
        <w:t xml:space="preserve"> </w:t>
      </w:r>
      <w:r>
        <w:rPr>
          <w:rFonts w:hint="eastAsia" w:ascii="宋体" w:hAnsi="宋体" w:eastAsia="宋体" w:cs="宋体"/>
          <w:b/>
          <w:bCs/>
          <w:highlight w:val="none"/>
        </w:rPr>
        <w:t xml:space="preserve">  </w:t>
      </w:r>
      <w:r>
        <w:rPr>
          <w:rFonts w:hint="eastAsia" w:ascii="宋体" w:hAnsi="宋体" w:cs="宋体"/>
          <w:b/>
          <w:bCs/>
          <w:highlight w:val="none"/>
        </w:rPr>
        <w:t xml:space="preserve">         修改类型：</w:t>
      </w:r>
      <w:r>
        <w:rPr>
          <w:rFonts w:hint="eastAsia" w:ascii="宋体" w:hAnsi="宋体" w:cs="宋体"/>
          <w:b/>
          <w:bCs/>
          <w:highlight w:val="none"/>
          <w:lang w:val="en-US" w:eastAsia="zh-CN"/>
        </w:rPr>
        <w:t>修改</w:t>
      </w:r>
    </w:p>
    <w:p w14:paraId="6692BEA4">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482" w:firstLineChars="200"/>
        <w:jc w:val="both"/>
        <w:rPr>
          <w:rFonts w:hint="eastAsia" w:ascii="宋体" w:hAnsi="宋体" w:cs="宋体"/>
          <w:b/>
          <w:bCs/>
          <w:sz w:val="24"/>
          <w:highlight w:val="none"/>
          <w:lang w:val="en-US" w:eastAsia="zh-CN"/>
        </w:rPr>
      </w:pPr>
      <w:r>
        <w:rPr>
          <w:rFonts w:hint="eastAsia" w:ascii="宋体" w:hAnsi="宋体" w:cs="宋体"/>
          <w:b/>
          <w:bCs/>
          <w:sz w:val="24"/>
          <w:highlight w:val="none"/>
          <w:lang w:val="en-US" w:eastAsia="zh-CN"/>
        </w:rPr>
        <w:t>原文：</w:t>
      </w:r>
      <w:r>
        <w:rPr>
          <w:rFonts w:hint="eastAsia" w:cs="宋体"/>
          <w:color w:val="auto"/>
          <w:sz w:val="24"/>
          <w:szCs w:val="24"/>
          <w:highlight w:val="none"/>
        </w:rPr>
        <w:t>3.3.1 除投标人须知前附表另有规定外，投标有效期为 90 天。</w:t>
      </w:r>
    </w:p>
    <w:p w14:paraId="4B7C4236">
      <w:pPr>
        <w:pStyle w:val="25"/>
        <w:pBdr>
          <w:bottom w:val="single" w:color="auto" w:sz="4" w:space="0"/>
        </w:pBdr>
        <w:ind w:left="480" w:firstLine="0" w:firstLineChars="0"/>
        <w:rPr>
          <w:rFonts w:hint="eastAsia" w:eastAsia="宋体"/>
          <w:highlight w:val="none"/>
          <w:lang w:val="en-US" w:eastAsia="zh-CN"/>
        </w:rPr>
      </w:pPr>
      <w:r>
        <w:rPr>
          <w:rFonts w:hint="eastAsia" w:ascii="宋体" w:hAnsi="宋体" w:cs="宋体"/>
          <w:b/>
          <w:bCs/>
          <w:kern w:val="0"/>
          <w:sz w:val="24"/>
          <w:highlight w:val="none"/>
          <w:lang w:val="en-US" w:eastAsia="zh-CN"/>
        </w:rPr>
        <w:t>现文</w:t>
      </w:r>
      <w:r>
        <w:rPr>
          <w:rFonts w:hint="eastAsia" w:ascii="宋体" w:hAnsi="宋体" w:cs="宋体"/>
          <w:b w:val="0"/>
          <w:bCs w:val="0"/>
          <w:kern w:val="0"/>
          <w:sz w:val="24"/>
          <w:highlight w:val="none"/>
          <w:lang w:val="en-US" w:eastAsia="zh-CN"/>
        </w:rPr>
        <w:t>：</w:t>
      </w:r>
      <w:r>
        <w:rPr>
          <w:rFonts w:hint="eastAsia" w:ascii="宋体" w:hAnsi="宋体" w:cs="宋体"/>
          <w:color w:val="auto"/>
          <w:kern w:val="0"/>
          <w:sz w:val="24"/>
          <w:szCs w:val="24"/>
          <w:highlight w:val="none"/>
        </w:rPr>
        <w:t>3.3.1 除投标人须知前附表另有规定外，投标有效期为</w:t>
      </w:r>
      <w:r>
        <w:rPr>
          <w:rFonts w:hint="eastAsia" w:ascii="宋体" w:hAnsi="宋体" w:cs="宋体"/>
          <w:color w:val="auto"/>
          <w:kern w:val="0"/>
          <w:sz w:val="24"/>
          <w:szCs w:val="24"/>
          <w:highlight w:val="none"/>
          <w:u w:val="single"/>
        </w:rPr>
        <w:t xml:space="preserve"> 120 </w:t>
      </w:r>
      <w:r>
        <w:rPr>
          <w:rFonts w:hint="eastAsia" w:ascii="宋体" w:hAnsi="宋体" w:eastAsia="宋体" w:cs="宋体"/>
          <w:color w:val="auto"/>
          <w:kern w:val="0"/>
          <w:sz w:val="24"/>
          <w:szCs w:val="24"/>
          <w:highlight w:val="none"/>
          <w:u w:val="single"/>
        </w:rPr>
        <w:t>日历</w:t>
      </w:r>
      <w:r>
        <w:rPr>
          <w:rFonts w:hint="eastAsia" w:ascii="宋体" w:hAnsi="宋体" w:eastAsia="宋体" w:cs="宋体"/>
          <w:color w:val="auto"/>
          <w:kern w:val="0"/>
          <w:sz w:val="24"/>
          <w:szCs w:val="24"/>
          <w:highlight w:val="none"/>
        </w:rPr>
        <w:t>天</w:t>
      </w:r>
      <w:r>
        <w:rPr>
          <w:rFonts w:hint="eastAsia" w:ascii="宋体" w:hAnsi="宋体" w:cs="宋体"/>
          <w:color w:val="auto"/>
          <w:kern w:val="0"/>
          <w:sz w:val="24"/>
          <w:szCs w:val="24"/>
          <w:highlight w:val="none"/>
        </w:rPr>
        <w:t>。</w:t>
      </w:r>
    </w:p>
    <w:p w14:paraId="3AB4B6B5">
      <w:pPr>
        <w:keepNext w:val="0"/>
        <w:keepLines w:val="0"/>
        <w:pageBreakBefore w:val="0"/>
        <w:widowControl w:val="0"/>
        <w:kinsoku/>
        <w:wordWrap/>
        <w:overflowPunct/>
        <w:topLinePunct w:val="0"/>
        <w:autoSpaceDE w:val="0"/>
        <w:autoSpaceDN w:val="0"/>
        <w:bidi w:val="0"/>
        <w:adjustRightInd w:val="0"/>
        <w:snapToGrid/>
        <w:spacing w:before="0" w:beforeLines="100" w:after="0" w:afterLines="50" w:line="360" w:lineRule="auto"/>
        <w:ind w:firstLine="540" w:firstLineChars="224"/>
        <w:textAlignment w:val="auto"/>
        <w:rPr>
          <w:rFonts w:hint="eastAsia" w:ascii="宋体" w:hAnsi="宋体" w:cs="宋体"/>
          <w:b/>
          <w:bCs/>
          <w:highlight w:val="none"/>
        </w:rPr>
      </w:pPr>
    </w:p>
    <w:p w14:paraId="5A3B795B">
      <w:pPr>
        <w:keepNext w:val="0"/>
        <w:keepLines w:val="0"/>
        <w:pageBreakBefore w:val="0"/>
        <w:widowControl w:val="0"/>
        <w:kinsoku/>
        <w:wordWrap/>
        <w:overflowPunct/>
        <w:topLinePunct w:val="0"/>
        <w:autoSpaceDE w:val="0"/>
        <w:autoSpaceDN w:val="0"/>
        <w:bidi w:val="0"/>
        <w:adjustRightInd w:val="0"/>
        <w:snapToGrid/>
        <w:spacing w:before="0" w:beforeLines="100" w:after="0" w:afterLines="50" w:line="360" w:lineRule="auto"/>
        <w:ind w:firstLine="540" w:firstLineChars="224"/>
        <w:textAlignment w:val="auto"/>
        <w:rPr>
          <w:rFonts w:hint="eastAsia" w:ascii="宋体" w:hAnsi="宋体" w:cs="宋体"/>
          <w:b/>
          <w:bCs/>
          <w:highlight w:val="none"/>
          <w:lang w:val="en-US" w:eastAsia="zh-CN"/>
        </w:rPr>
      </w:pPr>
      <w:r>
        <w:rPr>
          <w:rFonts w:hint="eastAsia" w:ascii="宋体" w:hAnsi="宋体" w:cs="宋体"/>
          <w:b/>
          <w:bCs/>
          <w:highlight w:val="none"/>
        </w:rPr>
        <w:t>条款号：</w:t>
      </w:r>
      <w:r>
        <w:rPr>
          <w:rFonts w:hint="eastAsia" w:ascii="宋体" w:hAnsi="宋体" w:eastAsia="宋体" w:cs="宋体"/>
          <w:strike w:val="0"/>
          <w:color w:val="auto"/>
          <w:sz w:val="24"/>
          <w:szCs w:val="24"/>
          <w:highlight w:val="none"/>
        </w:rPr>
        <w:t>3.</w:t>
      </w:r>
      <w:r>
        <w:rPr>
          <w:rFonts w:hint="eastAsia" w:ascii="宋体" w:hAnsi="宋体" w:cs="宋体"/>
          <w:strike w:val="0"/>
          <w:color w:val="auto"/>
          <w:sz w:val="24"/>
          <w:szCs w:val="24"/>
          <w:highlight w:val="none"/>
          <w:lang w:val="en-US" w:eastAsia="zh-CN"/>
        </w:rPr>
        <w:t>3.3</w:t>
      </w:r>
      <w:r>
        <w:rPr>
          <w:rFonts w:hint="eastAsia" w:ascii="宋体" w:hAnsi="宋体" w:eastAsia="宋体" w:cs="宋体"/>
          <w:strike w:val="0"/>
          <w:color w:val="auto"/>
          <w:sz w:val="24"/>
          <w:szCs w:val="24"/>
          <w:highlight w:val="none"/>
        </w:rPr>
        <w:t xml:space="preserve"> </w:t>
      </w:r>
      <w:r>
        <w:rPr>
          <w:rFonts w:hint="eastAsia" w:ascii="宋体" w:hAnsi="宋体" w:eastAsia="宋体" w:cs="宋体"/>
          <w:strike w:val="0"/>
          <w:color w:val="auto"/>
          <w:sz w:val="24"/>
          <w:szCs w:val="24"/>
          <w:highlight w:val="none"/>
          <w:lang w:val="en-US" w:eastAsia="zh-CN"/>
        </w:rPr>
        <w:t xml:space="preserve"> </w:t>
      </w:r>
      <w:r>
        <w:rPr>
          <w:rFonts w:hint="eastAsia" w:ascii="宋体" w:hAnsi="宋体" w:eastAsia="宋体" w:cs="宋体"/>
          <w:b/>
          <w:bCs/>
          <w:highlight w:val="none"/>
        </w:rPr>
        <w:t xml:space="preserve">  </w:t>
      </w:r>
      <w:r>
        <w:rPr>
          <w:rFonts w:hint="eastAsia" w:ascii="宋体" w:hAnsi="宋体" w:cs="宋体"/>
          <w:b/>
          <w:bCs/>
          <w:highlight w:val="none"/>
        </w:rPr>
        <w:t xml:space="preserve">         修改类型：</w:t>
      </w:r>
      <w:r>
        <w:rPr>
          <w:rFonts w:hint="eastAsia" w:ascii="宋体" w:hAnsi="宋体" w:cs="宋体"/>
          <w:b/>
          <w:bCs/>
          <w:highlight w:val="none"/>
          <w:lang w:val="en-US" w:eastAsia="zh-CN"/>
        </w:rPr>
        <w:t>修改</w:t>
      </w:r>
    </w:p>
    <w:p w14:paraId="498E4CA1">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482" w:firstLineChars="200"/>
        <w:jc w:val="both"/>
        <w:rPr>
          <w:rFonts w:hint="eastAsia" w:ascii="宋体" w:hAnsi="宋体" w:eastAsia="宋体" w:cs="宋体"/>
          <w:b/>
          <w:bCs/>
          <w:highlight w:val="none"/>
          <w:lang w:val="en-US" w:eastAsia="zh-CN"/>
        </w:rPr>
      </w:pPr>
      <w:r>
        <w:rPr>
          <w:rFonts w:hint="eastAsia" w:ascii="宋体" w:hAnsi="宋体" w:eastAsia="宋体" w:cs="宋体"/>
          <w:b/>
          <w:bCs/>
          <w:sz w:val="24"/>
          <w:highlight w:val="none"/>
          <w:lang w:val="en-US" w:eastAsia="zh-CN"/>
        </w:rPr>
        <w:t>原文：</w:t>
      </w:r>
      <w:r>
        <w:rPr>
          <w:rFonts w:hint="eastAsia" w:ascii="宋体" w:hAnsi="宋体" w:eastAsia="宋体" w:cs="宋体"/>
          <w:strike w:val="0"/>
          <w:color w:val="auto"/>
          <w:sz w:val="24"/>
          <w:szCs w:val="24"/>
          <w:highlight w:val="none"/>
        </w:rPr>
        <w:t>出现特殊情况需要延长投标有效期的，招标人以书面形式通知所有投标人延长投标有效期。投标人应予以书面答复，同意延长的，应相应延长其投标保证金的有效期，但不得要求 或被允许修改其投标文件；投标人拒绝延长的，其投标失效</w:t>
      </w:r>
      <w:r>
        <w:rPr>
          <w:rFonts w:hint="eastAsia" w:ascii="宋体" w:hAnsi="宋体" w:eastAsia="宋体" w:cs="宋体"/>
          <w:strike w:val="0"/>
          <w:color w:val="auto"/>
          <w:sz w:val="24"/>
          <w:szCs w:val="24"/>
          <w:highlight w:val="none"/>
          <w:lang w:eastAsia="zh-CN"/>
        </w:rPr>
        <w:t>。</w:t>
      </w:r>
      <w:r>
        <w:rPr>
          <w:rFonts w:hint="eastAsia" w:ascii="宋体" w:hAnsi="宋体" w:eastAsia="宋体" w:cs="宋体"/>
          <w:strike w:val="0"/>
          <w:color w:val="auto"/>
          <w:sz w:val="24"/>
          <w:szCs w:val="24"/>
          <w:highlight w:val="none"/>
        </w:rPr>
        <w:t>但投标人有权收回其投标保证金及以现金或者支票形式递交的投标保证金的银行同期存款利息。</w:t>
      </w:r>
    </w:p>
    <w:p w14:paraId="7995D67A">
      <w:pPr>
        <w:pBdr>
          <w:bottom w:val="single" w:color="auto" w:sz="4" w:space="0"/>
        </w:pBdr>
        <w:spacing w:line="360" w:lineRule="auto"/>
        <w:ind w:firstLine="482" w:firstLineChars="200"/>
        <w:rPr>
          <w:rFonts w:hint="eastAsia" w:ascii="宋体" w:hAnsi="宋体" w:cs="宋体"/>
          <w:b/>
          <w:bCs/>
          <w:highlight w:val="none"/>
          <w:lang w:val="en-US" w:eastAsia="zh-CN"/>
        </w:rPr>
      </w:pPr>
      <w:r>
        <w:rPr>
          <w:rFonts w:hint="eastAsia" w:ascii="宋体" w:hAnsi="宋体" w:eastAsia="宋体" w:cs="宋体"/>
          <w:b/>
          <w:bCs/>
          <w:sz w:val="24"/>
          <w:szCs w:val="24"/>
          <w:highlight w:val="none"/>
          <w:lang w:val="en-US" w:eastAsia="zh-CN"/>
        </w:rPr>
        <w:t>现文：</w:t>
      </w:r>
      <w:r>
        <w:rPr>
          <w:rFonts w:hint="eastAsia" w:ascii="宋体" w:hAnsi="宋体" w:cs="宋体"/>
          <w:color w:val="auto"/>
          <w:sz w:val="24"/>
          <w:szCs w:val="24"/>
          <w:highlight w:val="none"/>
        </w:rPr>
        <w:t>出现特殊情况需要延长投标有效期的，招标人以书面形式通知所有投标人延长投标有效期。投标人应予以书面答复，同意延长的</w:t>
      </w:r>
      <w:r>
        <w:rPr>
          <w:rFonts w:hint="eastAsia" w:ascii="宋体" w:hAnsi="宋体" w:cs="宋体"/>
          <w:strike/>
          <w:color w:val="auto"/>
          <w:sz w:val="24"/>
          <w:szCs w:val="24"/>
          <w:highlight w:val="none"/>
        </w:rPr>
        <w:t>，应相应延长其投标保证金的有效期，但</w:t>
      </w:r>
      <w:r>
        <w:rPr>
          <w:rFonts w:hint="eastAsia" w:ascii="宋体" w:hAnsi="宋体" w:cs="宋体"/>
          <w:color w:val="auto"/>
          <w:sz w:val="24"/>
          <w:szCs w:val="24"/>
          <w:highlight w:val="none"/>
        </w:rPr>
        <w:t>不得要求或被允许修改其投标文件；投标人拒绝延长的，其投标失效</w:t>
      </w:r>
      <w:r>
        <w:rPr>
          <w:rFonts w:hint="eastAsia" w:ascii="宋体" w:hAnsi="宋体" w:cs="宋体"/>
          <w:color w:val="auto"/>
          <w:sz w:val="24"/>
          <w:szCs w:val="24"/>
          <w:highlight w:val="none"/>
          <w:lang w:eastAsia="zh-CN"/>
        </w:rPr>
        <w:t>。</w:t>
      </w:r>
      <w:r>
        <w:rPr>
          <w:rFonts w:hint="eastAsia" w:ascii="宋体" w:hAnsi="宋体" w:cs="宋体"/>
          <w:strike/>
          <w:color w:val="auto"/>
          <w:sz w:val="24"/>
          <w:szCs w:val="24"/>
          <w:highlight w:val="none"/>
        </w:rPr>
        <w:t>但投标人有权收回其投标保证金及以现金或者支票形式递交的投标保证金的银行同期存款利息。</w:t>
      </w:r>
    </w:p>
    <w:p w14:paraId="74A8EBC2">
      <w:pPr>
        <w:keepNext w:val="0"/>
        <w:keepLines w:val="0"/>
        <w:pageBreakBefore w:val="0"/>
        <w:widowControl w:val="0"/>
        <w:wordWrap/>
        <w:topLinePunct w:val="0"/>
        <w:bidi w:val="0"/>
        <w:adjustRightInd w:val="0"/>
        <w:snapToGrid/>
        <w:spacing w:line="360" w:lineRule="auto"/>
        <w:ind w:firstLine="540" w:firstLineChars="224"/>
        <w:textAlignment w:val="auto"/>
        <w:rPr>
          <w:rFonts w:hint="eastAsia" w:ascii="宋体" w:hAnsi="宋体" w:cs="宋体"/>
          <w:b/>
          <w:bCs/>
          <w:highlight w:val="none"/>
          <w:lang w:val="en-US" w:eastAsia="zh-CN"/>
        </w:rPr>
      </w:pPr>
      <w:r>
        <w:rPr>
          <w:rFonts w:hint="eastAsia" w:ascii="宋体" w:hAnsi="宋体" w:cs="宋体"/>
          <w:b/>
          <w:bCs/>
          <w:highlight w:val="none"/>
        </w:rPr>
        <w:t>条款号：</w:t>
      </w:r>
      <w:r>
        <w:rPr>
          <w:rFonts w:hint="eastAsia" w:ascii="宋体" w:hAnsi="宋体" w:eastAsia="宋体" w:cs="宋体"/>
          <w:strike w:val="0"/>
          <w:color w:val="auto"/>
          <w:sz w:val="24"/>
          <w:szCs w:val="24"/>
          <w:highlight w:val="none"/>
        </w:rPr>
        <w:t>3.</w:t>
      </w:r>
      <w:r>
        <w:rPr>
          <w:rFonts w:hint="eastAsia" w:ascii="宋体" w:hAnsi="宋体" w:eastAsia="宋体" w:cs="宋体"/>
          <w:strike w:val="0"/>
          <w:color w:val="auto"/>
          <w:sz w:val="24"/>
          <w:szCs w:val="24"/>
          <w:highlight w:val="none"/>
          <w:lang w:val="en-US" w:eastAsia="zh-CN"/>
        </w:rPr>
        <w:t>4</w:t>
      </w:r>
      <w:r>
        <w:rPr>
          <w:rFonts w:hint="eastAsia" w:ascii="宋体" w:hAnsi="宋体" w:eastAsia="宋体" w:cs="宋体"/>
          <w:strike w:val="0"/>
          <w:color w:val="auto"/>
          <w:sz w:val="24"/>
          <w:szCs w:val="24"/>
          <w:highlight w:val="none"/>
        </w:rPr>
        <w:t xml:space="preserve"> </w:t>
      </w:r>
      <w:r>
        <w:rPr>
          <w:rFonts w:hint="eastAsia" w:ascii="宋体" w:hAnsi="宋体" w:eastAsia="宋体" w:cs="宋体"/>
          <w:strike w:val="0"/>
          <w:color w:val="auto"/>
          <w:sz w:val="24"/>
          <w:szCs w:val="24"/>
          <w:highlight w:val="none"/>
          <w:lang w:val="en-US" w:eastAsia="zh-CN"/>
        </w:rPr>
        <w:t xml:space="preserve"> </w:t>
      </w:r>
      <w:r>
        <w:rPr>
          <w:rFonts w:hint="eastAsia" w:ascii="宋体" w:hAnsi="宋体" w:eastAsia="宋体" w:cs="宋体"/>
          <w:b/>
          <w:bCs/>
          <w:highlight w:val="none"/>
        </w:rPr>
        <w:t xml:space="preserve">  </w:t>
      </w:r>
      <w:r>
        <w:rPr>
          <w:rFonts w:hint="eastAsia" w:ascii="宋体" w:hAnsi="宋体" w:cs="宋体"/>
          <w:b/>
          <w:bCs/>
          <w:highlight w:val="none"/>
        </w:rPr>
        <w:t xml:space="preserve">         修改类型：</w:t>
      </w:r>
      <w:r>
        <w:rPr>
          <w:rFonts w:hint="eastAsia" w:ascii="宋体" w:hAnsi="宋体" w:cs="宋体"/>
          <w:b/>
          <w:bCs/>
          <w:highlight w:val="none"/>
          <w:lang w:val="en-US" w:eastAsia="zh-CN"/>
        </w:rPr>
        <w:t>修改</w:t>
      </w:r>
    </w:p>
    <w:p w14:paraId="29A0AEE3">
      <w:pPr>
        <w:keepNext w:val="0"/>
        <w:keepLines w:val="0"/>
        <w:pageBreakBefore w:val="0"/>
        <w:widowControl w:val="0"/>
        <w:kinsoku/>
        <w:wordWrap/>
        <w:overflowPunct/>
        <w:topLinePunct w:val="0"/>
        <w:autoSpaceDE w:val="0"/>
        <w:autoSpaceDN w:val="0"/>
        <w:bidi w:val="0"/>
        <w:adjustRightInd w:val="0"/>
        <w:snapToGrid/>
        <w:spacing w:line="360" w:lineRule="auto"/>
        <w:ind w:firstLine="482" w:firstLineChars="200"/>
        <w:textAlignment w:val="auto"/>
        <w:rPr>
          <w:rFonts w:hint="default" w:ascii="宋体" w:hAnsi="宋体" w:eastAsia="宋体" w:cs="宋体"/>
          <w:highlight w:val="none"/>
        </w:rPr>
      </w:pPr>
      <w:r>
        <w:rPr>
          <w:rFonts w:hint="eastAsia" w:ascii="宋体" w:hAnsi="宋体" w:cs="宋体"/>
          <w:b/>
          <w:bCs/>
          <w:highlight w:val="none"/>
          <w:lang w:val="en-US" w:eastAsia="zh-CN"/>
        </w:rPr>
        <w:t>原文：</w:t>
      </w:r>
      <w:r>
        <w:rPr>
          <w:rFonts w:hint="default" w:ascii="宋体" w:hAnsi="宋体" w:eastAsia="宋体" w:cs="宋体"/>
          <w:highlight w:val="none"/>
        </w:rPr>
        <w:t>3.4  投标保证金</w:t>
      </w:r>
    </w:p>
    <w:p w14:paraId="4D63C1A1">
      <w:pPr>
        <w:pStyle w:val="1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bidi w:val="0"/>
        <w:adjustRightInd w:val="0"/>
        <w:snapToGrid/>
        <w:spacing w:line="360" w:lineRule="auto"/>
        <w:ind w:left="0" w:firstLine="480" w:firstLineChars="200"/>
        <w:jc w:val="both"/>
        <w:textAlignment w:val="auto"/>
        <w:rPr>
          <w:rFonts w:hint="default" w:cs="Times New Roman"/>
          <w:color w:val="auto"/>
          <w:sz w:val="24"/>
          <w:szCs w:val="24"/>
          <w:highlight w:val="none"/>
          <w:lang w:eastAsia="zh-CN"/>
        </w:rPr>
      </w:pPr>
      <w:r>
        <w:rPr>
          <w:rFonts w:hint="default" w:cs="Times New Roman"/>
          <w:color w:val="auto"/>
          <w:sz w:val="24"/>
          <w:szCs w:val="24"/>
          <w:highlight w:val="none"/>
        </w:rPr>
        <w:t>3.4.1 投标人应按投标须知前附表规定的金额和时间递交投标保证金。招标人应当允许投标人自主选择现金、银行保函、保证保险、专业工程担保公司担保等方式缴纳投标保证金。</w:t>
      </w:r>
      <w:r>
        <w:rPr>
          <w:rFonts w:hint="default" w:cs="Times New Roman"/>
          <w:color w:val="auto"/>
          <w:sz w:val="24"/>
          <w:szCs w:val="24"/>
          <w:highlight w:val="none"/>
          <w:lang w:eastAsia="zh-CN"/>
        </w:rPr>
        <w:t>采用现金或者支票形式提交的，投标保证金须从投标人的银行基本账户转出。</w:t>
      </w:r>
      <w:r>
        <w:rPr>
          <w:rFonts w:hint="default" w:cs="Times New Roman"/>
          <w:color w:val="auto"/>
          <w:sz w:val="24"/>
          <w:szCs w:val="24"/>
          <w:highlight w:val="none"/>
        </w:rPr>
        <w:t>联合体投标的，其投标</w:t>
      </w:r>
      <w:r>
        <w:rPr>
          <w:rFonts w:hint="default" w:cs="Times New Roman"/>
          <w:color w:val="auto"/>
          <w:sz w:val="24"/>
          <w:szCs w:val="24"/>
          <w:highlight w:val="none"/>
          <w:lang w:eastAsia="zh-CN"/>
        </w:rPr>
        <w:t>保证金</w:t>
      </w:r>
      <w:r>
        <w:rPr>
          <w:rFonts w:hint="default" w:cs="Times New Roman"/>
          <w:color w:val="auto"/>
          <w:sz w:val="24"/>
          <w:szCs w:val="24"/>
          <w:highlight w:val="none"/>
        </w:rPr>
        <w:t>可以由</w:t>
      </w:r>
      <w:r>
        <w:rPr>
          <w:rFonts w:hint="default" w:cs="Times New Roman"/>
          <w:color w:val="auto"/>
          <w:sz w:val="24"/>
          <w:szCs w:val="24"/>
          <w:highlight w:val="none"/>
          <w:lang w:eastAsia="zh-CN"/>
        </w:rPr>
        <w:t>主办方</w:t>
      </w:r>
      <w:r>
        <w:rPr>
          <w:rFonts w:hint="default" w:cs="Times New Roman"/>
          <w:color w:val="auto"/>
          <w:sz w:val="24"/>
          <w:szCs w:val="24"/>
          <w:highlight w:val="none"/>
        </w:rPr>
        <w:t>递交，并应符合投标人须知前附表的规定</w:t>
      </w:r>
      <w:r>
        <w:rPr>
          <w:rFonts w:hint="default" w:cs="Times New Roman"/>
          <w:color w:val="auto"/>
          <w:sz w:val="24"/>
          <w:szCs w:val="24"/>
          <w:highlight w:val="none"/>
          <w:lang w:eastAsia="zh-CN"/>
        </w:rPr>
        <w:t>。</w:t>
      </w:r>
    </w:p>
    <w:p w14:paraId="4249D8B0">
      <w:pPr>
        <w:pStyle w:val="1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bidi w:val="0"/>
        <w:adjustRightInd w:val="0"/>
        <w:snapToGrid/>
        <w:spacing w:line="360" w:lineRule="auto"/>
        <w:ind w:left="0" w:firstLine="480" w:firstLineChars="200"/>
        <w:jc w:val="both"/>
        <w:textAlignment w:val="auto"/>
        <w:rPr>
          <w:rFonts w:hint="default" w:cs="Times New Roman"/>
          <w:color w:val="auto"/>
          <w:sz w:val="24"/>
          <w:szCs w:val="24"/>
          <w:highlight w:val="none"/>
        </w:rPr>
      </w:pPr>
      <w:r>
        <w:rPr>
          <w:rFonts w:hint="default" w:cs="Times New Roman"/>
          <w:color w:val="auto"/>
          <w:sz w:val="24"/>
          <w:szCs w:val="24"/>
          <w:highlight w:val="none"/>
        </w:rPr>
        <w:t xml:space="preserve">3.4.2 </w:t>
      </w:r>
      <w:r>
        <w:rPr>
          <w:rFonts w:hint="default" w:cs="Times New Roman"/>
          <w:color w:val="auto"/>
          <w:sz w:val="24"/>
          <w:szCs w:val="24"/>
          <w:highlight w:val="none"/>
          <w:lang w:eastAsia="zh-CN"/>
        </w:rPr>
        <w:t>开标时投标人没有按</w:t>
      </w:r>
      <w:r>
        <w:rPr>
          <w:rFonts w:hint="default" w:cs="Times New Roman"/>
          <w:color w:val="auto"/>
          <w:sz w:val="24"/>
          <w:szCs w:val="24"/>
          <w:highlight w:val="none"/>
        </w:rPr>
        <w:t>要求提交投标保证金的，</w:t>
      </w:r>
      <w:r>
        <w:rPr>
          <w:rFonts w:hint="default" w:cs="Times New Roman"/>
          <w:color w:val="auto"/>
          <w:sz w:val="24"/>
          <w:szCs w:val="24"/>
          <w:highlight w:val="none"/>
          <w:lang w:eastAsia="zh-CN"/>
        </w:rPr>
        <w:t>其投标文件将被否决</w:t>
      </w:r>
      <w:r>
        <w:rPr>
          <w:rFonts w:hint="default" w:cs="Times New Roman"/>
          <w:color w:val="auto"/>
          <w:sz w:val="24"/>
          <w:szCs w:val="24"/>
          <w:highlight w:val="none"/>
        </w:rPr>
        <w:t>。</w:t>
      </w:r>
    </w:p>
    <w:p w14:paraId="5D309788">
      <w:pPr>
        <w:pStyle w:val="1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bidi w:val="0"/>
        <w:adjustRightInd w:val="0"/>
        <w:snapToGrid/>
        <w:spacing w:line="360" w:lineRule="auto"/>
        <w:ind w:left="0" w:firstLine="480" w:firstLineChars="200"/>
        <w:jc w:val="both"/>
        <w:textAlignment w:val="auto"/>
        <w:rPr>
          <w:rFonts w:hint="default" w:cs="Times New Roman"/>
          <w:strike w:val="0"/>
          <w:color w:val="auto"/>
          <w:sz w:val="24"/>
          <w:szCs w:val="24"/>
          <w:highlight w:val="none"/>
        </w:rPr>
      </w:pPr>
      <w:r>
        <w:rPr>
          <w:rFonts w:hint="default" w:cs="Times New Roman"/>
          <w:strike w:val="0"/>
          <w:color w:val="auto"/>
          <w:sz w:val="24"/>
          <w:szCs w:val="24"/>
          <w:highlight w:val="none"/>
        </w:rPr>
        <w:t>3.4.3 中标候选人以外的投标人的投标保证金将尽快退还，最迟不超过中标通知书发出之日起五日内</w:t>
      </w:r>
      <w:r>
        <w:rPr>
          <w:rFonts w:hint="default" w:cs="Times New Roman"/>
          <w:strike w:val="0"/>
          <w:color w:val="auto"/>
          <w:sz w:val="24"/>
          <w:szCs w:val="24"/>
          <w:highlight w:val="none"/>
          <w:lang w:eastAsia="zh-CN"/>
        </w:rPr>
        <w:t>；</w:t>
      </w:r>
      <w:r>
        <w:rPr>
          <w:rFonts w:hint="default" w:cs="Times New Roman"/>
          <w:strike w:val="0"/>
          <w:color w:val="auto"/>
          <w:sz w:val="24"/>
          <w:szCs w:val="24"/>
          <w:highlight w:val="none"/>
        </w:rPr>
        <w:t>中标人和其他中标候选人的投标保证金，在书面合同订立之日起五日内予以退还。</w:t>
      </w:r>
    </w:p>
    <w:p w14:paraId="23D0F64D">
      <w:pPr>
        <w:pStyle w:val="1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bidi w:val="0"/>
        <w:adjustRightInd w:val="0"/>
        <w:snapToGrid/>
        <w:spacing w:line="360" w:lineRule="auto"/>
        <w:ind w:left="0" w:firstLine="480" w:firstLineChars="200"/>
        <w:jc w:val="both"/>
        <w:textAlignment w:val="auto"/>
        <w:rPr>
          <w:rFonts w:hint="default" w:cs="Times New Roman"/>
          <w:color w:val="auto"/>
          <w:sz w:val="24"/>
          <w:szCs w:val="24"/>
          <w:highlight w:val="none"/>
        </w:rPr>
      </w:pPr>
      <w:r>
        <w:rPr>
          <w:rFonts w:hint="default" w:cs="Times New Roman"/>
          <w:color w:val="auto"/>
          <w:sz w:val="24"/>
          <w:szCs w:val="24"/>
          <w:highlight w:val="none"/>
        </w:rPr>
        <w:t>3.4.4 有下列情形之一的，投标保证金将不予退还：</w:t>
      </w:r>
    </w:p>
    <w:p w14:paraId="5959E4EB">
      <w:pPr>
        <w:pStyle w:val="1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bidi w:val="0"/>
        <w:adjustRightInd w:val="0"/>
        <w:snapToGrid/>
        <w:spacing w:line="360" w:lineRule="auto"/>
        <w:ind w:left="0" w:firstLine="480" w:firstLineChars="200"/>
        <w:jc w:val="both"/>
        <w:textAlignment w:val="auto"/>
        <w:rPr>
          <w:rFonts w:hint="default" w:cs="Times New Roman"/>
          <w:color w:val="auto"/>
          <w:sz w:val="24"/>
          <w:szCs w:val="24"/>
          <w:highlight w:val="none"/>
        </w:rPr>
      </w:pPr>
      <w:r>
        <w:rPr>
          <w:rFonts w:hint="default" w:cs="Times New Roman"/>
          <w:color w:val="auto"/>
          <w:sz w:val="24"/>
          <w:szCs w:val="24"/>
          <w:highlight w:val="none"/>
        </w:rPr>
        <w:t>(</w:t>
      </w:r>
      <w:r>
        <w:rPr>
          <w:rFonts w:hint="eastAsia" w:cs="Times New Roman"/>
          <w:color w:val="auto"/>
          <w:sz w:val="24"/>
          <w:szCs w:val="24"/>
          <w:highlight w:val="none"/>
          <w:lang w:val="en-US" w:eastAsia="zh-CN"/>
        </w:rPr>
        <w:t>1</w:t>
      </w:r>
      <w:r>
        <w:rPr>
          <w:rFonts w:hint="default" w:cs="Times New Roman"/>
          <w:color w:val="auto"/>
          <w:sz w:val="24"/>
          <w:szCs w:val="24"/>
          <w:highlight w:val="none"/>
        </w:rPr>
        <w:t>)</w:t>
      </w:r>
      <w:r>
        <w:rPr>
          <w:rFonts w:hint="default" w:cs="Times New Roman"/>
          <w:color w:val="auto"/>
          <w:sz w:val="24"/>
          <w:szCs w:val="24"/>
          <w:highlight w:val="none"/>
          <w:lang w:val="en-US" w:eastAsia="zh-CN"/>
        </w:rPr>
        <w:t xml:space="preserve"> </w:t>
      </w:r>
      <w:r>
        <w:rPr>
          <w:rFonts w:hint="default" w:cs="Times New Roman"/>
          <w:color w:val="auto"/>
          <w:sz w:val="24"/>
          <w:szCs w:val="24"/>
          <w:highlight w:val="none"/>
        </w:rPr>
        <w:t>投标人在规定的投标有效期内撤</w:t>
      </w:r>
      <w:r>
        <w:rPr>
          <w:rFonts w:hint="default" w:cs="Times New Roman"/>
          <w:color w:val="auto"/>
          <w:sz w:val="24"/>
          <w:szCs w:val="24"/>
          <w:highlight w:val="none"/>
          <w:lang w:eastAsia="zh-CN"/>
        </w:rPr>
        <w:t>销</w:t>
      </w:r>
      <w:r>
        <w:rPr>
          <w:rFonts w:hint="default" w:cs="Times New Roman"/>
          <w:color w:val="auto"/>
          <w:sz w:val="24"/>
          <w:szCs w:val="24"/>
          <w:highlight w:val="none"/>
        </w:rPr>
        <w:t>其投标文件；</w:t>
      </w:r>
    </w:p>
    <w:p w14:paraId="7A2D46C0">
      <w:pPr>
        <w:pStyle w:val="1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autoSpaceDN/>
        <w:bidi w:val="0"/>
        <w:adjustRightInd w:val="0"/>
        <w:snapToGrid/>
        <w:spacing w:line="360" w:lineRule="auto"/>
        <w:ind w:left="0" w:firstLine="0" w:firstLineChars="0"/>
        <w:jc w:val="both"/>
        <w:textAlignment w:val="auto"/>
        <w:rPr>
          <w:rFonts w:hint="eastAsia" w:ascii="宋体" w:hAnsi="宋体" w:eastAsia="宋体" w:cs="宋体"/>
          <w:highlight w:val="none"/>
        </w:rPr>
      </w:pPr>
      <w:r>
        <w:rPr>
          <w:rFonts w:hint="default" w:cs="Times New Roman"/>
          <w:color w:val="auto"/>
          <w:sz w:val="24"/>
          <w:szCs w:val="24"/>
          <w:highlight w:val="none"/>
        </w:rPr>
        <w:t>(</w:t>
      </w:r>
      <w:r>
        <w:rPr>
          <w:rFonts w:hint="eastAsia" w:cs="Times New Roman"/>
          <w:color w:val="auto"/>
          <w:sz w:val="24"/>
          <w:szCs w:val="24"/>
          <w:highlight w:val="none"/>
          <w:lang w:val="en-US" w:eastAsia="zh-CN"/>
        </w:rPr>
        <w:t>2</w:t>
      </w:r>
      <w:r>
        <w:rPr>
          <w:rFonts w:hint="default" w:cs="Times New Roman"/>
          <w:color w:val="auto"/>
          <w:sz w:val="24"/>
          <w:szCs w:val="24"/>
          <w:highlight w:val="none"/>
        </w:rPr>
        <w:t>)</w:t>
      </w:r>
      <w:r>
        <w:rPr>
          <w:rFonts w:hint="default" w:cs="Times New Roman"/>
          <w:color w:val="auto"/>
          <w:sz w:val="24"/>
          <w:szCs w:val="24"/>
          <w:highlight w:val="none"/>
          <w:lang w:val="en-US" w:eastAsia="zh-CN"/>
        </w:rPr>
        <w:t xml:space="preserve"> </w:t>
      </w:r>
      <w:r>
        <w:rPr>
          <w:rFonts w:hint="default" w:cs="Times New Roman"/>
          <w:color w:val="auto"/>
          <w:sz w:val="24"/>
          <w:szCs w:val="24"/>
          <w:highlight w:val="none"/>
        </w:rPr>
        <w:t>中标人在收到中标通知书后，无正当理由不与招标人订立合同，在签订合同时向招标 人提出附加条件，或者不按照招标文件要求提交履约保证金</w:t>
      </w:r>
      <w:r>
        <w:rPr>
          <w:rFonts w:hint="default" w:cs="Times New Roman"/>
          <w:color w:val="auto"/>
          <w:sz w:val="24"/>
          <w:szCs w:val="24"/>
          <w:highlight w:val="none"/>
          <w:lang w:eastAsia="zh-CN"/>
        </w:rPr>
        <w:t>。</w:t>
      </w:r>
    </w:p>
    <w:p w14:paraId="6888C546">
      <w:pPr>
        <w:keepNext w:val="0"/>
        <w:keepLines w:val="0"/>
        <w:pageBreakBefore w:val="0"/>
        <w:widowControl w:val="0"/>
        <w:wordWrap/>
        <w:topLinePunct w:val="0"/>
        <w:autoSpaceDE/>
        <w:autoSpaceDN/>
        <w:bidi w:val="0"/>
        <w:adjustRightInd w:val="0"/>
        <w:snapToGrid/>
        <w:spacing w:line="360" w:lineRule="auto"/>
        <w:ind w:firstLine="482" w:firstLineChars="200"/>
        <w:textAlignment w:val="auto"/>
        <w:rPr>
          <w:rFonts w:hint="eastAsia" w:ascii="宋体" w:hAnsi="宋体" w:eastAsia="宋体" w:cs="宋体"/>
          <w:b w:val="0"/>
          <w:bCs w:val="0"/>
          <w:sz w:val="24"/>
          <w:szCs w:val="24"/>
          <w:highlight w:val="none"/>
          <w:u w:val="single"/>
          <w:lang w:val="en-US" w:eastAsia="zh-CN"/>
        </w:rPr>
      </w:pPr>
      <w:r>
        <w:rPr>
          <w:rFonts w:hint="eastAsia" w:ascii="宋体" w:hAnsi="宋体" w:eastAsia="宋体" w:cs="宋体"/>
          <w:b/>
          <w:bCs/>
          <w:sz w:val="24"/>
          <w:szCs w:val="24"/>
          <w:highlight w:val="none"/>
          <w:lang w:val="en-US" w:eastAsia="zh-CN"/>
        </w:rPr>
        <w:t>现文：</w:t>
      </w:r>
      <w:r>
        <w:rPr>
          <w:rFonts w:hint="eastAsia" w:ascii="宋体" w:hAnsi="宋体" w:eastAsia="宋体" w:cs="宋体"/>
          <w:b w:val="0"/>
          <w:bCs w:val="0"/>
          <w:sz w:val="24"/>
          <w:szCs w:val="24"/>
          <w:highlight w:val="none"/>
          <w:u w:val="single"/>
          <w:lang w:val="en-US" w:eastAsia="zh-CN"/>
        </w:rPr>
        <w:t>3.4.1 本项目免收投标保证金，投标人需提供《关于投标保证金的承诺》（详见第六章投标文件格式）</w:t>
      </w:r>
    </w:p>
    <w:p w14:paraId="61EE3E0A">
      <w:pPr>
        <w:keepNext w:val="0"/>
        <w:keepLines w:val="0"/>
        <w:pageBreakBefore w:val="0"/>
        <w:widowControl w:val="0"/>
        <w:wordWrap/>
        <w:topLinePunct w:val="0"/>
        <w:autoSpaceDE/>
        <w:autoSpaceDN/>
        <w:bidi w:val="0"/>
        <w:adjustRightInd w:val="0"/>
        <w:snapToGrid/>
        <w:spacing w:line="360" w:lineRule="auto"/>
        <w:ind w:firstLine="480" w:firstLineChars="200"/>
        <w:textAlignment w:val="auto"/>
        <w:rPr>
          <w:rFonts w:hint="eastAsia" w:ascii="宋体" w:hAnsi="宋体" w:eastAsia="宋体" w:cs="宋体"/>
          <w:b w:val="0"/>
          <w:bCs w:val="0"/>
          <w:sz w:val="24"/>
          <w:szCs w:val="24"/>
          <w:highlight w:val="none"/>
          <w:u w:val="single"/>
          <w:lang w:val="en-US" w:eastAsia="zh-CN"/>
        </w:rPr>
      </w:pPr>
      <w:r>
        <w:rPr>
          <w:rFonts w:hint="eastAsia" w:ascii="宋体" w:hAnsi="宋体" w:eastAsia="宋体" w:cs="宋体"/>
          <w:b w:val="0"/>
          <w:bCs w:val="0"/>
          <w:sz w:val="24"/>
          <w:szCs w:val="24"/>
          <w:highlight w:val="none"/>
          <w:u w:val="single"/>
          <w:lang w:val="en-US" w:eastAsia="zh-CN"/>
        </w:rPr>
        <w:t>3.4.2若投标人存在3.4.4条款所列情形的，需按照招标人的要求，在发现存在3.4.4条款所列情形之日起5个工作日内向招标人足额补交投标保证金。</w:t>
      </w:r>
    </w:p>
    <w:p w14:paraId="6C731385">
      <w:pPr>
        <w:keepNext w:val="0"/>
        <w:keepLines w:val="0"/>
        <w:pageBreakBefore w:val="0"/>
        <w:widowControl w:val="0"/>
        <w:wordWrap/>
        <w:topLinePunct w:val="0"/>
        <w:autoSpaceDE/>
        <w:autoSpaceDN/>
        <w:bidi w:val="0"/>
        <w:adjustRightInd w:val="0"/>
        <w:snapToGrid/>
        <w:spacing w:line="360" w:lineRule="auto"/>
        <w:ind w:firstLine="480" w:firstLineChars="200"/>
        <w:textAlignment w:val="auto"/>
        <w:rPr>
          <w:rFonts w:hint="eastAsia" w:ascii="宋体" w:hAnsi="宋体" w:eastAsia="宋体" w:cs="宋体"/>
          <w:b w:val="0"/>
          <w:bCs w:val="0"/>
          <w:strike/>
          <w:sz w:val="24"/>
          <w:szCs w:val="24"/>
          <w:highlight w:val="none"/>
          <w:lang w:val="en-US" w:eastAsia="zh-CN"/>
        </w:rPr>
      </w:pPr>
      <w:r>
        <w:rPr>
          <w:rFonts w:hint="eastAsia" w:ascii="宋体" w:hAnsi="宋体" w:eastAsia="宋体" w:cs="宋体"/>
          <w:b w:val="0"/>
          <w:bCs w:val="0"/>
          <w:strike/>
          <w:sz w:val="24"/>
          <w:szCs w:val="24"/>
          <w:highlight w:val="none"/>
          <w:lang w:val="en-US" w:eastAsia="zh-CN"/>
        </w:rPr>
        <w:t>3.4.3 中标候选人以外的投标人的投标保证金将尽快退还，最迟不超过中标通知书发出之日起五日内；中标人和其他中标候选人的投标保证金，在书面合同订立之日起五日内予以退还。</w:t>
      </w:r>
    </w:p>
    <w:p w14:paraId="69065C70">
      <w:pPr>
        <w:keepNext w:val="0"/>
        <w:keepLines w:val="0"/>
        <w:pageBreakBefore w:val="0"/>
        <w:widowControl w:val="0"/>
        <w:wordWrap/>
        <w:topLinePunct w:val="0"/>
        <w:autoSpaceDE/>
        <w:autoSpaceDN/>
        <w:bidi w:val="0"/>
        <w:adjustRightInd w:val="0"/>
        <w:snapToGrid/>
        <w:spacing w:line="360" w:lineRule="auto"/>
        <w:ind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3.4.4 有下列情形之一的，投标保证金将不予退还：</w:t>
      </w:r>
    </w:p>
    <w:p w14:paraId="12674413">
      <w:pPr>
        <w:keepNext w:val="0"/>
        <w:keepLines w:val="0"/>
        <w:pageBreakBefore w:val="0"/>
        <w:widowControl w:val="0"/>
        <w:wordWrap/>
        <w:topLinePunct w:val="0"/>
        <w:autoSpaceDE/>
        <w:autoSpaceDN/>
        <w:bidi w:val="0"/>
        <w:adjustRightInd w:val="0"/>
        <w:snapToGrid/>
        <w:spacing w:line="360" w:lineRule="auto"/>
        <w:ind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3.4.4.1投标人在规定的投标有效期内撤销其投标文件；</w:t>
      </w:r>
    </w:p>
    <w:p w14:paraId="4B334F6A">
      <w:pPr>
        <w:keepNext w:val="0"/>
        <w:keepLines w:val="0"/>
        <w:pageBreakBefore w:val="0"/>
        <w:widowControl w:val="0"/>
        <w:pBdr>
          <w:bottom w:val="single" w:color="auto" w:sz="4" w:space="0"/>
        </w:pBdr>
        <w:wordWrap/>
        <w:topLinePunct w:val="0"/>
        <w:autoSpaceDE/>
        <w:autoSpaceDN/>
        <w:bidi w:val="0"/>
        <w:adjustRightInd w:val="0"/>
        <w:snapToGrid/>
        <w:spacing w:line="360" w:lineRule="auto"/>
        <w:ind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3.4.4.2中标人在收到中标通知书后，无正当理由不与招标人订立合同，在签订合同时向招标人提出附加条件。</w:t>
      </w:r>
    </w:p>
    <w:p w14:paraId="17AD02A8">
      <w:pPr>
        <w:keepNext w:val="0"/>
        <w:keepLines w:val="0"/>
        <w:pageBreakBefore w:val="0"/>
        <w:widowControl w:val="0"/>
        <w:wordWrap/>
        <w:topLinePunct w:val="0"/>
        <w:autoSpaceDE/>
        <w:autoSpaceDN/>
        <w:bidi w:val="0"/>
        <w:adjustRightInd w:val="0"/>
        <w:snapToGrid/>
        <w:spacing w:line="360" w:lineRule="auto"/>
        <w:ind w:firstLine="723" w:firstLineChars="3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rPr>
        <w:t>条款号：</w:t>
      </w:r>
      <w:r>
        <w:rPr>
          <w:rFonts w:hint="eastAsia" w:ascii="宋体" w:hAnsi="宋体" w:eastAsia="宋体" w:cs="宋体"/>
          <w:b/>
          <w:bCs/>
          <w:strike w:val="0"/>
          <w:color w:val="auto"/>
          <w:sz w:val="24"/>
          <w:szCs w:val="24"/>
          <w:highlight w:val="none"/>
        </w:rPr>
        <w:t>3.</w:t>
      </w:r>
      <w:r>
        <w:rPr>
          <w:rFonts w:hint="eastAsia" w:ascii="宋体" w:hAnsi="宋体" w:eastAsia="宋体" w:cs="宋体"/>
          <w:b/>
          <w:bCs/>
          <w:strike w:val="0"/>
          <w:color w:val="auto"/>
          <w:sz w:val="24"/>
          <w:szCs w:val="24"/>
          <w:highlight w:val="none"/>
          <w:lang w:val="en-US" w:eastAsia="zh-CN"/>
        </w:rPr>
        <w:t>5</w:t>
      </w:r>
      <w:r>
        <w:rPr>
          <w:rFonts w:hint="eastAsia" w:ascii="宋体" w:hAnsi="宋体" w:eastAsia="宋体" w:cs="宋体"/>
          <w:b/>
          <w:bCs/>
          <w:highlight w:val="none"/>
        </w:rPr>
        <w:t>资格审查资料</w:t>
      </w:r>
      <w:r>
        <w:rPr>
          <w:rFonts w:hint="eastAsia" w:ascii="宋体" w:hAnsi="宋体" w:eastAsia="宋体" w:cs="宋体"/>
          <w:b/>
          <w:bCs/>
          <w:strike w:val="0"/>
          <w:color w:val="auto"/>
          <w:sz w:val="24"/>
          <w:szCs w:val="24"/>
          <w:highlight w:val="none"/>
        </w:rPr>
        <w:t xml:space="preserve"> </w:t>
      </w:r>
      <w:r>
        <w:rPr>
          <w:rFonts w:hint="eastAsia" w:ascii="宋体" w:hAnsi="宋体" w:eastAsia="宋体" w:cs="宋体"/>
          <w:b/>
          <w:bCs/>
          <w:strike w:val="0"/>
          <w:color w:val="auto"/>
          <w:sz w:val="24"/>
          <w:szCs w:val="24"/>
          <w:highlight w:val="none"/>
          <w:lang w:val="en-US" w:eastAsia="zh-CN"/>
        </w:rPr>
        <w:t xml:space="preserve"> </w:t>
      </w:r>
      <w:r>
        <w:rPr>
          <w:rFonts w:hint="eastAsia" w:ascii="宋体" w:hAnsi="宋体" w:eastAsia="宋体" w:cs="宋体"/>
          <w:b/>
          <w:bCs/>
          <w:sz w:val="24"/>
          <w:szCs w:val="24"/>
          <w:highlight w:val="none"/>
        </w:rPr>
        <w:t xml:space="preserve">           修改类型：</w:t>
      </w:r>
      <w:r>
        <w:rPr>
          <w:rFonts w:hint="eastAsia" w:ascii="宋体" w:hAnsi="宋体" w:eastAsia="宋体" w:cs="宋体"/>
          <w:b/>
          <w:bCs/>
          <w:sz w:val="24"/>
          <w:szCs w:val="24"/>
          <w:highlight w:val="none"/>
          <w:lang w:val="en-US" w:eastAsia="zh-CN"/>
        </w:rPr>
        <w:t>修改</w:t>
      </w:r>
    </w:p>
    <w:p w14:paraId="17BF1157">
      <w:pPr>
        <w:keepNext w:val="0"/>
        <w:keepLines w:val="0"/>
        <w:pageBreakBefore w:val="0"/>
        <w:widowControl w:val="0"/>
        <w:kinsoku/>
        <w:wordWrap/>
        <w:overflowPunct/>
        <w:topLinePunct w:val="0"/>
        <w:autoSpaceDE w:val="0"/>
        <w:autoSpaceDN w:val="0"/>
        <w:bidi w:val="0"/>
        <w:adjustRightInd w:val="0"/>
        <w:snapToGrid/>
        <w:spacing w:line="360" w:lineRule="auto"/>
        <w:ind w:firstLine="482" w:firstLineChars="200"/>
        <w:textAlignment w:val="auto"/>
        <w:rPr>
          <w:rFonts w:hint="eastAsia" w:ascii="宋体" w:hAnsi="宋体" w:eastAsia="宋体" w:cs="宋体"/>
          <w:highlight w:val="none"/>
        </w:rPr>
      </w:pPr>
      <w:r>
        <w:rPr>
          <w:rFonts w:hint="eastAsia" w:ascii="宋体" w:hAnsi="宋体" w:cs="宋体"/>
          <w:b/>
          <w:bCs/>
          <w:highlight w:val="none"/>
          <w:lang w:val="en-US" w:eastAsia="zh-CN"/>
        </w:rPr>
        <w:t>原文：</w:t>
      </w:r>
      <w:r>
        <w:rPr>
          <w:rFonts w:hint="eastAsia" w:ascii="宋体" w:hAnsi="宋体" w:eastAsia="宋体" w:cs="宋体"/>
          <w:highlight w:val="none"/>
        </w:rPr>
        <w:t>3.5 资格审查资料</w:t>
      </w:r>
    </w:p>
    <w:p w14:paraId="58B3D752">
      <w:pPr>
        <w:pStyle w:val="1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bidi w:val="0"/>
        <w:adjustRightInd w:val="0"/>
        <w:snapToGrid/>
        <w:spacing w:line="360" w:lineRule="auto"/>
        <w:ind w:left="0" w:firstLine="480" w:firstLineChars="200"/>
        <w:jc w:val="both"/>
        <w:textAlignment w:val="auto"/>
        <w:rPr>
          <w:rFonts w:hint="eastAsia" w:cs="宋体"/>
          <w:color w:val="auto"/>
          <w:sz w:val="24"/>
          <w:szCs w:val="24"/>
          <w:highlight w:val="none"/>
        </w:rPr>
      </w:pPr>
      <w:r>
        <w:rPr>
          <w:rFonts w:hint="eastAsia" w:cs="宋体"/>
          <w:color w:val="auto"/>
          <w:sz w:val="24"/>
          <w:szCs w:val="24"/>
          <w:highlight w:val="none"/>
        </w:rPr>
        <w:t>除投标人须知前附表另有规定外，投标人应按下列规定提供资格审查资料，以证明其满足本章第 1.4 款规定的资质、财务、业绩、信誉等要求。</w:t>
      </w:r>
    </w:p>
    <w:p w14:paraId="18425DF3">
      <w:pPr>
        <w:pStyle w:val="1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bidi w:val="0"/>
        <w:adjustRightInd w:val="0"/>
        <w:snapToGrid/>
        <w:spacing w:line="360" w:lineRule="auto"/>
        <w:ind w:left="0" w:firstLine="480" w:firstLineChars="200"/>
        <w:jc w:val="both"/>
        <w:textAlignment w:val="auto"/>
        <w:rPr>
          <w:rFonts w:hint="eastAsia" w:cs="宋体"/>
          <w:color w:val="auto"/>
          <w:sz w:val="24"/>
          <w:szCs w:val="24"/>
          <w:highlight w:val="none"/>
        </w:rPr>
      </w:pPr>
      <w:r>
        <w:rPr>
          <w:rFonts w:hint="eastAsia" w:cs="宋体"/>
          <w:color w:val="auto"/>
          <w:sz w:val="24"/>
          <w:szCs w:val="24"/>
          <w:highlight w:val="none"/>
        </w:rPr>
        <w:t>3.5.1 “投标人基本情况表”应附投标人营业执照、投标人监理资质证书副本等材料的</w:t>
      </w:r>
      <w:r>
        <w:rPr>
          <w:rFonts w:hint="eastAsia" w:cs="宋体"/>
          <w:color w:val="auto"/>
          <w:sz w:val="24"/>
          <w:szCs w:val="24"/>
          <w:highlight w:val="none"/>
          <w:lang w:eastAsia="zh-CN"/>
        </w:rPr>
        <w:t>扫描件</w:t>
      </w:r>
      <w:r>
        <w:rPr>
          <w:rFonts w:hint="eastAsia" w:cs="宋体"/>
          <w:color w:val="auto"/>
          <w:sz w:val="24"/>
          <w:szCs w:val="24"/>
          <w:highlight w:val="none"/>
        </w:rPr>
        <w:t>。</w:t>
      </w:r>
    </w:p>
    <w:p w14:paraId="04DE783C">
      <w:pPr>
        <w:pStyle w:val="1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bidi w:val="0"/>
        <w:adjustRightInd w:val="0"/>
        <w:snapToGrid/>
        <w:spacing w:line="360" w:lineRule="auto"/>
        <w:ind w:left="0" w:firstLine="480" w:firstLineChars="200"/>
        <w:jc w:val="both"/>
        <w:textAlignment w:val="auto"/>
        <w:rPr>
          <w:rFonts w:hint="eastAsia" w:cs="宋体"/>
          <w:color w:val="auto"/>
          <w:sz w:val="24"/>
          <w:szCs w:val="24"/>
          <w:highlight w:val="none"/>
        </w:rPr>
      </w:pPr>
      <w:r>
        <w:rPr>
          <w:rFonts w:hint="eastAsia" w:cs="宋体"/>
          <w:color w:val="auto"/>
          <w:sz w:val="24"/>
          <w:szCs w:val="24"/>
          <w:highlight w:val="none"/>
        </w:rPr>
        <w:t>3.5.</w:t>
      </w:r>
      <w:r>
        <w:rPr>
          <w:rFonts w:hint="eastAsia" w:cs="宋体"/>
          <w:color w:val="auto"/>
          <w:sz w:val="24"/>
          <w:szCs w:val="24"/>
          <w:highlight w:val="none"/>
          <w:lang w:val="en-US" w:eastAsia="zh-CN"/>
        </w:rPr>
        <w:t>2</w:t>
      </w:r>
      <w:r>
        <w:rPr>
          <w:rFonts w:hint="eastAsia" w:cs="宋体"/>
          <w:color w:val="auto"/>
          <w:sz w:val="24"/>
          <w:szCs w:val="24"/>
          <w:highlight w:val="none"/>
        </w:rPr>
        <w:t xml:space="preserve"> “近年完成的类似监理项目情况表”应附中标通知书和（或）合同协议书、委托人出具的证明文件；具体时间要求见投标人须知前附表，每张表格只填写一个项目，并标明序号。</w:t>
      </w:r>
    </w:p>
    <w:p w14:paraId="004BD781">
      <w:pPr>
        <w:pStyle w:val="1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bidi w:val="0"/>
        <w:adjustRightInd w:val="0"/>
        <w:snapToGrid/>
        <w:spacing w:line="360" w:lineRule="auto"/>
        <w:ind w:left="0" w:firstLine="480" w:firstLineChars="200"/>
        <w:jc w:val="both"/>
        <w:textAlignment w:val="auto"/>
        <w:rPr>
          <w:rFonts w:hint="eastAsia" w:eastAsia="宋体" w:cs="宋体"/>
          <w:color w:val="auto"/>
          <w:sz w:val="24"/>
          <w:szCs w:val="24"/>
          <w:highlight w:val="none"/>
          <w:lang w:eastAsia="zh-CN"/>
        </w:rPr>
      </w:pPr>
      <w:r>
        <w:rPr>
          <w:rFonts w:hint="eastAsia" w:cs="宋体"/>
          <w:color w:val="auto"/>
          <w:sz w:val="24"/>
          <w:szCs w:val="24"/>
          <w:highlight w:val="none"/>
        </w:rPr>
        <w:t>3.5.</w:t>
      </w:r>
      <w:r>
        <w:rPr>
          <w:rFonts w:hint="eastAsia" w:cs="宋体"/>
          <w:color w:val="auto"/>
          <w:sz w:val="24"/>
          <w:szCs w:val="24"/>
          <w:highlight w:val="none"/>
          <w:lang w:val="en-US" w:eastAsia="zh-CN"/>
        </w:rPr>
        <w:t>3</w:t>
      </w:r>
      <w:r>
        <w:rPr>
          <w:rFonts w:hint="eastAsia" w:cs="宋体"/>
          <w:color w:val="auto"/>
          <w:sz w:val="24"/>
          <w:szCs w:val="24"/>
          <w:highlight w:val="none"/>
        </w:rPr>
        <w:t xml:space="preserve"> “拟委任的主要人员汇总表”应填报满足本章第 1.4.1 项规定的总监理工程师和其他主要人员的相关信息。“主要人员简历表”中总监理工程师应附身份证、学历证、职称证、注册监理工程师执业证书和社保缴费证明，管理过的项目业绩须附合同协议书</w:t>
      </w:r>
      <w:r>
        <w:rPr>
          <w:rFonts w:hint="eastAsia" w:cs="宋体"/>
          <w:color w:val="auto"/>
          <w:sz w:val="24"/>
          <w:szCs w:val="24"/>
          <w:highlight w:val="none"/>
          <w:lang w:eastAsia="zh-CN"/>
        </w:rPr>
        <w:t>（若有）</w:t>
      </w:r>
      <w:r>
        <w:rPr>
          <w:rFonts w:hint="eastAsia" w:cs="宋体"/>
          <w:color w:val="auto"/>
          <w:sz w:val="24"/>
          <w:szCs w:val="24"/>
          <w:highlight w:val="none"/>
        </w:rPr>
        <w:t>；其他主要人员应附身份证、学历证、职称证、有关证书和社保缴费证明</w:t>
      </w:r>
      <w:r>
        <w:rPr>
          <w:rFonts w:hint="eastAsia" w:cs="宋体"/>
          <w:color w:val="auto"/>
          <w:sz w:val="24"/>
          <w:szCs w:val="24"/>
          <w:highlight w:val="none"/>
          <w:lang w:eastAsia="zh-CN"/>
        </w:rPr>
        <w:t>（若有）</w:t>
      </w:r>
      <w:r>
        <w:rPr>
          <w:rFonts w:hint="eastAsia" w:cs="宋体"/>
          <w:color w:val="auto"/>
          <w:sz w:val="24"/>
          <w:szCs w:val="24"/>
          <w:highlight w:val="none"/>
        </w:rPr>
        <w:t>。</w:t>
      </w:r>
      <w:r>
        <w:rPr>
          <w:rFonts w:hint="eastAsia" w:cs="宋体"/>
          <w:color w:val="auto"/>
          <w:sz w:val="24"/>
          <w:szCs w:val="24"/>
          <w:highlight w:val="none"/>
          <w:lang w:eastAsia="zh-CN"/>
        </w:rPr>
        <w:t>（注：以上人员社保要求：具有离投标截止时间最近</w:t>
      </w:r>
      <w:r>
        <w:rPr>
          <w:rFonts w:hint="eastAsia" w:cs="宋体"/>
          <w:color w:val="auto"/>
          <w:sz w:val="24"/>
          <w:szCs w:val="24"/>
          <w:highlight w:val="none"/>
          <w:lang w:val="en-US" w:eastAsia="zh-CN"/>
        </w:rPr>
        <w:t>的至少1</w:t>
      </w:r>
      <w:r>
        <w:rPr>
          <w:rFonts w:hint="eastAsia" w:cs="宋体"/>
          <w:color w:val="auto"/>
          <w:sz w:val="24"/>
          <w:szCs w:val="24"/>
          <w:highlight w:val="none"/>
          <w:lang w:eastAsia="zh-CN"/>
        </w:rPr>
        <w:t xml:space="preserve">   个月在本单位缴纳的社保证明文件。）</w:t>
      </w:r>
    </w:p>
    <w:p w14:paraId="54AC1A8F">
      <w:pPr>
        <w:pStyle w:val="1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bidi w:val="0"/>
        <w:adjustRightInd w:val="0"/>
        <w:snapToGrid/>
        <w:spacing w:line="360" w:lineRule="auto"/>
        <w:ind w:left="0" w:firstLine="480" w:firstLineChars="200"/>
        <w:jc w:val="both"/>
        <w:textAlignment w:val="auto"/>
        <w:rPr>
          <w:rFonts w:hint="eastAsia" w:ascii="宋体" w:hAnsi="宋体" w:eastAsia="宋体" w:cs="宋体"/>
          <w:b/>
          <w:bCs/>
          <w:sz w:val="24"/>
          <w:highlight w:val="none"/>
          <w:lang w:val="en-US" w:eastAsia="zh-CN"/>
        </w:rPr>
      </w:pPr>
      <w:r>
        <w:rPr>
          <w:rFonts w:hint="eastAsia" w:ascii="宋体" w:hAnsi="宋体" w:eastAsia="宋体" w:cs="宋体"/>
          <w:color w:val="auto"/>
          <w:sz w:val="24"/>
          <w:szCs w:val="24"/>
          <w:highlight w:val="none"/>
        </w:rPr>
        <w:t>3.5.</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 投标人须知前附表规定接受联合体投标的，本章第3.5.1 项至第3.5.</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项规定的表格和资料应包括联合体各方相关情况。</w:t>
      </w:r>
    </w:p>
    <w:p w14:paraId="1AC421AC">
      <w:pPr>
        <w:keepNext w:val="0"/>
        <w:keepLines w:val="0"/>
        <w:pageBreakBefore w:val="0"/>
        <w:widowControl w:val="0"/>
        <w:kinsoku/>
        <w:wordWrap/>
        <w:overflowPunct/>
        <w:topLinePunct w:val="0"/>
        <w:autoSpaceDE w:val="0"/>
        <w:autoSpaceDN w:val="0"/>
        <w:bidi w:val="0"/>
        <w:adjustRightInd w:val="0"/>
        <w:snapToGrid/>
        <w:spacing w:line="360" w:lineRule="auto"/>
        <w:ind w:firstLine="482" w:firstLineChars="200"/>
        <w:textAlignment w:val="auto"/>
        <w:rPr>
          <w:rFonts w:hint="eastAsia" w:ascii="宋体" w:hAnsi="宋体" w:eastAsia="宋体" w:cs="宋体"/>
          <w:highlight w:val="none"/>
        </w:rPr>
      </w:pPr>
      <w:r>
        <w:rPr>
          <w:rFonts w:hint="eastAsia" w:ascii="宋体" w:hAnsi="宋体" w:cs="宋体"/>
          <w:b/>
          <w:bCs/>
          <w:highlight w:val="none"/>
          <w:lang w:val="en-US" w:eastAsia="zh-CN"/>
        </w:rPr>
        <w:t>现文：</w:t>
      </w:r>
      <w:r>
        <w:rPr>
          <w:rFonts w:hint="eastAsia" w:ascii="宋体" w:hAnsi="宋体" w:eastAsia="宋体" w:cs="宋体"/>
          <w:highlight w:val="none"/>
        </w:rPr>
        <w:t>3.5 资格审查资料</w:t>
      </w:r>
    </w:p>
    <w:p w14:paraId="5420E948">
      <w:pPr>
        <w:pStyle w:val="1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bidi w:val="0"/>
        <w:adjustRightInd w:val="0"/>
        <w:snapToGrid/>
        <w:spacing w:line="360" w:lineRule="auto"/>
        <w:ind w:left="0" w:firstLine="480" w:firstLineChars="200"/>
        <w:jc w:val="both"/>
        <w:textAlignment w:val="auto"/>
        <w:rPr>
          <w:rFonts w:hint="eastAsia" w:cs="宋体"/>
          <w:color w:val="auto"/>
          <w:sz w:val="24"/>
          <w:szCs w:val="24"/>
          <w:highlight w:val="none"/>
        </w:rPr>
      </w:pPr>
      <w:r>
        <w:rPr>
          <w:rFonts w:hint="eastAsia" w:cs="宋体"/>
          <w:color w:val="auto"/>
          <w:sz w:val="24"/>
          <w:szCs w:val="24"/>
          <w:highlight w:val="none"/>
        </w:rPr>
        <w:t>除投标人须知前附表另有规定外，投标人应按下列规定提供资格审查资料，以证明其满足本章第 1.4 款规定的资质</w:t>
      </w:r>
      <w:r>
        <w:rPr>
          <w:rFonts w:hint="eastAsia" w:cs="宋体"/>
          <w:strike/>
          <w:color w:val="auto"/>
          <w:sz w:val="24"/>
          <w:szCs w:val="24"/>
          <w:highlight w:val="none"/>
        </w:rPr>
        <w:t>、财务、业绩、信誉</w:t>
      </w:r>
      <w:r>
        <w:rPr>
          <w:rFonts w:hint="eastAsia" w:cs="宋体"/>
          <w:color w:val="auto"/>
          <w:sz w:val="24"/>
          <w:szCs w:val="24"/>
          <w:highlight w:val="none"/>
        </w:rPr>
        <w:t>等要求。</w:t>
      </w:r>
    </w:p>
    <w:p w14:paraId="4728A136">
      <w:pPr>
        <w:keepNext w:val="0"/>
        <w:keepLines w:val="0"/>
        <w:pageBreakBefore w:val="0"/>
        <w:widowControl w:val="0"/>
        <w:wordWrap/>
        <w:topLinePunct w:val="0"/>
        <w:bidi w:val="0"/>
        <w:adjustRightInd w:val="0"/>
        <w:snapToGrid/>
        <w:spacing w:line="360" w:lineRule="auto"/>
        <w:ind w:firstLine="480" w:firstLineChars="200"/>
        <w:textAlignment w:val="auto"/>
        <w:rPr>
          <w:rFonts w:hint="eastAsia" w:ascii="宋体" w:hAnsi="宋体" w:cs="宋体"/>
          <w:sz w:val="24"/>
          <w:szCs w:val="24"/>
          <w:highlight w:val="none"/>
        </w:rPr>
      </w:pPr>
      <w:r>
        <w:rPr>
          <w:rFonts w:hint="eastAsia" w:ascii="宋体" w:hAnsi="宋体" w:cs="宋体"/>
          <w:color w:val="auto"/>
          <w:sz w:val="24"/>
          <w:szCs w:val="24"/>
          <w:highlight w:val="none"/>
        </w:rPr>
        <w:t>3.5.1 “投标人基本情况表”应附投标人营业执照、投标人监理资质证书等材料的</w:t>
      </w:r>
      <w:r>
        <w:rPr>
          <w:rFonts w:hint="eastAsia" w:ascii="宋体" w:hAnsi="宋体" w:cs="宋体"/>
          <w:color w:val="auto"/>
          <w:sz w:val="24"/>
          <w:szCs w:val="24"/>
          <w:highlight w:val="none"/>
          <w:lang w:eastAsia="zh-CN"/>
        </w:rPr>
        <w:t>扫描件</w:t>
      </w:r>
      <w:r>
        <w:rPr>
          <w:rFonts w:hint="eastAsia" w:ascii="宋体" w:hAnsi="宋体" w:cs="宋体"/>
          <w:color w:val="auto"/>
          <w:sz w:val="24"/>
          <w:szCs w:val="24"/>
          <w:highlight w:val="none"/>
          <w:u w:val="single"/>
        </w:rPr>
        <w:t>或电子证照</w:t>
      </w:r>
      <w:r>
        <w:rPr>
          <w:rFonts w:hint="eastAsia" w:ascii="宋体" w:hAnsi="宋体" w:cs="宋体"/>
          <w:color w:val="auto"/>
          <w:sz w:val="24"/>
          <w:szCs w:val="24"/>
          <w:highlight w:val="none"/>
        </w:rPr>
        <w:t>。</w:t>
      </w:r>
    </w:p>
    <w:p w14:paraId="034CEB0B">
      <w:pPr>
        <w:pStyle w:val="1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bidi w:val="0"/>
        <w:adjustRightInd w:val="0"/>
        <w:snapToGrid/>
        <w:spacing w:line="360" w:lineRule="auto"/>
        <w:ind w:left="0" w:firstLine="480" w:firstLineChars="200"/>
        <w:jc w:val="both"/>
        <w:textAlignment w:val="auto"/>
        <w:rPr>
          <w:rFonts w:hint="eastAsia" w:cs="宋体"/>
          <w:strike/>
          <w:color w:val="auto"/>
          <w:sz w:val="24"/>
          <w:szCs w:val="24"/>
          <w:highlight w:val="none"/>
        </w:rPr>
      </w:pPr>
      <w:r>
        <w:rPr>
          <w:rFonts w:hint="eastAsia" w:cs="宋体"/>
          <w:strike w:val="0"/>
          <w:color w:val="auto"/>
          <w:sz w:val="24"/>
          <w:szCs w:val="24"/>
          <w:highlight w:val="none"/>
        </w:rPr>
        <w:t>3.5.</w:t>
      </w:r>
      <w:r>
        <w:rPr>
          <w:rFonts w:hint="eastAsia" w:cs="宋体"/>
          <w:strike w:val="0"/>
          <w:color w:val="auto"/>
          <w:sz w:val="24"/>
          <w:szCs w:val="24"/>
          <w:highlight w:val="none"/>
          <w:lang w:val="en-US" w:eastAsia="zh-CN"/>
        </w:rPr>
        <w:t>2</w:t>
      </w:r>
      <w:r>
        <w:rPr>
          <w:rFonts w:hint="eastAsia" w:cs="宋体"/>
          <w:strike w:val="0"/>
          <w:color w:val="auto"/>
          <w:sz w:val="24"/>
          <w:szCs w:val="24"/>
          <w:highlight w:val="none"/>
        </w:rPr>
        <w:t xml:space="preserve"> </w:t>
      </w:r>
      <w:r>
        <w:rPr>
          <w:rFonts w:hint="eastAsia" w:cs="宋体"/>
          <w:strike w:val="0"/>
          <w:color w:val="auto"/>
          <w:sz w:val="24"/>
          <w:szCs w:val="24"/>
          <w:highlight w:val="none"/>
          <w:u w:val="single"/>
          <w:lang w:val="en-US" w:eastAsia="zh-CN"/>
        </w:rPr>
        <w:t>投标人声明（格式详见第六章）</w:t>
      </w:r>
    </w:p>
    <w:p w14:paraId="2964B339">
      <w:pPr>
        <w:pStyle w:val="1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bidi w:val="0"/>
        <w:adjustRightInd w:val="0"/>
        <w:snapToGrid/>
        <w:spacing w:line="360" w:lineRule="auto"/>
        <w:ind w:left="0" w:firstLine="480" w:firstLineChars="200"/>
        <w:jc w:val="both"/>
        <w:textAlignment w:val="auto"/>
        <w:rPr>
          <w:rFonts w:hint="eastAsia" w:eastAsia="宋体" w:cs="宋体"/>
          <w:strike w:val="0"/>
          <w:color w:val="auto"/>
          <w:sz w:val="24"/>
          <w:szCs w:val="24"/>
          <w:highlight w:val="none"/>
          <w:lang w:eastAsia="zh-CN"/>
        </w:rPr>
      </w:pPr>
      <w:r>
        <w:rPr>
          <w:rFonts w:hint="eastAsia" w:cs="宋体"/>
          <w:color w:val="auto"/>
          <w:sz w:val="24"/>
          <w:szCs w:val="24"/>
          <w:highlight w:val="none"/>
        </w:rPr>
        <w:t>3.5.</w:t>
      </w:r>
      <w:r>
        <w:rPr>
          <w:rFonts w:hint="eastAsia" w:cs="宋体"/>
          <w:color w:val="auto"/>
          <w:sz w:val="24"/>
          <w:szCs w:val="24"/>
          <w:highlight w:val="none"/>
          <w:lang w:val="en-US" w:eastAsia="zh-CN"/>
        </w:rPr>
        <w:t>3</w:t>
      </w:r>
      <w:r>
        <w:rPr>
          <w:rFonts w:hint="eastAsia" w:cs="宋体"/>
          <w:color w:val="auto"/>
          <w:sz w:val="24"/>
          <w:szCs w:val="24"/>
          <w:highlight w:val="none"/>
        </w:rPr>
        <w:t xml:space="preserve"> “拟委任的主要人员汇总表”应填报满足本章第 1.4.1 项规定的总监理工程师和其他主要人员的相关信息。“主要人员简历表”中总监理工程师应附身份证、学历证、职称证、注册监理工程师执业证书和</w:t>
      </w:r>
      <w:r>
        <w:rPr>
          <w:rFonts w:hint="eastAsia" w:ascii="宋体" w:hAnsi="宋体" w:cs="宋体"/>
          <w:sz w:val="24"/>
          <w:szCs w:val="24"/>
          <w:highlight w:val="none"/>
          <w:u w:val="single"/>
        </w:rPr>
        <w:t>社保证明文件</w:t>
      </w:r>
      <w:r>
        <w:rPr>
          <w:rFonts w:hint="eastAsia" w:cs="宋体"/>
          <w:strike/>
          <w:color w:val="auto"/>
          <w:sz w:val="24"/>
          <w:szCs w:val="24"/>
          <w:highlight w:val="none"/>
        </w:rPr>
        <w:t>，管理过的项目业绩须附合同协议书</w:t>
      </w:r>
      <w:r>
        <w:rPr>
          <w:rFonts w:hint="eastAsia" w:cs="宋体"/>
          <w:strike/>
          <w:color w:val="auto"/>
          <w:sz w:val="24"/>
          <w:szCs w:val="24"/>
          <w:highlight w:val="none"/>
          <w:lang w:eastAsia="zh-CN"/>
        </w:rPr>
        <w:t>（若有）</w:t>
      </w:r>
      <w:r>
        <w:rPr>
          <w:rFonts w:hint="eastAsia" w:cs="宋体"/>
          <w:color w:val="auto"/>
          <w:sz w:val="24"/>
          <w:szCs w:val="24"/>
          <w:highlight w:val="none"/>
        </w:rPr>
        <w:t>；其他主要人员应附身份证、学历证、职称证、有关证书和</w:t>
      </w:r>
      <w:r>
        <w:rPr>
          <w:rFonts w:hint="eastAsia" w:ascii="宋体" w:hAnsi="宋体" w:cs="宋体"/>
          <w:sz w:val="24"/>
          <w:szCs w:val="24"/>
          <w:highlight w:val="none"/>
          <w:u w:val="single"/>
        </w:rPr>
        <w:t>社保证明文件</w:t>
      </w:r>
      <w:r>
        <w:rPr>
          <w:rFonts w:hint="eastAsia" w:cs="宋体"/>
          <w:color w:val="auto"/>
          <w:sz w:val="24"/>
          <w:szCs w:val="24"/>
          <w:highlight w:val="none"/>
        </w:rPr>
        <w:t>。</w:t>
      </w:r>
      <w:r>
        <w:rPr>
          <w:rFonts w:hint="eastAsia" w:cs="宋体"/>
          <w:color w:val="auto"/>
          <w:sz w:val="24"/>
          <w:szCs w:val="24"/>
          <w:highlight w:val="none"/>
          <w:lang w:eastAsia="zh-CN"/>
        </w:rPr>
        <w:t>（</w:t>
      </w:r>
      <w:r>
        <w:rPr>
          <w:rFonts w:hint="eastAsia" w:cs="宋体"/>
          <w:strike w:val="0"/>
          <w:color w:val="auto"/>
          <w:sz w:val="24"/>
          <w:szCs w:val="24"/>
          <w:highlight w:val="none"/>
          <w:lang w:eastAsia="zh-CN"/>
        </w:rPr>
        <w:t>注:以上人员社保要求详见投标人须知前附表10.4项。</w:t>
      </w:r>
      <w:r>
        <w:rPr>
          <w:rFonts w:hint="eastAsia" w:cs="宋体"/>
          <w:color w:val="auto"/>
          <w:sz w:val="24"/>
          <w:szCs w:val="24"/>
          <w:highlight w:val="none"/>
          <w:lang w:eastAsia="zh-CN"/>
        </w:rPr>
        <w:t>）</w:t>
      </w:r>
    </w:p>
    <w:p w14:paraId="0EC85D7E">
      <w:pPr>
        <w:pStyle w:val="1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bidi w:val="0"/>
        <w:adjustRightInd w:val="0"/>
        <w:snapToGrid/>
        <w:spacing w:line="360" w:lineRule="auto"/>
        <w:ind w:left="0" w:firstLine="480" w:firstLineChars="200"/>
        <w:jc w:val="both"/>
        <w:textAlignment w:val="auto"/>
        <w:rPr>
          <w:rFonts w:hint="eastAsia" w:cs="宋体"/>
          <w:strike/>
          <w:color w:val="auto"/>
          <w:sz w:val="24"/>
          <w:szCs w:val="24"/>
          <w:highlight w:val="none"/>
        </w:rPr>
      </w:pPr>
      <w:r>
        <w:rPr>
          <w:rFonts w:hint="eastAsia" w:cs="宋体"/>
          <w:strike/>
          <w:color w:val="auto"/>
          <w:sz w:val="24"/>
          <w:szCs w:val="24"/>
          <w:highlight w:val="none"/>
        </w:rPr>
        <w:t>3.5.</w:t>
      </w:r>
      <w:r>
        <w:rPr>
          <w:rFonts w:hint="eastAsia" w:cs="宋体"/>
          <w:strike/>
          <w:color w:val="auto"/>
          <w:sz w:val="24"/>
          <w:szCs w:val="24"/>
          <w:highlight w:val="none"/>
          <w:lang w:val="en-US" w:eastAsia="zh-CN"/>
        </w:rPr>
        <w:t>4</w:t>
      </w:r>
      <w:r>
        <w:rPr>
          <w:rFonts w:hint="eastAsia" w:cs="宋体"/>
          <w:strike/>
          <w:color w:val="auto"/>
          <w:sz w:val="24"/>
          <w:szCs w:val="24"/>
          <w:highlight w:val="none"/>
        </w:rPr>
        <w:t xml:space="preserve"> 投标人须知前附表规定接受联合体投标的，本章第3.5.1 项至第3.5.</w:t>
      </w:r>
      <w:r>
        <w:rPr>
          <w:rFonts w:hint="eastAsia" w:cs="宋体"/>
          <w:strike/>
          <w:color w:val="auto"/>
          <w:sz w:val="24"/>
          <w:szCs w:val="24"/>
          <w:highlight w:val="none"/>
          <w:lang w:val="en-US" w:eastAsia="zh-CN"/>
        </w:rPr>
        <w:t>3</w:t>
      </w:r>
      <w:r>
        <w:rPr>
          <w:rFonts w:hint="eastAsia" w:cs="宋体"/>
          <w:strike/>
          <w:color w:val="auto"/>
          <w:sz w:val="24"/>
          <w:szCs w:val="24"/>
          <w:highlight w:val="none"/>
        </w:rPr>
        <w:t>项规定的表格和资料应包括联合体各方相关情况。</w:t>
      </w:r>
    </w:p>
    <w:p w14:paraId="57496D0D">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tabs>
          <w:tab w:val="left" w:pos="1343"/>
          <w:tab w:val="left" w:pos="2697"/>
          <w:tab w:val="left" w:pos="3264"/>
          <w:tab w:val="left" w:pos="4896"/>
          <w:tab w:val="left" w:pos="6005"/>
          <w:tab w:val="left" w:pos="7085"/>
          <w:tab w:val="left" w:pos="7498"/>
        </w:tabs>
        <w:kinsoku w:val="0"/>
        <w:wordWrap/>
        <w:overflowPunct w:val="0"/>
        <w:topLinePunct w:val="0"/>
        <w:bidi w:val="0"/>
        <w:adjustRightInd w:val="0"/>
        <w:snapToGrid/>
        <w:spacing w:line="360" w:lineRule="auto"/>
        <w:ind w:left="0" w:firstLine="480" w:firstLineChars="200"/>
        <w:jc w:val="both"/>
        <w:textAlignment w:val="auto"/>
        <w:rPr>
          <w:rFonts w:hint="eastAsia" w:ascii="宋体" w:hAnsi="宋体" w:eastAsia="宋体" w:cs="宋体"/>
          <w:b/>
          <w:bCs/>
          <w:sz w:val="24"/>
          <w:szCs w:val="24"/>
          <w:highlight w:val="none"/>
          <w:u w:val="single"/>
          <w:lang w:val="en-US" w:eastAsia="zh-CN"/>
        </w:rPr>
      </w:pPr>
      <w:r>
        <w:rPr>
          <w:rFonts w:hint="eastAsia" w:cs="宋体"/>
          <w:strike w:val="0"/>
          <w:color w:val="auto"/>
          <w:sz w:val="24"/>
          <w:szCs w:val="24"/>
          <w:highlight w:val="none"/>
          <w:u w:val="single"/>
          <w:lang w:val="en-US" w:eastAsia="zh-CN"/>
        </w:rPr>
        <w:t>3.5.4资审要求的其他材料。</w:t>
      </w:r>
    </w:p>
    <w:p w14:paraId="44E44550">
      <w:pPr>
        <w:keepNext w:val="0"/>
        <w:keepLines w:val="0"/>
        <w:pageBreakBefore w:val="0"/>
        <w:widowControl w:val="0"/>
        <w:pBdr>
          <w:top w:val="single" w:color="auto" w:sz="4" w:space="0"/>
        </w:pBdr>
        <w:wordWrap/>
        <w:topLinePunct w:val="0"/>
        <w:autoSpaceDE/>
        <w:autoSpaceDN/>
        <w:bidi w:val="0"/>
        <w:adjustRightInd w:val="0"/>
        <w:snapToGrid/>
        <w:spacing w:line="360" w:lineRule="auto"/>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rPr>
        <w:t>条款号：</w:t>
      </w:r>
      <w:r>
        <w:rPr>
          <w:rFonts w:hint="eastAsia" w:ascii="宋体" w:hAnsi="宋体" w:eastAsia="宋体" w:cs="宋体"/>
          <w:strike w:val="0"/>
          <w:color w:val="auto"/>
          <w:sz w:val="24"/>
          <w:szCs w:val="24"/>
          <w:highlight w:val="none"/>
        </w:rPr>
        <w:t>3.</w:t>
      </w:r>
      <w:r>
        <w:rPr>
          <w:rFonts w:hint="eastAsia" w:ascii="宋体" w:hAnsi="宋体" w:eastAsia="宋体" w:cs="宋体"/>
          <w:strike w:val="0"/>
          <w:color w:val="auto"/>
          <w:sz w:val="24"/>
          <w:szCs w:val="24"/>
          <w:highlight w:val="none"/>
          <w:lang w:val="en-US" w:eastAsia="zh-CN"/>
        </w:rPr>
        <w:t>7</w:t>
      </w:r>
      <w:r>
        <w:rPr>
          <w:rFonts w:hint="eastAsia" w:ascii="宋体" w:hAnsi="宋体" w:eastAsia="宋体" w:cs="宋体"/>
          <w:strike w:val="0"/>
          <w:color w:val="auto"/>
          <w:sz w:val="24"/>
          <w:szCs w:val="24"/>
          <w:highlight w:val="none"/>
        </w:rPr>
        <w:t>.</w:t>
      </w:r>
      <w:r>
        <w:rPr>
          <w:rFonts w:hint="eastAsia" w:ascii="宋体" w:hAnsi="宋体" w:eastAsia="宋体" w:cs="宋体"/>
          <w:strike w:val="0"/>
          <w:color w:val="auto"/>
          <w:sz w:val="24"/>
          <w:szCs w:val="24"/>
          <w:highlight w:val="none"/>
          <w:lang w:val="en-US" w:eastAsia="zh-CN"/>
        </w:rPr>
        <w:t xml:space="preserve">4 </w:t>
      </w:r>
      <w:r>
        <w:rPr>
          <w:rFonts w:hint="eastAsia" w:ascii="宋体" w:hAnsi="宋体" w:eastAsia="宋体" w:cs="宋体"/>
          <w:b/>
          <w:bCs/>
          <w:strike w:val="0"/>
          <w:color w:val="auto"/>
          <w:sz w:val="24"/>
          <w:szCs w:val="24"/>
          <w:highlight w:val="none"/>
          <w:lang w:val="en-US" w:eastAsia="zh-CN"/>
        </w:rPr>
        <w:t xml:space="preserve"> </w:t>
      </w:r>
      <w:r>
        <w:rPr>
          <w:rFonts w:hint="eastAsia" w:ascii="宋体" w:hAnsi="宋体" w:eastAsia="宋体" w:cs="宋体"/>
          <w:b/>
          <w:bCs/>
          <w:sz w:val="24"/>
          <w:szCs w:val="24"/>
          <w:highlight w:val="none"/>
        </w:rPr>
        <w:t xml:space="preserve">           </w:t>
      </w:r>
      <w:r>
        <w:rPr>
          <w:rFonts w:hint="eastAsia" w:ascii="宋体" w:hAnsi="宋体" w:cs="宋体"/>
          <w:b/>
          <w:bCs/>
          <w:sz w:val="24"/>
          <w:szCs w:val="24"/>
          <w:highlight w:val="none"/>
          <w:lang w:val="en-US" w:eastAsia="zh-CN"/>
        </w:rPr>
        <w:t xml:space="preserve">        </w:t>
      </w:r>
      <w:r>
        <w:rPr>
          <w:rFonts w:hint="eastAsia" w:ascii="宋体" w:hAnsi="宋体" w:eastAsia="宋体" w:cs="宋体"/>
          <w:b/>
          <w:bCs/>
          <w:sz w:val="24"/>
          <w:szCs w:val="24"/>
          <w:highlight w:val="none"/>
        </w:rPr>
        <w:t>修改类型：</w:t>
      </w:r>
      <w:r>
        <w:rPr>
          <w:rFonts w:hint="eastAsia" w:ascii="宋体" w:hAnsi="宋体" w:eastAsia="宋体" w:cs="宋体"/>
          <w:b w:val="0"/>
          <w:bCs w:val="0"/>
          <w:sz w:val="24"/>
          <w:szCs w:val="24"/>
          <w:highlight w:val="none"/>
          <w:lang w:val="en-US" w:eastAsia="zh-CN"/>
        </w:rPr>
        <w:t>删除</w:t>
      </w:r>
    </w:p>
    <w:p w14:paraId="6BE86024">
      <w:pPr>
        <w:pStyle w:val="12"/>
        <w:keepNext w:val="0"/>
        <w:keepLines w:val="0"/>
        <w:pageBreakBefore w:val="0"/>
        <w:widowControl w:val="0"/>
        <w:pBdr>
          <w:bottom w:val="single" w:color="auto" w:sz="4" w:space="0"/>
        </w:pBdr>
        <w:tabs>
          <w:tab w:val="left" w:pos="1343"/>
          <w:tab w:val="left" w:pos="2697"/>
          <w:tab w:val="left" w:pos="3264"/>
          <w:tab w:val="left" w:pos="4896"/>
          <w:tab w:val="left" w:pos="6005"/>
          <w:tab w:val="left" w:pos="7085"/>
          <w:tab w:val="left" w:pos="7498"/>
        </w:tabs>
        <w:kinsoku w:val="0"/>
        <w:wordWrap/>
        <w:overflowPunct w:val="0"/>
        <w:topLinePunct w:val="0"/>
        <w:bidi w:val="0"/>
        <w:adjustRightInd w:val="0"/>
        <w:snapToGrid/>
        <w:spacing w:line="360" w:lineRule="auto"/>
        <w:ind w:left="0" w:firstLine="482" w:firstLineChars="200"/>
        <w:jc w:val="both"/>
        <w:textAlignment w:val="auto"/>
        <w:rPr>
          <w:rFonts w:hint="eastAsia" w:cs="宋体"/>
          <w:strike/>
          <w:color w:val="auto"/>
          <w:sz w:val="24"/>
          <w:szCs w:val="24"/>
          <w:highlight w:val="none"/>
        </w:rPr>
      </w:pPr>
      <w:r>
        <w:rPr>
          <w:rFonts w:hint="eastAsia" w:ascii="宋体" w:hAnsi="宋体" w:eastAsia="宋体" w:cs="宋体"/>
          <w:b/>
          <w:bCs/>
          <w:sz w:val="24"/>
          <w:szCs w:val="24"/>
          <w:highlight w:val="none"/>
          <w:lang w:val="en-US" w:eastAsia="zh-CN"/>
        </w:rPr>
        <w:t>原文</w:t>
      </w:r>
      <w:r>
        <w:rPr>
          <w:rFonts w:hint="eastAsia" w:ascii="宋体" w:hAnsi="宋体" w:eastAsia="宋体" w:cs="宋体"/>
          <w:b/>
          <w:bCs/>
          <w:strike w:val="0"/>
          <w:dstrike w:val="0"/>
          <w:sz w:val="24"/>
          <w:szCs w:val="24"/>
          <w:highlight w:val="none"/>
          <w:lang w:val="en-US" w:eastAsia="zh-CN"/>
        </w:rPr>
        <w:t>：</w:t>
      </w:r>
      <w:r>
        <w:rPr>
          <w:rFonts w:hint="eastAsia" w:ascii="宋体" w:hAnsi="宋体" w:eastAsia="宋体" w:cs="宋体"/>
          <w:strike w:val="0"/>
          <w:dstrike w:val="0"/>
          <w:color w:val="auto"/>
          <w:sz w:val="24"/>
          <w:szCs w:val="24"/>
          <w:highlight w:val="none"/>
        </w:rPr>
        <w:t>3.</w:t>
      </w:r>
      <w:r>
        <w:rPr>
          <w:rFonts w:hint="eastAsia" w:ascii="宋体" w:hAnsi="宋体" w:eastAsia="宋体" w:cs="宋体"/>
          <w:strike w:val="0"/>
          <w:dstrike w:val="0"/>
          <w:color w:val="auto"/>
          <w:sz w:val="24"/>
          <w:szCs w:val="24"/>
          <w:highlight w:val="none"/>
          <w:lang w:val="en-US" w:eastAsia="zh-CN"/>
        </w:rPr>
        <w:t>7</w:t>
      </w:r>
      <w:r>
        <w:rPr>
          <w:rFonts w:hint="eastAsia" w:ascii="宋体" w:hAnsi="宋体" w:eastAsia="宋体" w:cs="宋体"/>
          <w:strike w:val="0"/>
          <w:dstrike w:val="0"/>
          <w:color w:val="auto"/>
          <w:sz w:val="24"/>
          <w:szCs w:val="24"/>
          <w:highlight w:val="none"/>
        </w:rPr>
        <w:t>.</w:t>
      </w:r>
      <w:r>
        <w:rPr>
          <w:rFonts w:hint="eastAsia" w:ascii="宋体" w:hAnsi="宋体" w:eastAsia="宋体" w:cs="宋体"/>
          <w:strike w:val="0"/>
          <w:dstrike w:val="0"/>
          <w:color w:val="auto"/>
          <w:sz w:val="24"/>
          <w:szCs w:val="24"/>
          <w:highlight w:val="none"/>
          <w:lang w:val="en-US" w:eastAsia="zh-CN"/>
        </w:rPr>
        <w:t xml:space="preserve">4  </w:t>
      </w:r>
      <w:r>
        <w:rPr>
          <w:rFonts w:hint="eastAsia" w:ascii="宋体" w:hAnsi="宋体" w:eastAsia="宋体" w:cs="宋体"/>
          <w:strike w:val="0"/>
          <w:dstrike w:val="0"/>
          <w:color w:val="auto"/>
          <w:sz w:val="24"/>
          <w:szCs w:val="24"/>
          <w:highlight w:val="none"/>
        </w:rPr>
        <w:t>联合体投标时，</w:t>
      </w:r>
      <w:r>
        <w:rPr>
          <w:rFonts w:hint="eastAsia" w:ascii="宋体" w:hAnsi="宋体" w:eastAsia="宋体" w:cs="宋体"/>
          <w:strike w:val="0"/>
          <w:dstrike w:val="0"/>
          <w:color w:val="auto"/>
          <w:sz w:val="24"/>
          <w:szCs w:val="24"/>
          <w:highlight w:val="none"/>
          <w:lang w:eastAsia="zh-CN"/>
        </w:rPr>
        <w:t>投标人封面及其他内容落款中的“投标人”应填写联合体各方的单位全称【格式为：（主）XXXX公司（成）XXXX公司】。除</w:t>
      </w:r>
      <w:r>
        <w:rPr>
          <w:rFonts w:hint="eastAsia" w:ascii="宋体" w:hAnsi="宋体" w:eastAsia="宋体" w:cs="宋体"/>
          <w:strike w:val="0"/>
          <w:dstrike w:val="0"/>
          <w:color w:val="auto"/>
          <w:sz w:val="24"/>
          <w:szCs w:val="24"/>
          <w:highlight w:val="none"/>
        </w:rPr>
        <w:t>联合体共同投标协议需联合体各方按要求共同盖章签字，其余可由联合体</w:t>
      </w:r>
      <w:r>
        <w:rPr>
          <w:rFonts w:hint="eastAsia" w:ascii="宋体" w:hAnsi="宋体" w:eastAsia="宋体" w:cs="宋体"/>
          <w:strike w:val="0"/>
          <w:dstrike w:val="0"/>
          <w:color w:val="auto"/>
          <w:sz w:val="24"/>
          <w:szCs w:val="24"/>
          <w:highlight w:val="none"/>
          <w:lang w:eastAsia="zh-CN"/>
        </w:rPr>
        <w:t>主办方</w:t>
      </w:r>
      <w:r>
        <w:rPr>
          <w:rFonts w:hint="eastAsia" w:ascii="宋体" w:hAnsi="宋体" w:eastAsia="宋体" w:cs="宋体"/>
          <w:strike w:val="0"/>
          <w:dstrike w:val="0"/>
          <w:color w:val="auto"/>
          <w:sz w:val="24"/>
          <w:szCs w:val="24"/>
          <w:highlight w:val="none"/>
        </w:rPr>
        <w:t>签字、盖章即可，由联合体</w:t>
      </w:r>
      <w:r>
        <w:rPr>
          <w:rFonts w:hint="eastAsia" w:ascii="宋体" w:hAnsi="宋体" w:eastAsia="宋体" w:cs="宋体"/>
          <w:strike w:val="0"/>
          <w:dstrike w:val="0"/>
          <w:color w:val="auto"/>
          <w:sz w:val="24"/>
          <w:szCs w:val="24"/>
          <w:highlight w:val="none"/>
          <w:lang w:eastAsia="zh-CN"/>
        </w:rPr>
        <w:t>主办方</w:t>
      </w:r>
      <w:r>
        <w:rPr>
          <w:rFonts w:hint="eastAsia" w:ascii="宋体" w:hAnsi="宋体" w:eastAsia="宋体" w:cs="宋体"/>
          <w:strike w:val="0"/>
          <w:dstrike w:val="0"/>
          <w:color w:val="auto"/>
          <w:sz w:val="24"/>
          <w:szCs w:val="24"/>
          <w:highlight w:val="none"/>
        </w:rPr>
        <w:t>法人签字的电子投标文件需提供</w:t>
      </w:r>
      <w:r>
        <w:rPr>
          <w:rFonts w:hint="eastAsia" w:ascii="宋体" w:hAnsi="宋体" w:eastAsia="宋体" w:cs="宋体"/>
          <w:strike w:val="0"/>
          <w:dstrike w:val="0"/>
          <w:color w:val="auto"/>
          <w:sz w:val="24"/>
          <w:szCs w:val="24"/>
          <w:highlight w:val="none"/>
          <w:lang w:eastAsia="zh-CN"/>
        </w:rPr>
        <w:t>主办方</w:t>
      </w:r>
      <w:r>
        <w:rPr>
          <w:rFonts w:hint="eastAsia" w:ascii="宋体" w:hAnsi="宋体" w:eastAsia="宋体" w:cs="宋体"/>
          <w:strike w:val="0"/>
          <w:dstrike w:val="0"/>
          <w:color w:val="auto"/>
          <w:sz w:val="24"/>
          <w:szCs w:val="24"/>
          <w:highlight w:val="none"/>
        </w:rPr>
        <w:t>法定代表人证明书，若由联合体</w:t>
      </w:r>
      <w:r>
        <w:rPr>
          <w:rFonts w:hint="eastAsia" w:ascii="宋体" w:hAnsi="宋体" w:eastAsia="宋体" w:cs="宋体"/>
          <w:strike w:val="0"/>
          <w:dstrike w:val="0"/>
          <w:color w:val="auto"/>
          <w:sz w:val="24"/>
          <w:szCs w:val="24"/>
          <w:highlight w:val="none"/>
          <w:lang w:eastAsia="zh-CN"/>
        </w:rPr>
        <w:t>主办方</w:t>
      </w:r>
      <w:r>
        <w:rPr>
          <w:rFonts w:hint="eastAsia" w:ascii="宋体" w:hAnsi="宋体" w:eastAsia="宋体" w:cs="宋体"/>
          <w:strike w:val="0"/>
          <w:dstrike w:val="0"/>
          <w:color w:val="auto"/>
          <w:sz w:val="24"/>
          <w:szCs w:val="24"/>
          <w:highlight w:val="none"/>
        </w:rPr>
        <w:t>法定代表人授权签字的电子投标文件需提供法定代表人证明书及其授权委托书、授权委托人身份证</w:t>
      </w:r>
      <w:r>
        <w:rPr>
          <w:rFonts w:hint="eastAsia" w:ascii="宋体" w:hAnsi="宋体" w:eastAsia="宋体" w:cs="宋体"/>
          <w:strike w:val="0"/>
          <w:dstrike w:val="0"/>
          <w:color w:val="auto"/>
          <w:sz w:val="24"/>
          <w:szCs w:val="24"/>
          <w:highlight w:val="none"/>
          <w:lang w:eastAsia="zh-CN"/>
        </w:rPr>
        <w:t>扫描</w:t>
      </w:r>
      <w:r>
        <w:rPr>
          <w:rFonts w:hint="eastAsia" w:ascii="宋体" w:hAnsi="宋体" w:eastAsia="宋体" w:cs="宋体"/>
          <w:strike w:val="0"/>
          <w:dstrike w:val="0"/>
          <w:color w:val="auto"/>
          <w:sz w:val="24"/>
          <w:szCs w:val="24"/>
          <w:highlight w:val="none"/>
        </w:rPr>
        <w:t>件。</w:t>
      </w:r>
    </w:p>
    <w:p w14:paraId="7948F00A">
      <w:pPr>
        <w:keepNext w:val="0"/>
        <w:keepLines w:val="0"/>
        <w:pageBreakBefore w:val="0"/>
        <w:widowControl w:val="0"/>
        <w:wordWrap/>
        <w:topLinePunct w:val="0"/>
        <w:bidi w:val="0"/>
        <w:adjustRightInd w:val="0"/>
        <w:snapToGrid/>
        <w:spacing w:line="360" w:lineRule="auto"/>
        <w:ind w:firstLine="540" w:firstLineChars="224"/>
        <w:textAlignment w:val="auto"/>
        <w:rPr>
          <w:rFonts w:hint="eastAsia" w:ascii="宋体" w:hAnsi="宋体" w:cs="宋体"/>
          <w:b/>
          <w:bCs/>
          <w:sz w:val="24"/>
          <w:szCs w:val="24"/>
          <w:highlight w:val="none"/>
          <w:lang w:eastAsia="zh-CN"/>
        </w:rPr>
      </w:pPr>
      <w:r>
        <w:rPr>
          <w:rFonts w:hint="eastAsia" w:ascii="宋体" w:hAnsi="宋体" w:eastAsia="宋体" w:cs="宋体"/>
          <w:b/>
          <w:bCs/>
          <w:sz w:val="24"/>
          <w:szCs w:val="24"/>
          <w:highlight w:val="none"/>
        </w:rPr>
        <w:t>条款号：</w:t>
      </w:r>
      <w:r>
        <w:rPr>
          <w:rFonts w:hint="eastAsia" w:ascii="宋体" w:hAnsi="宋体" w:cs="宋体"/>
          <w:strike w:val="0"/>
          <w:color w:val="auto"/>
          <w:sz w:val="24"/>
          <w:szCs w:val="24"/>
          <w:highlight w:val="none"/>
          <w:lang w:val="en-US" w:eastAsia="zh-CN"/>
        </w:rPr>
        <w:t>4.3.3</w:t>
      </w:r>
      <w:r>
        <w:rPr>
          <w:rFonts w:hint="eastAsia" w:ascii="宋体" w:hAnsi="宋体" w:eastAsia="宋体" w:cs="宋体"/>
          <w:strike w:val="0"/>
          <w:color w:val="auto"/>
          <w:sz w:val="24"/>
          <w:szCs w:val="24"/>
          <w:highlight w:val="none"/>
          <w:lang w:val="en-US" w:eastAsia="zh-CN"/>
        </w:rPr>
        <w:t xml:space="preserve"> </w:t>
      </w:r>
      <w:r>
        <w:rPr>
          <w:rFonts w:hint="eastAsia" w:ascii="宋体" w:hAnsi="宋体" w:eastAsia="宋体" w:cs="宋体"/>
          <w:b/>
          <w:bCs/>
          <w:strike w:val="0"/>
          <w:color w:val="auto"/>
          <w:sz w:val="24"/>
          <w:szCs w:val="24"/>
          <w:highlight w:val="none"/>
          <w:lang w:val="en-US" w:eastAsia="zh-CN"/>
        </w:rPr>
        <w:t xml:space="preserve"> </w:t>
      </w:r>
      <w:r>
        <w:rPr>
          <w:rFonts w:hint="eastAsia" w:ascii="宋体" w:hAnsi="宋体" w:eastAsia="宋体" w:cs="宋体"/>
          <w:b/>
          <w:bCs/>
          <w:sz w:val="24"/>
          <w:szCs w:val="24"/>
          <w:highlight w:val="none"/>
        </w:rPr>
        <w:t xml:space="preserve">           </w:t>
      </w:r>
      <w:r>
        <w:rPr>
          <w:rFonts w:hint="eastAsia" w:ascii="宋体" w:hAnsi="宋体" w:cs="宋体"/>
          <w:b/>
          <w:bCs/>
          <w:sz w:val="24"/>
          <w:szCs w:val="24"/>
          <w:highlight w:val="none"/>
          <w:lang w:val="en-US" w:eastAsia="zh-CN"/>
        </w:rPr>
        <w:t xml:space="preserve">       </w:t>
      </w:r>
      <w:r>
        <w:rPr>
          <w:rFonts w:hint="eastAsia" w:ascii="宋体" w:hAnsi="宋体" w:eastAsia="宋体" w:cs="宋体"/>
          <w:b/>
          <w:bCs/>
          <w:sz w:val="24"/>
          <w:szCs w:val="24"/>
          <w:highlight w:val="none"/>
        </w:rPr>
        <w:t>修改类型：</w:t>
      </w:r>
      <w:r>
        <w:rPr>
          <w:rFonts w:hint="eastAsia" w:ascii="宋体" w:hAnsi="宋体" w:cs="宋体"/>
          <w:b w:val="0"/>
          <w:bCs w:val="0"/>
          <w:sz w:val="24"/>
          <w:szCs w:val="24"/>
          <w:highlight w:val="none"/>
          <w:lang w:eastAsia="zh-CN"/>
        </w:rPr>
        <w:t>修改</w:t>
      </w:r>
    </w:p>
    <w:p w14:paraId="19FC7F80">
      <w:pPr>
        <w:pStyle w:val="1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bidi w:val="0"/>
        <w:adjustRightInd w:val="0"/>
        <w:snapToGrid/>
        <w:spacing w:line="360" w:lineRule="auto"/>
        <w:ind w:left="0" w:firstLine="482" w:firstLineChars="200"/>
        <w:jc w:val="both"/>
        <w:textAlignment w:val="auto"/>
        <w:rPr>
          <w:rFonts w:hint="eastAsia" w:cs="宋体"/>
          <w:color w:val="auto"/>
          <w:sz w:val="24"/>
          <w:szCs w:val="24"/>
          <w:highlight w:val="none"/>
        </w:rPr>
      </w:pPr>
      <w:r>
        <w:rPr>
          <w:rFonts w:hint="eastAsia" w:ascii="宋体" w:hAnsi="宋体" w:eastAsia="宋体" w:cs="宋体"/>
          <w:b/>
          <w:bCs/>
          <w:sz w:val="24"/>
          <w:szCs w:val="24"/>
          <w:highlight w:val="none"/>
          <w:lang w:val="en-US" w:eastAsia="zh-CN"/>
        </w:rPr>
        <w:t>原文</w:t>
      </w:r>
      <w:r>
        <w:rPr>
          <w:rFonts w:hint="eastAsia" w:ascii="宋体" w:hAnsi="宋体" w:eastAsia="宋体" w:cs="宋体"/>
          <w:b/>
          <w:bCs/>
          <w:strike w:val="0"/>
          <w:dstrike w:val="0"/>
          <w:sz w:val="24"/>
          <w:szCs w:val="24"/>
          <w:highlight w:val="none"/>
          <w:lang w:val="en-US" w:eastAsia="zh-CN"/>
        </w:rPr>
        <w:t>：</w:t>
      </w:r>
      <w:r>
        <w:rPr>
          <w:rFonts w:hint="eastAsia" w:cs="宋体"/>
          <w:color w:val="auto"/>
          <w:sz w:val="24"/>
          <w:szCs w:val="24"/>
          <w:highlight w:val="none"/>
        </w:rPr>
        <w:t xml:space="preserve">4.3.3 </w:t>
      </w:r>
      <w:r>
        <w:rPr>
          <w:rFonts w:hint="eastAsia" w:cs="宋体"/>
          <w:color w:val="auto"/>
          <w:sz w:val="24"/>
          <w:szCs w:val="24"/>
          <w:highlight w:val="none"/>
          <w:lang w:val="en-US" w:eastAsia="zh-CN"/>
        </w:rPr>
        <w:t xml:space="preserve"> </w:t>
      </w:r>
      <w:r>
        <w:rPr>
          <w:rFonts w:hint="eastAsia" w:cs="宋体"/>
          <w:color w:val="auto"/>
          <w:sz w:val="24"/>
          <w:szCs w:val="24"/>
          <w:highlight w:val="none"/>
          <w:lang w:eastAsia="zh-CN"/>
        </w:rPr>
        <w:t>修改后再次递交的，按第</w:t>
      </w:r>
      <w:r>
        <w:rPr>
          <w:rFonts w:hint="eastAsia" w:cs="宋体"/>
          <w:color w:val="auto"/>
          <w:sz w:val="24"/>
          <w:szCs w:val="24"/>
          <w:highlight w:val="none"/>
          <w:lang w:val="en-US" w:eastAsia="zh-CN"/>
        </w:rPr>
        <w:t>4.2项的规定执行</w:t>
      </w:r>
      <w:r>
        <w:rPr>
          <w:rFonts w:hint="eastAsia" w:cs="宋体"/>
          <w:color w:val="auto"/>
          <w:sz w:val="24"/>
          <w:szCs w:val="24"/>
          <w:highlight w:val="none"/>
        </w:rPr>
        <w:t>。</w:t>
      </w:r>
    </w:p>
    <w:p w14:paraId="3CB5B34A">
      <w:pPr>
        <w:pStyle w:val="12"/>
        <w:keepNext w:val="0"/>
        <w:keepLines w:val="0"/>
        <w:pageBreakBefore w:val="0"/>
        <w:widowControl w:val="0"/>
        <w:pBdr>
          <w:bottom w:val="single" w:color="auto" w:sz="4" w:space="0"/>
        </w:pBdr>
        <w:tabs>
          <w:tab w:val="left" w:pos="1343"/>
          <w:tab w:val="left" w:pos="2697"/>
          <w:tab w:val="left" w:pos="3264"/>
          <w:tab w:val="left" w:pos="4896"/>
          <w:tab w:val="left" w:pos="6005"/>
          <w:tab w:val="left" w:pos="7085"/>
          <w:tab w:val="left" w:pos="7498"/>
        </w:tabs>
        <w:kinsoku w:val="0"/>
        <w:wordWrap/>
        <w:overflowPunct w:val="0"/>
        <w:topLinePunct w:val="0"/>
        <w:bidi w:val="0"/>
        <w:adjustRightInd w:val="0"/>
        <w:snapToGrid/>
        <w:spacing w:line="360" w:lineRule="auto"/>
        <w:ind w:left="0" w:firstLine="482" w:firstLineChars="200"/>
        <w:jc w:val="both"/>
        <w:textAlignment w:val="auto"/>
        <w:rPr>
          <w:rFonts w:hint="eastAsia" w:cs="宋体"/>
          <w:color w:val="auto"/>
          <w:sz w:val="24"/>
          <w:szCs w:val="24"/>
          <w:highlight w:val="none"/>
        </w:rPr>
      </w:pPr>
      <w:r>
        <w:rPr>
          <w:rFonts w:hint="eastAsia" w:ascii="宋体" w:hAnsi="宋体" w:cs="宋体"/>
          <w:b/>
          <w:bCs/>
          <w:sz w:val="24"/>
          <w:szCs w:val="24"/>
          <w:highlight w:val="none"/>
          <w:lang w:val="en-US" w:eastAsia="zh-CN"/>
        </w:rPr>
        <w:t>现文：</w:t>
      </w:r>
      <w:r>
        <w:rPr>
          <w:rFonts w:hint="eastAsia" w:cs="宋体"/>
          <w:color w:val="auto"/>
          <w:sz w:val="24"/>
          <w:szCs w:val="24"/>
          <w:highlight w:val="none"/>
        </w:rPr>
        <w:t xml:space="preserve">4.3.3 </w:t>
      </w:r>
      <w:r>
        <w:rPr>
          <w:rFonts w:hint="eastAsia" w:cs="宋体"/>
          <w:color w:val="auto"/>
          <w:sz w:val="24"/>
          <w:szCs w:val="24"/>
          <w:highlight w:val="none"/>
          <w:lang w:val="en-US" w:eastAsia="zh-CN"/>
        </w:rPr>
        <w:t xml:space="preserve"> </w:t>
      </w:r>
      <w:r>
        <w:rPr>
          <w:rFonts w:hint="eastAsia" w:cs="宋体"/>
          <w:color w:val="auto"/>
          <w:sz w:val="24"/>
          <w:szCs w:val="24"/>
          <w:highlight w:val="none"/>
          <w:lang w:eastAsia="zh-CN"/>
        </w:rPr>
        <w:t>修改后再次递交的，按</w:t>
      </w:r>
      <w:r>
        <w:rPr>
          <w:rFonts w:hint="eastAsia" w:cs="宋体"/>
          <w:color w:val="auto"/>
          <w:sz w:val="24"/>
          <w:szCs w:val="24"/>
          <w:highlight w:val="none"/>
          <w:u w:val="single"/>
          <w:lang w:val="en-US" w:eastAsia="zh-CN"/>
        </w:rPr>
        <w:t>本章</w:t>
      </w:r>
      <w:r>
        <w:rPr>
          <w:rFonts w:hint="eastAsia" w:cs="宋体"/>
          <w:color w:val="auto"/>
          <w:sz w:val="24"/>
          <w:szCs w:val="24"/>
          <w:highlight w:val="none"/>
          <w:lang w:eastAsia="zh-CN"/>
        </w:rPr>
        <w:t>第</w:t>
      </w:r>
      <w:r>
        <w:rPr>
          <w:rFonts w:hint="eastAsia" w:cs="宋体"/>
          <w:color w:val="auto"/>
          <w:sz w:val="24"/>
          <w:szCs w:val="24"/>
          <w:highlight w:val="none"/>
          <w:lang w:val="en-US" w:eastAsia="zh-CN"/>
        </w:rPr>
        <w:t>4.2项的规定执行</w:t>
      </w:r>
      <w:r>
        <w:rPr>
          <w:rFonts w:hint="eastAsia" w:cs="宋体"/>
          <w:color w:val="auto"/>
          <w:sz w:val="24"/>
          <w:szCs w:val="24"/>
          <w:highlight w:val="none"/>
        </w:rPr>
        <w:t>。</w:t>
      </w:r>
    </w:p>
    <w:p w14:paraId="04A91801">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wordWrap/>
        <w:topLinePunct w:val="0"/>
        <w:autoSpaceDE w:val="0"/>
        <w:autoSpaceDN w:val="0"/>
        <w:bidi w:val="0"/>
        <w:adjustRightInd w:val="0"/>
        <w:snapToGrid/>
        <w:spacing w:line="360" w:lineRule="auto"/>
        <w:ind w:firstLine="540" w:firstLineChars="224"/>
        <w:textAlignment w:val="auto"/>
        <w:rPr>
          <w:rFonts w:hint="eastAsia" w:ascii="宋体" w:hAnsi="宋体" w:eastAsia="宋体"/>
          <w:color w:val="auto"/>
          <w:sz w:val="24"/>
          <w:szCs w:val="24"/>
          <w:highlight w:val="none"/>
          <w:lang w:eastAsia="zh-CN"/>
        </w:rPr>
      </w:pPr>
      <w:r>
        <w:rPr>
          <w:rFonts w:hint="default" w:ascii="宋体" w:hAnsi="宋体" w:eastAsia="宋体"/>
          <w:b/>
          <w:bCs/>
          <w:color w:val="auto"/>
          <w:sz w:val="24"/>
          <w:szCs w:val="24"/>
          <w:highlight w:val="none"/>
        </w:rPr>
        <w:t>条款号：</w:t>
      </w:r>
      <w:r>
        <w:rPr>
          <w:rFonts w:hint="default" w:ascii="宋体" w:hAnsi="宋体" w:eastAsia="宋体" w:cs="Times New Roman"/>
          <w:b w:val="0"/>
          <w:bCs w:val="0"/>
          <w:color w:val="auto"/>
          <w:sz w:val="24"/>
          <w:szCs w:val="24"/>
          <w:highlight w:val="none"/>
          <w:lang w:val="en-US" w:eastAsia="zh-CN"/>
        </w:rPr>
        <w:t>5.2.1</w:t>
      </w:r>
      <w:r>
        <w:rPr>
          <w:rFonts w:hint="default" w:ascii="宋体" w:hAnsi="宋体" w:eastAsia="宋体" w:cs="Times New Roman"/>
          <w:b w:val="0"/>
          <w:bCs w:val="0"/>
          <w:color w:val="auto"/>
          <w:sz w:val="24"/>
          <w:szCs w:val="24"/>
          <w:highlight w:val="none"/>
          <w:lang w:eastAsia="zh-CN"/>
        </w:rPr>
        <w:t xml:space="preserve"> </w:t>
      </w:r>
      <w:r>
        <w:rPr>
          <w:rFonts w:hint="default" w:ascii="宋体" w:hAnsi="宋体" w:eastAsia="宋体"/>
          <w:b w:val="0"/>
          <w:bCs w:val="0"/>
          <w:color w:val="auto"/>
          <w:sz w:val="24"/>
          <w:szCs w:val="24"/>
          <w:highlight w:val="none"/>
        </w:rPr>
        <w:t xml:space="preserve">  </w:t>
      </w:r>
      <w:r>
        <w:rPr>
          <w:rFonts w:hint="default" w:ascii="宋体" w:hAnsi="宋体" w:eastAsia="宋体"/>
          <w:color w:val="auto"/>
          <w:sz w:val="24"/>
          <w:szCs w:val="24"/>
          <w:highlight w:val="none"/>
        </w:rPr>
        <w:t xml:space="preserve">          </w:t>
      </w:r>
      <w:r>
        <w:rPr>
          <w:rFonts w:hint="default" w:ascii="宋体" w:hAnsi="宋体" w:eastAsia="宋体"/>
          <w:b/>
          <w:bCs/>
          <w:color w:val="auto"/>
          <w:sz w:val="24"/>
          <w:szCs w:val="24"/>
          <w:highlight w:val="none"/>
        </w:rPr>
        <w:t xml:space="preserve"> 修改类型：</w:t>
      </w:r>
      <w:r>
        <w:rPr>
          <w:rFonts w:hint="eastAsia" w:ascii="宋体" w:hAnsi="宋体" w:eastAsia="宋体"/>
          <w:color w:val="auto"/>
          <w:sz w:val="24"/>
          <w:szCs w:val="24"/>
          <w:highlight w:val="none"/>
          <w:lang w:eastAsia="zh-CN"/>
        </w:rPr>
        <w:t>修改</w:t>
      </w:r>
    </w:p>
    <w:p w14:paraId="0FC11EC2">
      <w:pPr>
        <w:pStyle w:val="12"/>
        <w:keepNext w:val="0"/>
        <w:keepLines w:val="0"/>
        <w:pageBreakBefore w:val="0"/>
        <w:widowControl w:val="0"/>
        <w:pBdr>
          <w:bottom w:val="single" w:color="auto" w:sz="4" w:space="0"/>
        </w:pBdr>
        <w:tabs>
          <w:tab w:val="left" w:pos="1343"/>
          <w:tab w:val="left" w:pos="2697"/>
          <w:tab w:val="left" w:pos="3264"/>
          <w:tab w:val="left" w:pos="4896"/>
          <w:tab w:val="left" w:pos="6005"/>
          <w:tab w:val="left" w:pos="7085"/>
          <w:tab w:val="left" w:pos="7498"/>
        </w:tabs>
        <w:kinsoku w:val="0"/>
        <w:wordWrap/>
        <w:overflowPunct w:val="0"/>
        <w:topLinePunct w:val="0"/>
        <w:bidi w:val="0"/>
        <w:adjustRightInd w:val="0"/>
        <w:snapToGrid/>
        <w:spacing w:line="360" w:lineRule="auto"/>
        <w:ind w:left="0" w:firstLine="482" w:firstLineChars="200"/>
        <w:jc w:val="both"/>
        <w:textAlignment w:val="auto"/>
        <w:rPr>
          <w:rFonts w:hint="default" w:cs="Times New Roman"/>
          <w:color w:val="auto"/>
          <w:sz w:val="24"/>
          <w:szCs w:val="24"/>
          <w:highlight w:val="none"/>
          <w:lang w:val="en-US" w:eastAsia="zh-CN"/>
        </w:rPr>
      </w:pPr>
      <w:r>
        <w:rPr>
          <w:rFonts w:hint="default" w:ascii="宋体" w:hAnsi="宋体" w:eastAsia="宋体"/>
          <w:b/>
          <w:bCs/>
          <w:color w:val="auto"/>
          <w:sz w:val="24"/>
          <w:szCs w:val="24"/>
          <w:highlight w:val="none"/>
        </w:rPr>
        <w:t>原文：</w:t>
      </w:r>
      <w:r>
        <w:rPr>
          <w:rFonts w:hint="default" w:cs="Times New Roman"/>
          <w:color w:val="auto"/>
          <w:sz w:val="24"/>
          <w:szCs w:val="24"/>
          <w:highlight w:val="none"/>
          <w:lang w:val="en-US" w:eastAsia="zh-CN"/>
        </w:rPr>
        <w:t>5.2.1   在投标截止时间后</w:t>
      </w:r>
      <w:r>
        <w:rPr>
          <w:rFonts w:hint="default" w:cs="Times New Roman"/>
          <w:color w:val="auto"/>
          <w:sz w:val="24"/>
          <w:szCs w:val="24"/>
          <w:highlight w:val="none"/>
          <w:u w:val="single"/>
          <w:lang w:val="en-US" w:eastAsia="zh-CN"/>
        </w:rPr>
        <w:t>半小时</w:t>
      </w:r>
      <w:r>
        <w:rPr>
          <w:rFonts w:hint="default" w:cs="Times New Roman"/>
          <w:color w:val="auto"/>
          <w:sz w:val="24"/>
          <w:szCs w:val="24"/>
          <w:highlight w:val="none"/>
          <w:lang w:val="en-US" w:eastAsia="zh-CN"/>
        </w:rPr>
        <w:t>内，投标人通过递交投标文件的交易平台对已递交的电子投标文件进行解密。投标人完成解密后，再由招标人进行解密。解密完成后，公布招标项目名称、投标人名称、投标保证金的递交情况、投标报价、拟派总监理工程师及其他内容。未在规定时间内解密的投标文件不参与开标、评标。</w:t>
      </w:r>
    </w:p>
    <w:p w14:paraId="777DCD64">
      <w:pPr>
        <w:pStyle w:val="12"/>
        <w:keepNext w:val="0"/>
        <w:keepLines w:val="0"/>
        <w:pageBreakBefore w:val="0"/>
        <w:widowControl w:val="0"/>
        <w:pBdr>
          <w:bottom w:val="single" w:color="auto" w:sz="4" w:space="0"/>
        </w:pBdr>
        <w:tabs>
          <w:tab w:val="left" w:pos="1343"/>
          <w:tab w:val="left" w:pos="2697"/>
          <w:tab w:val="left" w:pos="3264"/>
          <w:tab w:val="left" w:pos="4896"/>
          <w:tab w:val="left" w:pos="6005"/>
          <w:tab w:val="left" w:pos="7085"/>
          <w:tab w:val="left" w:pos="7498"/>
        </w:tabs>
        <w:kinsoku w:val="0"/>
        <w:wordWrap/>
        <w:overflowPunct w:val="0"/>
        <w:topLinePunct w:val="0"/>
        <w:bidi w:val="0"/>
        <w:adjustRightInd w:val="0"/>
        <w:snapToGrid/>
        <w:spacing w:line="360" w:lineRule="auto"/>
        <w:ind w:left="0" w:firstLine="482" w:firstLineChars="200"/>
        <w:jc w:val="both"/>
        <w:textAlignment w:val="auto"/>
        <w:rPr>
          <w:rFonts w:hint="default" w:cs="Times New Roman"/>
          <w:color w:val="auto"/>
          <w:sz w:val="24"/>
          <w:szCs w:val="24"/>
          <w:highlight w:val="none"/>
          <w:lang w:val="en-US" w:eastAsia="zh-CN"/>
        </w:rPr>
      </w:pPr>
      <w:r>
        <w:rPr>
          <w:rFonts w:hint="eastAsia" w:ascii="宋体" w:hAnsi="宋体" w:eastAsia="宋体" w:cs="Times New Roman"/>
          <w:b/>
          <w:bCs/>
          <w:color w:val="auto"/>
          <w:sz w:val="24"/>
          <w:szCs w:val="24"/>
          <w:highlight w:val="none"/>
          <w:lang w:eastAsia="zh-CN"/>
        </w:rPr>
        <w:t>现文</w:t>
      </w:r>
      <w:r>
        <w:rPr>
          <w:rFonts w:hint="eastAsia" w:ascii="宋体" w:hAnsi="宋体" w:eastAsia="宋体" w:cs="Times New Roman"/>
          <w:b/>
          <w:bCs/>
          <w:color w:val="auto"/>
          <w:sz w:val="24"/>
          <w:szCs w:val="24"/>
          <w:highlight w:val="none"/>
          <w:lang w:val="en-US" w:eastAsia="zh-CN"/>
        </w:rPr>
        <w:t>：</w:t>
      </w:r>
      <w:r>
        <w:rPr>
          <w:rFonts w:hint="default" w:cs="Times New Roman"/>
          <w:color w:val="auto"/>
          <w:sz w:val="24"/>
          <w:szCs w:val="24"/>
          <w:highlight w:val="none"/>
          <w:lang w:val="en-US" w:eastAsia="zh-CN"/>
        </w:rPr>
        <w:t>5.2.1   在投标截止时间后</w:t>
      </w:r>
      <w:r>
        <w:rPr>
          <w:rFonts w:hint="default" w:cs="Times New Roman"/>
          <w:color w:val="auto"/>
          <w:sz w:val="24"/>
          <w:szCs w:val="24"/>
          <w:highlight w:val="none"/>
          <w:u w:val="single"/>
          <w:lang w:val="en-US" w:eastAsia="zh-CN"/>
        </w:rPr>
        <w:t>半小时</w:t>
      </w:r>
      <w:r>
        <w:rPr>
          <w:rFonts w:hint="default" w:cs="Times New Roman"/>
          <w:color w:val="auto"/>
          <w:sz w:val="24"/>
          <w:szCs w:val="24"/>
          <w:highlight w:val="none"/>
          <w:lang w:val="en-US" w:eastAsia="zh-CN"/>
        </w:rPr>
        <w:t>内，投标人通过递交投标文件的交易平台对已递交的电子投标文件进行解密。投标人完成解密后，再由招标人进行解密。解密完成后，公布招标项目名称、投标人名称、</w:t>
      </w:r>
      <w:r>
        <w:rPr>
          <w:rFonts w:hint="default" w:cs="Times New Roman"/>
          <w:strike/>
          <w:dstrike w:val="0"/>
          <w:color w:val="auto"/>
          <w:sz w:val="24"/>
          <w:szCs w:val="24"/>
          <w:highlight w:val="none"/>
          <w:lang w:val="en-US" w:eastAsia="zh-CN"/>
        </w:rPr>
        <w:t>投标保证金的递交情况、</w:t>
      </w:r>
      <w:r>
        <w:rPr>
          <w:rFonts w:hint="default" w:cs="Times New Roman"/>
          <w:color w:val="auto"/>
          <w:sz w:val="24"/>
          <w:szCs w:val="24"/>
          <w:highlight w:val="none"/>
          <w:lang w:val="en-US" w:eastAsia="zh-CN"/>
        </w:rPr>
        <w:t>投标报价、拟派总监理工程师及其他内容。未在规定时间内解密的投标文件不参与开标、评标。</w:t>
      </w:r>
    </w:p>
    <w:p w14:paraId="41923EB5">
      <w:pPr>
        <w:keepNext w:val="0"/>
        <w:keepLines w:val="0"/>
        <w:pageBreakBefore w:val="0"/>
        <w:widowControl w:val="0"/>
        <w:wordWrap/>
        <w:topLinePunct w:val="0"/>
        <w:bidi w:val="0"/>
        <w:adjustRightInd w:val="0"/>
        <w:snapToGrid/>
        <w:spacing w:line="360" w:lineRule="auto"/>
        <w:ind w:firstLine="540" w:firstLineChars="224"/>
        <w:textAlignment w:val="auto"/>
        <w:rPr>
          <w:rFonts w:hint="eastAsia" w:ascii="宋体" w:hAnsi="宋体" w:cs="宋体"/>
          <w:b/>
          <w:bCs/>
          <w:sz w:val="24"/>
          <w:szCs w:val="24"/>
          <w:highlight w:val="none"/>
          <w:lang w:eastAsia="zh-CN"/>
        </w:rPr>
      </w:pPr>
      <w:r>
        <w:rPr>
          <w:rFonts w:hint="eastAsia" w:ascii="宋体" w:hAnsi="宋体" w:eastAsia="宋体" w:cs="宋体"/>
          <w:b/>
          <w:bCs/>
          <w:sz w:val="24"/>
          <w:szCs w:val="24"/>
          <w:highlight w:val="none"/>
        </w:rPr>
        <w:t>条款号：</w:t>
      </w:r>
      <w:r>
        <w:rPr>
          <w:rFonts w:hint="eastAsia" w:ascii="宋体" w:hAnsi="宋体" w:cs="宋体"/>
          <w:strike w:val="0"/>
          <w:color w:val="auto"/>
          <w:sz w:val="24"/>
          <w:szCs w:val="24"/>
          <w:highlight w:val="none"/>
          <w:lang w:val="en-US" w:eastAsia="zh-CN"/>
        </w:rPr>
        <w:t>5.3.1</w:t>
      </w:r>
      <w:r>
        <w:rPr>
          <w:rFonts w:hint="eastAsia" w:ascii="宋体" w:hAnsi="宋体" w:eastAsia="宋体" w:cs="宋体"/>
          <w:strike w:val="0"/>
          <w:color w:val="auto"/>
          <w:sz w:val="24"/>
          <w:szCs w:val="24"/>
          <w:highlight w:val="none"/>
          <w:lang w:val="en-US" w:eastAsia="zh-CN"/>
        </w:rPr>
        <w:t xml:space="preserve"> </w:t>
      </w:r>
      <w:r>
        <w:rPr>
          <w:rFonts w:hint="eastAsia" w:ascii="宋体" w:hAnsi="宋体" w:eastAsia="宋体" w:cs="宋体"/>
          <w:b/>
          <w:bCs/>
          <w:strike w:val="0"/>
          <w:color w:val="auto"/>
          <w:sz w:val="24"/>
          <w:szCs w:val="24"/>
          <w:highlight w:val="none"/>
          <w:lang w:val="en-US" w:eastAsia="zh-CN"/>
        </w:rPr>
        <w:t xml:space="preserve"> </w:t>
      </w:r>
      <w:r>
        <w:rPr>
          <w:rFonts w:hint="eastAsia" w:ascii="宋体" w:hAnsi="宋体" w:eastAsia="宋体" w:cs="宋体"/>
          <w:b/>
          <w:bCs/>
          <w:sz w:val="24"/>
          <w:szCs w:val="24"/>
          <w:highlight w:val="none"/>
        </w:rPr>
        <w:t xml:space="preserve">         </w:t>
      </w:r>
      <w:r>
        <w:rPr>
          <w:rFonts w:hint="eastAsia" w:ascii="宋体" w:hAnsi="宋体" w:cs="宋体"/>
          <w:b/>
          <w:bCs/>
          <w:sz w:val="24"/>
          <w:szCs w:val="24"/>
          <w:highlight w:val="none"/>
          <w:lang w:val="en-US" w:eastAsia="zh-CN"/>
        </w:rPr>
        <w:t xml:space="preserve">       </w:t>
      </w:r>
      <w:r>
        <w:rPr>
          <w:rFonts w:hint="eastAsia" w:ascii="宋体" w:hAnsi="宋体" w:eastAsia="宋体" w:cs="宋体"/>
          <w:b/>
          <w:bCs/>
          <w:sz w:val="24"/>
          <w:szCs w:val="24"/>
          <w:highlight w:val="none"/>
        </w:rPr>
        <w:t xml:space="preserve">  修改类型：</w:t>
      </w:r>
      <w:r>
        <w:rPr>
          <w:rFonts w:hint="eastAsia" w:ascii="宋体" w:hAnsi="宋体" w:cs="宋体"/>
          <w:b/>
          <w:bCs/>
          <w:sz w:val="24"/>
          <w:szCs w:val="24"/>
          <w:highlight w:val="none"/>
          <w:lang w:eastAsia="zh-CN"/>
        </w:rPr>
        <w:t>修改</w:t>
      </w:r>
    </w:p>
    <w:p w14:paraId="09A695B9">
      <w:pPr>
        <w:keepNext w:val="0"/>
        <w:keepLines w:val="0"/>
        <w:pageBreakBefore w:val="0"/>
        <w:widowControl w:val="0"/>
        <w:wordWrap/>
        <w:topLinePunct w:val="0"/>
        <w:bidi w:val="0"/>
        <w:adjustRightInd w:val="0"/>
        <w:snapToGrid/>
        <w:spacing w:line="360" w:lineRule="auto"/>
        <w:ind w:firstLine="540" w:firstLineChars="224"/>
        <w:textAlignment w:val="auto"/>
        <w:rPr>
          <w:rFonts w:hint="eastAsia" w:ascii="宋体" w:hAnsi="宋体" w:eastAsia="宋体" w:cs="宋体"/>
          <w:b/>
          <w:bCs/>
          <w:strike w:val="0"/>
          <w:dstrike w:val="0"/>
          <w:sz w:val="24"/>
          <w:szCs w:val="24"/>
          <w:highlight w:val="none"/>
          <w:lang w:val="en-US" w:eastAsia="zh-CN"/>
        </w:rPr>
      </w:pPr>
      <w:r>
        <w:rPr>
          <w:rFonts w:hint="eastAsia" w:ascii="宋体" w:hAnsi="宋体" w:eastAsia="宋体" w:cs="宋体"/>
          <w:b/>
          <w:bCs/>
          <w:sz w:val="24"/>
          <w:szCs w:val="24"/>
          <w:highlight w:val="none"/>
          <w:lang w:val="en-US" w:eastAsia="zh-CN"/>
        </w:rPr>
        <w:t>原文</w:t>
      </w:r>
      <w:r>
        <w:rPr>
          <w:rFonts w:hint="eastAsia" w:ascii="宋体" w:hAnsi="宋体" w:eastAsia="宋体" w:cs="宋体"/>
          <w:b/>
          <w:bCs/>
          <w:strike w:val="0"/>
          <w:dstrike w:val="0"/>
          <w:sz w:val="24"/>
          <w:szCs w:val="24"/>
          <w:highlight w:val="none"/>
          <w:lang w:val="en-US" w:eastAsia="zh-CN"/>
        </w:rPr>
        <w:t>：</w:t>
      </w:r>
      <w:r>
        <w:rPr>
          <w:rFonts w:hint="eastAsia" w:ascii="宋体" w:hAnsi="宋体" w:cs="宋体"/>
          <w:color w:val="auto"/>
          <w:sz w:val="24"/>
          <w:szCs w:val="24"/>
          <w:highlight w:val="none"/>
          <w:lang w:val="en-US" w:eastAsia="zh-CN"/>
        </w:rPr>
        <w:t xml:space="preserve"> 5.3.1参加现场开标的投标人对开标结果有异议的，应当在开标现场提出，招标人应当当场作出答复，并制作记录。</w:t>
      </w:r>
    </w:p>
    <w:p w14:paraId="6047CD93">
      <w:pPr>
        <w:pStyle w:val="12"/>
        <w:keepNext w:val="0"/>
        <w:keepLines w:val="0"/>
        <w:pageBreakBefore w:val="0"/>
        <w:widowControl w:val="0"/>
        <w:pBdr>
          <w:bottom w:val="single" w:color="auto" w:sz="4" w:space="0"/>
        </w:pBdr>
        <w:tabs>
          <w:tab w:val="left" w:pos="1343"/>
          <w:tab w:val="left" w:pos="2697"/>
          <w:tab w:val="left" w:pos="3264"/>
          <w:tab w:val="left" w:pos="4896"/>
          <w:tab w:val="left" w:pos="6005"/>
          <w:tab w:val="left" w:pos="7085"/>
          <w:tab w:val="left" w:pos="7498"/>
        </w:tabs>
        <w:kinsoku w:val="0"/>
        <w:wordWrap/>
        <w:overflowPunct w:val="0"/>
        <w:topLinePunct w:val="0"/>
        <w:bidi w:val="0"/>
        <w:adjustRightInd w:val="0"/>
        <w:snapToGrid/>
        <w:spacing w:line="360" w:lineRule="auto"/>
        <w:ind w:left="0" w:firstLine="482" w:firstLineChars="200"/>
        <w:jc w:val="both"/>
        <w:textAlignment w:val="auto"/>
        <w:rPr>
          <w:rFonts w:hint="eastAsia" w:cs="宋体"/>
          <w:color w:val="auto"/>
          <w:sz w:val="24"/>
          <w:szCs w:val="24"/>
          <w:highlight w:val="none"/>
          <w:lang w:val="en-US" w:eastAsia="zh-CN"/>
        </w:rPr>
      </w:pPr>
      <w:r>
        <w:rPr>
          <w:rFonts w:hint="eastAsia" w:ascii="宋体" w:hAnsi="宋体" w:cs="宋体"/>
          <w:b/>
          <w:bCs/>
          <w:sz w:val="24"/>
          <w:szCs w:val="24"/>
          <w:highlight w:val="none"/>
          <w:lang w:val="en-US" w:eastAsia="zh-CN"/>
        </w:rPr>
        <w:t>现文：</w:t>
      </w:r>
      <w:r>
        <w:rPr>
          <w:rFonts w:hint="eastAsia" w:cs="宋体"/>
          <w:color w:val="auto"/>
          <w:sz w:val="24"/>
          <w:szCs w:val="24"/>
          <w:highlight w:val="none"/>
          <w:lang w:val="en-US" w:eastAsia="zh-CN"/>
        </w:rPr>
        <w:t xml:space="preserve">5.3.1 </w:t>
      </w:r>
      <w:r>
        <w:rPr>
          <w:rFonts w:hint="eastAsia" w:cs="宋体"/>
          <w:color w:val="auto"/>
          <w:sz w:val="24"/>
          <w:szCs w:val="24"/>
          <w:highlight w:val="none"/>
          <w:u w:val="single"/>
          <w:lang w:val="en-US" w:eastAsia="zh-CN"/>
        </w:rPr>
        <w:t xml:space="preserve"> 若投标人代表对开标过程有异议的，参加现场开标的，</w:t>
      </w:r>
      <w:r>
        <w:rPr>
          <w:rFonts w:hint="eastAsia" w:cs="宋体"/>
          <w:color w:val="auto"/>
          <w:sz w:val="24"/>
          <w:szCs w:val="24"/>
          <w:highlight w:val="none"/>
          <w:lang w:val="en-US" w:eastAsia="zh-CN"/>
        </w:rPr>
        <w:t>应当在开标现场提出，同时出示本人身份证原件，招标人应当当场作出答复，并制作记录。</w:t>
      </w:r>
    </w:p>
    <w:p w14:paraId="6B214553">
      <w:pPr>
        <w:keepNext w:val="0"/>
        <w:keepLines w:val="0"/>
        <w:pageBreakBefore w:val="0"/>
        <w:widowControl w:val="0"/>
        <w:wordWrap/>
        <w:topLinePunct w:val="0"/>
        <w:autoSpaceDE w:val="0"/>
        <w:autoSpaceDN w:val="0"/>
        <w:bidi w:val="0"/>
        <w:adjustRightInd w:val="0"/>
        <w:snapToGrid/>
        <w:spacing w:line="360" w:lineRule="auto"/>
        <w:ind w:firstLine="540" w:firstLineChars="224"/>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条款号：6.3              修改类型：修改</w:t>
      </w:r>
    </w:p>
    <w:p w14:paraId="312F94D8">
      <w:pPr>
        <w:keepNext w:val="0"/>
        <w:keepLines w:val="0"/>
        <w:pageBreakBefore w:val="0"/>
        <w:widowControl w:val="0"/>
        <w:wordWrap/>
        <w:topLinePunct w:val="0"/>
        <w:autoSpaceDE w:val="0"/>
        <w:autoSpaceDN w:val="0"/>
        <w:bidi w:val="0"/>
        <w:adjustRightInd w:val="0"/>
        <w:snapToGrid/>
        <w:spacing w:line="360" w:lineRule="auto"/>
        <w:ind w:firstLine="540" w:firstLineChars="224"/>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原文：</w:t>
      </w:r>
      <w:r>
        <w:rPr>
          <w:rFonts w:hint="eastAsia" w:ascii="宋体" w:hAnsi="宋体" w:eastAsia="宋体" w:cs="宋体"/>
          <w:b w:val="0"/>
          <w:bCs w:val="0"/>
          <w:sz w:val="24"/>
          <w:szCs w:val="24"/>
          <w:highlight w:val="none"/>
        </w:rPr>
        <w:t>6.3 评标</w:t>
      </w:r>
    </w:p>
    <w:p w14:paraId="46EA7E38">
      <w:pPr>
        <w:keepNext w:val="0"/>
        <w:keepLines w:val="0"/>
        <w:pageBreakBefore w:val="0"/>
        <w:widowControl w:val="0"/>
        <w:wordWrap/>
        <w:topLinePunct w:val="0"/>
        <w:autoSpaceDE w:val="0"/>
        <w:autoSpaceDN w:val="0"/>
        <w:bidi w:val="0"/>
        <w:adjustRightInd w:val="0"/>
        <w:snapToGrid/>
        <w:spacing w:line="360" w:lineRule="auto"/>
        <w:ind w:firstLine="537" w:firstLineChars="224"/>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6.3.1评标委员会按照第三章“评标办法”规定的方法、评审因素、标准和程序对投标文件进行评审。第三章“评标办法”没有规定的方法、评审因素和标准，不作为评标依据。</w:t>
      </w:r>
    </w:p>
    <w:p w14:paraId="07EADC09">
      <w:pPr>
        <w:keepNext w:val="0"/>
        <w:keepLines w:val="0"/>
        <w:pageBreakBefore w:val="0"/>
        <w:widowControl w:val="0"/>
        <w:wordWrap/>
        <w:topLinePunct w:val="0"/>
        <w:autoSpaceDE w:val="0"/>
        <w:autoSpaceDN w:val="0"/>
        <w:bidi w:val="0"/>
        <w:adjustRightInd w:val="0"/>
        <w:snapToGrid/>
        <w:spacing w:line="360" w:lineRule="auto"/>
        <w:ind w:firstLine="537" w:firstLineChars="224"/>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6.3.2评标完成后，评标委员会应当向招标人提交书面评标报告和中标候选人名单。评标委员会推荐中标候选人的人数见投标人须知前附表。</w:t>
      </w:r>
    </w:p>
    <w:p w14:paraId="67F8C57D">
      <w:pPr>
        <w:keepNext w:val="0"/>
        <w:keepLines w:val="0"/>
        <w:pageBreakBefore w:val="0"/>
        <w:widowControl w:val="0"/>
        <w:wordWrap/>
        <w:topLinePunct w:val="0"/>
        <w:autoSpaceDE w:val="0"/>
        <w:autoSpaceDN w:val="0"/>
        <w:bidi w:val="0"/>
        <w:adjustRightInd w:val="0"/>
        <w:snapToGrid/>
        <w:spacing w:line="360" w:lineRule="auto"/>
        <w:ind w:firstLine="540" w:firstLineChars="224"/>
        <w:textAlignment w:val="auto"/>
        <w:rPr>
          <w:rFonts w:hint="eastAsia" w:ascii="宋体" w:hAnsi="宋体" w:eastAsia="宋体" w:cs="宋体"/>
          <w:b w:val="0"/>
          <w:bCs w:val="0"/>
          <w:sz w:val="24"/>
          <w:szCs w:val="24"/>
          <w:highlight w:val="none"/>
        </w:rPr>
      </w:pPr>
      <w:r>
        <w:rPr>
          <w:rFonts w:hint="eastAsia" w:ascii="宋体" w:hAnsi="宋体" w:eastAsia="宋体" w:cs="宋体"/>
          <w:b/>
          <w:bCs/>
          <w:sz w:val="24"/>
          <w:szCs w:val="24"/>
          <w:highlight w:val="none"/>
        </w:rPr>
        <w:t>现文：</w:t>
      </w:r>
      <w:r>
        <w:rPr>
          <w:rFonts w:hint="eastAsia" w:ascii="宋体" w:hAnsi="宋体" w:eastAsia="宋体" w:cs="宋体"/>
          <w:b w:val="0"/>
          <w:bCs w:val="0"/>
          <w:sz w:val="24"/>
          <w:szCs w:val="24"/>
          <w:highlight w:val="none"/>
        </w:rPr>
        <w:t>6.3 评标</w:t>
      </w:r>
    </w:p>
    <w:p w14:paraId="127BF176">
      <w:pPr>
        <w:keepNext w:val="0"/>
        <w:keepLines w:val="0"/>
        <w:pageBreakBefore w:val="0"/>
        <w:widowControl w:val="0"/>
        <w:wordWrap/>
        <w:topLinePunct w:val="0"/>
        <w:autoSpaceDE w:val="0"/>
        <w:autoSpaceDN w:val="0"/>
        <w:bidi w:val="0"/>
        <w:adjustRightInd w:val="0"/>
        <w:snapToGrid/>
        <w:spacing w:line="360" w:lineRule="auto"/>
        <w:ind w:firstLine="537" w:firstLineChars="224"/>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6.3.1评标</w:t>
      </w:r>
      <w:r>
        <w:rPr>
          <w:rFonts w:hint="eastAsia" w:ascii="宋体" w:hAnsi="宋体" w:eastAsia="宋体" w:cs="宋体"/>
          <w:b w:val="0"/>
          <w:bCs w:val="0"/>
          <w:sz w:val="24"/>
          <w:szCs w:val="24"/>
          <w:highlight w:val="none"/>
        </w:rPr>
        <w:t>委员会按照第三章“评标</w:t>
      </w:r>
      <w:r>
        <w:rPr>
          <w:rFonts w:hint="eastAsia" w:ascii="宋体" w:hAnsi="宋体" w:eastAsia="宋体" w:cs="宋体"/>
          <w:b w:val="0"/>
          <w:bCs w:val="0"/>
          <w:sz w:val="24"/>
          <w:szCs w:val="24"/>
          <w:highlight w:val="none"/>
          <w:u w:val="single"/>
        </w:rPr>
        <w:t>、定标</w:t>
      </w:r>
      <w:r>
        <w:rPr>
          <w:rFonts w:hint="eastAsia" w:ascii="宋体" w:hAnsi="宋体" w:eastAsia="宋体" w:cs="宋体"/>
          <w:b w:val="0"/>
          <w:bCs w:val="0"/>
          <w:sz w:val="24"/>
          <w:szCs w:val="24"/>
          <w:highlight w:val="none"/>
        </w:rPr>
        <w:t>办法”规定的方法、评审因素、标准和程序对投标文件</w:t>
      </w:r>
      <w:r>
        <w:rPr>
          <w:rFonts w:hint="eastAsia" w:ascii="宋体" w:hAnsi="宋体" w:cs="宋体"/>
          <w:b w:val="0"/>
          <w:bCs w:val="0"/>
          <w:sz w:val="24"/>
          <w:szCs w:val="24"/>
          <w:highlight w:val="none"/>
          <w:u w:val="single"/>
          <w:lang w:eastAsia="zh-CN"/>
        </w:rPr>
        <w:t>（评标部分）</w:t>
      </w:r>
      <w:r>
        <w:rPr>
          <w:rFonts w:hint="eastAsia" w:ascii="宋体" w:hAnsi="宋体" w:eastAsia="宋体" w:cs="宋体"/>
          <w:b w:val="0"/>
          <w:bCs w:val="0"/>
          <w:sz w:val="24"/>
          <w:szCs w:val="24"/>
          <w:highlight w:val="none"/>
        </w:rPr>
        <w:t>进行评审。第三章“评标</w:t>
      </w:r>
      <w:r>
        <w:rPr>
          <w:rFonts w:hint="eastAsia" w:ascii="宋体" w:hAnsi="宋体" w:eastAsia="宋体" w:cs="宋体"/>
          <w:b w:val="0"/>
          <w:bCs w:val="0"/>
          <w:sz w:val="24"/>
          <w:szCs w:val="24"/>
          <w:highlight w:val="none"/>
          <w:u w:val="single"/>
        </w:rPr>
        <w:t>、定标</w:t>
      </w:r>
      <w:r>
        <w:rPr>
          <w:rFonts w:hint="eastAsia" w:ascii="宋体" w:hAnsi="宋体" w:eastAsia="宋体" w:cs="宋体"/>
          <w:b w:val="0"/>
          <w:bCs w:val="0"/>
          <w:sz w:val="24"/>
          <w:szCs w:val="24"/>
          <w:highlight w:val="none"/>
        </w:rPr>
        <w:t>办法”没有规定的方法、评审因素和标准，不作为评标依据。</w:t>
      </w:r>
    </w:p>
    <w:p w14:paraId="31C04C19">
      <w:pPr>
        <w:keepNext w:val="0"/>
        <w:keepLines w:val="0"/>
        <w:pageBreakBefore w:val="0"/>
        <w:widowControl w:val="0"/>
        <w:pBdr>
          <w:bottom w:val="single" w:color="auto" w:sz="4" w:space="0"/>
        </w:pBdr>
        <w:wordWrap/>
        <w:topLinePunct w:val="0"/>
        <w:autoSpaceDE w:val="0"/>
        <w:autoSpaceDN w:val="0"/>
        <w:bidi w:val="0"/>
        <w:adjustRightInd w:val="0"/>
        <w:snapToGrid/>
        <w:spacing w:line="360" w:lineRule="auto"/>
        <w:ind w:firstLine="537" w:firstLineChars="224"/>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6.3.2评标完成后，评标委员会应当向招标人提交书面评标报告和</w:t>
      </w:r>
      <w:r>
        <w:rPr>
          <w:rFonts w:hint="eastAsia" w:ascii="宋体" w:hAnsi="宋体" w:eastAsia="宋体" w:cs="宋体"/>
          <w:b w:val="0"/>
          <w:bCs w:val="0"/>
          <w:sz w:val="24"/>
          <w:szCs w:val="24"/>
          <w:highlight w:val="none"/>
          <w:u w:val="single"/>
        </w:rPr>
        <w:t>合格</w:t>
      </w:r>
      <w:r>
        <w:rPr>
          <w:rFonts w:hint="eastAsia" w:ascii="宋体" w:hAnsi="宋体" w:eastAsia="宋体" w:cs="宋体"/>
          <w:b w:val="0"/>
          <w:bCs w:val="0"/>
          <w:sz w:val="24"/>
          <w:szCs w:val="24"/>
          <w:highlight w:val="none"/>
        </w:rPr>
        <w:t>中标候选人名单。评标委员会推荐</w:t>
      </w:r>
      <w:r>
        <w:rPr>
          <w:rFonts w:hint="eastAsia" w:ascii="宋体" w:hAnsi="宋体" w:eastAsia="宋体" w:cs="宋体"/>
          <w:b w:val="0"/>
          <w:bCs w:val="0"/>
          <w:sz w:val="24"/>
          <w:szCs w:val="24"/>
          <w:highlight w:val="none"/>
          <w:u w:val="single"/>
        </w:rPr>
        <w:t>合格</w:t>
      </w:r>
      <w:r>
        <w:rPr>
          <w:rFonts w:hint="eastAsia" w:ascii="宋体" w:hAnsi="宋体" w:eastAsia="宋体" w:cs="宋体"/>
          <w:b w:val="0"/>
          <w:bCs w:val="0"/>
          <w:sz w:val="24"/>
          <w:szCs w:val="24"/>
          <w:highlight w:val="none"/>
        </w:rPr>
        <w:t>中标候选人的人数见投标人须知前附表。</w:t>
      </w:r>
    </w:p>
    <w:p w14:paraId="0C43ACFB">
      <w:pPr>
        <w:keepNext w:val="0"/>
        <w:keepLines w:val="0"/>
        <w:pageBreakBefore w:val="0"/>
        <w:widowControl w:val="0"/>
        <w:wordWrap/>
        <w:topLinePunct w:val="0"/>
        <w:bidi w:val="0"/>
        <w:adjustRightInd w:val="0"/>
        <w:snapToGrid/>
        <w:spacing w:line="360" w:lineRule="auto"/>
        <w:ind w:firstLine="540" w:firstLineChars="224"/>
        <w:textAlignment w:val="auto"/>
        <w:rPr>
          <w:rFonts w:hint="default" w:ascii="宋体" w:hAnsi="宋体" w:cs="宋体"/>
          <w:b/>
          <w:bCs/>
          <w:sz w:val="24"/>
          <w:szCs w:val="24"/>
          <w:highlight w:val="none"/>
          <w:lang w:val="en-US" w:eastAsia="zh-CN"/>
        </w:rPr>
      </w:pPr>
      <w:r>
        <w:rPr>
          <w:rFonts w:hint="eastAsia" w:ascii="宋体" w:hAnsi="宋体" w:eastAsia="宋体" w:cs="宋体"/>
          <w:b/>
          <w:bCs/>
          <w:sz w:val="24"/>
          <w:szCs w:val="24"/>
          <w:highlight w:val="none"/>
        </w:rPr>
        <w:t>条款号：</w:t>
      </w:r>
      <w:r>
        <w:rPr>
          <w:rFonts w:hint="eastAsia" w:ascii="宋体" w:hAnsi="宋体" w:cs="宋体"/>
          <w:strike w:val="0"/>
          <w:color w:val="auto"/>
          <w:sz w:val="24"/>
          <w:szCs w:val="24"/>
          <w:highlight w:val="none"/>
          <w:lang w:val="en-US" w:eastAsia="zh-CN"/>
        </w:rPr>
        <w:t>6.3.3</w:t>
      </w:r>
      <w:r>
        <w:rPr>
          <w:rFonts w:hint="eastAsia" w:ascii="宋体" w:hAnsi="宋体" w:eastAsia="宋体" w:cs="宋体"/>
          <w:strike w:val="0"/>
          <w:color w:val="auto"/>
          <w:sz w:val="24"/>
          <w:szCs w:val="24"/>
          <w:highlight w:val="none"/>
          <w:lang w:val="en-US" w:eastAsia="zh-CN"/>
        </w:rPr>
        <w:t xml:space="preserve"> </w:t>
      </w:r>
      <w:r>
        <w:rPr>
          <w:rFonts w:hint="eastAsia" w:ascii="宋体" w:hAnsi="宋体" w:eastAsia="宋体" w:cs="宋体"/>
          <w:b/>
          <w:bCs/>
          <w:strike w:val="0"/>
          <w:color w:val="auto"/>
          <w:sz w:val="24"/>
          <w:szCs w:val="24"/>
          <w:highlight w:val="none"/>
          <w:lang w:val="en-US" w:eastAsia="zh-CN"/>
        </w:rPr>
        <w:t xml:space="preserve"> </w:t>
      </w:r>
      <w:r>
        <w:rPr>
          <w:rFonts w:hint="eastAsia" w:ascii="宋体" w:hAnsi="宋体" w:eastAsia="宋体" w:cs="宋体"/>
          <w:b/>
          <w:bCs/>
          <w:sz w:val="24"/>
          <w:szCs w:val="24"/>
          <w:highlight w:val="none"/>
        </w:rPr>
        <w:t xml:space="preserve">          </w:t>
      </w:r>
      <w:r>
        <w:rPr>
          <w:rFonts w:hint="eastAsia" w:ascii="宋体" w:hAnsi="宋体" w:cs="宋体"/>
          <w:b/>
          <w:bCs/>
          <w:sz w:val="24"/>
          <w:szCs w:val="24"/>
          <w:highlight w:val="none"/>
          <w:lang w:val="en-US" w:eastAsia="zh-CN"/>
        </w:rPr>
        <w:t xml:space="preserve">      </w:t>
      </w:r>
      <w:r>
        <w:rPr>
          <w:rFonts w:hint="eastAsia" w:ascii="宋体" w:hAnsi="宋体" w:eastAsia="宋体" w:cs="宋体"/>
          <w:b/>
          <w:bCs/>
          <w:sz w:val="24"/>
          <w:szCs w:val="24"/>
          <w:highlight w:val="none"/>
        </w:rPr>
        <w:t xml:space="preserve"> 修改类型：</w:t>
      </w:r>
      <w:r>
        <w:rPr>
          <w:rFonts w:hint="eastAsia" w:ascii="宋体" w:hAnsi="宋体" w:cs="宋体"/>
          <w:b/>
          <w:bCs/>
          <w:sz w:val="24"/>
          <w:szCs w:val="24"/>
          <w:highlight w:val="none"/>
          <w:lang w:eastAsia="zh-CN"/>
        </w:rPr>
        <w:t>增</w:t>
      </w:r>
      <w:r>
        <w:rPr>
          <w:rFonts w:hint="eastAsia" w:ascii="宋体" w:hAnsi="宋体" w:cs="宋体"/>
          <w:b/>
          <w:bCs/>
          <w:sz w:val="24"/>
          <w:szCs w:val="24"/>
          <w:highlight w:val="none"/>
          <w:lang w:val="en-US" w:eastAsia="zh-CN"/>
        </w:rPr>
        <w:t>加</w:t>
      </w:r>
    </w:p>
    <w:p w14:paraId="754BABDC">
      <w:pPr>
        <w:pStyle w:val="1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bidi w:val="0"/>
        <w:adjustRightInd w:val="0"/>
        <w:snapToGrid/>
        <w:spacing w:line="360" w:lineRule="auto"/>
        <w:ind w:left="0" w:firstLine="482" w:firstLineChars="200"/>
        <w:jc w:val="both"/>
        <w:textAlignment w:val="auto"/>
        <w:rPr>
          <w:rFonts w:hint="eastAsia" w:cs="宋体"/>
          <w:color w:val="auto"/>
          <w:sz w:val="24"/>
          <w:szCs w:val="24"/>
          <w:highlight w:val="none"/>
          <w:u w:val="single"/>
        </w:rPr>
      </w:pPr>
      <w:r>
        <w:rPr>
          <w:rFonts w:hint="eastAsia" w:ascii="宋体" w:hAnsi="宋体" w:cs="宋体"/>
          <w:b/>
          <w:bCs/>
          <w:sz w:val="24"/>
          <w:szCs w:val="24"/>
          <w:highlight w:val="none"/>
          <w:lang w:val="en-US" w:eastAsia="zh-CN"/>
        </w:rPr>
        <w:t>现文：</w:t>
      </w:r>
      <w:r>
        <w:rPr>
          <w:rFonts w:hint="eastAsia" w:cs="宋体"/>
          <w:color w:val="auto"/>
          <w:sz w:val="24"/>
          <w:szCs w:val="24"/>
          <w:highlight w:val="none"/>
          <w:u w:val="single"/>
        </w:rPr>
        <w:t>6.3.3发生下列情形之一的，招标人将重新组织招标：</w:t>
      </w:r>
    </w:p>
    <w:p w14:paraId="22366959">
      <w:pPr>
        <w:pStyle w:val="1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bidi w:val="0"/>
        <w:adjustRightInd w:val="0"/>
        <w:snapToGrid/>
        <w:spacing w:line="360" w:lineRule="auto"/>
        <w:ind w:left="0" w:firstLine="480" w:firstLineChars="200"/>
        <w:jc w:val="both"/>
        <w:textAlignment w:val="auto"/>
        <w:rPr>
          <w:rFonts w:hint="eastAsia" w:cs="宋体"/>
          <w:color w:val="auto"/>
          <w:sz w:val="24"/>
          <w:szCs w:val="24"/>
          <w:highlight w:val="none"/>
          <w:u w:val="single"/>
        </w:rPr>
      </w:pPr>
      <w:r>
        <w:rPr>
          <w:rFonts w:hint="eastAsia" w:cs="宋体"/>
          <w:color w:val="auto"/>
          <w:sz w:val="24"/>
          <w:szCs w:val="24"/>
          <w:highlight w:val="none"/>
          <w:u w:val="single"/>
        </w:rPr>
        <w:t xml:space="preserve"> (a) 递交投标文件或通过初步评审的投标人不足</w:t>
      </w:r>
      <w:r>
        <w:rPr>
          <w:rFonts w:hint="eastAsia" w:cs="宋体"/>
          <w:color w:val="auto"/>
          <w:sz w:val="24"/>
          <w:szCs w:val="24"/>
          <w:highlight w:val="none"/>
          <w:u w:val="single"/>
          <w:lang w:val="en-US" w:eastAsia="zh-CN"/>
        </w:rPr>
        <w:t>5</w:t>
      </w:r>
      <w:r>
        <w:rPr>
          <w:rFonts w:hint="eastAsia" w:cs="宋体"/>
          <w:color w:val="auto"/>
          <w:sz w:val="24"/>
          <w:szCs w:val="24"/>
          <w:highlight w:val="none"/>
          <w:u w:val="single"/>
        </w:rPr>
        <w:t>人。</w:t>
      </w:r>
    </w:p>
    <w:p w14:paraId="101C2CF5">
      <w:pPr>
        <w:keepNext w:val="0"/>
        <w:keepLines w:val="0"/>
        <w:pageBreakBefore w:val="0"/>
        <w:widowControl w:val="0"/>
        <w:pBdr>
          <w:bottom w:val="single" w:color="auto" w:sz="4" w:space="0"/>
        </w:pBdr>
        <w:wordWrap/>
        <w:topLinePunct w:val="0"/>
        <w:bidi w:val="0"/>
        <w:adjustRightInd w:val="0"/>
        <w:snapToGrid/>
        <w:spacing w:line="360" w:lineRule="auto"/>
        <w:ind w:firstLine="537" w:firstLineChars="224"/>
        <w:textAlignment w:val="auto"/>
        <w:rPr>
          <w:rFonts w:hint="eastAsia" w:ascii="宋体" w:hAnsi="宋体" w:cs="宋体"/>
          <w:b/>
          <w:bCs/>
          <w:sz w:val="24"/>
          <w:szCs w:val="24"/>
          <w:highlight w:val="none"/>
          <w:u w:val="single"/>
          <w:lang w:eastAsia="zh-CN"/>
        </w:rPr>
      </w:pPr>
      <w:r>
        <w:rPr>
          <w:rFonts w:hint="eastAsia" w:ascii="宋体" w:hAnsi="宋体" w:cs="宋体"/>
          <w:color w:val="auto"/>
          <w:sz w:val="24"/>
          <w:szCs w:val="24"/>
          <w:highlight w:val="none"/>
          <w:u w:val="single"/>
        </w:rPr>
        <w:t xml:space="preserve"> (b) 所有投标被否决，或者经评审有效投标的投标人不足</w:t>
      </w:r>
      <w:r>
        <w:rPr>
          <w:rFonts w:hint="eastAsia" w:ascii="宋体" w:hAnsi="宋体" w:cs="宋体"/>
          <w:color w:val="auto"/>
          <w:sz w:val="24"/>
          <w:szCs w:val="24"/>
          <w:highlight w:val="none"/>
          <w:u w:val="single"/>
          <w:lang w:val="en-US" w:eastAsia="zh-CN"/>
        </w:rPr>
        <w:t>5</w:t>
      </w:r>
      <w:r>
        <w:rPr>
          <w:rFonts w:hint="eastAsia" w:ascii="宋体" w:hAnsi="宋体" w:cs="宋体"/>
          <w:color w:val="auto"/>
          <w:sz w:val="24"/>
          <w:szCs w:val="24"/>
          <w:highlight w:val="none"/>
          <w:u w:val="single"/>
        </w:rPr>
        <w:t>人。</w:t>
      </w:r>
    </w:p>
    <w:p w14:paraId="492497DF">
      <w:pPr>
        <w:keepNext w:val="0"/>
        <w:keepLines w:val="0"/>
        <w:pageBreakBefore w:val="0"/>
        <w:widowControl w:val="0"/>
        <w:wordWrap/>
        <w:topLinePunct w:val="0"/>
        <w:autoSpaceDE/>
        <w:autoSpaceDN/>
        <w:bidi w:val="0"/>
        <w:adjustRightInd w:val="0"/>
        <w:snapToGrid/>
        <w:spacing w:line="360" w:lineRule="auto"/>
        <w:ind w:firstLine="482" w:firstLineChars="200"/>
        <w:textAlignment w:val="auto"/>
        <w:rPr>
          <w:rFonts w:hint="eastAsia" w:ascii="宋体" w:hAnsi="宋体" w:cs="宋体"/>
          <w:b/>
          <w:bCs/>
          <w:sz w:val="24"/>
          <w:szCs w:val="24"/>
          <w:highlight w:val="none"/>
          <w:lang w:eastAsia="zh-CN"/>
        </w:rPr>
      </w:pPr>
      <w:r>
        <w:rPr>
          <w:rFonts w:hint="eastAsia" w:ascii="宋体" w:hAnsi="宋体" w:eastAsia="宋体" w:cs="宋体"/>
          <w:b/>
          <w:bCs/>
          <w:sz w:val="24"/>
          <w:szCs w:val="24"/>
          <w:highlight w:val="none"/>
        </w:rPr>
        <w:t>条款号：</w:t>
      </w:r>
      <w:r>
        <w:rPr>
          <w:rFonts w:hint="eastAsia" w:ascii="宋体" w:hAnsi="宋体" w:cs="宋体"/>
          <w:strike w:val="0"/>
          <w:color w:val="auto"/>
          <w:sz w:val="24"/>
          <w:szCs w:val="24"/>
          <w:highlight w:val="none"/>
          <w:lang w:val="en-US" w:eastAsia="zh-CN"/>
        </w:rPr>
        <w:t>7.1</w:t>
      </w:r>
      <w:r>
        <w:rPr>
          <w:rFonts w:hint="eastAsia" w:ascii="宋体" w:hAnsi="宋体" w:eastAsia="宋体" w:cs="宋体"/>
          <w:highlight w:val="none"/>
        </w:rPr>
        <w:t>中标候选人公示</w:t>
      </w:r>
      <w:r>
        <w:rPr>
          <w:rFonts w:hint="eastAsia" w:ascii="宋体" w:hAnsi="宋体" w:eastAsia="宋体" w:cs="宋体"/>
          <w:strike w:val="0"/>
          <w:color w:val="auto"/>
          <w:sz w:val="24"/>
          <w:szCs w:val="24"/>
          <w:highlight w:val="none"/>
          <w:lang w:val="en-US" w:eastAsia="zh-CN"/>
        </w:rPr>
        <w:t xml:space="preserve"> </w:t>
      </w:r>
      <w:r>
        <w:rPr>
          <w:rFonts w:hint="eastAsia" w:ascii="宋体" w:hAnsi="宋体" w:eastAsia="宋体" w:cs="宋体"/>
          <w:b/>
          <w:bCs/>
          <w:strike w:val="0"/>
          <w:color w:val="auto"/>
          <w:sz w:val="24"/>
          <w:szCs w:val="24"/>
          <w:highlight w:val="none"/>
          <w:lang w:val="en-US" w:eastAsia="zh-CN"/>
        </w:rPr>
        <w:t xml:space="preserve"> </w:t>
      </w:r>
      <w:r>
        <w:rPr>
          <w:rFonts w:hint="eastAsia" w:ascii="宋体" w:hAnsi="宋体" w:eastAsia="宋体" w:cs="宋体"/>
          <w:b/>
          <w:bCs/>
          <w:sz w:val="24"/>
          <w:szCs w:val="24"/>
          <w:highlight w:val="none"/>
        </w:rPr>
        <w:t xml:space="preserve">   </w:t>
      </w:r>
      <w:r>
        <w:rPr>
          <w:rFonts w:hint="eastAsia" w:ascii="宋体" w:hAnsi="宋体" w:cs="宋体"/>
          <w:b/>
          <w:bCs/>
          <w:sz w:val="24"/>
          <w:szCs w:val="24"/>
          <w:highlight w:val="none"/>
          <w:lang w:val="en-US" w:eastAsia="zh-CN"/>
        </w:rPr>
        <w:t xml:space="preserve"> </w:t>
      </w:r>
      <w:r>
        <w:rPr>
          <w:rFonts w:hint="eastAsia" w:ascii="宋体" w:hAnsi="宋体" w:eastAsia="宋体" w:cs="宋体"/>
          <w:b/>
          <w:bCs/>
          <w:sz w:val="24"/>
          <w:szCs w:val="24"/>
          <w:highlight w:val="none"/>
        </w:rPr>
        <w:t xml:space="preserve"> 修改类型：</w:t>
      </w:r>
      <w:r>
        <w:rPr>
          <w:rFonts w:hint="eastAsia" w:ascii="宋体" w:hAnsi="宋体" w:cs="宋体"/>
          <w:b/>
          <w:bCs/>
          <w:sz w:val="24"/>
          <w:szCs w:val="24"/>
          <w:highlight w:val="none"/>
          <w:lang w:eastAsia="zh-CN"/>
        </w:rPr>
        <w:t>修改</w:t>
      </w:r>
    </w:p>
    <w:p w14:paraId="1B019F2E">
      <w:pPr>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rPr>
          <w:rFonts w:hint="eastAsia" w:ascii="宋体" w:hAnsi="宋体" w:eastAsia="宋体" w:cs="宋体"/>
          <w:highlight w:val="none"/>
        </w:rPr>
      </w:pPr>
      <w:r>
        <w:rPr>
          <w:rFonts w:hint="eastAsia" w:ascii="宋体" w:hAnsi="宋体" w:eastAsia="宋体" w:cs="宋体"/>
          <w:b/>
          <w:bCs/>
          <w:sz w:val="24"/>
          <w:szCs w:val="24"/>
          <w:highlight w:val="none"/>
          <w:lang w:val="en-US" w:eastAsia="zh-CN"/>
        </w:rPr>
        <w:t>原文</w:t>
      </w:r>
      <w:r>
        <w:rPr>
          <w:rFonts w:hint="eastAsia" w:ascii="宋体" w:hAnsi="宋体" w:eastAsia="宋体" w:cs="宋体"/>
          <w:b/>
          <w:bCs/>
          <w:strike w:val="0"/>
          <w:dstrike w:val="0"/>
          <w:sz w:val="24"/>
          <w:szCs w:val="24"/>
          <w:highlight w:val="none"/>
          <w:lang w:val="en-US" w:eastAsia="zh-CN"/>
        </w:rPr>
        <w:t>：</w:t>
      </w:r>
      <w:r>
        <w:rPr>
          <w:rFonts w:hint="eastAsia" w:ascii="宋体" w:hAnsi="宋体" w:eastAsia="宋体" w:cs="宋体"/>
          <w:highlight w:val="none"/>
        </w:rPr>
        <w:t>7.1 中标候选人公示</w:t>
      </w:r>
    </w:p>
    <w:p w14:paraId="3ADC3956">
      <w:pPr>
        <w:pStyle w:val="1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autoSpaceDN/>
        <w:bidi w:val="0"/>
        <w:adjustRightInd w:val="0"/>
        <w:snapToGrid/>
        <w:spacing w:line="360" w:lineRule="auto"/>
        <w:ind w:left="0" w:firstLine="480" w:firstLineChars="200"/>
        <w:jc w:val="both"/>
        <w:textAlignment w:val="auto"/>
        <w:rPr>
          <w:rFonts w:hint="eastAsia" w:cs="宋体"/>
          <w:color w:val="auto"/>
          <w:sz w:val="24"/>
          <w:szCs w:val="24"/>
          <w:highlight w:val="none"/>
        </w:rPr>
      </w:pPr>
      <w:r>
        <w:rPr>
          <w:rFonts w:hint="eastAsia" w:cs="宋体"/>
          <w:color w:val="auto"/>
          <w:sz w:val="24"/>
          <w:szCs w:val="24"/>
          <w:highlight w:val="none"/>
        </w:rPr>
        <w:t>招标人在收到评标报告之日起3日内，按照投标人须知前附表规定的公示媒介和期限公示中标候选人，公示期不得少于3天</w:t>
      </w:r>
      <w:r>
        <w:rPr>
          <w:rFonts w:hint="eastAsia" w:cs="宋体"/>
          <w:color w:val="auto"/>
          <w:sz w:val="24"/>
          <w:szCs w:val="24"/>
          <w:highlight w:val="none"/>
          <w:lang w:eastAsia="zh-CN"/>
        </w:rPr>
        <w:t>，</w:t>
      </w:r>
      <w:r>
        <w:rPr>
          <w:rFonts w:hint="eastAsia" w:cs="宋体"/>
          <w:color w:val="auto"/>
          <w:sz w:val="24"/>
          <w:szCs w:val="24"/>
          <w:highlight w:val="none"/>
          <w:lang w:val="en-US" w:eastAsia="zh-CN"/>
        </w:rPr>
        <w:t>最后一天应为工作日</w:t>
      </w:r>
      <w:r>
        <w:rPr>
          <w:rFonts w:hint="eastAsia" w:cs="宋体"/>
          <w:color w:val="auto"/>
          <w:sz w:val="24"/>
          <w:szCs w:val="24"/>
          <w:highlight w:val="none"/>
        </w:rPr>
        <w:t>。</w:t>
      </w:r>
    </w:p>
    <w:p w14:paraId="33346859">
      <w:pPr>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rPr>
          <w:rFonts w:hint="eastAsia" w:ascii="宋体" w:hAnsi="宋体" w:eastAsia="宋体" w:cs="宋体"/>
          <w:highlight w:val="none"/>
        </w:rPr>
      </w:pPr>
      <w:r>
        <w:rPr>
          <w:rFonts w:hint="eastAsia" w:ascii="宋体" w:hAnsi="宋体" w:cs="宋体"/>
          <w:b/>
          <w:bCs/>
          <w:sz w:val="24"/>
          <w:szCs w:val="24"/>
          <w:highlight w:val="none"/>
          <w:lang w:val="en-US" w:eastAsia="zh-CN"/>
        </w:rPr>
        <w:t>现文：</w:t>
      </w:r>
      <w:r>
        <w:rPr>
          <w:rFonts w:hint="eastAsia" w:ascii="宋体" w:hAnsi="宋体" w:eastAsia="宋体" w:cs="宋体"/>
          <w:highlight w:val="none"/>
        </w:rPr>
        <w:t xml:space="preserve">7.1 </w:t>
      </w:r>
      <w:r>
        <w:rPr>
          <w:rFonts w:hint="eastAsia" w:ascii="宋体" w:hAnsi="宋体" w:cs="宋体"/>
          <w:highlight w:val="none"/>
          <w:u w:val="single"/>
          <w:lang w:eastAsia="zh-CN"/>
        </w:rPr>
        <w:t>合格</w:t>
      </w:r>
      <w:r>
        <w:rPr>
          <w:rFonts w:hint="eastAsia" w:ascii="宋体" w:hAnsi="宋体" w:eastAsia="宋体" w:cs="宋体"/>
          <w:highlight w:val="none"/>
        </w:rPr>
        <w:t>中标候选人</w:t>
      </w:r>
      <w:r>
        <w:rPr>
          <w:rFonts w:hint="eastAsia" w:ascii="宋体" w:hAnsi="宋体" w:cs="宋体"/>
          <w:highlight w:val="none"/>
          <w:u w:val="single"/>
          <w:lang w:eastAsia="zh-CN"/>
        </w:rPr>
        <w:t>及中标结果</w:t>
      </w:r>
      <w:r>
        <w:rPr>
          <w:rFonts w:hint="eastAsia" w:ascii="宋体" w:hAnsi="宋体" w:eastAsia="宋体" w:cs="宋体"/>
          <w:highlight w:val="none"/>
        </w:rPr>
        <w:t>公示</w:t>
      </w:r>
    </w:p>
    <w:p w14:paraId="55C4A987">
      <w:pPr>
        <w:pStyle w:val="1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autoSpaceDN/>
        <w:bidi w:val="0"/>
        <w:adjustRightInd w:val="0"/>
        <w:snapToGrid/>
        <w:spacing w:line="360" w:lineRule="auto"/>
        <w:ind w:left="0" w:firstLine="480" w:firstLineChars="200"/>
        <w:jc w:val="both"/>
        <w:textAlignment w:val="auto"/>
        <w:rPr>
          <w:rFonts w:hint="eastAsia" w:cs="宋体"/>
          <w:color w:val="auto"/>
          <w:sz w:val="24"/>
          <w:szCs w:val="24"/>
          <w:highlight w:val="none"/>
        </w:rPr>
      </w:pPr>
      <w:r>
        <w:rPr>
          <w:rFonts w:hint="eastAsia" w:cs="宋体"/>
          <w:color w:val="auto"/>
          <w:sz w:val="24"/>
          <w:szCs w:val="24"/>
          <w:highlight w:val="none"/>
          <w:lang w:val="en-US" w:eastAsia="zh-CN"/>
        </w:rPr>
        <w:t>7.1.1</w:t>
      </w:r>
      <w:r>
        <w:rPr>
          <w:rFonts w:hint="eastAsia" w:cs="宋体"/>
          <w:color w:val="auto"/>
          <w:sz w:val="24"/>
          <w:szCs w:val="24"/>
          <w:highlight w:val="none"/>
        </w:rPr>
        <w:t>招标人在收到评标报告之日起3日内，按照投标人须知前附表规定的公示媒介和期限公示</w:t>
      </w:r>
      <w:r>
        <w:rPr>
          <w:rFonts w:hint="eastAsia" w:cs="宋体"/>
          <w:color w:val="auto"/>
          <w:sz w:val="24"/>
          <w:szCs w:val="24"/>
          <w:highlight w:val="none"/>
          <w:u w:val="single"/>
          <w:lang w:eastAsia="zh-CN"/>
        </w:rPr>
        <w:t>合格</w:t>
      </w:r>
      <w:r>
        <w:rPr>
          <w:rFonts w:hint="eastAsia" w:cs="宋体"/>
          <w:color w:val="auto"/>
          <w:sz w:val="24"/>
          <w:szCs w:val="24"/>
          <w:highlight w:val="none"/>
        </w:rPr>
        <w:t>中标候选人，公示期不得少于3天</w:t>
      </w:r>
      <w:r>
        <w:rPr>
          <w:rFonts w:hint="eastAsia" w:cs="宋体"/>
          <w:color w:val="auto"/>
          <w:sz w:val="24"/>
          <w:szCs w:val="24"/>
          <w:highlight w:val="none"/>
          <w:lang w:eastAsia="zh-CN"/>
        </w:rPr>
        <w:t>，</w:t>
      </w:r>
      <w:r>
        <w:rPr>
          <w:rFonts w:hint="eastAsia" w:cs="宋体"/>
          <w:color w:val="auto"/>
          <w:sz w:val="24"/>
          <w:szCs w:val="24"/>
          <w:highlight w:val="none"/>
          <w:lang w:val="en-US" w:eastAsia="zh-CN"/>
        </w:rPr>
        <w:t>最后一天应为工作日</w:t>
      </w:r>
      <w:r>
        <w:rPr>
          <w:rFonts w:hint="eastAsia" w:cs="宋体"/>
          <w:color w:val="auto"/>
          <w:sz w:val="24"/>
          <w:szCs w:val="24"/>
          <w:highlight w:val="none"/>
        </w:rPr>
        <w:t>。</w:t>
      </w:r>
    </w:p>
    <w:p w14:paraId="7CF323ED">
      <w:pPr>
        <w:pStyle w:val="12"/>
        <w:keepNext w:val="0"/>
        <w:keepLines w:val="0"/>
        <w:pageBreakBefore w:val="0"/>
        <w:widowControl w:val="0"/>
        <w:pBdr>
          <w:bottom w:val="single" w:color="auto" w:sz="4" w:space="0"/>
        </w:pBdr>
        <w:tabs>
          <w:tab w:val="left" w:pos="1343"/>
          <w:tab w:val="left" w:pos="2697"/>
          <w:tab w:val="left" w:pos="3264"/>
          <w:tab w:val="left" w:pos="4896"/>
          <w:tab w:val="left" w:pos="6005"/>
          <w:tab w:val="left" w:pos="7085"/>
          <w:tab w:val="left" w:pos="7498"/>
        </w:tabs>
        <w:kinsoku w:val="0"/>
        <w:wordWrap/>
        <w:overflowPunct w:val="0"/>
        <w:topLinePunct w:val="0"/>
        <w:autoSpaceDE/>
        <w:autoSpaceDN/>
        <w:bidi w:val="0"/>
        <w:adjustRightInd w:val="0"/>
        <w:snapToGrid/>
        <w:spacing w:line="360" w:lineRule="auto"/>
        <w:ind w:left="0" w:firstLine="480" w:firstLineChars="200"/>
        <w:jc w:val="both"/>
        <w:textAlignment w:val="auto"/>
        <w:rPr>
          <w:rFonts w:hint="eastAsia" w:cs="宋体"/>
          <w:color w:val="auto"/>
          <w:sz w:val="24"/>
          <w:szCs w:val="24"/>
          <w:highlight w:val="none"/>
        </w:rPr>
      </w:pPr>
      <w:r>
        <w:rPr>
          <w:rFonts w:hint="eastAsia" w:cs="宋体"/>
          <w:color w:val="auto"/>
          <w:sz w:val="24"/>
          <w:szCs w:val="24"/>
          <w:highlight w:val="none"/>
        </w:rPr>
        <w:t>7.1.2在产生</w:t>
      </w:r>
      <w:r>
        <w:rPr>
          <w:rFonts w:hint="eastAsia" w:cs="宋体"/>
          <w:strike w:val="0"/>
          <w:dstrike w:val="0"/>
          <w:color w:val="auto"/>
          <w:sz w:val="24"/>
          <w:szCs w:val="24"/>
          <w:highlight w:val="none"/>
          <w:u w:val="single"/>
          <w:lang w:eastAsia="zh-CN"/>
        </w:rPr>
        <w:t>合格</w:t>
      </w:r>
      <w:r>
        <w:rPr>
          <w:rFonts w:hint="eastAsia" w:cs="宋体"/>
          <w:color w:val="auto"/>
          <w:sz w:val="24"/>
          <w:szCs w:val="24"/>
          <w:highlight w:val="none"/>
        </w:rPr>
        <w:t>中标候选人后，招标人将</w:t>
      </w:r>
      <w:r>
        <w:rPr>
          <w:rFonts w:hint="eastAsia" w:cs="宋体"/>
          <w:strike w:val="0"/>
          <w:dstrike w:val="0"/>
          <w:color w:val="auto"/>
          <w:sz w:val="24"/>
          <w:szCs w:val="24"/>
          <w:highlight w:val="none"/>
          <w:u w:val="single"/>
          <w:lang w:eastAsia="zh-CN"/>
        </w:rPr>
        <w:t>合格</w:t>
      </w:r>
      <w:r>
        <w:rPr>
          <w:rFonts w:hint="eastAsia" w:cs="宋体"/>
          <w:color w:val="auto"/>
          <w:sz w:val="24"/>
          <w:szCs w:val="24"/>
          <w:highlight w:val="none"/>
        </w:rPr>
        <w:t>中标候选人的投标文件商务部分文件的所有内容(包括人员、业绩、奖项等资料)在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广州交易集团有限公司（广州公共资源交易中心）网</w:t>
      </w:r>
      <w:r>
        <w:rPr>
          <w:rFonts w:hint="eastAsia" w:cs="宋体"/>
          <w:color w:val="auto"/>
          <w:sz w:val="24"/>
          <w:szCs w:val="24"/>
          <w:highlight w:val="none"/>
        </w:rPr>
        <w:t>和广东省招标投标监管网公开。</w:t>
      </w:r>
    </w:p>
    <w:p w14:paraId="76287F2F">
      <w:pPr>
        <w:pStyle w:val="12"/>
        <w:keepNext w:val="0"/>
        <w:keepLines w:val="0"/>
        <w:pageBreakBefore w:val="0"/>
        <w:widowControl w:val="0"/>
        <w:pBdr>
          <w:bottom w:val="single" w:color="auto" w:sz="4" w:space="0"/>
        </w:pBdr>
        <w:tabs>
          <w:tab w:val="left" w:pos="1343"/>
          <w:tab w:val="left" w:pos="2697"/>
          <w:tab w:val="left" w:pos="3264"/>
          <w:tab w:val="left" w:pos="4896"/>
          <w:tab w:val="left" w:pos="6005"/>
          <w:tab w:val="left" w:pos="7085"/>
          <w:tab w:val="left" w:pos="7498"/>
        </w:tabs>
        <w:kinsoku w:val="0"/>
        <w:wordWrap/>
        <w:overflowPunct w:val="0"/>
        <w:topLinePunct w:val="0"/>
        <w:autoSpaceDE/>
        <w:autoSpaceDN/>
        <w:bidi w:val="0"/>
        <w:adjustRightInd w:val="0"/>
        <w:snapToGrid/>
        <w:spacing w:line="360" w:lineRule="auto"/>
        <w:ind w:left="0" w:firstLine="480" w:firstLineChars="200"/>
        <w:jc w:val="both"/>
        <w:textAlignment w:val="auto"/>
        <w:rPr>
          <w:rFonts w:hint="eastAsia" w:cs="宋体"/>
          <w:color w:val="auto"/>
          <w:sz w:val="24"/>
          <w:szCs w:val="24"/>
          <w:highlight w:val="none"/>
        </w:rPr>
      </w:pPr>
      <w:r>
        <w:rPr>
          <w:rFonts w:hint="eastAsia" w:cs="宋体"/>
          <w:color w:val="auto"/>
          <w:sz w:val="24"/>
          <w:szCs w:val="24"/>
          <w:highlight w:val="none"/>
          <w:u w:val="single"/>
        </w:rPr>
        <w:t>7.1.3定标结束后，招标人3日内在广州交易集团有限公司（广州公共资源交易中心）网站和广东省招标投标监管网公开中标结果。</w:t>
      </w:r>
    </w:p>
    <w:p w14:paraId="4B7D6729">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wordWrap/>
        <w:topLinePunct w:val="0"/>
        <w:autoSpaceDE/>
        <w:autoSpaceDN/>
        <w:bidi w:val="0"/>
        <w:adjustRightInd w:val="0"/>
        <w:snapToGrid/>
        <w:spacing w:line="360" w:lineRule="auto"/>
        <w:ind w:firstLine="482" w:firstLineChars="200"/>
        <w:textAlignment w:val="auto"/>
        <w:rPr>
          <w:rFonts w:hint="eastAsia" w:ascii="宋体" w:hAnsi="宋体" w:cs="宋体"/>
          <w:b/>
          <w:bCs/>
          <w:sz w:val="24"/>
          <w:szCs w:val="24"/>
          <w:highlight w:val="none"/>
          <w:lang w:eastAsia="zh-CN"/>
        </w:rPr>
      </w:pPr>
      <w:r>
        <w:rPr>
          <w:rFonts w:hint="eastAsia" w:ascii="宋体" w:hAnsi="宋体" w:eastAsia="宋体" w:cs="宋体"/>
          <w:b/>
          <w:bCs/>
          <w:sz w:val="24"/>
          <w:szCs w:val="24"/>
          <w:highlight w:val="none"/>
        </w:rPr>
        <w:t>条款号：</w:t>
      </w:r>
      <w:r>
        <w:rPr>
          <w:rFonts w:hint="eastAsia" w:ascii="宋体" w:hAnsi="宋体" w:eastAsia="宋体" w:cs="宋体"/>
          <w:highlight w:val="none"/>
        </w:rPr>
        <w:t>7.3 中标候选人履约能力审查</w:t>
      </w:r>
      <w:r>
        <w:rPr>
          <w:rFonts w:hint="eastAsia" w:ascii="宋体" w:hAnsi="宋体" w:eastAsia="宋体" w:cs="宋体"/>
          <w:strike w:val="0"/>
          <w:color w:val="auto"/>
          <w:sz w:val="24"/>
          <w:szCs w:val="24"/>
          <w:highlight w:val="none"/>
          <w:lang w:val="en-US" w:eastAsia="zh-CN"/>
        </w:rPr>
        <w:t xml:space="preserve"> </w:t>
      </w:r>
      <w:r>
        <w:rPr>
          <w:rFonts w:hint="eastAsia" w:ascii="宋体" w:hAnsi="宋体" w:eastAsia="宋体" w:cs="宋体"/>
          <w:b/>
          <w:bCs/>
          <w:strike w:val="0"/>
          <w:color w:val="auto"/>
          <w:sz w:val="24"/>
          <w:szCs w:val="24"/>
          <w:highlight w:val="none"/>
          <w:lang w:val="en-US" w:eastAsia="zh-CN"/>
        </w:rPr>
        <w:t xml:space="preserve"> </w:t>
      </w:r>
      <w:r>
        <w:rPr>
          <w:rFonts w:hint="eastAsia" w:ascii="宋体" w:hAnsi="宋体" w:eastAsia="宋体" w:cs="宋体"/>
          <w:b/>
          <w:bCs/>
          <w:sz w:val="24"/>
          <w:szCs w:val="24"/>
          <w:highlight w:val="none"/>
        </w:rPr>
        <w:t xml:space="preserve">  修改类型：</w:t>
      </w:r>
      <w:r>
        <w:rPr>
          <w:rFonts w:hint="eastAsia" w:ascii="宋体" w:hAnsi="宋体" w:cs="宋体"/>
          <w:b/>
          <w:bCs/>
          <w:sz w:val="24"/>
          <w:szCs w:val="24"/>
          <w:highlight w:val="none"/>
          <w:lang w:eastAsia="zh-CN"/>
        </w:rPr>
        <w:t>修改</w:t>
      </w:r>
    </w:p>
    <w:p w14:paraId="781B7404">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val="0"/>
        <w:autoSpaceDN w:val="0"/>
        <w:bidi w:val="0"/>
        <w:adjustRightInd w:val="0"/>
        <w:snapToGrid/>
        <w:spacing w:line="360" w:lineRule="auto"/>
        <w:ind w:firstLine="482" w:firstLineChars="200"/>
        <w:textAlignment w:val="auto"/>
        <w:rPr>
          <w:rFonts w:hint="eastAsia" w:ascii="宋体" w:hAnsi="宋体" w:eastAsia="宋体" w:cs="宋体"/>
          <w:highlight w:val="none"/>
        </w:rPr>
      </w:pPr>
      <w:r>
        <w:rPr>
          <w:rFonts w:hint="eastAsia" w:ascii="宋体" w:hAnsi="宋体" w:eastAsia="宋体" w:cs="宋体"/>
          <w:b/>
          <w:bCs/>
          <w:sz w:val="24"/>
          <w:szCs w:val="24"/>
          <w:highlight w:val="none"/>
          <w:lang w:val="en-US" w:eastAsia="zh-CN"/>
        </w:rPr>
        <w:t>原文</w:t>
      </w:r>
      <w:r>
        <w:rPr>
          <w:rFonts w:hint="eastAsia" w:ascii="宋体" w:hAnsi="宋体" w:eastAsia="宋体" w:cs="宋体"/>
          <w:b/>
          <w:bCs/>
          <w:strike w:val="0"/>
          <w:dstrike w:val="0"/>
          <w:sz w:val="24"/>
          <w:szCs w:val="24"/>
          <w:highlight w:val="none"/>
          <w:lang w:val="en-US" w:eastAsia="zh-CN"/>
        </w:rPr>
        <w:t>：</w:t>
      </w:r>
      <w:r>
        <w:rPr>
          <w:rFonts w:hint="eastAsia" w:ascii="宋体" w:hAnsi="宋体" w:eastAsia="宋体" w:cs="宋体"/>
          <w:highlight w:val="none"/>
        </w:rPr>
        <w:t>7.3 中标候选人履约能力审查</w:t>
      </w:r>
    </w:p>
    <w:p w14:paraId="371B52E3">
      <w:pPr>
        <w:keepNext w:val="0"/>
        <w:keepLines w:val="0"/>
        <w:pageBreakBefore w:val="0"/>
        <w:widowControl w:val="0"/>
        <w:pBdr>
          <w:bottom w:val="single" w:color="auto" w:sz="4" w:space="0"/>
        </w:pBdr>
        <w:wordWrap/>
        <w:topLinePunct w:val="0"/>
        <w:bidi w:val="0"/>
        <w:adjustRightInd w:val="0"/>
        <w:snapToGrid/>
        <w:spacing w:line="360" w:lineRule="auto"/>
        <w:ind w:firstLine="480" w:firstLineChars="200"/>
        <w:textAlignment w:val="auto"/>
        <w:rPr>
          <w:rFonts w:hint="eastAsia" w:ascii="宋体" w:hAnsi="宋体" w:cs="宋体"/>
          <w:b/>
          <w:bCs/>
          <w:sz w:val="24"/>
          <w:szCs w:val="24"/>
          <w:highlight w:val="none"/>
          <w:lang w:val="en-US" w:eastAsia="zh-CN"/>
        </w:rPr>
      </w:pPr>
      <w:r>
        <w:rPr>
          <w:rFonts w:hint="eastAsia" w:ascii="宋体" w:hAnsi="宋体" w:cs="宋体"/>
          <w:color w:val="auto"/>
          <w:sz w:val="24"/>
          <w:szCs w:val="24"/>
          <w:highlight w:val="none"/>
        </w:rPr>
        <w:t>中标候选人的经营、财务状况发生较大变化或存在违法行为，招标人认为可能影响其履约能力的，将在发出中标通知书前提请原评标委员会按照招标文件规定的标准和方法进行审查确认</w:t>
      </w:r>
    </w:p>
    <w:p w14:paraId="06E485DF">
      <w:pPr>
        <w:keepNext w:val="0"/>
        <w:keepLines w:val="0"/>
        <w:pageBreakBefore w:val="0"/>
        <w:widowControl w:val="0"/>
        <w:pBdr>
          <w:bottom w:val="single" w:color="auto" w:sz="4" w:space="0"/>
        </w:pBdr>
        <w:kinsoku/>
        <w:wordWrap/>
        <w:overflowPunct/>
        <w:topLinePunct w:val="0"/>
        <w:autoSpaceDE w:val="0"/>
        <w:autoSpaceDN w:val="0"/>
        <w:bidi w:val="0"/>
        <w:adjustRightInd w:val="0"/>
        <w:snapToGrid/>
        <w:spacing w:line="360" w:lineRule="auto"/>
        <w:ind w:firstLine="482" w:firstLineChars="200"/>
        <w:textAlignment w:val="auto"/>
        <w:rPr>
          <w:rFonts w:hint="eastAsia" w:ascii="宋体" w:hAnsi="宋体" w:eastAsia="宋体" w:cs="宋体"/>
          <w:highlight w:val="none"/>
        </w:rPr>
      </w:pPr>
      <w:r>
        <w:rPr>
          <w:rFonts w:hint="eastAsia" w:ascii="宋体" w:hAnsi="宋体" w:cs="宋体"/>
          <w:b/>
          <w:bCs/>
          <w:sz w:val="24"/>
          <w:szCs w:val="24"/>
          <w:highlight w:val="none"/>
          <w:lang w:val="en-US" w:eastAsia="zh-CN"/>
        </w:rPr>
        <w:t>现文：</w:t>
      </w:r>
      <w:r>
        <w:rPr>
          <w:rFonts w:hint="eastAsia" w:ascii="宋体" w:hAnsi="宋体" w:eastAsia="宋体" w:cs="宋体"/>
          <w:highlight w:val="none"/>
        </w:rPr>
        <w:t>7.3 中标候选人履约能力审查</w:t>
      </w:r>
    </w:p>
    <w:p w14:paraId="2C0B619D">
      <w:pPr>
        <w:pStyle w:val="12"/>
        <w:keepNext w:val="0"/>
        <w:keepLines w:val="0"/>
        <w:pageBreakBefore w:val="0"/>
        <w:widowControl w:val="0"/>
        <w:pBdr>
          <w:bottom w:val="single" w:color="auto" w:sz="4" w:space="0"/>
        </w:pBdr>
        <w:tabs>
          <w:tab w:val="left" w:pos="1343"/>
          <w:tab w:val="left" w:pos="2697"/>
          <w:tab w:val="left" w:pos="3264"/>
          <w:tab w:val="left" w:pos="4896"/>
          <w:tab w:val="left" w:pos="6005"/>
          <w:tab w:val="left" w:pos="7085"/>
          <w:tab w:val="left" w:pos="7498"/>
        </w:tabs>
        <w:kinsoku w:val="0"/>
        <w:wordWrap/>
        <w:overflowPunct w:val="0"/>
        <w:topLinePunct w:val="0"/>
        <w:bidi w:val="0"/>
        <w:adjustRightInd w:val="0"/>
        <w:snapToGrid/>
        <w:spacing w:line="360" w:lineRule="auto"/>
        <w:ind w:left="0" w:firstLine="480" w:firstLineChars="200"/>
        <w:jc w:val="both"/>
        <w:textAlignment w:val="auto"/>
        <w:rPr>
          <w:rFonts w:hint="eastAsia" w:cs="宋体"/>
          <w:color w:val="auto"/>
          <w:sz w:val="24"/>
          <w:szCs w:val="24"/>
          <w:highlight w:val="none"/>
        </w:rPr>
      </w:pPr>
      <w:r>
        <w:rPr>
          <w:rFonts w:hint="eastAsia" w:cs="宋体"/>
          <w:color w:val="auto"/>
          <w:sz w:val="24"/>
          <w:szCs w:val="24"/>
          <w:highlight w:val="none"/>
          <w:u w:val="single"/>
          <w:lang w:val="en-US" w:eastAsia="zh-CN"/>
        </w:rPr>
        <w:t>7.3.1</w:t>
      </w:r>
      <w:r>
        <w:rPr>
          <w:rFonts w:hint="eastAsia" w:cs="宋体"/>
          <w:color w:val="auto"/>
          <w:sz w:val="24"/>
          <w:szCs w:val="24"/>
          <w:highlight w:val="none"/>
        </w:rPr>
        <w:t>中标候选人的经营、财务状况发生较大变化或存在违法行为，招标人认为可能影响其履约能力的，将在发出中标通知书前提请原评标委员会按照招标文件规定的标准和方法进行审查确认。</w:t>
      </w:r>
    </w:p>
    <w:p w14:paraId="5D7662D5">
      <w:pPr>
        <w:keepNext w:val="0"/>
        <w:keepLines w:val="0"/>
        <w:pageBreakBefore w:val="0"/>
        <w:widowControl w:val="0"/>
        <w:pBdr>
          <w:bottom w:val="single" w:color="auto" w:sz="4" w:space="0"/>
        </w:pBdr>
        <w:wordWrap/>
        <w:topLinePunct w:val="0"/>
        <w:autoSpaceDE/>
        <w:autoSpaceDN/>
        <w:bidi w:val="0"/>
        <w:adjustRightInd w:val="0"/>
        <w:snapToGrid/>
        <w:spacing w:line="360" w:lineRule="auto"/>
        <w:ind w:firstLine="480" w:firstLineChars="200"/>
        <w:textAlignment w:val="auto"/>
        <w:rPr>
          <w:rFonts w:hint="eastAsia" w:ascii="宋体" w:hAnsi="宋体" w:eastAsia="宋体" w:cs="宋体"/>
          <w:b/>
          <w:bCs/>
          <w:sz w:val="24"/>
          <w:szCs w:val="24"/>
          <w:highlight w:val="none"/>
          <w:u w:val="single"/>
          <w:lang w:val="en-US" w:eastAsia="zh-CN"/>
        </w:rPr>
      </w:pPr>
      <w:r>
        <w:rPr>
          <w:rFonts w:hint="eastAsia" w:ascii="宋体" w:hAnsi="宋体" w:cs="宋体"/>
          <w:color w:val="auto"/>
          <w:sz w:val="24"/>
          <w:szCs w:val="24"/>
          <w:highlight w:val="none"/>
          <w:u w:val="single"/>
        </w:rPr>
        <w:t>7.3.2</w:t>
      </w:r>
      <w:r>
        <w:rPr>
          <w:rFonts w:hint="eastAsia" w:cs="宋体"/>
          <w:color w:val="auto"/>
          <w:sz w:val="24"/>
          <w:szCs w:val="24"/>
          <w:highlight w:val="none"/>
          <w:u w:val="single"/>
        </w:rPr>
        <w:t>招标人或招标代理机构将在</w:t>
      </w:r>
      <w:r>
        <w:rPr>
          <w:rFonts w:hint="eastAsia" w:cs="宋体"/>
          <w:strike w:val="0"/>
          <w:dstrike w:val="0"/>
          <w:color w:val="auto"/>
          <w:sz w:val="24"/>
          <w:szCs w:val="24"/>
          <w:highlight w:val="none"/>
          <w:u w:val="single"/>
          <w:lang w:val="en-US" w:eastAsia="zh-CN"/>
        </w:rPr>
        <w:t>定标</w:t>
      </w:r>
      <w:r>
        <w:rPr>
          <w:rFonts w:hint="eastAsia" w:cs="宋体"/>
          <w:color w:val="auto"/>
          <w:sz w:val="24"/>
          <w:szCs w:val="24"/>
          <w:highlight w:val="none"/>
          <w:u w:val="single"/>
        </w:rPr>
        <w:t>结束后对中标人的企业资质证书有效期进行复核，如果中标人在</w:t>
      </w:r>
      <w:r>
        <w:rPr>
          <w:rFonts w:hint="eastAsia" w:cs="宋体"/>
          <w:color w:val="auto"/>
          <w:sz w:val="24"/>
          <w:szCs w:val="24"/>
          <w:highlight w:val="none"/>
          <w:u w:val="single"/>
          <w:lang w:val="en-US" w:eastAsia="zh-CN"/>
        </w:rPr>
        <w:t>定标</w:t>
      </w:r>
      <w:r>
        <w:rPr>
          <w:rFonts w:hint="eastAsia" w:cs="宋体"/>
          <w:color w:val="auto"/>
          <w:sz w:val="24"/>
          <w:szCs w:val="24"/>
          <w:highlight w:val="none"/>
          <w:u w:val="single"/>
        </w:rPr>
        <w:t>结束后6天内尚未提供资质有效期延续核准的，招标人否决其中标资格，</w:t>
      </w:r>
      <w:r>
        <w:rPr>
          <w:rFonts w:hint="eastAsia" w:ascii="宋体" w:hAnsi="宋体" w:eastAsia="宋体" w:cs="宋体"/>
          <w:sz w:val="24"/>
          <w:szCs w:val="24"/>
          <w:highlight w:val="none"/>
          <w:u w:val="single"/>
        </w:rPr>
        <w:t>按照</w:t>
      </w:r>
      <w:r>
        <w:rPr>
          <w:rFonts w:hint="eastAsia" w:ascii="宋体" w:hAnsi="宋体" w:eastAsia="宋体" w:cs="宋体"/>
          <w:sz w:val="24"/>
          <w:szCs w:val="24"/>
          <w:highlight w:val="none"/>
          <w:u w:val="single"/>
          <w:lang w:val="en-US" w:eastAsia="zh-CN"/>
        </w:rPr>
        <w:t>招标文件第三章“评标、定标办法”3.5</w:t>
      </w:r>
      <w:r>
        <w:rPr>
          <w:rFonts w:hint="eastAsia" w:ascii="宋体" w:hAnsi="宋体" w:cs="宋体"/>
          <w:color w:val="auto"/>
          <w:sz w:val="24"/>
          <w:szCs w:val="24"/>
          <w:highlight w:val="none"/>
          <w:u w:val="single"/>
          <w:lang w:val="en-US" w:eastAsia="zh-CN"/>
        </w:rPr>
        <w:t>重新组织定标，</w:t>
      </w:r>
      <w:r>
        <w:rPr>
          <w:rFonts w:hint="eastAsia" w:ascii="宋体" w:hAnsi="宋体" w:cs="宋体"/>
          <w:color w:val="auto"/>
          <w:sz w:val="24"/>
          <w:szCs w:val="24"/>
          <w:highlight w:val="none"/>
          <w:u w:val="single"/>
        </w:rPr>
        <w:t>或重新组织招标。</w:t>
      </w:r>
    </w:p>
    <w:p w14:paraId="140DCD72">
      <w:pPr>
        <w:keepNext w:val="0"/>
        <w:keepLines w:val="0"/>
        <w:pageBreakBefore w:val="0"/>
        <w:widowControl w:val="0"/>
        <w:wordWrap/>
        <w:topLinePunct w:val="0"/>
        <w:bidi w:val="0"/>
        <w:adjustRightInd w:val="0"/>
        <w:snapToGrid/>
        <w:spacing w:line="360" w:lineRule="auto"/>
        <w:ind w:firstLine="482" w:firstLineChars="200"/>
        <w:textAlignment w:val="auto"/>
        <w:rPr>
          <w:rFonts w:hint="eastAsia" w:ascii="宋体" w:hAnsi="宋体" w:cs="宋体"/>
          <w:b/>
          <w:bCs/>
          <w:sz w:val="24"/>
          <w:szCs w:val="24"/>
          <w:highlight w:val="none"/>
          <w:lang w:val="en-US" w:eastAsia="zh-CN"/>
        </w:rPr>
      </w:pPr>
      <w:r>
        <w:rPr>
          <w:rFonts w:hint="eastAsia" w:ascii="宋体" w:hAnsi="宋体" w:eastAsia="宋体" w:cs="宋体"/>
          <w:b/>
          <w:bCs/>
          <w:sz w:val="24"/>
          <w:szCs w:val="24"/>
          <w:highlight w:val="none"/>
        </w:rPr>
        <w:t>条款号：</w:t>
      </w:r>
      <w:r>
        <w:rPr>
          <w:rFonts w:hint="eastAsia" w:ascii="宋体" w:hAnsi="宋体" w:eastAsia="宋体" w:cs="宋体"/>
          <w:highlight w:val="none"/>
        </w:rPr>
        <w:t>7.4 定标</w:t>
      </w:r>
      <w:r>
        <w:rPr>
          <w:rFonts w:hint="eastAsia" w:ascii="宋体" w:hAnsi="宋体" w:cs="宋体"/>
          <w:highlight w:val="none"/>
          <w:lang w:val="en-US" w:eastAsia="zh-CN"/>
        </w:rPr>
        <w:t xml:space="preserve">            </w:t>
      </w:r>
      <w:r>
        <w:rPr>
          <w:rFonts w:hint="eastAsia" w:ascii="宋体" w:hAnsi="宋体" w:eastAsia="宋体" w:cs="宋体"/>
          <w:strike w:val="0"/>
          <w:color w:val="auto"/>
          <w:sz w:val="24"/>
          <w:szCs w:val="24"/>
          <w:highlight w:val="none"/>
          <w:lang w:val="en-US" w:eastAsia="zh-CN"/>
        </w:rPr>
        <w:t xml:space="preserve"> </w:t>
      </w:r>
      <w:r>
        <w:rPr>
          <w:rFonts w:hint="eastAsia" w:ascii="宋体" w:hAnsi="宋体" w:eastAsia="宋体" w:cs="宋体"/>
          <w:b/>
          <w:bCs/>
          <w:strike w:val="0"/>
          <w:color w:val="auto"/>
          <w:sz w:val="24"/>
          <w:szCs w:val="24"/>
          <w:highlight w:val="none"/>
          <w:lang w:val="en-US" w:eastAsia="zh-CN"/>
        </w:rPr>
        <w:t xml:space="preserve"> </w:t>
      </w:r>
      <w:r>
        <w:rPr>
          <w:rFonts w:hint="eastAsia" w:ascii="宋体" w:hAnsi="宋体" w:eastAsia="宋体" w:cs="宋体"/>
          <w:b/>
          <w:bCs/>
          <w:sz w:val="24"/>
          <w:szCs w:val="24"/>
          <w:highlight w:val="none"/>
        </w:rPr>
        <w:t xml:space="preserve">  修改类型：</w:t>
      </w:r>
      <w:r>
        <w:rPr>
          <w:rFonts w:hint="eastAsia" w:ascii="宋体" w:hAnsi="宋体" w:cs="宋体"/>
          <w:b/>
          <w:bCs/>
          <w:sz w:val="24"/>
          <w:szCs w:val="24"/>
          <w:highlight w:val="none"/>
          <w:lang w:val="en-US" w:eastAsia="zh-CN"/>
        </w:rPr>
        <w:t>修改</w:t>
      </w:r>
    </w:p>
    <w:p w14:paraId="3BEA1BE2">
      <w:pPr>
        <w:keepNext w:val="0"/>
        <w:keepLines w:val="0"/>
        <w:pageBreakBefore w:val="0"/>
        <w:widowControl w:val="0"/>
        <w:kinsoku/>
        <w:wordWrap/>
        <w:overflowPunct/>
        <w:topLinePunct w:val="0"/>
        <w:autoSpaceDE w:val="0"/>
        <w:autoSpaceDN w:val="0"/>
        <w:bidi w:val="0"/>
        <w:adjustRightInd w:val="0"/>
        <w:snapToGrid/>
        <w:spacing w:line="360" w:lineRule="auto"/>
        <w:ind w:firstLine="482" w:firstLineChars="200"/>
        <w:textAlignment w:val="auto"/>
        <w:rPr>
          <w:rFonts w:hint="eastAsia" w:ascii="宋体" w:hAnsi="宋体" w:eastAsia="宋体" w:cs="宋体"/>
          <w:highlight w:val="none"/>
        </w:rPr>
      </w:pPr>
      <w:r>
        <w:rPr>
          <w:rFonts w:hint="eastAsia" w:ascii="宋体" w:hAnsi="宋体" w:eastAsia="宋体" w:cs="宋体"/>
          <w:b/>
          <w:bCs/>
          <w:sz w:val="24"/>
          <w:szCs w:val="24"/>
          <w:highlight w:val="none"/>
          <w:lang w:val="en-US" w:eastAsia="zh-CN"/>
        </w:rPr>
        <w:t>原文</w:t>
      </w:r>
      <w:r>
        <w:rPr>
          <w:rFonts w:hint="eastAsia" w:ascii="宋体" w:hAnsi="宋体" w:eastAsia="宋体" w:cs="宋体"/>
          <w:b/>
          <w:bCs/>
          <w:strike w:val="0"/>
          <w:dstrike w:val="0"/>
          <w:sz w:val="24"/>
          <w:szCs w:val="24"/>
          <w:highlight w:val="none"/>
          <w:lang w:val="en-US" w:eastAsia="zh-CN"/>
        </w:rPr>
        <w:t>：</w:t>
      </w:r>
      <w:r>
        <w:rPr>
          <w:rFonts w:hint="eastAsia" w:ascii="宋体" w:hAnsi="宋体" w:eastAsia="宋体" w:cs="宋体"/>
          <w:highlight w:val="none"/>
        </w:rPr>
        <w:t>7.4 定标</w:t>
      </w:r>
    </w:p>
    <w:p w14:paraId="0AC3C7DD">
      <w:pPr>
        <w:pStyle w:val="1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bidi w:val="0"/>
        <w:adjustRightInd w:val="0"/>
        <w:snapToGrid/>
        <w:spacing w:line="360" w:lineRule="auto"/>
        <w:ind w:left="0" w:firstLine="480" w:firstLineChars="200"/>
        <w:jc w:val="both"/>
        <w:textAlignment w:val="auto"/>
        <w:rPr>
          <w:rFonts w:hint="eastAsia" w:ascii="宋体" w:hAnsi="宋体" w:eastAsia="宋体" w:cs="宋体"/>
          <w:b/>
          <w:bCs/>
          <w:strike w:val="0"/>
          <w:dstrike w:val="0"/>
          <w:sz w:val="24"/>
          <w:szCs w:val="24"/>
          <w:highlight w:val="none"/>
          <w:lang w:val="en-US" w:eastAsia="zh-CN"/>
        </w:rPr>
      </w:pPr>
      <w:r>
        <w:rPr>
          <w:rFonts w:hint="eastAsia" w:ascii="宋体" w:hAnsi="宋体" w:eastAsia="宋体" w:cs="宋体"/>
          <w:color w:val="auto"/>
          <w:sz w:val="24"/>
          <w:szCs w:val="24"/>
          <w:highlight w:val="none"/>
        </w:rPr>
        <w:t>按照投标人须知前附表的规定，招标人或招标人授权的评标委员会依法确定中标人。</w:t>
      </w:r>
    </w:p>
    <w:p w14:paraId="20EBEDFE">
      <w:pPr>
        <w:adjustRightInd w:val="0"/>
        <w:snapToGrid w:val="0"/>
        <w:spacing w:line="360" w:lineRule="auto"/>
        <w:ind w:firstLine="482" w:firstLineChars="200"/>
        <w:rPr>
          <w:rFonts w:hint="eastAsia" w:ascii="宋体" w:hAnsi="宋体" w:cs="宋体"/>
          <w:b/>
          <w:color w:val="000000"/>
          <w:sz w:val="24"/>
          <w:highlight w:val="none"/>
          <w:u w:val="single"/>
        </w:rPr>
      </w:pPr>
      <w:r>
        <w:rPr>
          <w:rFonts w:hint="eastAsia" w:ascii="宋体" w:hAnsi="宋体" w:cs="宋体"/>
          <w:b/>
          <w:bCs/>
          <w:sz w:val="24"/>
          <w:szCs w:val="24"/>
          <w:highlight w:val="none"/>
          <w:lang w:val="en-US" w:eastAsia="zh-CN"/>
        </w:rPr>
        <w:t>现文：</w:t>
      </w:r>
      <w:r>
        <w:rPr>
          <w:rFonts w:hint="eastAsia" w:ascii="宋体" w:hAnsi="宋体" w:eastAsia="宋体" w:cs="宋体"/>
          <w:highlight w:val="none"/>
        </w:rPr>
        <w:t>7.4 定标</w:t>
      </w:r>
      <w:r>
        <w:rPr>
          <w:rFonts w:hint="eastAsia" w:ascii="宋体" w:hAnsi="宋体" w:cs="宋体"/>
          <w:b/>
          <w:color w:val="000000"/>
          <w:sz w:val="24"/>
          <w:highlight w:val="none"/>
        </w:rPr>
        <w:t>（</w:t>
      </w:r>
      <w:r>
        <w:rPr>
          <w:rFonts w:hint="eastAsia" w:ascii="宋体" w:hAnsi="宋体" w:cs="宋体"/>
          <w:b/>
          <w:color w:val="000000"/>
          <w:sz w:val="24"/>
          <w:highlight w:val="none"/>
          <w:u w:val="single"/>
        </w:rPr>
        <w:t>本</w:t>
      </w:r>
      <w:r>
        <w:rPr>
          <w:rFonts w:hint="eastAsia" w:ascii="宋体" w:hAnsi="宋体" w:cs="宋体"/>
          <w:b/>
          <w:color w:val="000000"/>
          <w:sz w:val="24"/>
          <w:highlight w:val="none"/>
          <w:u w:val="single"/>
          <w:lang w:eastAsia="zh-CN"/>
        </w:rPr>
        <w:t>标段</w:t>
      </w:r>
      <w:r>
        <w:rPr>
          <w:rFonts w:hint="eastAsia" w:ascii="宋体" w:hAnsi="宋体" w:cs="宋体"/>
          <w:b/>
          <w:color w:val="000000"/>
          <w:sz w:val="24"/>
          <w:highlight w:val="none"/>
          <w:u w:val="single"/>
        </w:rPr>
        <w:t>采用“评定分离”确定有效中标人）</w:t>
      </w:r>
    </w:p>
    <w:p w14:paraId="1ABCF8EF">
      <w:pPr>
        <w:adjustRightInd w:val="0"/>
        <w:snapToGrid w:val="0"/>
        <w:spacing w:line="360" w:lineRule="auto"/>
        <w:ind w:firstLine="480" w:firstLineChars="200"/>
        <w:rPr>
          <w:rFonts w:hint="eastAsia" w:ascii="宋体" w:hAnsi="宋体" w:cs="宋体"/>
          <w:color w:val="000000"/>
          <w:sz w:val="24"/>
          <w:highlight w:val="none"/>
          <w:u w:val="single"/>
        </w:rPr>
      </w:pPr>
      <w:r>
        <w:rPr>
          <w:rFonts w:hint="eastAsia" w:ascii="宋体" w:hAnsi="宋体" w:cs="宋体"/>
          <w:color w:val="000000"/>
          <w:sz w:val="24"/>
          <w:highlight w:val="none"/>
          <w:u w:val="single"/>
        </w:rPr>
        <w:t>7.</w:t>
      </w:r>
      <w:r>
        <w:rPr>
          <w:rFonts w:hint="eastAsia" w:ascii="宋体" w:hAnsi="宋体" w:cs="宋体"/>
          <w:color w:val="000000"/>
          <w:sz w:val="24"/>
          <w:highlight w:val="none"/>
          <w:u w:val="single"/>
          <w:lang w:val="en-US" w:eastAsia="zh-CN"/>
        </w:rPr>
        <w:t>4</w:t>
      </w:r>
      <w:r>
        <w:rPr>
          <w:rFonts w:hint="eastAsia" w:ascii="宋体" w:hAnsi="宋体" w:cs="宋体"/>
          <w:color w:val="000000"/>
          <w:sz w:val="24"/>
          <w:highlight w:val="none"/>
          <w:u w:val="single"/>
        </w:rPr>
        <w:t>.1采用评定分离方式（评标采用综合评估法，定标采用票决法），评标委员会推荐合格中标候选人的人数详见第三章</w:t>
      </w:r>
      <w:r>
        <w:rPr>
          <w:rFonts w:hint="eastAsia" w:ascii="宋体" w:hAnsi="宋体" w:cs="宋体"/>
          <w:color w:val="000000"/>
          <w:sz w:val="24"/>
          <w:highlight w:val="none"/>
          <w:u w:val="single"/>
          <w:lang w:eastAsia="zh-CN"/>
        </w:rPr>
        <w:t>“</w:t>
      </w:r>
      <w:r>
        <w:rPr>
          <w:rFonts w:hint="eastAsia" w:ascii="宋体" w:hAnsi="宋体" w:cs="宋体"/>
          <w:color w:val="000000"/>
          <w:sz w:val="24"/>
          <w:highlight w:val="none"/>
          <w:u w:val="single"/>
        </w:rPr>
        <w:t>评标</w:t>
      </w:r>
      <w:r>
        <w:rPr>
          <w:rFonts w:hint="eastAsia" w:ascii="宋体" w:hAnsi="宋体" w:cs="宋体"/>
          <w:color w:val="000000"/>
          <w:sz w:val="24"/>
          <w:highlight w:val="none"/>
          <w:u w:val="single"/>
          <w:lang w:eastAsia="zh-CN"/>
        </w:rPr>
        <w:t>、</w:t>
      </w:r>
      <w:r>
        <w:rPr>
          <w:rFonts w:hint="eastAsia" w:ascii="宋体" w:hAnsi="宋体" w:cs="宋体"/>
          <w:color w:val="000000"/>
          <w:sz w:val="24"/>
          <w:highlight w:val="none"/>
          <w:u w:val="single"/>
        </w:rPr>
        <w:t>定标办法</w:t>
      </w:r>
      <w:r>
        <w:rPr>
          <w:rFonts w:hint="eastAsia" w:ascii="宋体" w:hAnsi="宋体" w:cs="宋体"/>
          <w:color w:val="000000"/>
          <w:sz w:val="24"/>
          <w:highlight w:val="none"/>
          <w:u w:val="single"/>
          <w:lang w:eastAsia="zh-CN"/>
        </w:rPr>
        <w:t>”</w:t>
      </w:r>
      <w:r>
        <w:rPr>
          <w:rFonts w:hint="eastAsia" w:ascii="宋体" w:hAnsi="宋体" w:cs="宋体"/>
          <w:color w:val="000000"/>
          <w:sz w:val="24"/>
          <w:highlight w:val="none"/>
          <w:u w:val="single"/>
        </w:rPr>
        <w:t>。</w:t>
      </w:r>
    </w:p>
    <w:p w14:paraId="021A16C9">
      <w:pPr>
        <w:adjustRightInd w:val="0"/>
        <w:snapToGrid w:val="0"/>
        <w:spacing w:line="360" w:lineRule="auto"/>
        <w:ind w:firstLine="480" w:firstLineChars="200"/>
        <w:rPr>
          <w:rFonts w:hint="eastAsia" w:ascii="宋体" w:hAnsi="宋体" w:eastAsia="宋体" w:cs="宋体"/>
          <w:color w:val="000000"/>
          <w:sz w:val="24"/>
          <w:highlight w:val="none"/>
          <w:u w:val="single"/>
          <w:lang w:val="en-US" w:eastAsia="zh-CN"/>
        </w:rPr>
      </w:pPr>
      <w:r>
        <w:rPr>
          <w:rFonts w:hint="eastAsia" w:ascii="宋体" w:hAnsi="宋体" w:eastAsia="宋体" w:cs="宋体"/>
          <w:color w:val="000000"/>
          <w:sz w:val="24"/>
          <w:highlight w:val="none"/>
          <w:u w:val="single"/>
          <w:lang w:val="en-US" w:eastAsia="zh-CN"/>
        </w:rPr>
        <w:t>7.4.2依法必须进行公开招标的项目，招标人依据定标委员会的评审结果确定中标人。具体定标办法详见第三章评标、定标办法中的《定标因素表》。</w:t>
      </w:r>
    </w:p>
    <w:p w14:paraId="706C1995">
      <w:pPr>
        <w:adjustRightInd w:val="0"/>
        <w:snapToGrid w:val="0"/>
        <w:spacing w:line="360" w:lineRule="auto"/>
        <w:ind w:firstLine="480" w:firstLineChars="200"/>
        <w:rPr>
          <w:rFonts w:hint="eastAsia" w:ascii="宋体" w:hAnsi="宋体" w:eastAsia="宋体" w:cs="宋体"/>
          <w:color w:val="000000"/>
          <w:sz w:val="24"/>
          <w:highlight w:val="none"/>
          <w:u w:val="single"/>
          <w:lang w:val="en-US" w:eastAsia="zh-CN"/>
        </w:rPr>
      </w:pPr>
      <w:r>
        <w:rPr>
          <w:rFonts w:hint="eastAsia" w:ascii="宋体" w:hAnsi="宋体" w:eastAsia="宋体" w:cs="宋体"/>
          <w:color w:val="000000"/>
          <w:sz w:val="24"/>
          <w:highlight w:val="none"/>
          <w:u w:val="single"/>
          <w:lang w:val="en-US" w:eastAsia="zh-CN"/>
        </w:rPr>
        <w:t>7.4.3定标委员会按照第三章“评标、定标办法”中规定的定标方法、定标因素和评价标准对投标文件</w:t>
      </w:r>
      <w:r>
        <w:rPr>
          <w:rFonts w:hint="eastAsia" w:ascii="宋体" w:hAnsi="宋体" w:cs="宋体"/>
          <w:color w:val="000000"/>
          <w:sz w:val="24"/>
          <w:highlight w:val="none"/>
          <w:u w:val="single"/>
          <w:lang w:val="en-US" w:eastAsia="zh-CN"/>
        </w:rPr>
        <w:t>（定标部分）</w:t>
      </w:r>
      <w:r>
        <w:rPr>
          <w:rFonts w:hint="eastAsia" w:ascii="宋体" w:hAnsi="宋体" w:eastAsia="宋体" w:cs="宋体"/>
          <w:color w:val="000000"/>
          <w:sz w:val="24"/>
          <w:highlight w:val="none"/>
          <w:u w:val="single"/>
          <w:lang w:val="en-US" w:eastAsia="zh-CN"/>
        </w:rPr>
        <w:t>进行评审。第三章“评标、定标办法”没有规定的定标因素和评价标准，不作为定标依据。</w:t>
      </w:r>
    </w:p>
    <w:p w14:paraId="0986FA30">
      <w:pPr>
        <w:keepNext w:val="0"/>
        <w:keepLines w:val="0"/>
        <w:pageBreakBefore w:val="0"/>
        <w:widowControl w:val="0"/>
        <w:pBdr>
          <w:bottom w:val="single" w:color="auto" w:sz="4" w:space="0"/>
        </w:pBdr>
        <w:kinsoku/>
        <w:wordWrap/>
        <w:overflowPunct/>
        <w:topLinePunct w:val="0"/>
        <w:autoSpaceDE w:val="0"/>
        <w:autoSpaceDN w:val="0"/>
        <w:bidi w:val="0"/>
        <w:adjustRightInd w:val="0"/>
        <w:snapToGrid/>
        <w:spacing w:line="360" w:lineRule="auto"/>
        <w:ind w:firstLine="480" w:firstLineChars="200"/>
        <w:textAlignment w:val="auto"/>
        <w:rPr>
          <w:rFonts w:hint="eastAsia" w:cs="宋体"/>
          <w:color w:val="auto"/>
          <w:sz w:val="24"/>
          <w:szCs w:val="24"/>
          <w:highlight w:val="none"/>
          <w:u w:val="single"/>
        </w:rPr>
      </w:pPr>
      <w:r>
        <w:rPr>
          <w:rFonts w:hint="eastAsia" w:ascii="宋体" w:hAnsi="宋体" w:eastAsia="宋体" w:cs="宋体"/>
          <w:color w:val="000000"/>
          <w:sz w:val="24"/>
          <w:highlight w:val="none"/>
          <w:u w:val="single"/>
          <w:lang w:val="en-US" w:eastAsia="zh-CN"/>
        </w:rPr>
        <w:t>7.4.4定标委员会确定的中标人放弃中标、因不可抗力不能履行合同，或者被查实存在影响中标结果的违法行为等情形，不符合中标条件的，招标人可以</w:t>
      </w:r>
      <w:r>
        <w:rPr>
          <w:rFonts w:hint="eastAsia" w:ascii="宋体" w:hAnsi="宋体" w:cs="宋体"/>
          <w:color w:val="000000"/>
          <w:sz w:val="24"/>
          <w:highlight w:val="none"/>
          <w:u w:val="single"/>
          <w:lang w:val="en-US" w:eastAsia="zh-CN"/>
        </w:rPr>
        <w:t>按照</w:t>
      </w:r>
      <w:r>
        <w:rPr>
          <w:rFonts w:hint="eastAsia" w:ascii="宋体" w:hAnsi="宋体" w:eastAsia="宋体" w:cs="宋体"/>
          <w:color w:val="000000"/>
          <w:sz w:val="24"/>
          <w:highlight w:val="none"/>
          <w:u w:val="single"/>
          <w:lang w:val="en-US" w:eastAsia="zh-CN"/>
        </w:rPr>
        <w:t>第三章“评标、定标办法”</w:t>
      </w:r>
      <w:r>
        <w:rPr>
          <w:rFonts w:hint="eastAsia"/>
          <w:highlight w:val="none"/>
          <w:u w:val="single"/>
          <w:lang w:val="en-US" w:eastAsia="zh-CN"/>
        </w:rPr>
        <w:t>3.5重新组织定标，</w:t>
      </w:r>
      <w:r>
        <w:rPr>
          <w:rFonts w:hint="eastAsia" w:ascii="宋体" w:hAnsi="宋体" w:eastAsia="宋体" w:cs="宋体"/>
          <w:color w:val="000000"/>
          <w:sz w:val="24"/>
          <w:highlight w:val="none"/>
          <w:u w:val="single"/>
          <w:lang w:val="en-US" w:eastAsia="zh-CN"/>
        </w:rPr>
        <w:t>由原定标委员会从其他合格中标候选人</w:t>
      </w:r>
      <w:r>
        <w:rPr>
          <w:rFonts w:hint="eastAsia" w:ascii="宋体" w:hAnsi="宋体" w:cs="宋体"/>
          <w:color w:val="000000"/>
          <w:sz w:val="24"/>
          <w:highlight w:val="none"/>
          <w:u w:val="single"/>
          <w:lang w:val="en-US" w:eastAsia="zh-CN"/>
        </w:rPr>
        <w:t>中</w:t>
      </w:r>
      <w:r>
        <w:rPr>
          <w:rFonts w:hint="eastAsia" w:ascii="宋体" w:hAnsi="宋体" w:eastAsia="宋体" w:cs="宋体"/>
          <w:color w:val="000000"/>
          <w:sz w:val="24"/>
          <w:highlight w:val="none"/>
          <w:u w:val="single"/>
          <w:lang w:val="en-US" w:eastAsia="zh-CN"/>
        </w:rPr>
        <w:t>确定中标人，也可以重新招标。</w:t>
      </w:r>
    </w:p>
    <w:p w14:paraId="256B9D2E">
      <w:pPr>
        <w:keepNext w:val="0"/>
        <w:keepLines w:val="0"/>
        <w:pageBreakBefore w:val="0"/>
        <w:widowControl w:val="0"/>
        <w:wordWrap/>
        <w:topLinePunct w:val="0"/>
        <w:bidi w:val="0"/>
        <w:adjustRightInd w:val="0"/>
        <w:snapToGrid/>
        <w:spacing w:line="360" w:lineRule="auto"/>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rPr>
        <w:t>条款号：</w:t>
      </w:r>
      <w:r>
        <w:rPr>
          <w:rFonts w:hint="eastAsia" w:ascii="宋体" w:hAnsi="宋体" w:eastAsia="宋体" w:cs="宋体"/>
          <w:strike w:val="0"/>
          <w:color w:val="auto"/>
          <w:sz w:val="24"/>
          <w:szCs w:val="24"/>
          <w:highlight w:val="none"/>
          <w:lang w:val="en-US" w:eastAsia="zh-CN"/>
        </w:rPr>
        <w:t>7.6</w:t>
      </w:r>
      <w:r>
        <w:rPr>
          <w:rFonts w:hint="eastAsia" w:ascii="宋体" w:hAnsi="宋体" w:eastAsia="宋体" w:cs="宋体"/>
          <w:highlight w:val="none"/>
        </w:rPr>
        <w:t>履约保证金</w:t>
      </w:r>
      <w:r>
        <w:rPr>
          <w:rFonts w:hint="eastAsia" w:ascii="宋体" w:hAnsi="宋体" w:eastAsia="宋体" w:cs="宋体"/>
          <w:strike w:val="0"/>
          <w:color w:val="auto"/>
          <w:sz w:val="24"/>
          <w:szCs w:val="24"/>
          <w:highlight w:val="none"/>
          <w:lang w:val="en-US" w:eastAsia="zh-CN"/>
        </w:rPr>
        <w:t xml:space="preserve"> </w:t>
      </w:r>
      <w:r>
        <w:rPr>
          <w:rFonts w:hint="eastAsia" w:ascii="宋体" w:hAnsi="宋体" w:eastAsia="宋体" w:cs="宋体"/>
          <w:b/>
          <w:bCs/>
          <w:strike w:val="0"/>
          <w:color w:val="auto"/>
          <w:sz w:val="24"/>
          <w:szCs w:val="24"/>
          <w:highlight w:val="none"/>
          <w:lang w:val="en-US" w:eastAsia="zh-CN"/>
        </w:rPr>
        <w:t xml:space="preserve"> </w:t>
      </w:r>
      <w:r>
        <w:rPr>
          <w:rFonts w:hint="eastAsia" w:ascii="宋体" w:hAnsi="宋体" w:eastAsia="宋体" w:cs="宋体"/>
          <w:b/>
          <w:bCs/>
          <w:sz w:val="24"/>
          <w:szCs w:val="24"/>
          <w:highlight w:val="none"/>
        </w:rPr>
        <w:t xml:space="preserve">           修改类型：</w:t>
      </w:r>
      <w:r>
        <w:rPr>
          <w:rFonts w:hint="eastAsia" w:ascii="宋体" w:hAnsi="宋体" w:cs="宋体"/>
          <w:b/>
          <w:bCs/>
          <w:sz w:val="24"/>
          <w:szCs w:val="24"/>
          <w:highlight w:val="none"/>
          <w:lang w:val="en-US" w:eastAsia="zh-CN"/>
        </w:rPr>
        <w:t>删除</w:t>
      </w:r>
    </w:p>
    <w:p w14:paraId="740495C3">
      <w:pPr>
        <w:pStyle w:val="1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bidi w:val="0"/>
        <w:adjustRightInd w:val="0"/>
        <w:snapToGrid/>
        <w:spacing w:line="360" w:lineRule="auto"/>
        <w:ind w:left="0" w:firstLine="482" w:firstLineChars="200"/>
        <w:jc w:val="both"/>
        <w:textAlignment w:val="auto"/>
        <w:rPr>
          <w:rFonts w:hint="eastAsia" w:cs="宋体"/>
          <w:color w:val="auto"/>
          <w:sz w:val="24"/>
          <w:szCs w:val="24"/>
          <w:highlight w:val="none"/>
        </w:rPr>
      </w:pPr>
      <w:r>
        <w:rPr>
          <w:rFonts w:hint="eastAsia" w:ascii="宋体" w:hAnsi="宋体" w:eastAsia="宋体" w:cs="宋体"/>
          <w:b/>
          <w:bCs/>
          <w:sz w:val="24"/>
          <w:szCs w:val="24"/>
          <w:highlight w:val="none"/>
          <w:lang w:val="en-US" w:eastAsia="zh-CN"/>
        </w:rPr>
        <w:t>原文：</w:t>
      </w:r>
      <w:r>
        <w:rPr>
          <w:rFonts w:hint="eastAsia" w:cs="宋体"/>
          <w:color w:val="auto"/>
          <w:sz w:val="24"/>
          <w:szCs w:val="24"/>
          <w:highlight w:val="none"/>
        </w:rPr>
        <w:t>7.6.1 在签订合同前，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10%。联合体中标的，其履约保证金以联合体各方或者联合体中</w:t>
      </w:r>
      <w:r>
        <w:rPr>
          <w:rFonts w:hint="eastAsia" w:cs="宋体"/>
          <w:color w:val="auto"/>
          <w:spacing w:val="-2"/>
          <w:sz w:val="24"/>
          <w:szCs w:val="24"/>
          <w:highlight w:val="none"/>
          <w:lang w:eastAsia="zh-CN"/>
        </w:rPr>
        <w:t>主办方</w:t>
      </w:r>
      <w:r>
        <w:rPr>
          <w:rFonts w:hint="eastAsia" w:cs="宋体"/>
          <w:color w:val="auto"/>
          <w:sz w:val="24"/>
          <w:szCs w:val="24"/>
          <w:highlight w:val="none"/>
        </w:rPr>
        <w:t>的名义提交。</w:t>
      </w:r>
    </w:p>
    <w:p w14:paraId="36F1ADF6">
      <w:pPr>
        <w:pStyle w:val="12"/>
        <w:keepNext w:val="0"/>
        <w:keepLines w:val="0"/>
        <w:pageBreakBefore w:val="0"/>
        <w:widowControl w:val="0"/>
        <w:pBdr>
          <w:bottom w:val="single" w:color="auto" w:sz="4" w:space="0"/>
        </w:pBdr>
        <w:tabs>
          <w:tab w:val="left" w:pos="1343"/>
          <w:tab w:val="left" w:pos="2697"/>
          <w:tab w:val="left" w:pos="3264"/>
          <w:tab w:val="left" w:pos="4896"/>
          <w:tab w:val="left" w:pos="6005"/>
          <w:tab w:val="left" w:pos="7085"/>
          <w:tab w:val="left" w:pos="7498"/>
        </w:tabs>
        <w:kinsoku w:val="0"/>
        <w:wordWrap/>
        <w:overflowPunct w:val="0"/>
        <w:topLinePunct w:val="0"/>
        <w:bidi w:val="0"/>
        <w:adjustRightInd w:val="0"/>
        <w:snapToGrid/>
        <w:spacing w:line="360" w:lineRule="auto"/>
        <w:ind w:left="0" w:firstLine="480" w:firstLineChars="200"/>
        <w:jc w:val="both"/>
        <w:textAlignment w:val="auto"/>
        <w:rPr>
          <w:rFonts w:hint="eastAsia" w:cs="宋体"/>
          <w:color w:val="auto"/>
          <w:sz w:val="24"/>
          <w:szCs w:val="24"/>
          <w:highlight w:val="none"/>
        </w:rPr>
      </w:pPr>
      <w:r>
        <w:rPr>
          <w:rFonts w:hint="eastAsia" w:cs="宋体"/>
          <w:color w:val="auto"/>
          <w:sz w:val="24"/>
          <w:szCs w:val="24"/>
          <w:highlight w:val="none"/>
        </w:rPr>
        <w:t>7.6.2 中标人不能按本章第 7.6.1 项要求提交履约保证金的，视为放弃中标，其投标保证金不予退还，给招标人造成的损失超过投标保证金数额的，中标人还应当对超过部分予以赔偿。</w:t>
      </w:r>
    </w:p>
    <w:p w14:paraId="0AA52777">
      <w:pPr>
        <w:keepNext w:val="0"/>
        <w:keepLines w:val="0"/>
        <w:pageBreakBefore w:val="0"/>
        <w:widowControl w:val="0"/>
        <w:wordWrap/>
        <w:topLinePunct w:val="0"/>
        <w:autoSpaceDE/>
        <w:autoSpaceDN/>
        <w:bidi w:val="0"/>
        <w:adjustRightInd w:val="0"/>
        <w:snapToGrid/>
        <w:spacing w:line="360" w:lineRule="auto"/>
        <w:ind w:firstLine="482" w:firstLineChars="200"/>
        <w:textAlignment w:val="auto"/>
        <w:rPr>
          <w:rFonts w:hint="eastAsia" w:ascii="宋体" w:hAnsi="宋体" w:cs="宋体"/>
          <w:b/>
          <w:bCs/>
          <w:sz w:val="24"/>
          <w:szCs w:val="24"/>
          <w:highlight w:val="none"/>
          <w:lang w:eastAsia="zh-CN"/>
        </w:rPr>
      </w:pPr>
      <w:r>
        <w:rPr>
          <w:rFonts w:hint="eastAsia" w:ascii="宋体" w:hAnsi="宋体" w:eastAsia="宋体" w:cs="宋体"/>
          <w:b/>
          <w:bCs/>
          <w:sz w:val="24"/>
          <w:szCs w:val="24"/>
          <w:highlight w:val="none"/>
        </w:rPr>
        <w:t>条款号：</w:t>
      </w:r>
      <w:r>
        <w:rPr>
          <w:rFonts w:hint="eastAsia" w:ascii="宋体" w:hAnsi="宋体" w:eastAsia="宋体" w:cs="宋体"/>
          <w:highlight w:val="none"/>
        </w:rPr>
        <w:t>7.7 签订合同</w:t>
      </w:r>
      <w:r>
        <w:rPr>
          <w:rFonts w:hint="eastAsia" w:ascii="宋体" w:hAnsi="宋体" w:eastAsia="宋体" w:cs="宋体"/>
          <w:strike w:val="0"/>
          <w:color w:val="auto"/>
          <w:sz w:val="24"/>
          <w:szCs w:val="24"/>
          <w:highlight w:val="none"/>
          <w:lang w:val="en-US" w:eastAsia="zh-CN"/>
        </w:rPr>
        <w:t xml:space="preserve"> </w:t>
      </w:r>
      <w:r>
        <w:rPr>
          <w:rFonts w:hint="eastAsia" w:ascii="宋体" w:hAnsi="宋体" w:eastAsia="宋体" w:cs="宋体"/>
          <w:b/>
          <w:bCs/>
          <w:strike w:val="0"/>
          <w:color w:val="auto"/>
          <w:sz w:val="24"/>
          <w:szCs w:val="24"/>
          <w:highlight w:val="none"/>
          <w:lang w:val="en-US" w:eastAsia="zh-CN"/>
        </w:rPr>
        <w:t xml:space="preserve"> </w:t>
      </w:r>
      <w:r>
        <w:rPr>
          <w:rFonts w:hint="eastAsia" w:ascii="宋体" w:hAnsi="宋体" w:eastAsia="宋体" w:cs="宋体"/>
          <w:b/>
          <w:bCs/>
          <w:sz w:val="24"/>
          <w:szCs w:val="24"/>
          <w:highlight w:val="none"/>
        </w:rPr>
        <w:t xml:space="preserve">           修改类型：</w:t>
      </w:r>
      <w:r>
        <w:rPr>
          <w:rFonts w:hint="eastAsia" w:ascii="宋体" w:hAnsi="宋体" w:cs="宋体"/>
          <w:b/>
          <w:bCs/>
          <w:sz w:val="24"/>
          <w:szCs w:val="24"/>
          <w:highlight w:val="none"/>
          <w:lang w:eastAsia="zh-CN"/>
        </w:rPr>
        <w:t>修改</w:t>
      </w:r>
    </w:p>
    <w:p w14:paraId="16E07499">
      <w:pPr>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rPr>
          <w:rFonts w:hint="eastAsia" w:ascii="宋体" w:hAnsi="宋体" w:eastAsia="宋体" w:cs="宋体"/>
          <w:highlight w:val="none"/>
        </w:rPr>
      </w:pPr>
      <w:r>
        <w:rPr>
          <w:rFonts w:hint="eastAsia" w:ascii="宋体" w:hAnsi="宋体" w:eastAsia="宋体" w:cs="宋体"/>
          <w:b/>
          <w:bCs/>
          <w:sz w:val="24"/>
          <w:szCs w:val="24"/>
          <w:highlight w:val="none"/>
          <w:lang w:val="en-US" w:eastAsia="zh-CN"/>
        </w:rPr>
        <w:t>原文：</w:t>
      </w:r>
      <w:r>
        <w:rPr>
          <w:rFonts w:hint="eastAsia" w:ascii="宋体" w:hAnsi="宋体" w:eastAsia="宋体" w:cs="宋体"/>
          <w:highlight w:val="none"/>
        </w:rPr>
        <w:t>7.7 签订合同</w:t>
      </w:r>
    </w:p>
    <w:p w14:paraId="30DD2B4B">
      <w:pPr>
        <w:pStyle w:val="1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autoSpaceDN/>
        <w:bidi w:val="0"/>
        <w:adjustRightInd w:val="0"/>
        <w:snapToGrid/>
        <w:spacing w:line="360" w:lineRule="auto"/>
        <w:ind w:left="0" w:firstLine="480" w:firstLineChars="200"/>
        <w:jc w:val="both"/>
        <w:textAlignment w:val="auto"/>
        <w:rPr>
          <w:rFonts w:hint="eastAsia" w:cs="宋体"/>
          <w:color w:val="auto"/>
          <w:sz w:val="24"/>
          <w:szCs w:val="24"/>
          <w:highlight w:val="none"/>
        </w:rPr>
      </w:pPr>
      <w:r>
        <w:rPr>
          <w:rFonts w:hint="eastAsia" w:cs="宋体"/>
          <w:color w:val="auto"/>
          <w:sz w:val="24"/>
          <w:szCs w:val="24"/>
          <w:highlight w:val="none"/>
        </w:rPr>
        <w:t>7.7.1 招标人和中标人应当在中标通知书发出之日起30日内，根据招标文件和中标人的投标文件订立书面合同</w:t>
      </w:r>
      <w:r>
        <w:rPr>
          <w:rFonts w:hint="eastAsia" w:cs="宋体"/>
          <w:color w:val="auto"/>
          <w:sz w:val="24"/>
          <w:highlight w:val="none"/>
          <w:lang w:eastAsia="zh-CN"/>
        </w:rPr>
        <w:t>，并通过电子交易系统与中标人在线签订合同</w:t>
      </w:r>
      <w:r>
        <w:rPr>
          <w:rFonts w:hint="eastAsia" w:cs="宋体"/>
          <w:color w:val="auto"/>
          <w:sz w:val="24"/>
          <w:szCs w:val="24"/>
          <w:highlight w:val="none"/>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14:paraId="1093414B">
      <w:pPr>
        <w:pStyle w:val="1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autoSpaceDN/>
        <w:bidi w:val="0"/>
        <w:adjustRightInd w:val="0"/>
        <w:snapToGrid/>
        <w:spacing w:line="360" w:lineRule="auto"/>
        <w:ind w:left="0" w:firstLine="480" w:firstLineChars="200"/>
        <w:jc w:val="both"/>
        <w:textAlignment w:val="auto"/>
        <w:rPr>
          <w:rFonts w:hint="eastAsia" w:cs="宋体"/>
          <w:color w:val="auto"/>
          <w:sz w:val="24"/>
          <w:szCs w:val="24"/>
          <w:highlight w:val="none"/>
        </w:rPr>
      </w:pPr>
      <w:r>
        <w:rPr>
          <w:rFonts w:hint="eastAsia" w:cs="宋体"/>
          <w:color w:val="auto"/>
          <w:sz w:val="24"/>
          <w:szCs w:val="24"/>
          <w:highlight w:val="none"/>
        </w:rPr>
        <w:t>7.7.2 发出中标通知书后，招标人无正当理由拒签合同，或者在签订合同时向中标人提出附加条件的，招标人向中标人退还投标保证金；给中标人造成损失的，还应当赔偿损失。</w:t>
      </w:r>
    </w:p>
    <w:p w14:paraId="17EAA9AA">
      <w:pPr>
        <w:pStyle w:val="1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autoSpaceDN/>
        <w:bidi w:val="0"/>
        <w:adjustRightInd w:val="0"/>
        <w:snapToGrid/>
        <w:spacing w:line="360" w:lineRule="auto"/>
        <w:ind w:left="0" w:firstLine="480" w:firstLineChars="200"/>
        <w:jc w:val="both"/>
        <w:textAlignment w:val="auto"/>
        <w:rPr>
          <w:rFonts w:hint="eastAsia" w:cs="宋体"/>
          <w:color w:val="auto"/>
          <w:sz w:val="24"/>
          <w:szCs w:val="24"/>
          <w:highlight w:val="none"/>
        </w:rPr>
      </w:pPr>
      <w:r>
        <w:rPr>
          <w:rFonts w:hint="eastAsia" w:cs="宋体"/>
          <w:color w:val="auto"/>
          <w:sz w:val="24"/>
          <w:szCs w:val="24"/>
          <w:highlight w:val="none"/>
        </w:rPr>
        <w:t>7.7.3 联合体中标的，联合体各方应当共同与招标人签订合同，就中标项目向招标人承担连带责任。</w:t>
      </w:r>
    </w:p>
    <w:p w14:paraId="6F00D5FD">
      <w:pPr>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rPr>
          <w:rFonts w:hint="eastAsia" w:ascii="宋体" w:hAnsi="宋体" w:eastAsia="宋体" w:cs="宋体"/>
          <w:highlight w:val="none"/>
        </w:rPr>
      </w:pPr>
      <w:r>
        <w:rPr>
          <w:rFonts w:hint="eastAsia" w:ascii="宋体" w:hAnsi="宋体" w:cs="宋体"/>
          <w:b/>
          <w:bCs/>
          <w:sz w:val="24"/>
          <w:szCs w:val="24"/>
          <w:highlight w:val="none"/>
          <w:lang w:val="en-US" w:eastAsia="zh-CN"/>
        </w:rPr>
        <w:t>现文：</w:t>
      </w:r>
      <w:r>
        <w:rPr>
          <w:rFonts w:hint="eastAsia" w:ascii="宋体" w:hAnsi="宋体" w:eastAsia="宋体" w:cs="宋体"/>
          <w:highlight w:val="none"/>
        </w:rPr>
        <w:t>7.7 签订合同</w:t>
      </w:r>
    </w:p>
    <w:p w14:paraId="0FC9C061">
      <w:pPr>
        <w:pStyle w:val="1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autoSpaceDN/>
        <w:bidi w:val="0"/>
        <w:adjustRightInd w:val="0"/>
        <w:snapToGrid/>
        <w:spacing w:line="360" w:lineRule="auto"/>
        <w:ind w:left="0" w:firstLine="480" w:firstLineChars="200"/>
        <w:jc w:val="both"/>
        <w:textAlignment w:val="auto"/>
        <w:rPr>
          <w:rFonts w:hint="eastAsia" w:cs="宋体"/>
          <w:color w:val="auto"/>
          <w:sz w:val="24"/>
          <w:szCs w:val="24"/>
          <w:highlight w:val="none"/>
        </w:rPr>
      </w:pPr>
      <w:r>
        <w:rPr>
          <w:rFonts w:hint="eastAsia" w:cs="宋体"/>
          <w:color w:val="auto"/>
          <w:sz w:val="24"/>
          <w:szCs w:val="24"/>
          <w:highlight w:val="none"/>
        </w:rPr>
        <w:t>7.7.1 招标人和中标人应当在中标通知书发出之日起30日内，根据招标文件和中标人的投标文件订立书面合同</w:t>
      </w:r>
      <w:r>
        <w:rPr>
          <w:rFonts w:hint="eastAsia" w:cs="宋体"/>
          <w:color w:val="auto"/>
          <w:sz w:val="24"/>
          <w:highlight w:val="none"/>
          <w:lang w:eastAsia="zh-CN"/>
        </w:rPr>
        <w:t>，并通过电子交易系统与中标人在线签订合同</w:t>
      </w:r>
      <w:r>
        <w:rPr>
          <w:rFonts w:hint="eastAsia" w:cs="宋体"/>
          <w:color w:val="auto"/>
          <w:sz w:val="24"/>
          <w:szCs w:val="24"/>
          <w:highlight w:val="none"/>
        </w:rPr>
        <w:t>。中标人无正当理由拒签合同，在签订合同时向招标人提出附加条件，</w:t>
      </w:r>
      <w:r>
        <w:rPr>
          <w:rFonts w:hint="eastAsia" w:cs="宋体"/>
          <w:strike/>
          <w:color w:val="auto"/>
          <w:sz w:val="24"/>
          <w:szCs w:val="24"/>
          <w:highlight w:val="none"/>
        </w:rPr>
        <w:t>或者不按照招标文件要求提交履约保证金的，</w:t>
      </w:r>
      <w:r>
        <w:rPr>
          <w:rFonts w:hint="eastAsia" w:cs="宋体"/>
          <w:color w:val="auto"/>
          <w:sz w:val="24"/>
          <w:szCs w:val="24"/>
          <w:highlight w:val="none"/>
        </w:rPr>
        <w:t>招标人有权取消其中标资格</w:t>
      </w:r>
      <w:r>
        <w:rPr>
          <w:rFonts w:hint="eastAsia" w:cs="宋体"/>
          <w:color w:val="auto"/>
          <w:sz w:val="24"/>
          <w:szCs w:val="24"/>
          <w:highlight w:val="none"/>
          <w:lang w:val="en-US" w:eastAsia="zh-CN"/>
        </w:rPr>
        <w:t>并</w:t>
      </w:r>
      <w:r>
        <w:rPr>
          <w:rFonts w:hint="eastAsia" w:cs="宋体"/>
          <w:color w:val="auto"/>
          <w:sz w:val="24"/>
          <w:szCs w:val="24"/>
          <w:highlight w:val="none"/>
        </w:rPr>
        <w:t>根据《关于投标保证金的承诺》，要求投标人足额补交投标保证金，其补交的投标保证金不予退还。给招标人造成的损失超过投标保证金数额的，中标人还应当对超过部分予以赔偿。</w:t>
      </w:r>
    </w:p>
    <w:p w14:paraId="38841C10">
      <w:pPr>
        <w:pStyle w:val="1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autoSpaceDN/>
        <w:bidi w:val="0"/>
        <w:adjustRightInd w:val="0"/>
        <w:snapToGrid/>
        <w:spacing w:line="360" w:lineRule="auto"/>
        <w:ind w:left="0" w:firstLine="480" w:firstLineChars="200"/>
        <w:jc w:val="both"/>
        <w:textAlignment w:val="auto"/>
        <w:rPr>
          <w:rFonts w:hint="eastAsia" w:cs="宋体"/>
          <w:strike/>
          <w:color w:val="auto"/>
          <w:sz w:val="24"/>
          <w:szCs w:val="24"/>
          <w:highlight w:val="none"/>
        </w:rPr>
      </w:pPr>
      <w:r>
        <w:rPr>
          <w:rFonts w:hint="eastAsia" w:cs="宋体"/>
          <w:strike/>
          <w:color w:val="auto"/>
          <w:sz w:val="24"/>
          <w:szCs w:val="24"/>
          <w:highlight w:val="none"/>
        </w:rPr>
        <w:t>7.7.2 发出中标通知书后，招标人无正当理由拒签合同，或者在签订合同时向中标人提出附加条件的，招标人向中标人退还投标保证金；给中标人造成损失的，还应当赔偿损失。</w:t>
      </w:r>
    </w:p>
    <w:p w14:paraId="39C6B1D1">
      <w:pPr>
        <w:pStyle w:val="12"/>
        <w:keepNext w:val="0"/>
        <w:keepLines w:val="0"/>
        <w:pageBreakBefore w:val="0"/>
        <w:widowControl w:val="0"/>
        <w:pBdr>
          <w:bottom w:val="single" w:color="auto" w:sz="4" w:space="0"/>
        </w:pBdr>
        <w:tabs>
          <w:tab w:val="left" w:pos="1343"/>
          <w:tab w:val="left" w:pos="2697"/>
          <w:tab w:val="left" w:pos="3264"/>
          <w:tab w:val="left" w:pos="4896"/>
          <w:tab w:val="left" w:pos="6005"/>
          <w:tab w:val="left" w:pos="7085"/>
          <w:tab w:val="left" w:pos="7498"/>
        </w:tabs>
        <w:kinsoku w:val="0"/>
        <w:wordWrap/>
        <w:overflowPunct w:val="0"/>
        <w:topLinePunct w:val="0"/>
        <w:autoSpaceDE/>
        <w:autoSpaceDN/>
        <w:bidi w:val="0"/>
        <w:adjustRightInd w:val="0"/>
        <w:snapToGrid/>
        <w:spacing w:line="360" w:lineRule="auto"/>
        <w:ind w:left="0" w:firstLine="480" w:firstLineChars="200"/>
        <w:jc w:val="both"/>
        <w:textAlignment w:val="auto"/>
        <w:rPr>
          <w:rFonts w:hint="eastAsia" w:cs="宋体"/>
          <w:strike/>
          <w:color w:val="auto"/>
          <w:sz w:val="24"/>
          <w:szCs w:val="24"/>
          <w:highlight w:val="none"/>
        </w:rPr>
      </w:pPr>
      <w:r>
        <w:rPr>
          <w:rFonts w:hint="eastAsia" w:cs="宋体"/>
          <w:strike/>
          <w:color w:val="auto"/>
          <w:sz w:val="24"/>
          <w:szCs w:val="24"/>
          <w:highlight w:val="none"/>
        </w:rPr>
        <w:t>7.7.3 联合体中标的，联合体各方应当共同与招标人签订合同，就中标项目向招标人承担连带责任。</w:t>
      </w:r>
    </w:p>
    <w:p w14:paraId="3B5FA064">
      <w:pPr>
        <w:keepNext w:val="0"/>
        <w:keepLines w:val="0"/>
        <w:pageBreakBefore w:val="0"/>
        <w:widowControl w:val="0"/>
        <w:wordWrap/>
        <w:topLinePunct w:val="0"/>
        <w:autoSpaceDE/>
        <w:autoSpaceDN/>
        <w:bidi w:val="0"/>
        <w:adjustRightInd w:val="0"/>
        <w:snapToGrid/>
        <w:spacing w:line="360" w:lineRule="auto"/>
        <w:ind w:firstLine="482" w:firstLineChars="200"/>
        <w:textAlignment w:val="auto"/>
        <w:rPr>
          <w:rFonts w:hint="eastAsia" w:ascii="宋体" w:hAnsi="宋体" w:cs="宋体"/>
          <w:b/>
          <w:bCs/>
          <w:sz w:val="24"/>
          <w:szCs w:val="24"/>
          <w:highlight w:val="none"/>
          <w:lang w:eastAsia="zh-CN"/>
        </w:rPr>
      </w:pPr>
      <w:r>
        <w:rPr>
          <w:rFonts w:hint="eastAsia" w:ascii="宋体" w:hAnsi="宋体" w:eastAsia="宋体" w:cs="宋体"/>
          <w:b/>
          <w:bCs/>
          <w:sz w:val="24"/>
          <w:szCs w:val="24"/>
          <w:highlight w:val="none"/>
        </w:rPr>
        <w:t>条款号：</w:t>
      </w:r>
      <w:r>
        <w:rPr>
          <w:rFonts w:hint="eastAsia" w:ascii="宋体" w:hAnsi="宋体" w:eastAsia="宋体" w:cs="宋体"/>
          <w:highlight w:val="none"/>
          <w:lang w:val="en-US" w:eastAsia="zh-CN"/>
        </w:rPr>
        <w:t>8</w:t>
      </w:r>
      <w:r>
        <w:rPr>
          <w:rFonts w:hint="eastAsia" w:ascii="宋体" w:hAnsi="宋体" w:eastAsia="宋体" w:cs="宋体"/>
          <w:highlight w:val="none"/>
        </w:rPr>
        <w:t>.</w:t>
      </w:r>
      <w:r>
        <w:rPr>
          <w:rFonts w:hint="eastAsia" w:ascii="宋体" w:hAnsi="宋体" w:eastAsia="宋体" w:cs="宋体"/>
          <w:highlight w:val="none"/>
          <w:lang w:val="en-US" w:eastAsia="zh-CN"/>
        </w:rPr>
        <w:t>2-8.4</w:t>
      </w:r>
      <w:r>
        <w:rPr>
          <w:rFonts w:hint="eastAsia" w:ascii="宋体" w:hAnsi="宋体" w:eastAsia="宋体" w:cs="宋体"/>
          <w:highlight w:val="none"/>
        </w:rPr>
        <w:t xml:space="preserve"> </w:t>
      </w:r>
      <w:r>
        <w:rPr>
          <w:rFonts w:hint="eastAsia" w:ascii="宋体" w:hAnsi="宋体" w:eastAsia="宋体" w:cs="宋体"/>
          <w:strike w:val="0"/>
          <w:color w:val="auto"/>
          <w:sz w:val="24"/>
          <w:szCs w:val="24"/>
          <w:highlight w:val="none"/>
          <w:lang w:val="en-US" w:eastAsia="zh-CN"/>
        </w:rPr>
        <w:t xml:space="preserve"> </w:t>
      </w:r>
      <w:r>
        <w:rPr>
          <w:rFonts w:hint="eastAsia" w:ascii="宋体" w:hAnsi="宋体" w:eastAsia="宋体" w:cs="宋体"/>
          <w:b/>
          <w:bCs/>
          <w:strike w:val="0"/>
          <w:color w:val="auto"/>
          <w:sz w:val="24"/>
          <w:szCs w:val="24"/>
          <w:highlight w:val="none"/>
          <w:lang w:val="en-US" w:eastAsia="zh-CN"/>
        </w:rPr>
        <w:t xml:space="preserve"> </w:t>
      </w:r>
      <w:r>
        <w:rPr>
          <w:rFonts w:hint="eastAsia" w:ascii="宋体" w:hAnsi="宋体" w:eastAsia="宋体" w:cs="宋体"/>
          <w:b/>
          <w:bCs/>
          <w:sz w:val="24"/>
          <w:szCs w:val="24"/>
          <w:highlight w:val="none"/>
        </w:rPr>
        <w:t xml:space="preserve">           修改类型：</w:t>
      </w:r>
      <w:r>
        <w:rPr>
          <w:rFonts w:hint="eastAsia" w:ascii="宋体" w:hAnsi="宋体" w:cs="宋体"/>
          <w:b/>
          <w:bCs/>
          <w:sz w:val="24"/>
          <w:szCs w:val="24"/>
          <w:highlight w:val="none"/>
          <w:lang w:eastAsia="zh-CN"/>
        </w:rPr>
        <w:t>修改</w:t>
      </w:r>
    </w:p>
    <w:p w14:paraId="44B5C73E">
      <w:pPr>
        <w:pStyle w:val="12"/>
        <w:keepNext w:val="0"/>
        <w:keepLines w:val="0"/>
        <w:pageBreakBefore w:val="0"/>
        <w:widowControl w:val="0"/>
        <w:pBdr>
          <w:bottom w:val="none" w:color="auto" w:sz="0" w:space="0"/>
        </w:pBdr>
        <w:tabs>
          <w:tab w:val="left" w:pos="1343"/>
          <w:tab w:val="left" w:pos="2697"/>
          <w:tab w:val="left" w:pos="3264"/>
          <w:tab w:val="left" w:pos="4896"/>
          <w:tab w:val="left" w:pos="6005"/>
          <w:tab w:val="left" w:pos="7085"/>
          <w:tab w:val="left" w:pos="7498"/>
        </w:tabs>
        <w:kinsoku w:val="0"/>
        <w:wordWrap/>
        <w:overflowPunct w:val="0"/>
        <w:topLinePunct w:val="0"/>
        <w:autoSpaceDE/>
        <w:autoSpaceDN/>
        <w:bidi w:val="0"/>
        <w:adjustRightInd w:val="0"/>
        <w:snapToGrid/>
        <w:spacing w:line="360" w:lineRule="auto"/>
        <w:ind w:left="0" w:firstLine="482" w:firstLineChars="200"/>
        <w:jc w:val="both"/>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bCs/>
          <w:sz w:val="24"/>
          <w:szCs w:val="24"/>
          <w:highlight w:val="none"/>
          <w:lang w:val="en-US" w:eastAsia="zh-CN"/>
        </w:rPr>
        <w:t>原文：</w:t>
      </w:r>
      <w:r>
        <w:rPr>
          <w:rFonts w:hint="eastAsia" w:ascii="宋体" w:hAnsi="宋体" w:eastAsia="宋体" w:cs="宋体"/>
          <w:b w:val="0"/>
          <w:bCs w:val="0"/>
          <w:sz w:val="24"/>
          <w:szCs w:val="24"/>
          <w:highlight w:val="none"/>
          <w:lang w:val="en-US" w:eastAsia="zh-CN"/>
        </w:rPr>
        <w:t>8.2 对投标人的纪律要求</w:t>
      </w:r>
    </w:p>
    <w:p w14:paraId="3570269B">
      <w:pPr>
        <w:pStyle w:val="12"/>
        <w:keepNext w:val="0"/>
        <w:keepLines w:val="0"/>
        <w:pageBreakBefore w:val="0"/>
        <w:widowControl w:val="0"/>
        <w:pBdr>
          <w:bottom w:val="none" w:color="auto" w:sz="0" w:space="0"/>
        </w:pBdr>
        <w:tabs>
          <w:tab w:val="left" w:pos="1343"/>
          <w:tab w:val="left" w:pos="2697"/>
          <w:tab w:val="left" w:pos="3264"/>
          <w:tab w:val="left" w:pos="4896"/>
          <w:tab w:val="left" w:pos="6005"/>
          <w:tab w:val="left" w:pos="7085"/>
          <w:tab w:val="left" w:pos="7498"/>
        </w:tabs>
        <w:kinsoku w:val="0"/>
        <w:wordWrap/>
        <w:overflowPunct w:val="0"/>
        <w:topLinePunct w:val="0"/>
        <w:autoSpaceDE/>
        <w:autoSpaceDN/>
        <w:bidi w:val="0"/>
        <w:adjustRightInd w:val="0"/>
        <w:snapToGrid/>
        <w:spacing w:line="360" w:lineRule="auto"/>
        <w:ind w:left="0" w:firstLine="480" w:firstLineChars="200"/>
        <w:jc w:val="both"/>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5543CC41">
      <w:pPr>
        <w:pStyle w:val="12"/>
        <w:keepNext w:val="0"/>
        <w:keepLines w:val="0"/>
        <w:pageBreakBefore w:val="0"/>
        <w:widowControl w:val="0"/>
        <w:pBdr>
          <w:bottom w:val="none" w:color="auto" w:sz="0" w:space="0"/>
        </w:pBdr>
        <w:tabs>
          <w:tab w:val="left" w:pos="1343"/>
          <w:tab w:val="left" w:pos="2697"/>
          <w:tab w:val="left" w:pos="3264"/>
          <w:tab w:val="left" w:pos="4896"/>
          <w:tab w:val="left" w:pos="6005"/>
          <w:tab w:val="left" w:pos="7085"/>
          <w:tab w:val="left" w:pos="7498"/>
        </w:tabs>
        <w:kinsoku w:val="0"/>
        <w:wordWrap/>
        <w:overflowPunct w:val="0"/>
        <w:topLinePunct w:val="0"/>
        <w:autoSpaceDE/>
        <w:autoSpaceDN/>
        <w:bidi w:val="0"/>
        <w:adjustRightInd w:val="0"/>
        <w:snapToGrid/>
        <w:spacing w:line="360" w:lineRule="auto"/>
        <w:ind w:left="0" w:firstLine="480" w:firstLineChars="200"/>
        <w:jc w:val="both"/>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8.3 对评标委员会成员的纪律要求</w:t>
      </w:r>
    </w:p>
    <w:p w14:paraId="6D754EA5">
      <w:pPr>
        <w:pStyle w:val="12"/>
        <w:keepNext w:val="0"/>
        <w:keepLines w:val="0"/>
        <w:pageBreakBefore w:val="0"/>
        <w:widowControl w:val="0"/>
        <w:pBdr>
          <w:bottom w:val="none" w:color="auto" w:sz="0" w:space="0"/>
        </w:pBdr>
        <w:tabs>
          <w:tab w:val="left" w:pos="1343"/>
          <w:tab w:val="left" w:pos="2697"/>
          <w:tab w:val="left" w:pos="3264"/>
          <w:tab w:val="left" w:pos="4896"/>
          <w:tab w:val="left" w:pos="6005"/>
          <w:tab w:val="left" w:pos="7085"/>
          <w:tab w:val="left" w:pos="7498"/>
        </w:tabs>
        <w:kinsoku w:val="0"/>
        <w:wordWrap/>
        <w:overflowPunct w:val="0"/>
        <w:topLinePunct w:val="0"/>
        <w:autoSpaceDE/>
        <w:autoSpaceDN/>
        <w:bidi w:val="0"/>
        <w:adjustRightInd w:val="0"/>
        <w:snapToGrid/>
        <w:spacing w:line="360" w:lineRule="auto"/>
        <w:ind w:left="0" w:firstLine="480" w:firstLineChars="200"/>
        <w:jc w:val="both"/>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786C9C1E">
      <w:pPr>
        <w:pStyle w:val="12"/>
        <w:keepNext w:val="0"/>
        <w:keepLines w:val="0"/>
        <w:pageBreakBefore w:val="0"/>
        <w:widowControl w:val="0"/>
        <w:pBdr>
          <w:bottom w:val="none" w:color="auto" w:sz="0" w:space="0"/>
        </w:pBdr>
        <w:tabs>
          <w:tab w:val="left" w:pos="1343"/>
          <w:tab w:val="left" w:pos="2697"/>
          <w:tab w:val="left" w:pos="3264"/>
          <w:tab w:val="left" w:pos="4896"/>
          <w:tab w:val="left" w:pos="6005"/>
          <w:tab w:val="left" w:pos="7085"/>
          <w:tab w:val="left" w:pos="7498"/>
        </w:tabs>
        <w:kinsoku w:val="0"/>
        <w:wordWrap/>
        <w:overflowPunct w:val="0"/>
        <w:topLinePunct w:val="0"/>
        <w:autoSpaceDE/>
        <w:autoSpaceDN/>
        <w:bidi w:val="0"/>
        <w:adjustRightInd w:val="0"/>
        <w:snapToGrid/>
        <w:spacing w:line="360" w:lineRule="auto"/>
        <w:ind w:left="0" w:firstLine="480" w:firstLineChars="200"/>
        <w:jc w:val="both"/>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8.4 对与评标活动有关的工作人员的纪律要求</w:t>
      </w:r>
    </w:p>
    <w:p w14:paraId="3FEE0602">
      <w:pPr>
        <w:pStyle w:val="12"/>
        <w:keepNext w:val="0"/>
        <w:keepLines w:val="0"/>
        <w:pageBreakBefore w:val="0"/>
        <w:widowControl w:val="0"/>
        <w:pBdr>
          <w:bottom w:val="none" w:color="auto" w:sz="0" w:space="0"/>
        </w:pBdr>
        <w:tabs>
          <w:tab w:val="left" w:pos="1343"/>
          <w:tab w:val="left" w:pos="2697"/>
          <w:tab w:val="left" w:pos="3264"/>
          <w:tab w:val="left" w:pos="4896"/>
          <w:tab w:val="left" w:pos="6005"/>
          <w:tab w:val="left" w:pos="7085"/>
          <w:tab w:val="left" w:pos="7498"/>
        </w:tabs>
        <w:kinsoku w:val="0"/>
        <w:wordWrap/>
        <w:overflowPunct w:val="0"/>
        <w:topLinePunct w:val="0"/>
        <w:autoSpaceDE/>
        <w:autoSpaceDN/>
        <w:bidi w:val="0"/>
        <w:adjustRightInd w:val="0"/>
        <w:snapToGrid/>
        <w:spacing w:line="360" w:lineRule="auto"/>
        <w:ind w:left="0" w:firstLine="480" w:firstLineChars="200"/>
        <w:jc w:val="both"/>
        <w:textAlignment w:val="auto"/>
        <w:rPr>
          <w:rFonts w:hint="eastAsia" w:eastAsia="宋体" w:cs="宋体"/>
          <w:b w:val="0"/>
          <w:bCs w:val="0"/>
          <w:strike/>
          <w:color w:val="auto"/>
          <w:sz w:val="24"/>
          <w:szCs w:val="24"/>
          <w:highlight w:val="none"/>
          <w:lang w:eastAsia="zh-CN"/>
        </w:rPr>
      </w:pPr>
      <w:r>
        <w:rPr>
          <w:rFonts w:hint="eastAsia" w:ascii="宋体" w:hAnsi="宋体" w:eastAsia="宋体" w:cs="宋体"/>
          <w:b w:val="0"/>
          <w:bCs w:val="0"/>
          <w:sz w:val="24"/>
          <w:szCs w:val="24"/>
          <w:highlight w:val="none"/>
          <w:lang w:val="en-US" w:eastAsia="zh-CN"/>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14:paraId="6EDA9268">
      <w:pPr>
        <w:keepNext w:val="0"/>
        <w:keepLines w:val="0"/>
        <w:pageBreakBefore w:val="0"/>
        <w:widowControl w:val="0"/>
        <w:kinsoku/>
        <w:wordWrap/>
        <w:overflowPunct/>
        <w:topLinePunct w:val="0"/>
        <w:autoSpaceDE w:val="0"/>
        <w:autoSpaceDN w:val="0"/>
        <w:bidi w:val="0"/>
        <w:adjustRightInd w:val="0"/>
        <w:snapToGrid/>
        <w:spacing w:line="360" w:lineRule="auto"/>
        <w:ind w:firstLine="241" w:firstLineChars="100"/>
        <w:textAlignment w:val="auto"/>
        <w:rPr>
          <w:rFonts w:hint="eastAsia" w:ascii="宋体" w:hAnsi="宋体" w:eastAsia="宋体" w:cs="宋体"/>
          <w:highlight w:val="none"/>
        </w:rPr>
      </w:pPr>
      <w:r>
        <w:rPr>
          <w:rFonts w:hint="eastAsia" w:ascii="宋体" w:hAnsi="宋体" w:eastAsia="宋体" w:cs="宋体"/>
          <w:b/>
          <w:bCs/>
          <w:highlight w:val="none"/>
          <w:lang w:eastAsia="zh-CN"/>
        </w:rPr>
        <w:t>现文</w:t>
      </w:r>
      <w:r>
        <w:rPr>
          <w:rFonts w:hint="eastAsia" w:ascii="宋体" w:hAnsi="宋体" w:eastAsia="宋体" w:cs="宋体"/>
          <w:highlight w:val="none"/>
          <w:lang w:eastAsia="zh-CN"/>
        </w:rPr>
        <w:t>：</w:t>
      </w:r>
      <w:r>
        <w:rPr>
          <w:rFonts w:hint="eastAsia" w:ascii="宋体" w:hAnsi="宋体" w:eastAsia="宋体" w:cs="宋体"/>
          <w:highlight w:val="none"/>
        </w:rPr>
        <w:t>8.2 对投标人的纪律要求</w:t>
      </w:r>
    </w:p>
    <w:p w14:paraId="28ED37A1">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投标人不得相互串通投标或者与招标人串通投标，不得向招标人或者评标</w:t>
      </w:r>
      <w:r>
        <w:rPr>
          <w:rFonts w:hint="eastAsia" w:cs="宋体"/>
          <w:color w:val="auto"/>
          <w:sz w:val="24"/>
          <w:szCs w:val="24"/>
          <w:highlight w:val="none"/>
          <w:u w:val="single"/>
          <w:lang w:eastAsia="zh-CN"/>
        </w:rPr>
        <w:t>、定标</w:t>
      </w:r>
      <w:r>
        <w:rPr>
          <w:rFonts w:hint="eastAsia" w:cs="宋体"/>
          <w:color w:val="auto"/>
          <w:sz w:val="24"/>
          <w:szCs w:val="24"/>
          <w:highlight w:val="none"/>
        </w:rPr>
        <w:t>委员会成员行贿谋取中标，不得以他人名义投标或者以其他方式弄虚作假骗取中标；投标人不得以任何方式干扰、影响评标</w:t>
      </w:r>
      <w:r>
        <w:rPr>
          <w:rFonts w:hint="eastAsia" w:cs="宋体"/>
          <w:color w:val="auto"/>
          <w:sz w:val="24"/>
          <w:szCs w:val="24"/>
          <w:highlight w:val="none"/>
          <w:u w:val="single"/>
          <w:lang w:eastAsia="zh-CN"/>
        </w:rPr>
        <w:t>、定标</w:t>
      </w:r>
      <w:r>
        <w:rPr>
          <w:rFonts w:hint="eastAsia" w:cs="宋体"/>
          <w:color w:val="auto"/>
          <w:sz w:val="24"/>
          <w:szCs w:val="24"/>
          <w:highlight w:val="none"/>
        </w:rPr>
        <w:t>工作。</w:t>
      </w:r>
    </w:p>
    <w:p w14:paraId="1EF1D912">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highlight w:val="none"/>
        </w:rPr>
      </w:pPr>
      <w:r>
        <w:rPr>
          <w:rFonts w:hint="eastAsia" w:ascii="宋体" w:hAnsi="宋体" w:eastAsia="宋体" w:cs="宋体"/>
          <w:highlight w:val="none"/>
        </w:rPr>
        <w:t>8.3 对评标</w:t>
      </w:r>
      <w:r>
        <w:rPr>
          <w:rFonts w:hint="eastAsia" w:ascii="宋体" w:hAnsi="宋体" w:cs="宋体"/>
          <w:highlight w:val="none"/>
          <w:u w:val="single"/>
          <w:lang w:eastAsia="zh-CN"/>
        </w:rPr>
        <w:t>、定标</w:t>
      </w:r>
      <w:r>
        <w:rPr>
          <w:rFonts w:hint="eastAsia" w:ascii="宋体" w:hAnsi="宋体" w:eastAsia="宋体" w:cs="宋体"/>
          <w:highlight w:val="none"/>
        </w:rPr>
        <w:t>委员会成员的纪律要求</w:t>
      </w:r>
    </w:p>
    <w:p w14:paraId="47C25FFA">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评标</w:t>
      </w:r>
      <w:r>
        <w:rPr>
          <w:rFonts w:hint="eastAsia" w:cs="宋体"/>
          <w:color w:val="auto"/>
          <w:sz w:val="24"/>
          <w:szCs w:val="24"/>
          <w:highlight w:val="none"/>
          <w:u w:val="single"/>
          <w:lang w:eastAsia="zh-CN"/>
        </w:rPr>
        <w:t>、定标</w:t>
      </w:r>
      <w:r>
        <w:rPr>
          <w:rFonts w:hint="eastAsia" w:cs="宋体"/>
          <w:color w:val="auto"/>
          <w:sz w:val="24"/>
          <w:szCs w:val="24"/>
          <w:highlight w:val="none"/>
        </w:rPr>
        <w:t>委员会成员不得收受他人的财物或者其他好处，不得向他人透露对投标文件的评审和比较、中标候选人的推荐情况以及评标</w:t>
      </w:r>
      <w:r>
        <w:rPr>
          <w:rFonts w:hint="eastAsia" w:cs="宋体"/>
          <w:color w:val="auto"/>
          <w:sz w:val="24"/>
          <w:szCs w:val="24"/>
          <w:highlight w:val="none"/>
          <w:u w:val="single"/>
          <w:lang w:eastAsia="zh-CN"/>
        </w:rPr>
        <w:t>、定标</w:t>
      </w:r>
      <w:r>
        <w:rPr>
          <w:rFonts w:hint="eastAsia" w:cs="宋体"/>
          <w:color w:val="auto"/>
          <w:sz w:val="24"/>
          <w:szCs w:val="24"/>
          <w:highlight w:val="none"/>
        </w:rPr>
        <w:t>有关的其他情况。在评标</w:t>
      </w:r>
      <w:r>
        <w:rPr>
          <w:rFonts w:hint="eastAsia" w:cs="宋体"/>
          <w:color w:val="auto"/>
          <w:sz w:val="24"/>
          <w:szCs w:val="24"/>
          <w:highlight w:val="none"/>
          <w:u w:val="single"/>
          <w:lang w:eastAsia="zh-CN"/>
        </w:rPr>
        <w:t>、定标</w:t>
      </w:r>
      <w:r>
        <w:rPr>
          <w:rFonts w:hint="eastAsia" w:cs="宋体"/>
          <w:color w:val="auto"/>
          <w:sz w:val="24"/>
          <w:szCs w:val="24"/>
          <w:highlight w:val="none"/>
        </w:rPr>
        <w:t>活动中，评标</w:t>
      </w:r>
      <w:r>
        <w:rPr>
          <w:rFonts w:hint="eastAsia" w:cs="宋体"/>
          <w:color w:val="auto"/>
          <w:sz w:val="24"/>
          <w:szCs w:val="24"/>
          <w:highlight w:val="none"/>
          <w:u w:val="single"/>
          <w:lang w:eastAsia="zh-CN"/>
        </w:rPr>
        <w:t>、定标</w:t>
      </w:r>
      <w:r>
        <w:rPr>
          <w:rFonts w:hint="eastAsia" w:cs="宋体"/>
          <w:color w:val="auto"/>
          <w:sz w:val="24"/>
          <w:szCs w:val="24"/>
          <w:highlight w:val="none"/>
        </w:rPr>
        <w:t>委员会成员应当客观、公正地履行职责，遵守职业道德，不得擅离职守，影响评标</w:t>
      </w:r>
      <w:r>
        <w:rPr>
          <w:rFonts w:hint="eastAsia" w:cs="宋体"/>
          <w:color w:val="auto"/>
          <w:sz w:val="24"/>
          <w:szCs w:val="24"/>
          <w:highlight w:val="none"/>
          <w:u w:val="single"/>
          <w:lang w:eastAsia="zh-CN"/>
        </w:rPr>
        <w:t>、定标</w:t>
      </w:r>
      <w:r>
        <w:rPr>
          <w:rFonts w:hint="eastAsia" w:cs="宋体"/>
          <w:color w:val="auto"/>
          <w:sz w:val="24"/>
          <w:szCs w:val="24"/>
          <w:highlight w:val="none"/>
        </w:rPr>
        <w:t>程序正常进行，不得使用第三章“评标</w:t>
      </w:r>
      <w:r>
        <w:rPr>
          <w:rFonts w:hint="eastAsia" w:cs="宋体"/>
          <w:color w:val="auto"/>
          <w:sz w:val="24"/>
          <w:szCs w:val="24"/>
          <w:highlight w:val="none"/>
          <w:u w:val="single"/>
          <w:lang w:eastAsia="zh-CN"/>
        </w:rPr>
        <w:t>、定标</w:t>
      </w:r>
      <w:r>
        <w:rPr>
          <w:rFonts w:hint="eastAsia" w:cs="宋体"/>
          <w:color w:val="auto"/>
          <w:sz w:val="24"/>
          <w:szCs w:val="24"/>
          <w:highlight w:val="none"/>
        </w:rPr>
        <w:t>办法”没有规定的评审因素和标准进行评标</w:t>
      </w:r>
      <w:r>
        <w:rPr>
          <w:rFonts w:hint="eastAsia" w:cs="宋体"/>
          <w:color w:val="auto"/>
          <w:sz w:val="24"/>
          <w:szCs w:val="24"/>
          <w:highlight w:val="none"/>
          <w:u w:val="single"/>
          <w:lang w:eastAsia="zh-CN"/>
        </w:rPr>
        <w:t>、定标</w:t>
      </w:r>
      <w:r>
        <w:rPr>
          <w:rFonts w:hint="eastAsia" w:cs="宋体"/>
          <w:color w:val="auto"/>
          <w:sz w:val="24"/>
          <w:szCs w:val="24"/>
          <w:highlight w:val="none"/>
        </w:rPr>
        <w:t>。</w:t>
      </w:r>
    </w:p>
    <w:p w14:paraId="1B1B436B">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highlight w:val="none"/>
        </w:rPr>
      </w:pPr>
      <w:r>
        <w:rPr>
          <w:rFonts w:hint="eastAsia" w:ascii="宋体" w:hAnsi="宋体" w:eastAsia="宋体" w:cs="宋体"/>
          <w:highlight w:val="none"/>
        </w:rPr>
        <w:t>8.4 对与评标</w:t>
      </w:r>
      <w:r>
        <w:rPr>
          <w:rFonts w:hint="eastAsia" w:cs="宋体"/>
          <w:color w:val="auto"/>
          <w:sz w:val="24"/>
          <w:szCs w:val="24"/>
          <w:highlight w:val="none"/>
          <w:u w:val="single"/>
          <w:lang w:eastAsia="zh-CN"/>
        </w:rPr>
        <w:t>、定标</w:t>
      </w:r>
      <w:r>
        <w:rPr>
          <w:rFonts w:hint="eastAsia" w:ascii="宋体" w:hAnsi="宋体" w:eastAsia="宋体" w:cs="宋体"/>
          <w:highlight w:val="none"/>
        </w:rPr>
        <w:t>活动有关的工作人员的纪律要求</w:t>
      </w:r>
    </w:p>
    <w:p w14:paraId="7F9A075D">
      <w:pPr>
        <w:pStyle w:val="12"/>
        <w:keepNext w:val="0"/>
        <w:keepLines w:val="0"/>
        <w:pageBreakBefore w:val="0"/>
        <w:widowControl w:val="0"/>
        <w:pBdr>
          <w:bottom w:val="single" w:color="auto" w:sz="4" w:space="0"/>
        </w:pBdr>
        <w:tabs>
          <w:tab w:val="left" w:pos="1343"/>
          <w:tab w:val="left" w:pos="2697"/>
          <w:tab w:val="left" w:pos="3264"/>
          <w:tab w:val="left" w:pos="4896"/>
          <w:tab w:val="left" w:pos="6005"/>
          <w:tab w:val="left" w:pos="7085"/>
          <w:tab w:val="left" w:pos="7498"/>
        </w:tabs>
        <w:kinsoku w:val="0"/>
        <w:wordWrap/>
        <w:overflowPunct w:val="0"/>
        <w:topLinePunct w:val="0"/>
        <w:autoSpaceDE/>
        <w:autoSpaceDN/>
        <w:bidi w:val="0"/>
        <w:adjustRightInd w:val="0"/>
        <w:snapToGrid/>
        <w:spacing w:line="360" w:lineRule="auto"/>
        <w:ind w:left="0" w:firstLine="480" w:firstLineChars="200"/>
        <w:jc w:val="both"/>
        <w:textAlignment w:val="auto"/>
        <w:rPr>
          <w:rFonts w:hint="eastAsia" w:cs="宋体"/>
          <w:color w:val="auto"/>
          <w:sz w:val="24"/>
          <w:szCs w:val="24"/>
          <w:highlight w:val="none"/>
        </w:rPr>
      </w:pPr>
      <w:r>
        <w:rPr>
          <w:rFonts w:hint="eastAsia" w:cs="宋体"/>
          <w:color w:val="auto"/>
          <w:sz w:val="24"/>
          <w:szCs w:val="24"/>
          <w:highlight w:val="none"/>
        </w:rPr>
        <w:t>与评标</w:t>
      </w:r>
      <w:r>
        <w:rPr>
          <w:rFonts w:hint="eastAsia" w:cs="宋体"/>
          <w:color w:val="auto"/>
          <w:sz w:val="24"/>
          <w:szCs w:val="24"/>
          <w:highlight w:val="none"/>
          <w:u w:val="single"/>
          <w:lang w:eastAsia="zh-CN"/>
        </w:rPr>
        <w:t>、定标</w:t>
      </w:r>
      <w:r>
        <w:rPr>
          <w:rFonts w:hint="eastAsia" w:cs="宋体"/>
          <w:color w:val="auto"/>
          <w:sz w:val="24"/>
          <w:szCs w:val="24"/>
          <w:highlight w:val="none"/>
        </w:rPr>
        <w:t>活动有关的工作人员不得收受他人的财物或者其他好处，不得向他人透露对投标文件的评审和比较、中标候选人的推荐情况以及评标</w:t>
      </w:r>
      <w:r>
        <w:rPr>
          <w:rFonts w:hint="eastAsia" w:cs="宋体"/>
          <w:color w:val="auto"/>
          <w:sz w:val="24"/>
          <w:szCs w:val="24"/>
          <w:highlight w:val="none"/>
          <w:u w:val="single"/>
          <w:lang w:eastAsia="zh-CN"/>
        </w:rPr>
        <w:t>、定标</w:t>
      </w:r>
      <w:r>
        <w:rPr>
          <w:rFonts w:hint="eastAsia" w:cs="宋体"/>
          <w:color w:val="auto"/>
          <w:sz w:val="24"/>
          <w:szCs w:val="24"/>
          <w:highlight w:val="none"/>
        </w:rPr>
        <w:t>有关的其他情况。在评标</w:t>
      </w:r>
      <w:r>
        <w:rPr>
          <w:rFonts w:hint="eastAsia" w:cs="宋体"/>
          <w:color w:val="auto"/>
          <w:sz w:val="24"/>
          <w:szCs w:val="24"/>
          <w:highlight w:val="none"/>
          <w:u w:val="single"/>
          <w:lang w:eastAsia="zh-CN"/>
        </w:rPr>
        <w:t>、定标</w:t>
      </w:r>
      <w:r>
        <w:rPr>
          <w:rFonts w:hint="eastAsia" w:cs="宋体"/>
          <w:color w:val="auto"/>
          <w:sz w:val="24"/>
          <w:szCs w:val="24"/>
          <w:highlight w:val="none"/>
        </w:rPr>
        <w:t>活动中，与评标</w:t>
      </w:r>
      <w:r>
        <w:rPr>
          <w:rFonts w:hint="eastAsia" w:cs="宋体"/>
          <w:color w:val="auto"/>
          <w:sz w:val="24"/>
          <w:szCs w:val="24"/>
          <w:highlight w:val="none"/>
          <w:u w:val="single"/>
          <w:lang w:eastAsia="zh-CN"/>
        </w:rPr>
        <w:t>、定标</w:t>
      </w:r>
      <w:r>
        <w:rPr>
          <w:rFonts w:hint="eastAsia" w:cs="宋体"/>
          <w:color w:val="auto"/>
          <w:sz w:val="24"/>
          <w:szCs w:val="24"/>
          <w:highlight w:val="none"/>
        </w:rPr>
        <w:t>活动有关的工作人员不得擅离职守，影响评标</w:t>
      </w:r>
      <w:r>
        <w:rPr>
          <w:rFonts w:hint="eastAsia" w:cs="宋体"/>
          <w:color w:val="auto"/>
          <w:sz w:val="24"/>
          <w:szCs w:val="24"/>
          <w:highlight w:val="none"/>
          <w:u w:val="single"/>
          <w:lang w:eastAsia="zh-CN"/>
        </w:rPr>
        <w:t>、定标</w:t>
      </w:r>
      <w:r>
        <w:rPr>
          <w:rFonts w:hint="eastAsia" w:cs="宋体"/>
          <w:color w:val="auto"/>
          <w:sz w:val="24"/>
          <w:szCs w:val="24"/>
          <w:highlight w:val="none"/>
        </w:rPr>
        <w:t>程序正常进行。</w:t>
      </w:r>
    </w:p>
    <w:p w14:paraId="1FA07B93">
      <w:pPr>
        <w:keepNext w:val="0"/>
        <w:keepLines w:val="0"/>
        <w:pageBreakBefore w:val="0"/>
        <w:widowControl w:val="0"/>
        <w:wordWrap/>
        <w:topLinePunct w:val="0"/>
        <w:autoSpaceDE/>
        <w:autoSpaceDN/>
        <w:bidi w:val="0"/>
        <w:adjustRightInd w:val="0"/>
        <w:snapToGrid/>
        <w:spacing w:line="360" w:lineRule="auto"/>
        <w:ind w:firstLine="482" w:firstLineChars="200"/>
        <w:textAlignment w:val="auto"/>
        <w:rPr>
          <w:rFonts w:hint="eastAsia" w:ascii="宋体" w:hAnsi="宋体" w:cs="宋体"/>
          <w:b/>
          <w:bCs/>
          <w:sz w:val="24"/>
          <w:szCs w:val="24"/>
          <w:highlight w:val="none"/>
          <w:lang w:eastAsia="zh-CN"/>
        </w:rPr>
      </w:pPr>
      <w:r>
        <w:rPr>
          <w:rFonts w:hint="eastAsia" w:ascii="宋体" w:hAnsi="宋体" w:eastAsia="宋体" w:cs="宋体"/>
          <w:b/>
          <w:bCs/>
          <w:sz w:val="24"/>
          <w:szCs w:val="24"/>
          <w:highlight w:val="none"/>
        </w:rPr>
        <w:t>条款号：</w:t>
      </w:r>
      <w:r>
        <w:rPr>
          <w:rFonts w:hint="eastAsia" w:ascii="宋体" w:hAnsi="宋体" w:eastAsia="宋体" w:cs="宋体"/>
          <w:highlight w:val="none"/>
          <w:lang w:val="en-US" w:eastAsia="zh-CN"/>
        </w:rPr>
        <w:t>8</w:t>
      </w:r>
      <w:r>
        <w:rPr>
          <w:rFonts w:hint="eastAsia" w:ascii="宋体" w:hAnsi="宋体" w:eastAsia="宋体" w:cs="宋体"/>
          <w:highlight w:val="none"/>
        </w:rPr>
        <w:t>.</w:t>
      </w:r>
      <w:r>
        <w:rPr>
          <w:rFonts w:hint="eastAsia" w:ascii="宋体" w:hAnsi="宋体" w:cs="宋体"/>
          <w:highlight w:val="none"/>
          <w:lang w:val="en-US" w:eastAsia="zh-CN"/>
        </w:rPr>
        <w:t>5.</w:t>
      </w:r>
      <w:r>
        <w:rPr>
          <w:rFonts w:hint="eastAsia" w:ascii="宋体" w:hAnsi="宋体" w:eastAsia="宋体" w:cs="宋体"/>
          <w:highlight w:val="none"/>
          <w:lang w:val="en-US" w:eastAsia="zh-CN"/>
        </w:rPr>
        <w:t>2</w:t>
      </w:r>
      <w:r>
        <w:rPr>
          <w:rFonts w:hint="eastAsia" w:ascii="宋体" w:hAnsi="宋体" w:eastAsia="宋体" w:cs="宋体"/>
          <w:highlight w:val="none"/>
        </w:rPr>
        <w:t xml:space="preserve"> </w:t>
      </w:r>
      <w:r>
        <w:rPr>
          <w:rFonts w:hint="eastAsia" w:ascii="宋体" w:hAnsi="宋体" w:eastAsia="宋体" w:cs="宋体"/>
          <w:strike w:val="0"/>
          <w:color w:val="auto"/>
          <w:sz w:val="24"/>
          <w:szCs w:val="24"/>
          <w:highlight w:val="none"/>
          <w:lang w:val="en-US" w:eastAsia="zh-CN"/>
        </w:rPr>
        <w:t xml:space="preserve"> </w:t>
      </w:r>
      <w:r>
        <w:rPr>
          <w:rFonts w:hint="eastAsia" w:ascii="宋体" w:hAnsi="宋体" w:eastAsia="宋体" w:cs="宋体"/>
          <w:b/>
          <w:bCs/>
          <w:strike w:val="0"/>
          <w:color w:val="auto"/>
          <w:sz w:val="24"/>
          <w:szCs w:val="24"/>
          <w:highlight w:val="none"/>
          <w:lang w:val="en-US" w:eastAsia="zh-CN"/>
        </w:rPr>
        <w:t xml:space="preserve"> </w:t>
      </w:r>
      <w:r>
        <w:rPr>
          <w:rFonts w:hint="eastAsia" w:ascii="宋体" w:hAnsi="宋体" w:eastAsia="宋体" w:cs="宋体"/>
          <w:b/>
          <w:bCs/>
          <w:sz w:val="24"/>
          <w:szCs w:val="24"/>
          <w:highlight w:val="none"/>
        </w:rPr>
        <w:t xml:space="preserve">           修改类型：</w:t>
      </w:r>
      <w:r>
        <w:rPr>
          <w:rFonts w:hint="eastAsia" w:ascii="宋体" w:hAnsi="宋体" w:cs="宋体"/>
          <w:b/>
          <w:bCs/>
          <w:sz w:val="24"/>
          <w:szCs w:val="24"/>
          <w:highlight w:val="none"/>
          <w:lang w:eastAsia="zh-CN"/>
        </w:rPr>
        <w:t>修改</w:t>
      </w:r>
    </w:p>
    <w:p w14:paraId="3491CF67">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2" w:firstLineChars="200"/>
        <w:jc w:val="both"/>
        <w:rPr>
          <w:rFonts w:hint="eastAsia" w:cs="宋体"/>
          <w:color w:val="auto"/>
          <w:sz w:val="24"/>
          <w:szCs w:val="24"/>
          <w:highlight w:val="none"/>
        </w:rPr>
      </w:pPr>
      <w:r>
        <w:rPr>
          <w:rFonts w:hint="eastAsia" w:ascii="宋体" w:hAnsi="宋体" w:eastAsia="宋体" w:cs="宋体"/>
          <w:b/>
          <w:bCs/>
          <w:sz w:val="24"/>
          <w:szCs w:val="24"/>
          <w:highlight w:val="none"/>
          <w:lang w:val="en-US" w:eastAsia="zh-CN"/>
        </w:rPr>
        <w:t>原文：</w:t>
      </w:r>
      <w:r>
        <w:rPr>
          <w:rFonts w:hint="eastAsia" w:cs="宋体"/>
          <w:color w:val="auto"/>
          <w:sz w:val="24"/>
          <w:szCs w:val="24"/>
          <w:highlight w:val="none"/>
        </w:rPr>
        <w:t>8.5.2  投标人或者其他利害关系人对招标文件、开标和评标结果提出投诉的，应当按照投标人须知第2.4款、第5.3款和第7.2款的规定先向招标人提出异议。异议答复期间不计算在第8.5.1项规定的期限内。</w:t>
      </w:r>
    </w:p>
    <w:p w14:paraId="0549B860">
      <w:pPr>
        <w:pStyle w:val="12"/>
        <w:keepNext w:val="0"/>
        <w:keepLines w:val="0"/>
        <w:pageBreakBefore w:val="0"/>
        <w:widowControl w:val="0"/>
        <w:pBdr>
          <w:bottom w:val="single" w:color="auto" w:sz="4" w:space="0"/>
        </w:pBdr>
        <w:tabs>
          <w:tab w:val="left" w:pos="1343"/>
          <w:tab w:val="left" w:pos="2697"/>
          <w:tab w:val="left" w:pos="3264"/>
          <w:tab w:val="left" w:pos="4896"/>
          <w:tab w:val="left" w:pos="6005"/>
          <w:tab w:val="left" w:pos="7085"/>
          <w:tab w:val="left" w:pos="7498"/>
        </w:tabs>
        <w:kinsoku w:val="0"/>
        <w:wordWrap/>
        <w:overflowPunct w:val="0"/>
        <w:topLinePunct w:val="0"/>
        <w:autoSpaceDE/>
        <w:autoSpaceDN/>
        <w:bidi w:val="0"/>
        <w:adjustRightInd w:val="0"/>
        <w:snapToGrid/>
        <w:spacing w:line="360" w:lineRule="auto"/>
        <w:ind w:left="0" w:firstLine="482" w:firstLineChars="200"/>
        <w:jc w:val="both"/>
        <w:textAlignment w:val="auto"/>
        <w:rPr>
          <w:rFonts w:hint="eastAsia" w:cs="宋体"/>
          <w:color w:val="auto"/>
          <w:sz w:val="24"/>
          <w:szCs w:val="24"/>
          <w:highlight w:val="none"/>
        </w:rPr>
      </w:pPr>
      <w:r>
        <w:rPr>
          <w:rFonts w:hint="eastAsia" w:ascii="宋体" w:hAnsi="宋体" w:eastAsia="宋体" w:cs="宋体"/>
          <w:b/>
          <w:bCs/>
          <w:sz w:val="24"/>
          <w:szCs w:val="24"/>
          <w:highlight w:val="none"/>
          <w:lang w:val="en-US" w:eastAsia="zh-CN"/>
        </w:rPr>
        <w:t>现文：</w:t>
      </w:r>
      <w:r>
        <w:rPr>
          <w:rFonts w:hint="eastAsia" w:cs="宋体"/>
          <w:color w:val="auto"/>
          <w:sz w:val="24"/>
          <w:szCs w:val="24"/>
          <w:highlight w:val="none"/>
        </w:rPr>
        <w:t>8.5.2  投标人或者其他利害关系人对招标文件、开标和评标</w:t>
      </w:r>
      <w:r>
        <w:rPr>
          <w:rFonts w:hint="eastAsia" w:cs="宋体"/>
          <w:color w:val="auto"/>
          <w:sz w:val="24"/>
          <w:szCs w:val="24"/>
          <w:highlight w:val="none"/>
          <w:u w:val="single"/>
          <w:lang w:eastAsia="zh-CN"/>
        </w:rPr>
        <w:t>、定标</w:t>
      </w:r>
      <w:r>
        <w:rPr>
          <w:rFonts w:hint="eastAsia" w:cs="宋体"/>
          <w:color w:val="auto"/>
          <w:sz w:val="24"/>
          <w:szCs w:val="24"/>
          <w:highlight w:val="none"/>
        </w:rPr>
        <w:t>结果提出投诉的，应当按照投标人须知第2.4款、第5.3款和第7.2款的规定先向招标人提出异议。异议答复期间不计算在第8.5.1项规定的期限内。</w:t>
      </w:r>
    </w:p>
    <w:p w14:paraId="7F8E8206">
      <w:pPr>
        <w:pBdr>
          <w:top w:val="none" w:color="auto" w:sz="0" w:space="0"/>
          <w:left w:val="none" w:color="auto" w:sz="0" w:space="0"/>
          <w:bottom w:val="none" w:color="auto" w:sz="0" w:space="0"/>
          <w:right w:val="none" w:color="auto" w:sz="0" w:space="0"/>
          <w:between w:val="none" w:color="auto" w:sz="0" w:space="0"/>
        </w:pBd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注：以上修改，仅限于本范本中有可供选择条款的情形。</w:t>
      </w:r>
    </w:p>
    <w:p w14:paraId="3D52715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（以下无正文）</w:t>
      </w:r>
    </w:p>
    <w:p w14:paraId="07517FED">
      <w:pPr>
        <w:pStyle w:val="4"/>
        <w:outlineLvl w:val="9"/>
        <w:rPr>
          <w:rFonts w:hint="eastAsia" w:ascii="宋体" w:hAnsi="宋体" w:eastAsia="宋体" w:cs="宋体"/>
          <w:color w:val="auto"/>
          <w:sz w:val="24"/>
          <w:szCs w:val="24"/>
          <w:highlight w:val="none"/>
        </w:rPr>
        <w:sectPr>
          <w:footerReference r:id="rId5" w:type="default"/>
          <w:pgSz w:w="11905" w:h="16838"/>
          <w:pgMar w:top="1417" w:right="1417" w:bottom="1417" w:left="1417" w:header="992" w:footer="992" w:gutter="0"/>
          <w:lnNumType w:countBy="0" w:distance="360"/>
          <w:cols w:space="720" w:num="1"/>
        </w:sectPr>
      </w:pPr>
    </w:p>
    <w:p w14:paraId="61E14BE8">
      <w:pPr>
        <w:pStyle w:val="4"/>
        <w:outlineLvl w:val="1"/>
        <w:rPr>
          <w:rFonts w:hint="eastAsia" w:cs="宋体"/>
          <w:b w:val="0"/>
          <w:color w:val="auto"/>
          <w:sz w:val="24"/>
          <w:szCs w:val="24"/>
          <w:highlight w:val="none"/>
        </w:rPr>
      </w:pPr>
      <w:bookmarkStart w:id="20" w:name="_Toc28936"/>
      <w:r>
        <w:rPr>
          <w:rFonts w:hint="eastAsia" w:cs="宋体"/>
          <w:color w:val="auto"/>
          <w:sz w:val="24"/>
          <w:szCs w:val="24"/>
          <w:highlight w:val="none"/>
        </w:rPr>
        <w:t>1.总则</w:t>
      </w:r>
      <w:bookmarkEnd w:id="20"/>
    </w:p>
    <w:p w14:paraId="24BF5515">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highlight w:val="none"/>
        </w:rPr>
      </w:pPr>
      <w:bookmarkStart w:id="21" w:name="bookmark21"/>
      <w:bookmarkEnd w:id="21"/>
      <w:r>
        <w:rPr>
          <w:rFonts w:hint="eastAsia" w:ascii="宋体" w:hAnsi="宋体" w:eastAsia="宋体" w:cs="宋体"/>
          <w:highlight w:val="none"/>
        </w:rPr>
        <w:t>1.1 招标项目概况</w:t>
      </w:r>
    </w:p>
    <w:p w14:paraId="34BB866E">
      <w:pPr>
        <w:pStyle w:val="1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eastAsia" w:cs="宋体"/>
          <w:color w:val="auto"/>
          <w:sz w:val="24"/>
          <w:szCs w:val="24"/>
          <w:highlight w:val="none"/>
        </w:rPr>
      </w:pPr>
      <w:r>
        <w:rPr>
          <w:rFonts w:hint="eastAsia" w:cs="宋体"/>
          <w:color w:val="auto"/>
          <w:sz w:val="24"/>
          <w:szCs w:val="24"/>
          <w:highlight w:val="none"/>
        </w:rPr>
        <w:t>1.1.1 根据《中华人民共和国招标投标法》、《中华人民共和国招标投标法实施条例》等有关法律、法规和规章的规定，本招标项目已具备招标条件，现对监理进行招标。</w:t>
      </w:r>
    </w:p>
    <w:p w14:paraId="5C350ECA">
      <w:pPr>
        <w:pStyle w:val="1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eastAsia" w:cs="宋体"/>
          <w:color w:val="auto"/>
          <w:sz w:val="24"/>
          <w:szCs w:val="24"/>
          <w:highlight w:val="none"/>
        </w:rPr>
      </w:pPr>
      <w:r>
        <w:rPr>
          <w:rFonts w:hint="eastAsia" w:cs="宋体"/>
          <w:color w:val="auto"/>
          <w:sz w:val="24"/>
          <w:szCs w:val="24"/>
          <w:highlight w:val="none"/>
        </w:rPr>
        <w:t>1.1.2 招标人：见投标人须知前附表。</w:t>
      </w:r>
    </w:p>
    <w:p w14:paraId="1890E105">
      <w:pPr>
        <w:pStyle w:val="1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eastAsia" w:cs="宋体"/>
          <w:color w:val="auto"/>
          <w:sz w:val="24"/>
          <w:szCs w:val="24"/>
          <w:highlight w:val="none"/>
        </w:rPr>
      </w:pPr>
      <w:r>
        <w:rPr>
          <w:rFonts w:hint="eastAsia" w:cs="宋体"/>
          <w:color w:val="auto"/>
          <w:sz w:val="24"/>
          <w:szCs w:val="24"/>
          <w:highlight w:val="none"/>
        </w:rPr>
        <w:t>1.1.3 招标代理机构：见投标人须知前附表。</w:t>
      </w:r>
    </w:p>
    <w:p w14:paraId="36CEF18C">
      <w:pPr>
        <w:pStyle w:val="1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eastAsia" w:cs="宋体"/>
          <w:color w:val="auto"/>
          <w:sz w:val="24"/>
          <w:szCs w:val="24"/>
          <w:highlight w:val="none"/>
        </w:rPr>
      </w:pPr>
      <w:r>
        <w:rPr>
          <w:rFonts w:hint="eastAsia" w:cs="宋体"/>
          <w:color w:val="auto"/>
          <w:sz w:val="24"/>
          <w:szCs w:val="24"/>
          <w:highlight w:val="none"/>
        </w:rPr>
        <w:t>1.1.4</w:t>
      </w:r>
      <w:r>
        <w:rPr>
          <w:rFonts w:hint="eastAsia" w:cs="宋体"/>
          <w:color w:val="auto"/>
          <w:sz w:val="24"/>
          <w:szCs w:val="24"/>
          <w:highlight w:val="none"/>
          <w:u w:val="single"/>
        </w:rPr>
        <w:t xml:space="preserve"> </w:t>
      </w:r>
      <w:r>
        <w:rPr>
          <w:rFonts w:hint="eastAsia" w:cs="宋体"/>
          <w:color w:val="auto"/>
          <w:sz w:val="24"/>
          <w:szCs w:val="24"/>
          <w:highlight w:val="none"/>
          <w:u w:val="single"/>
          <w:lang w:val="en-US" w:eastAsia="zh-CN"/>
        </w:rPr>
        <w:t>标段</w:t>
      </w:r>
      <w:r>
        <w:rPr>
          <w:rFonts w:hint="eastAsia" w:cs="宋体"/>
          <w:color w:val="auto"/>
          <w:sz w:val="24"/>
          <w:szCs w:val="24"/>
          <w:highlight w:val="none"/>
          <w:u w:val="single"/>
        </w:rPr>
        <w:t>名称：</w:t>
      </w:r>
      <w:r>
        <w:rPr>
          <w:rFonts w:hint="eastAsia" w:cs="宋体"/>
          <w:color w:val="auto"/>
          <w:sz w:val="24"/>
          <w:szCs w:val="24"/>
          <w:highlight w:val="none"/>
        </w:rPr>
        <w:t>见投标人须知前附表。</w:t>
      </w:r>
    </w:p>
    <w:p w14:paraId="125757C9">
      <w:pPr>
        <w:pStyle w:val="1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eastAsia" w:cs="宋体"/>
          <w:color w:val="auto"/>
          <w:sz w:val="24"/>
          <w:szCs w:val="24"/>
          <w:highlight w:val="none"/>
        </w:rPr>
      </w:pPr>
      <w:r>
        <w:rPr>
          <w:rFonts w:hint="eastAsia" w:cs="宋体"/>
          <w:color w:val="auto"/>
          <w:sz w:val="24"/>
          <w:szCs w:val="24"/>
          <w:highlight w:val="none"/>
        </w:rPr>
        <w:t>1.1.5 项目建设地点：见投标人须知前附表。</w:t>
      </w:r>
    </w:p>
    <w:p w14:paraId="39996737">
      <w:pPr>
        <w:pStyle w:val="1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eastAsia" w:cs="宋体"/>
          <w:color w:val="auto"/>
          <w:sz w:val="24"/>
          <w:szCs w:val="24"/>
          <w:highlight w:val="none"/>
        </w:rPr>
      </w:pPr>
      <w:r>
        <w:rPr>
          <w:rFonts w:hint="eastAsia" w:cs="宋体"/>
          <w:color w:val="auto"/>
          <w:sz w:val="24"/>
          <w:szCs w:val="24"/>
          <w:highlight w:val="none"/>
        </w:rPr>
        <w:t>1.1.6 项目建设规模：见投标人须知前附表。</w:t>
      </w:r>
    </w:p>
    <w:p w14:paraId="140CFAC2">
      <w:pPr>
        <w:pStyle w:val="1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eastAsia" w:cs="宋体"/>
          <w:color w:val="auto"/>
          <w:sz w:val="24"/>
          <w:szCs w:val="24"/>
          <w:highlight w:val="none"/>
        </w:rPr>
      </w:pPr>
      <w:r>
        <w:rPr>
          <w:rFonts w:hint="eastAsia" w:cs="宋体"/>
          <w:color w:val="auto"/>
          <w:sz w:val="24"/>
          <w:szCs w:val="24"/>
          <w:highlight w:val="none"/>
        </w:rPr>
        <w:t>1.1.7 工程项目施工预计开工日期和建设周期：见投标人须知前附表。</w:t>
      </w:r>
    </w:p>
    <w:p w14:paraId="33CE7211">
      <w:pPr>
        <w:pStyle w:val="1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eastAsia" w:cs="宋体"/>
          <w:color w:val="auto"/>
          <w:sz w:val="24"/>
          <w:szCs w:val="24"/>
          <w:highlight w:val="none"/>
        </w:rPr>
      </w:pPr>
      <w:r>
        <w:rPr>
          <w:rFonts w:hint="eastAsia" w:cs="宋体"/>
          <w:color w:val="auto"/>
          <w:sz w:val="24"/>
          <w:szCs w:val="24"/>
          <w:highlight w:val="none"/>
        </w:rPr>
        <w:t>1.1.8 建筑安装工程费/工程概算：见投标人须知前附表。</w:t>
      </w:r>
    </w:p>
    <w:p w14:paraId="126A4820">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highlight w:val="none"/>
        </w:rPr>
      </w:pPr>
      <w:bookmarkStart w:id="22" w:name="bookmark22"/>
      <w:bookmarkEnd w:id="22"/>
      <w:r>
        <w:rPr>
          <w:rFonts w:hint="eastAsia" w:ascii="宋体" w:hAnsi="宋体" w:eastAsia="宋体" w:cs="宋体"/>
          <w:highlight w:val="none"/>
        </w:rPr>
        <w:t>1.2 招标项目的资金来源和落实情况</w:t>
      </w:r>
    </w:p>
    <w:p w14:paraId="20427188">
      <w:pPr>
        <w:pStyle w:val="1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eastAsia" w:cs="宋体"/>
          <w:color w:val="auto"/>
          <w:sz w:val="24"/>
          <w:szCs w:val="24"/>
          <w:highlight w:val="none"/>
        </w:rPr>
      </w:pPr>
      <w:r>
        <w:rPr>
          <w:rFonts w:hint="eastAsia" w:cs="宋体"/>
          <w:color w:val="auto"/>
          <w:sz w:val="24"/>
          <w:szCs w:val="24"/>
          <w:highlight w:val="none"/>
        </w:rPr>
        <w:t>1.2.1 资金来源及比例：见投标人须知前附表。</w:t>
      </w:r>
    </w:p>
    <w:p w14:paraId="5884E7CA">
      <w:pPr>
        <w:pStyle w:val="1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eastAsia" w:cs="宋体"/>
          <w:color w:val="auto"/>
          <w:sz w:val="24"/>
          <w:szCs w:val="24"/>
          <w:highlight w:val="none"/>
        </w:rPr>
      </w:pPr>
      <w:r>
        <w:rPr>
          <w:rFonts w:hint="eastAsia" w:cs="宋体"/>
          <w:color w:val="auto"/>
          <w:sz w:val="24"/>
          <w:szCs w:val="24"/>
          <w:highlight w:val="none"/>
        </w:rPr>
        <w:t>1.2.2 资金落实情况：见投标人须知前附表。</w:t>
      </w:r>
    </w:p>
    <w:p w14:paraId="5AAE6DB7">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highlight w:val="none"/>
        </w:rPr>
      </w:pPr>
      <w:bookmarkStart w:id="23" w:name="bookmark23"/>
      <w:bookmarkEnd w:id="23"/>
      <w:r>
        <w:rPr>
          <w:rFonts w:hint="eastAsia" w:ascii="宋体" w:hAnsi="宋体" w:eastAsia="宋体" w:cs="宋体"/>
          <w:highlight w:val="none"/>
        </w:rPr>
        <w:t>1.3 招标范围、监理服务期限和质量标准</w:t>
      </w:r>
    </w:p>
    <w:p w14:paraId="68F92D69">
      <w:pPr>
        <w:pStyle w:val="1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eastAsia" w:cs="宋体"/>
          <w:color w:val="auto"/>
          <w:sz w:val="24"/>
          <w:szCs w:val="24"/>
          <w:highlight w:val="none"/>
        </w:rPr>
      </w:pPr>
      <w:r>
        <w:rPr>
          <w:rFonts w:hint="eastAsia" w:cs="宋体"/>
          <w:color w:val="auto"/>
          <w:sz w:val="24"/>
          <w:szCs w:val="24"/>
          <w:highlight w:val="none"/>
        </w:rPr>
        <w:t>1.3.1 招标范围：见投标人须知前附表。</w:t>
      </w:r>
    </w:p>
    <w:p w14:paraId="0CD06A59">
      <w:pPr>
        <w:pStyle w:val="1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eastAsia" w:cs="宋体"/>
          <w:color w:val="auto"/>
          <w:sz w:val="24"/>
          <w:szCs w:val="24"/>
          <w:highlight w:val="none"/>
        </w:rPr>
      </w:pPr>
      <w:r>
        <w:rPr>
          <w:rFonts w:hint="eastAsia" w:cs="宋体"/>
          <w:color w:val="auto"/>
          <w:sz w:val="24"/>
          <w:szCs w:val="24"/>
          <w:highlight w:val="none"/>
        </w:rPr>
        <w:t>1.3.2 监理服务期限：见投标人须知前附表。</w:t>
      </w:r>
    </w:p>
    <w:p w14:paraId="2BF6F170">
      <w:pPr>
        <w:pStyle w:val="1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eastAsia" w:cs="宋体"/>
          <w:color w:val="auto"/>
          <w:sz w:val="24"/>
          <w:szCs w:val="24"/>
          <w:highlight w:val="none"/>
        </w:rPr>
      </w:pPr>
      <w:r>
        <w:rPr>
          <w:rFonts w:hint="eastAsia" w:cs="宋体"/>
          <w:color w:val="auto"/>
          <w:sz w:val="24"/>
          <w:szCs w:val="24"/>
          <w:highlight w:val="none"/>
        </w:rPr>
        <w:t>1.3.3 质量标准：见投标人须知前附表。</w:t>
      </w:r>
    </w:p>
    <w:p w14:paraId="706F7DFF">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highlight w:val="none"/>
        </w:rPr>
      </w:pPr>
      <w:bookmarkStart w:id="24" w:name="bookmark24"/>
      <w:bookmarkEnd w:id="24"/>
      <w:r>
        <w:rPr>
          <w:rFonts w:hint="eastAsia" w:ascii="宋体" w:hAnsi="宋体" w:eastAsia="宋体" w:cs="宋体"/>
          <w:highlight w:val="none"/>
        </w:rPr>
        <w:t>1.4 投标人资格要求</w:t>
      </w:r>
    </w:p>
    <w:p w14:paraId="4E31F864">
      <w:pPr>
        <w:pStyle w:val="1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eastAsia" w:cs="宋体"/>
          <w:color w:val="auto"/>
          <w:sz w:val="24"/>
          <w:szCs w:val="24"/>
          <w:highlight w:val="none"/>
        </w:rPr>
      </w:pPr>
      <w:r>
        <w:rPr>
          <w:rFonts w:hint="eastAsia" w:cs="宋体"/>
          <w:color w:val="auto"/>
          <w:sz w:val="24"/>
          <w:szCs w:val="24"/>
          <w:highlight w:val="none"/>
        </w:rPr>
        <w:t>1.4.1 投标人应具备承担本招标项目资质条件、能力和信誉：</w:t>
      </w:r>
    </w:p>
    <w:p w14:paraId="6C077488">
      <w:pPr>
        <w:pStyle w:val="1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eastAsia" w:cs="宋体"/>
          <w:color w:val="auto"/>
          <w:sz w:val="24"/>
          <w:szCs w:val="24"/>
          <w:highlight w:val="none"/>
        </w:rPr>
      </w:pPr>
      <w:r>
        <w:rPr>
          <w:rFonts w:hint="eastAsia" w:cs="宋体"/>
          <w:color w:val="auto"/>
          <w:sz w:val="24"/>
          <w:szCs w:val="24"/>
          <w:highlight w:val="none"/>
        </w:rPr>
        <w:t>（1）资质要求：见投标人须知前附表；</w:t>
      </w:r>
    </w:p>
    <w:p w14:paraId="7DF18B03">
      <w:pPr>
        <w:pStyle w:val="1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eastAsia" w:cs="宋体"/>
          <w:color w:val="auto"/>
          <w:sz w:val="24"/>
          <w:szCs w:val="24"/>
          <w:highlight w:val="none"/>
        </w:rPr>
      </w:pPr>
      <w:r>
        <w:rPr>
          <w:rFonts w:hint="eastAsia" w:cs="宋体"/>
          <w:color w:val="auto"/>
          <w:sz w:val="24"/>
          <w:szCs w:val="24"/>
          <w:highlight w:val="none"/>
        </w:rPr>
        <w:t>（2）财务要求：见投标人须知前附表；</w:t>
      </w:r>
    </w:p>
    <w:p w14:paraId="07C69371">
      <w:pPr>
        <w:pStyle w:val="1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eastAsia" w:cs="宋体"/>
          <w:color w:val="auto"/>
          <w:sz w:val="24"/>
          <w:szCs w:val="24"/>
          <w:highlight w:val="none"/>
        </w:rPr>
      </w:pPr>
      <w:r>
        <w:rPr>
          <w:rFonts w:hint="eastAsia" w:cs="宋体"/>
          <w:color w:val="auto"/>
          <w:sz w:val="24"/>
          <w:szCs w:val="24"/>
          <w:highlight w:val="none"/>
        </w:rPr>
        <w:t>（3）业绩要求：见投标人须知前附表；</w:t>
      </w:r>
    </w:p>
    <w:p w14:paraId="10D118BC">
      <w:pPr>
        <w:pStyle w:val="1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eastAsia" w:cs="宋体"/>
          <w:color w:val="auto"/>
          <w:sz w:val="24"/>
          <w:szCs w:val="24"/>
          <w:highlight w:val="none"/>
        </w:rPr>
      </w:pPr>
      <w:r>
        <w:rPr>
          <w:rFonts w:hint="eastAsia" w:cs="宋体"/>
          <w:color w:val="auto"/>
          <w:sz w:val="24"/>
          <w:szCs w:val="24"/>
          <w:highlight w:val="none"/>
        </w:rPr>
        <w:t>（4）信誉要求：见投标人须知前附表；</w:t>
      </w:r>
    </w:p>
    <w:p w14:paraId="44E2975D">
      <w:pPr>
        <w:pStyle w:val="1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eastAsia" w:cs="宋体"/>
          <w:color w:val="auto"/>
          <w:sz w:val="24"/>
          <w:szCs w:val="24"/>
          <w:highlight w:val="none"/>
        </w:rPr>
      </w:pPr>
      <w:r>
        <w:rPr>
          <w:rFonts w:hint="eastAsia" w:cs="宋体"/>
          <w:color w:val="auto"/>
          <w:sz w:val="24"/>
          <w:szCs w:val="24"/>
          <w:highlight w:val="none"/>
        </w:rPr>
        <w:t>（5）总监理工程师的资格要求：应当具备工程注册监理工程师执业资格，具体要求见投标人须知前附表；</w:t>
      </w:r>
    </w:p>
    <w:p w14:paraId="1A884704">
      <w:pPr>
        <w:pStyle w:val="1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eastAsia" w:cs="宋体"/>
          <w:color w:val="auto"/>
          <w:sz w:val="24"/>
          <w:szCs w:val="24"/>
          <w:highlight w:val="none"/>
        </w:rPr>
      </w:pPr>
      <w:r>
        <w:rPr>
          <w:rFonts w:hint="eastAsia" w:cs="宋体"/>
          <w:color w:val="auto"/>
          <w:sz w:val="24"/>
          <w:szCs w:val="24"/>
          <w:highlight w:val="none"/>
        </w:rPr>
        <w:t>（6）其他主要人员要求：见投标人须知前附表。</w:t>
      </w:r>
    </w:p>
    <w:p w14:paraId="2947D28A">
      <w:pPr>
        <w:pStyle w:val="1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eastAsia" w:cs="宋体"/>
          <w:color w:val="auto"/>
          <w:sz w:val="24"/>
          <w:szCs w:val="24"/>
          <w:highlight w:val="none"/>
        </w:rPr>
      </w:pPr>
      <w:r>
        <w:rPr>
          <w:rFonts w:hint="eastAsia" w:cs="宋体"/>
          <w:color w:val="auto"/>
          <w:sz w:val="24"/>
          <w:szCs w:val="24"/>
          <w:highlight w:val="none"/>
        </w:rPr>
        <w:t>（7）试验检测仪器设备要求：见投标人须知前附表。</w:t>
      </w:r>
    </w:p>
    <w:p w14:paraId="0E2D53A6">
      <w:pPr>
        <w:pStyle w:val="1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eastAsia" w:cs="宋体"/>
          <w:color w:val="auto"/>
          <w:sz w:val="24"/>
          <w:szCs w:val="24"/>
          <w:highlight w:val="none"/>
        </w:rPr>
      </w:pPr>
      <w:r>
        <w:rPr>
          <w:rFonts w:hint="eastAsia" w:cs="宋体"/>
          <w:color w:val="auto"/>
          <w:sz w:val="24"/>
          <w:szCs w:val="24"/>
          <w:highlight w:val="none"/>
        </w:rPr>
        <w:t>（8）其他要求：见投标人须知前附表。需要提交的相关证明材料见本章第 3.5 款的规定。</w:t>
      </w:r>
    </w:p>
    <w:p w14:paraId="0E271780">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strike/>
          <w:sz w:val="24"/>
          <w:highlight w:val="none"/>
        </w:rPr>
      </w:pPr>
      <w:r>
        <w:rPr>
          <w:rFonts w:hint="eastAsia" w:cs="宋体"/>
          <w:strike/>
          <w:color w:val="auto"/>
          <w:sz w:val="24"/>
          <w:szCs w:val="24"/>
          <w:highlight w:val="none"/>
        </w:rPr>
        <w:t xml:space="preserve">1.4.2 </w:t>
      </w:r>
      <w:r>
        <w:rPr>
          <w:rFonts w:hint="eastAsia" w:cs="宋体"/>
          <w:strike/>
          <w:sz w:val="24"/>
          <w:highlight w:val="none"/>
        </w:rPr>
        <w:t>投标人须知前附表规定接受联合体投标的，联合体除应符合本章第 1.4.1 项和投标人须知前附表的要求外，还应遵守以下规定：</w:t>
      </w:r>
    </w:p>
    <w:p w14:paraId="322578DA">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strike/>
          <w:sz w:val="24"/>
          <w:highlight w:val="none"/>
        </w:rPr>
      </w:pPr>
      <w:r>
        <w:rPr>
          <w:rFonts w:hint="eastAsia" w:cs="宋体"/>
          <w:strike/>
          <w:sz w:val="24"/>
          <w:highlight w:val="none"/>
        </w:rPr>
        <w:t>（1）联合体各方应按招标文件提供的格式签订联合体协议书，明确联合体</w:t>
      </w:r>
      <w:r>
        <w:rPr>
          <w:rFonts w:hint="eastAsia" w:cs="宋体"/>
          <w:strike/>
          <w:spacing w:val="-2"/>
          <w:sz w:val="24"/>
          <w:highlight w:val="none"/>
        </w:rPr>
        <w:t>主办方</w:t>
      </w:r>
      <w:r>
        <w:rPr>
          <w:rFonts w:hint="eastAsia" w:cs="宋体"/>
          <w:strike/>
          <w:sz w:val="24"/>
          <w:highlight w:val="none"/>
        </w:rPr>
        <w:t>和各方权利义务，并承诺就中标项目向招标人承担连带责任；</w:t>
      </w:r>
    </w:p>
    <w:p w14:paraId="00ED41C8">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strike/>
          <w:sz w:val="24"/>
          <w:highlight w:val="none"/>
        </w:rPr>
      </w:pPr>
      <w:r>
        <w:rPr>
          <w:rFonts w:hint="eastAsia" w:cs="宋体"/>
          <w:strike/>
          <w:sz w:val="24"/>
          <w:highlight w:val="none"/>
        </w:rPr>
        <w:t>（2）由同一专业的单位组成的联合体，按照资质等级较低的单位确定资质等级；</w:t>
      </w:r>
    </w:p>
    <w:p w14:paraId="469DD2EC">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strike/>
          <w:color w:val="auto"/>
          <w:sz w:val="24"/>
          <w:szCs w:val="24"/>
          <w:highlight w:val="none"/>
        </w:rPr>
      </w:pPr>
      <w:r>
        <w:rPr>
          <w:rFonts w:hint="eastAsia" w:cs="宋体"/>
          <w:strike/>
          <w:sz w:val="24"/>
          <w:highlight w:val="none"/>
        </w:rPr>
        <w:t>（3）联合体各方不得再以自己名义单独或参加其他联合体在本招标项目中投标，否则各相关投标均无效。</w:t>
      </w:r>
    </w:p>
    <w:p w14:paraId="7C64C19D">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1.4.3 投标人不得存在下列情形之一：</w:t>
      </w:r>
    </w:p>
    <w:p w14:paraId="6DBD94C9">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（1）为招标人不具有独立法人资格的附属机构（单位）；</w:t>
      </w:r>
    </w:p>
    <w:p w14:paraId="7A3B4F6A">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（2）与招标人存在利害关系且可能影响招标公正性；</w:t>
      </w:r>
    </w:p>
    <w:p w14:paraId="23580C0E">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（3）与本招标项目的其他投标人为同一个单位负责人；</w:t>
      </w:r>
    </w:p>
    <w:p w14:paraId="4EAB8EC2">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（4）与本招标项目的其他投标人存在控股、管理关系；</w:t>
      </w:r>
    </w:p>
    <w:p w14:paraId="50E324DC">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（5）为本招标项目的代建人；</w:t>
      </w:r>
    </w:p>
    <w:p w14:paraId="035AB644">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（6）为本招标项目的招标代理机构；</w:t>
      </w:r>
    </w:p>
    <w:p w14:paraId="56994FC5">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（7）与本招标项目的代建人或招标代理机构同为一个法定代表人；</w:t>
      </w:r>
    </w:p>
    <w:p w14:paraId="2FBE15E5">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（8）与本招标项目的代建人或招标代理机构存在控股或参股关系；</w:t>
      </w:r>
    </w:p>
    <w:p w14:paraId="5AF10810">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（9）与本招标项目的检测机构、建设</w:t>
      </w:r>
      <w:r>
        <w:rPr>
          <w:rFonts w:hint="eastAsia" w:cs="宋体"/>
          <w:color w:val="auto"/>
          <w:sz w:val="24"/>
          <w:szCs w:val="24"/>
          <w:highlight w:val="none"/>
          <w:lang w:eastAsia="zh-CN"/>
        </w:rPr>
        <w:t>、</w:t>
      </w:r>
      <w:r>
        <w:rPr>
          <w:rFonts w:hint="eastAsia" w:cs="宋体"/>
          <w:color w:val="auto"/>
          <w:sz w:val="24"/>
          <w:szCs w:val="24"/>
          <w:highlight w:val="none"/>
          <w:lang w:val="en-US" w:eastAsia="zh-CN"/>
        </w:rPr>
        <w:t>施工</w:t>
      </w:r>
      <w:r>
        <w:rPr>
          <w:rFonts w:hint="eastAsia" w:cs="宋体"/>
          <w:color w:val="auto"/>
          <w:sz w:val="24"/>
          <w:szCs w:val="24"/>
          <w:highlight w:val="none"/>
        </w:rPr>
        <w:t>单位以及建筑材料、建筑构配件和设备供应商有隶属关系或者其他利害关系有隶属关系或者其他利害关系；</w:t>
      </w:r>
    </w:p>
    <w:p w14:paraId="24B60115">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（10）被依法暂停或者取消投标资格；</w:t>
      </w:r>
    </w:p>
    <w:p w14:paraId="12B536D4">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11）被依法暂停或取消投标资格的；（本项事实应当以根据《中华人民共和国行政处罚法》依法作出并已经生效的行政处罚决定为认定依据。行政处罚决定中已经明确的暂停或取消投标资格的区域范围不包含本标段建设地点的，不受该项规定限制）；</w:t>
      </w:r>
    </w:p>
    <w:p w14:paraId="678FC3E8">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（12）被责令停产停业、暂扣或者吊销许可证、暂扣或者吊销执照的（本项事实应当以根据《中华人民共和国行政处罚法》依法作出并已经生效的行政处罚决定为认定依据。）；</w:t>
      </w:r>
    </w:p>
    <w:p w14:paraId="07431A4D">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（13）进入清算程序，或被宣布破产，或其他丧失履约能力的情形；</w:t>
      </w:r>
    </w:p>
    <w:p w14:paraId="4757C7CE">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14）在最近三年内有严重违约或重大工程质量问题的；（“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14:paraId="6F943442">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（1</w:t>
      </w:r>
      <w:r>
        <w:rPr>
          <w:rFonts w:hint="eastAsia" w:cs="宋体"/>
          <w:color w:val="auto"/>
          <w:sz w:val="24"/>
          <w:szCs w:val="24"/>
          <w:highlight w:val="none"/>
          <w:lang w:val="en-US" w:eastAsia="zh-CN"/>
        </w:rPr>
        <w:t>5</w:t>
      </w:r>
      <w:r>
        <w:rPr>
          <w:rFonts w:hint="eastAsia" w:cs="宋体"/>
          <w:color w:val="auto"/>
          <w:sz w:val="24"/>
          <w:szCs w:val="24"/>
          <w:highlight w:val="none"/>
        </w:rPr>
        <w:t>）法律法规规定的其他情形。</w:t>
      </w:r>
    </w:p>
    <w:p w14:paraId="58C6454B">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u w:val="single"/>
        </w:rPr>
        <w:t>1.4.4 单位负责人为同一人或者存在控股、管理关系的不同单位，不得同时参加本招标项目投标。</w:t>
      </w:r>
    </w:p>
    <w:p w14:paraId="2DF82C2E">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highlight w:val="none"/>
        </w:rPr>
      </w:pPr>
      <w:bookmarkStart w:id="25" w:name="bookmark25"/>
      <w:bookmarkEnd w:id="25"/>
      <w:r>
        <w:rPr>
          <w:rFonts w:hint="eastAsia" w:ascii="宋体" w:hAnsi="宋体" w:eastAsia="宋体" w:cs="宋体"/>
          <w:highlight w:val="none"/>
        </w:rPr>
        <w:t>1.5 费用承担</w:t>
      </w:r>
    </w:p>
    <w:p w14:paraId="412D4038">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投标人准备和参加投标活动发生的费用自理。</w:t>
      </w:r>
    </w:p>
    <w:p w14:paraId="22A2F546">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highlight w:val="none"/>
        </w:rPr>
      </w:pPr>
      <w:bookmarkStart w:id="26" w:name="bookmark26"/>
      <w:bookmarkEnd w:id="26"/>
      <w:r>
        <w:rPr>
          <w:rFonts w:hint="eastAsia" w:ascii="宋体" w:hAnsi="宋体" w:eastAsia="宋体" w:cs="宋体"/>
          <w:highlight w:val="none"/>
        </w:rPr>
        <w:t>1.6 保密</w:t>
      </w:r>
    </w:p>
    <w:p w14:paraId="2429897F">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参与招标投标活动的各方应对招标文件和投标文件中的商业和技术等秘密保密，否则应承 担相应的法律责任。</w:t>
      </w:r>
    </w:p>
    <w:p w14:paraId="70065B29">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highlight w:val="none"/>
        </w:rPr>
      </w:pPr>
      <w:bookmarkStart w:id="27" w:name="bookmark27"/>
      <w:bookmarkEnd w:id="27"/>
      <w:r>
        <w:rPr>
          <w:rFonts w:hint="eastAsia" w:ascii="宋体" w:hAnsi="宋体" w:eastAsia="宋体" w:cs="宋体"/>
          <w:highlight w:val="none"/>
        </w:rPr>
        <w:t>1.7 语言文字</w:t>
      </w:r>
    </w:p>
    <w:p w14:paraId="3B066D1B">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招标投标文件使用的语言文字为中文。专用术语使用外文的，应附有中文注释。</w:t>
      </w:r>
    </w:p>
    <w:p w14:paraId="6789CFA4">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highlight w:val="none"/>
        </w:rPr>
      </w:pPr>
      <w:bookmarkStart w:id="28" w:name="bookmark28"/>
      <w:bookmarkEnd w:id="28"/>
      <w:r>
        <w:rPr>
          <w:rFonts w:hint="eastAsia" w:ascii="宋体" w:hAnsi="宋体" w:eastAsia="宋体" w:cs="宋体"/>
          <w:highlight w:val="none"/>
        </w:rPr>
        <w:t>1.8 计量单位</w:t>
      </w:r>
    </w:p>
    <w:p w14:paraId="681E312A">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所有计量均采用中华人民共和国法定计量单位。</w:t>
      </w:r>
    </w:p>
    <w:p w14:paraId="2F30FEE5">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highlight w:val="none"/>
        </w:rPr>
      </w:pPr>
      <w:bookmarkStart w:id="29" w:name="bookmark29"/>
      <w:bookmarkEnd w:id="29"/>
      <w:r>
        <w:rPr>
          <w:rFonts w:hint="eastAsia" w:ascii="宋体" w:hAnsi="宋体" w:eastAsia="宋体" w:cs="宋体"/>
          <w:highlight w:val="none"/>
        </w:rPr>
        <w:t>1.9 踏勘现场</w:t>
      </w:r>
    </w:p>
    <w:p w14:paraId="0067B9D8">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sz w:val="24"/>
          <w:highlight w:val="none"/>
        </w:rPr>
      </w:pPr>
      <w:r>
        <w:rPr>
          <w:rFonts w:hint="eastAsia" w:cs="宋体"/>
          <w:sz w:val="24"/>
          <w:highlight w:val="none"/>
        </w:rPr>
        <w:t>1.9.1 投标人须知前附表规定组织踏勘现场的，招标人按投标人须知前附表规定的时间、地 点组织投标人踏勘项目现场。部分投标人未按时参加踏勘现场的，不影响踏勘现场的正常进行。</w:t>
      </w:r>
    </w:p>
    <w:p w14:paraId="27375D3B">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sz w:val="24"/>
          <w:highlight w:val="none"/>
        </w:rPr>
      </w:pPr>
      <w:r>
        <w:rPr>
          <w:rFonts w:hint="eastAsia" w:cs="宋体"/>
          <w:sz w:val="24"/>
          <w:highlight w:val="none"/>
        </w:rPr>
        <w:t>1.9.2 投标人踏勘现场发生的费用自理。</w:t>
      </w:r>
    </w:p>
    <w:p w14:paraId="3ADF66A6">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sz w:val="24"/>
          <w:highlight w:val="none"/>
        </w:rPr>
      </w:pPr>
      <w:r>
        <w:rPr>
          <w:rFonts w:hint="eastAsia" w:cs="宋体"/>
          <w:sz w:val="24"/>
          <w:highlight w:val="none"/>
        </w:rPr>
        <w:t>1.9.3 除招标人的原因外，投标人自行负责在踏勘现场中所发生的人员伤亡和财产损失。</w:t>
      </w:r>
    </w:p>
    <w:p w14:paraId="09517EC0">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sz w:val="24"/>
          <w:highlight w:val="none"/>
        </w:rPr>
      </w:pPr>
      <w:r>
        <w:rPr>
          <w:rFonts w:hint="eastAsia" w:cs="宋体"/>
          <w:sz w:val="24"/>
          <w:highlight w:val="none"/>
        </w:rPr>
        <w:t>1.9.4 招标人在踏勘现场中介绍的工程场地和相关的周边环境情况，供投标人在编制投标文件时参考，招标人不对投标人据此作出的判断和决策负责。</w:t>
      </w:r>
    </w:p>
    <w:p w14:paraId="1E7D03F4">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strike/>
          <w:dstrike w:val="0"/>
          <w:highlight w:val="none"/>
        </w:rPr>
      </w:pPr>
      <w:bookmarkStart w:id="30" w:name="bookmark30"/>
      <w:bookmarkEnd w:id="30"/>
      <w:r>
        <w:rPr>
          <w:rFonts w:hint="eastAsia" w:ascii="宋体" w:hAnsi="宋体" w:eastAsia="宋体" w:cs="宋体"/>
          <w:strike/>
          <w:dstrike w:val="0"/>
          <w:highlight w:val="none"/>
        </w:rPr>
        <w:t>1.10 投标预备会</w:t>
      </w:r>
    </w:p>
    <w:p w14:paraId="7A019600">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jc w:val="both"/>
        <w:rPr>
          <w:rFonts w:hint="eastAsia" w:cs="宋体"/>
          <w:strike/>
          <w:sz w:val="24"/>
          <w:highlight w:val="none"/>
        </w:rPr>
      </w:pPr>
      <w:r>
        <w:rPr>
          <w:rFonts w:hint="eastAsia" w:cs="宋体"/>
          <w:strike/>
          <w:sz w:val="24"/>
          <w:highlight w:val="none"/>
        </w:rPr>
        <w:t>1.10.1 投标人须知前附表规定召开投标预备会的，招标人按投标人须知前附表规定的时间和地点召开投标预备会，澄清投标人提出的问题。</w:t>
      </w:r>
    </w:p>
    <w:p w14:paraId="4AF3F3CB">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jc w:val="both"/>
        <w:rPr>
          <w:rFonts w:hint="eastAsia" w:cs="宋体"/>
          <w:strike/>
          <w:sz w:val="24"/>
          <w:highlight w:val="none"/>
        </w:rPr>
      </w:pPr>
      <w:r>
        <w:rPr>
          <w:rFonts w:hint="eastAsia" w:cs="宋体"/>
          <w:strike/>
          <w:sz w:val="24"/>
          <w:highlight w:val="none"/>
        </w:rPr>
        <w:t>1.10.2 投标人应按投标人须知前附表规定的时间和形式将提出的问题送达招标人，以便招标人在会议期间澄清。</w:t>
      </w:r>
    </w:p>
    <w:p w14:paraId="2FD510B1">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jc w:val="both"/>
        <w:rPr>
          <w:rFonts w:hint="eastAsia" w:cs="宋体"/>
          <w:strike/>
          <w:sz w:val="24"/>
          <w:highlight w:val="none"/>
        </w:rPr>
      </w:pPr>
      <w:r>
        <w:rPr>
          <w:rFonts w:hint="eastAsia" w:cs="宋体"/>
          <w:strike/>
          <w:sz w:val="24"/>
          <w:highlight w:val="none"/>
        </w:rPr>
        <w:t>1.10.3 投标预备会后，招标人将对投标人所提问题的澄清，以投标人须知前附表规定的形式通知所有潜在投标人。该澄清内容为招标文件的组成部分。</w:t>
      </w:r>
    </w:p>
    <w:p w14:paraId="151E83AB">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highlight w:val="none"/>
        </w:rPr>
      </w:pPr>
      <w:bookmarkStart w:id="31" w:name="bookmark31"/>
      <w:bookmarkEnd w:id="31"/>
      <w:r>
        <w:rPr>
          <w:rFonts w:hint="eastAsia" w:ascii="宋体" w:hAnsi="宋体" w:eastAsia="宋体" w:cs="宋体"/>
          <w:highlight w:val="none"/>
        </w:rPr>
        <w:t>1.11 分包</w:t>
      </w:r>
    </w:p>
    <w:p w14:paraId="627CFCA5">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本项目严禁分包。</w:t>
      </w:r>
    </w:p>
    <w:p w14:paraId="566B97CA">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highlight w:val="none"/>
        </w:rPr>
      </w:pPr>
      <w:bookmarkStart w:id="32" w:name="bookmark32"/>
      <w:bookmarkEnd w:id="32"/>
      <w:r>
        <w:rPr>
          <w:rFonts w:hint="eastAsia" w:ascii="宋体" w:hAnsi="宋体" w:eastAsia="宋体" w:cs="宋体"/>
          <w:highlight w:val="none"/>
        </w:rPr>
        <w:t>1.12 响应和偏差</w:t>
      </w:r>
    </w:p>
    <w:p w14:paraId="5264A84E">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1.12.1 投标文件应当对招标文件的实质性要求和条件作出满足性或更有利于招标人的响应，否则，投标人的投标将被否决。实质性要求和条件见投标人须知前附表。</w:t>
      </w:r>
    </w:p>
    <w:p w14:paraId="6A8D26DC">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1.12.2 投标人应根据招标文件的要求提供投标监理大纲等内容以对招标文件作出响应。</w:t>
      </w:r>
    </w:p>
    <w:p w14:paraId="0A9A62FA">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1.12.3 投标人须知前附表允许投标文件偏离招标文件某些要求的，偏差应当符合招标文件规定的偏差范围和幅度。</w:t>
      </w:r>
    </w:p>
    <w:p w14:paraId="1D72CC2C">
      <w:pPr>
        <w:pStyle w:val="4"/>
        <w:outlineLvl w:val="1"/>
        <w:rPr>
          <w:rFonts w:hint="eastAsia" w:cs="宋体"/>
          <w:color w:val="auto"/>
          <w:sz w:val="24"/>
          <w:szCs w:val="24"/>
          <w:highlight w:val="none"/>
        </w:rPr>
      </w:pPr>
      <w:bookmarkStart w:id="33" w:name="bookmark33"/>
      <w:bookmarkEnd w:id="33"/>
      <w:bookmarkStart w:id="34" w:name="_Toc8823"/>
      <w:r>
        <w:rPr>
          <w:rFonts w:hint="eastAsia" w:cs="宋体"/>
          <w:color w:val="auto"/>
          <w:sz w:val="24"/>
          <w:szCs w:val="24"/>
          <w:highlight w:val="none"/>
        </w:rPr>
        <w:t>2.招标文件</w:t>
      </w:r>
      <w:bookmarkEnd w:id="34"/>
    </w:p>
    <w:p w14:paraId="56715B05">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highlight w:val="none"/>
        </w:rPr>
      </w:pPr>
      <w:bookmarkStart w:id="35" w:name="bookmark34"/>
      <w:bookmarkEnd w:id="35"/>
      <w:r>
        <w:rPr>
          <w:rFonts w:hint="eastAsia" w:ascii="宋体" w:hAnsi="宋体" w:eastAsia="宋体" w:cs="宋体"/>
          <w:highlight w:val="none"/>
        </w:rPr>
        <w:t>2.1 招标文件的组成</w:t>
      </w:r>
    </w:p>
    <w:p w14:paraId="0FD30585">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本招标文件包括：</w:t>
      </w:r>
    </w:p>
    <w:p w14:paraId="4824C62E">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（1）招标公告；</w:t>
      </w:r>
    </w:p>
    <w:p w14:paraId="2C2DD797">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（2）投标人须知；</w:t>
      </w:r>
    </w:p>
    <w:p w14:paraId="29355CEB">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（3）评标</w:t>
      </w:r>
      <w:r>
        <w:rPr>
          <w:rFonts w:hint="eastAsia" w:cs="宋体"/>
          <w:color w:val="auto"/>
          <w:sz w:val="24"/>
          <w:szCs w:val="24"/>
          <w:highlight w:val="none"/>
          <w:u w:val="single"/>
          <w:lang w:eastAsia="zh-CN"/>
        </w:rPr>
        <w:t>、定标</w:t>
      </w:r>
      <w:r>
        <w:rPr>
          <w:rFonts w:hint="eastAsia" w:cs="宋体"/>
          <w:color w:val="auto"/>
          <w:sz w:val="24"/>
          <w:szCs w:val="24"/>
          <w:highlight w:val="none"/>
        </w:rPr>
        <w:t>办法；</w:t>
      </w:r>
    </w:p>
    <w:p w14:paraId="7256FA54">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（4）合同条款及格式；</w:t>
      </w:r>
    </w:p>
    <w:p w14:paraId="451A21F8">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（5）委托人要求；</w:t>
      </w:r>
    </w:p>
    <w:p w14:paraId="326488D8">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（6）投标文件格式；</w:t>
      </w:r>
    </w:p>
    <w:p w14:paraId="441A969C">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（7）投标人须知前附表规定的其他资料。</w:t>
      </w:r>
    </w:p>
    <w:p w14:paraId="6E95C890">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根据本章</w:t>
      </w:r>
      <w:r>
        <w:rPr>
          <w:rFonts w:hint="eastAsia" w:cs="宋体"/>
          <w:strike/>
          <w:dstrike w:val="0"/>
          <w:color w:val="auto"/>
          <w:sz w:val="24"/>
          <w:szCs w:val="24"/>
          <w:highlight w:val="none"/>
        </w:rPr>
        <w:t>第1.10款、</w:t>
      </w:r>
      <w:r>
        <w:rPr>
          <w:rFonts w:hint="eastAsia" w:cs="宋体"/>
          <w:color w:val="auto"/>
          <w:sz w:val="24"/>
          <w:szCs w:val="24"/>
          <w:highlight w:val="none"/>
        </w:rPr>
        <w:t>第2.2款和第2.3款对招标文件所作的澄清、修改，构成招标文件的组成部分。</w:t>
      </w:r>
    </w:p>
    <w:p w14:paraId="0CBA930B">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highlight w:val="none"/>
        </w:rPr>
      </w:pPr>
      <w:bookmarkStart w:id="36" w:name="bookmark38"/>
      <w:bookmarkEnd w:id="36"/>
      <w:bookmarkStart w:id="37" w:name="bookmark35"/>
      <w:bookmarkEnd w:id="37"/>
      <w:r>
        <w:rPr>
          <w:rFonts w:hint="eastAsia" w:ascii="宋体" w:hAnsi="宋体" w:eastAsia="宋体" w:cs="宋体"/>
          <w:highlight w:val="none"/>
        </w:rPr>
        <w:t>2.2  招标文件的</w:t>
      </w:r>
      <w:r>
        <w:rPr>
          <w:rFonts w:hint="eastAsia" w:ascii="宋体" w:hAnsi="宋体" w:eastAsia="宋体" w:cs="宋体"/>
          <w:highlight w:val="none"/>
          <w:lang w:eastAsia="zh-CN"/>
        </w:rPr>
        <w:t>答疑</w:t>
      </w:r>
    </w:p>
    <w:p w14:paraId="78D483C6">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2.2.1  投标人应仔细阅读和检查招标文件的全部内容。如有疑问，应按投标人须知前附表规定的时间和形式将提出的问题送达招标人，要求招标人对招标文件予以澄清。</w:t>
      </w:r>
    </w:p>
    <w:p w14:paraId="1A7DEDCC">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2.2.2</w:t>
      </w:r>
      <w:r>
        <w:rPr>
          <w:rFonts w:hint="eastAsia" w:cs="宋体"/>
          <w:color w:val="auto"/>
          <w:sz w:val="24"/>
          <w:szCs w:val="24"/>
          <w:highlight w:val="none"/>
          <w:lang w:val="en-US" w:eastAsia="zh-CN"/>
        </w:rPr>
        <w:t xml:space="preserve">  </w:t>
      </w:r>
      <w:r>
        <w:rPr>
          <w:rFonts w:hint="eastAsia" w:cs="宋体"/>
          <w:color w:val="auto"/>
          <w:sz w:val="24"/>
          <w:szCs w:val="24"/>
          <w:highlight w:val="none"/>
        </w:rPr>
        <w:t>招标答疑采用网上答疑方式进行。投标人若对招标文件有疑问的，</w:t>
      </w:r>
      <w:r>
        <w:rPr>
          <w:rFonts w:hint="eastAsia" w:cs="宋体"/>
          <w:color w:val="auto"/>
          <w:sz w:val="24"/>
          <w:szCs w:val="24"/>
          <w:highlight w:val="none"/>
          <w:lang w:eastAsia="zh-CN"/>
        </w:rPr>
        <w:t>通过广州交易集团有限公司（广州公共资源交易中心）网站提交，</w:t>
      </w:r>
      <w:r>
        <w:rPr>
          <w:rFonts w:hint="eastAsia" w:cs="宋体"/>
          <w:color w:val="auto"/>
          <w:sz w:val="24"/>
          <w:szCs w:val="24"/>
          <w:highlight w:val="none"/>
        </w:rPr>
        <w:t>应按照</w:t>
      </w:r>
      <w:r>
        <w:rPr>
          <w:rFonts w:hint="eastAsia" w:cs="宋体"/>
          <w:color w:val="auto"/>
          <w:sz w:val="24"/>
          <w:szCs w:val="24"/>
          <w:highlight w:val="none"/>
          <w:lang w:eastAsia="zh-CN"/>
        </w:rPr>
        <w:t>广州交易集团有限公司（广州公共资源交易中心）网站关于全流程电子化项目的相关指南进行操作</w:t>
      </w:r>
      <w:r>
        <w:rPr>
          <w:rFonts w:hint="eastAsia" w:cs="宋体"/>
          <w:color w:val="auto"/>
          <w:sz w:val="24"/>
          <w:szCs w:val="24"/>
          <w:highlight w:val="none"/>
        </w:rPr>
        <w:t>。提</w:t>
      </w:r>
      <w:r>
        <w:rPr>
          <w:rFonts w:hint="eastAsia" w:cs="宋体"/>
          <w:color w:val="auto"/>
          <w:sz w:val="24"/>
          <w:szCs w:val="24"/>
          <w:highlight w:val="none"/>
          <w:lang w:eastAsia="zh-CN"/>
        </w:rPr>
        <w:t>问</w:t>
      </w:r>
      <w:r>
        <w:rPr>
          <w:rFonts w:hint="eastAsia" w:cs="宋体"/>
          <w:color w:val="auto"/>
          <w:sz w:val="24"/>
          <w:szCs w:val="24"/>
          <w:highlight w:val="none"/>
        </w:rPr>
        <w:t>一律不得署名。</w:t>
      </w:r>
    </w:p>
    <w:p w14:paraId="444E2FA9">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lang w:eastAsia="zh-CN"/>
        </w:rPr>
      </w:pPr>
      <w:r>
        <w:rPr>
          <w:rFonts w:hint="eastAsia" w:cs="宋体"/>
          <w:color w:val="auto"/>
          <w:sz w:val="24"/>
          <w:szCs w:val="24"/>
          <w:highlight w:val="none"/>
        </w:rPr>
        <w:t>2.2.3  招标答疑会会议纪要将在提交投标文件截止时间 15 日前在</w:t>
      </w:r>
      <w:r>
        <w:rPr>
          <w:rFonts w:hint="eastAsia" w:cs="宋体"/>
          <w:color w:val="auto"/>
          <w:sz w:val="24"/>
          <w:szCs w:val="24"/>
          <w:highlight w:val="none"/>
          <w:lang w:eastAsia="zh-CN"/>
        </w:rPr>
        <w:t>广州交易集团有限公司（广州公共资源交易中心）网站</w:t>
      </w:r>
      <w:r>
        <w:rPr>
          <w:rFonts w:hint="eastAsia" w:cs="宋体"/>
          <w:color w:val="auto"/>
          <w:sz w:val="24"/>
          <w:szCs w:val="24"/>
          <w:highlight w:val="none"/>
        </w:rPr>
        <w:t>“项目答疑纪要”专区公开发布。答疑纪要一经在</w:t>
      </w:r>
      <w:r>
        <w:rPr>
          <w:rFonts w:hint="eastAsia" w:cs="宋体"/>
          <w:color w:val="auto"/>
          <w:sz w:val="24"/>
          <w:szCs w:val="24"/>
          <w:highlight w:val="none"/>
          <w:lang w:eastAsia="zh-CN"/>
        </w:rPr>
        <w:t>广州交易集团有限公司（广州公共资源交易中心）网站</w:t>
      </w:r>
      <w:r>
        <w:rPr>
          <w:rFonts w:hint="eastAsia" w:cs="宋体"/>
          <w:color w:val="auto"/>
          <w:sz w:val="24"/>
          <w:szCs w:val="24"/>
          <w:highlight w:val="none"/>
        </w:rPr>
        <w:t>发布，视作已发放给所有投标人</w:t>
      </w:r>
      <w:r>
        <w:rPr>
          <w:rFonts w:hint="eastAsia" w:cs="宋体"/>
          <w:color w:val="auto"/>
          <w:sz w:val="24"/>
          <w:szCs w:val="24"/>
          <w:highlight w:val="none"/>
          <w:lang w:eastAsia="zh-CN"/>
        </w:rPr>
        <w:t>。</w:t>
      </w:r>
    </w:p>
    <w:p w14:paraId="41073EC6">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lang w:val="en-US" w:eastAsia="zh-CN"/>
        </w:rPr>
        <w:t xml:space="preserve">2.2.4  </w:t>
      </w:r>
      <w:r>
        <w:rPr>
          <w:rFonts w:hint="eastAsia" w:cs="宋体"/>
          <w:color w:val="auto"/>
          <w:sz w:val="24"/>
          <w:szCs w:val="24"/>
          <w:highlight w:val="none"/>
        </w:rPr>
        <w:t>招标答疑</w:t>
      </w:r>
      <w:r>
        <w:rPr>
          <w:rFonts w:hint="eastAsia" w:cs="宋体"/>
          <w:color w:val="auto"/>
          <w:sz w:val="24"/>
          <w:szCs w:val="24"/>
          <w:highlight w:val="none"/>
          <w:lang w:eastAsia="zh-CN"/>
        </w:rPr>
        <w:t>会会议</w:t>
      </w:r>
      <w:r>
        <w:rPr>
          <w:rFonts w:hint="eastAsia" w:cs="宋体"/>
          <w:color w:val="auto"/>
          <w:sz w:val="24"/>
          <w:szCs w:val="24"/>
          <w:highlight w:val="none"/>
        </w:rPr>
        <w:t>纪要</w:t>
      </w:r>
      <w:r>
        <w:rPr>
          <w:rFonts w:hint="eastAsia" w:cs="宋体"/>
          <w:color w:val="auto"/>
          <w:sz w:val="24"/>
          <w:szCs w:val="24"/>
          <w:highlight w:val="none"/>
          <w:lang w:eastAsia="zh-CN"/>
        </w:rPr>
        <w:t>是</w:t>
      </w:r>
      <w:r>
        <w:rPr>
          <w:rFonts w:hint="eastAsia" w:cs="宋体"/>
          <w:color w:val="auto"/>
          <w:sz w:val="24"/>
          <w:szCs w:val="24"/>
          <w:highlight w:val="none"/>
        </w:rPr>
        <w:t>招标文件的</w:t>
      </w:r>
      <w:r>
        <w:rPr>
          <w:rFonts w:hint="eastAsia" w:cs="宋体"/>
          <w:color w:val="auto"/>
          <w:sz w:val="24"/>
          <w:szCs w:val="24"/>
          <w:highlight w:val="none"/>
          <w:lang w:eastAsia="zh-CN"/>
        </w:rPr>
        <w:t>组成</w:t>
      </w:r>
      <w:r>
        <w:rPr>
          <w:rFonts w:hint="eastAsia" w:cs="宋体"/>
          <w:color w:val="auto"/>
          <w:sz w:val="24"/>
          <w:szCs w:val="24"/>
          <w:highlight w:val="none"/>
        </w:rPr>
        <w:t>部分</w:t>
      </w:r>
      <w:r>
        <w:rPr>
          <w:rFonts w:hint="eastAsia" w:cs="宋体"/>
          <w:color w:val="auto"/>
          <w:sz w:val="24"/>
          <w:szCs w:val="24"/>
          <w:highlight w:val="none"/>
          <w:lang w:eastAsia="zh-CN"/>
        </w:rPr>
        <w:t>，对投标人起约束作用</w:t>
      </w:r>
      <w:r>
        <w:rPr>
          <w:rFonts w:hint="eastAsia" w:cs="宋体"/>
          <w:color w:val="auto"/>
          <w:sz w:val="24"/>
          <w:szCs w:val="24"/>
          <w:highlight w:val="none"/>
        </w:rPr>
        <w:t>。</w:t>
      </w:r>
    </w:p>
    <w:p w14:paraId="37C468A1">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lang w:eastAsia="zh-CN"/>
        </w:rPr>
      </w:pPr>
      <w:r>
        <w:rPr>
          <w:rFonts w:hint="eastAsia" w:cs="宋体"/>
          <w:color w:val="auto"/>
          <w:sz w:val="24"/>
          <w:szCs w:val="24"/>
          <w:highlight w:val="none"/>
        </w:rPr>
        <w:t>2.2.</w:t>
      </w:r>
      <w:r>
        <w:rPr>
          <w:rFonts w:hint="eastAsia" w:cs="宋体"/>
          <w:color w:val="auto"/>
          <w:sz w:val="24"/>
          <w:szCs w:val="24"/>
          <w:highlight w:val="none"/>
          <w:lang w:val="en-US" w:eastAsia="zh-CN"/>
        </w:rPr>
        <w:t>5</w:t>
      </w:r>
      <w:r>
        <w:rPr>
          <w:rFonts w:hint="eastAsia" w:cs="宋体"/>
          <w:color w:val="auto"/>
          <w:sz w:val="24"/>
          <w:szCs w:val="24"/>
          <w:highlight w:val="none"/>
        </w:rPr>
        <w:t xml:space="preserve">  若招标答疑</w:t>
      </w:r>
      <w:r>
        <w:rPr>
          <w:rFonts w:hint="eastAsia" w:cs="宋体"/>
          <w:color w:val="auto"/>
          <w:sz w:val="24"/>
          <w:szCs w:val="24"/>
          <w:highlight w:val="none"/>
          <w:lang w:eastAsia="zh-CN"/>
        </w:rPr>
        <w:t>会会议</w:t>
      </w:r>
      <w:r>
        <w:rPr>
          <w:rFonts w:hint="eastAsia" w:cs="宋体"/>
          <w:color w:val="auto"/>
          <w:sz w:val="24"/>
          <w:szCs w:val="24"/>
          <w:highlight w:val="none"/>
        </w:rPr>
        <w:t>纪要与招标文件有矛盾时，以</w:t>
      </w:r>
      <w:r>
        <w:rPr>
          <w:rFonts w:hint="eastAsia" w:cs="宋体"/>
          <w:color w:val="auto"/>
          <w:sz w:val="24"/>
          <w:szCs w:val="24"/>
          <w:highlight w:val="none"/>
          <w:lang w:eastAsia="zh-CN"/>
        </w:rPr>
        <w:t>广州交易集团有限公司（广州公共资源交易中心）网站</w:t>
      </w:r>
      <w:r>
        <w:rPr>
          <w:rFonts w:hint="eastAsia" w:cs="宋体"/>
          <w:color w:val="auto"/>
          <w:sz w:val="24"/>
          <w:szCs w:val="24"/>
          <w:highlight w:val="none"/>
        </w:rPr>
        <w:t>最后发布的答疑纪要为准</w:t>
      </w:r>
      <w:r>
        <w:rPr>
          <w:rFonts w:hint="eastAsia" w:cs="宋体"/>
          <w:color w:val="auto"/>
          <w:sz w:val="24"/>
          <w:szCs w:val="24"/>
          <w:highlight w:val="none"/>
          <w:lang w:eastAsia="zh-CN"/>
        </w:rPr>
        <w:t>。</w:t>
      </w:r>
    </w:p>
    <w:p w14:paraId="772A986C">
      <w:pPr>
        <w:kinsoku/>
        <w:overflowPunct/>
        <w:spacing w:line="360" w:lineRule="auto"/>
        <w:ind w:firstLine="480" w:firstLineChars="200"/>
        <w:rPr>
          <w:rFonts w:hint="eastAsia" w:ascii="宋体" w:hAnsi="宋体" w:cs="宋体"/>
          <w:color w:val="auto"/>
          <w:sz w:val="24"/>
          <w:szCs w:val="24"/>
          <w:highlight w:val="none"/>
        </w:rPr>
      </w:pPr>
      <w:r>
        <w:rPr>
          <w:rFonts w:hint="eastAsia" w:ascii="宋体" w:hAnsi="宋体" w:eastAsia="宋体" w:cs="宋体"/>
          <w:highlight w:val="none"/>
        </w:rPr>
        <w:t>2.3  招标文件的</w:t>
      </w:r>
      <w:r>
        <w:rPr>
          <w:rFonts w:hint="eastAsia" w:ascii="宋体" w:hAnsi="宋体" w:eastAsia="宋体" w:cs="宋体"/>
          <w:highlight w:val="none"/>
          <w:lang w:eastAsia="zh-CN"/>
        </w:rPr>
        <w:t>澄清与</w:t>
      </w:r>
      <w:r>
        <w:rPr>
          <w:rFonts w:hint="eastAsia" w:ascii="宋体" w:hAnsi="宋体" w:eastAsia="宋体" w:cs="宋体"/>
          <w:highlight w:val="none"/>
        </w:rPr>
        <w:t>修改</w:t>
      </w:r>
    </w:p>
    <w:p w14:paraId="15633686">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lang w:val="en-US" w:eastAsia="zh-CN"/>
        </w:rPr>
      </w:pPr>
      <w:r>
        <w:rPr>
          <w:rFonts w:hint="eastAsia" w:cs="宋体"/>
          <w:color w:val="auto"/>
          <w:sz w:val="24"/>
          <w:szCs w:val="24"/>
          <w:highlight w:val="none"/>
          <w:lang w:eastAsia="zh-CN"/>
        </w:rPr>
        <w:t xml:space="preserve">2.3.1 </w:t>
      </w:r>
      <w:r>
        <w:rPr>
          <w:rFonts w:hint="eastAsia" w:cs="宋体"/>
          <w:color w:val="auto"/>
          <w:sz w:val="24"/>
          <w:szCs w:val="24"/>
          <w:highlight w:val="none"/>
          <w:lang w:val="en-US" w:eastAsia="zh-CN"/>
        </w:rPr>
        <w:t xml:space="preserve"> 招标文件发出后，在提交投标文件截止时间15日前，招标人可对招标文件进行必要的澄清或修改。</w:t>
      </w:r>
    </w:p>
    <w:p w14:paraId="37204065">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lang w:val="en-US" w:eastAsia="zh-CN"/>
        </w:rPr>
      </w:pPr>
      <w:r>
        <w:rPr>
          <w:rFonts w:hint="eastAsia" w:cs="宋体"/>
          <w:color w:val="auto"/>
          <w:sz w:val="24"/>
          <w:szCs w:val="24"/>
          <w:highlight w:val="none"/>
          <w:lang w:val="en-US" w:eastAsia="zh-CN"/>
        </w:rPr>
        <w:t xml:space="preserve">2.3.2  </w:t>
      </w:r>
      <w:r>
        <w:rPr>
          <w:rFonts w:hint="eastAsia" w:cs="宋体"/>
          <w:color w:val="auto"/>
          <w:sz w:val="24"/>
          <w:szCs w:val="24"/>
          <w:highlight w:val="none"/>
          <w:lang w:eastAsia="zh-CN"/>
        </w:rPr>
        <w:t>招标文件的澄清或修改将在广州交易集团有限公司（广州公共资源交易中心）网站“项目答疑纪要”专区公开发布。招标文件的澄清或修改一经在广州交易集团有限公司（广州公共资源交易中心）网站发布，视作已发放给所有投标人，以广州交易集团有限公司（广州公共资源交易中心）</w:t>
      </w:r>
      <w:r>
        <w:rPr>
          <w:rFonts w:hint="eastAsia" w:cs="宋体"/>
          <w:color w:val="auto"/>
          <w:sz w:val="24"/>
          <w:szCs w:val="24"/>
          <w:highlight w:val="none"/>
          <w:lang w:val="en-US" w:eastAsia="zh-CN"/>
        </w:rPr>
        <w:t>网站发布时间作为送达时间。</w:t>
      </w:r>
    </w:p>
    <w:p w14:paraId="3BCE9A29">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lang w:val="en-US" w:eastAsia="zh-CN"/>
        </w:rPr>
      </w:pPr>
      <w:r>
        <w:rPr>
          <w:rFonts w:hint="eastAsia" w:cs="宋体"/>
          <w:color w:val="auto"/>
          <w:sz w:val="24"/>
          <w:szCs w:val="24"/>
          <w:highlight w:val="none"/>
          <w:lang w:val="en-US" w:eastAsia="zh-CN"/>
        </w:rPr>
        <w:t xml:space="preserve">2.3.3  </w:t>
      </w:r>
      <w:r>
        <w:rPr>
          <w:rFonts w:hint="eastAsia" w:cs="宋体"/>
          <w:color w:val="auto"/>
          <w:sz w:val="24"/>
          <w:szCs w:val="24"/>
          <w:highlight w:val="none"/>
        </w:rPr>
        <w:t>招标</w:t>
      </w:r>
      <w:r>
        <w:rPr>
          <w:rFonts w:hint="eastAsia" w:cs="宋体"/>
          <w:color w:val="auto"/>
          <w:sz w:val="24"/>
          <w:szCs w:val="24"/>
          <w:highlight w:val="none"/>
          <w:lang w:eastAsia="zh-CN"/>
        </w:rPr>
        <w:t>文件的澄清或修改是</w:t>
      </w:r>
      <w:r>
        <w:rPr>
          <w:rFonts w:hint="eastAsia" w:cs="宋体"/>
          <w:color w:val="auto"/>
          <w:sz w:val="24"/>
          <w:szCs w:val="24"/>
          <w:highlight w:val="none"/>
        </w:rPr>
        <w:t>招标文件的</w:t>
      </w:r>
      <w:r>
        <w:rPr>
          <w:rFonts w:hint="eastAsia" w:cs="宋体"/>
          <w:color w:val="auto"/>
          <w:sz w:val="24"/>
          <w:szCs w:val="24"/>
          <w:highlight w:val="none"/>
          <w:lang w:eastAsia="zh-CN"/>
        </w:rPr>
        <w:t>组成</w:t>
      </w:r>
      <w:r>
        <w:rPr>
          <w:rFonts w:hint="eastAsia" w:cs="宋体"/>
          <w:color w:val="auto"/>
          <w:sz w:val="24"/>
          <w:szCs w:val="24"/>
          <w:highlight w:val="none"/>
        </w:rPr>
        <w:t>部分</w:t>
      </w:r>
      <w:r>
        <w:rPr>
          <w:rFonts w:hint="eastAsia" w:cs="宋体"/>
          <w:color w:val="auto"/>
          <w:sz w:val="24"/>
          <w:szCs w:val="24"/>
          <w:highlight w:val="none"/>
          <w:lang w:eastAsia="zh-CN"/>
        </w:rPr>
        <w:t>，对投标人起约束作用</w:t>
      </w:r>
      <w:r>
        <w:rPr>
          <w:rFonts w:hint="eastAsia" w:cs="宋体"/>
          <w:color w:val="auto"/>
          <w:sz w:val="24"/>
          <w:szCs w:val="24"/>
          <w:highlight w:val="none"/>
        </w:rPr>
        <w:t>。</w:t>
      </w:r>
    </w:p>
    <w:p w14:paraId="42CED76C">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lang w:eastAsia="zh-CN"/>
        </w:rPr>
        <w:t>2.3.</w:t>
      </w:r>
      <w:r>
        <w:rPr>
          <w:rFonts w:hint="eastAsia" w:cs="宋体"/>
          <w:color w:val="auto"/>
          <w:sz w:val="24"/>
          <w:szCs w:val="24"/>
          <w:highlight w:val="none"/>
          <w:lang w:val="en-US" w:eastAsia="zh-CN"/>
        </w:rPr>
        <w:t xml:space="preserve">4 </w:t>
      </w:r>
      <w:r>
        <w:rPr>
          <w:rFonts w:hint="eastAsia" w:cs="宋体"/>
          <w:color w:val="auto"/>
          <w:sz w:val="24"/>
          <w:szCs w:val="24"/>
          <w:highlight w:val="none"/>
          <w:lang w:eastAsia="zh-CN"/>
        </w:rPr>
        <w:t xml:space="preserve"> 招标文件的澄清或修</w:t>
      </w:r>
      <w:r>
        <w:rPr>
          <w:rFonts w:hint="eastAsia" w:cs="宋体"/>
          <w:color w:val="auto"/>
          <w:sz w:val="24"/>
          <w:szCs w:val="24"/>
          <w:highlight w:val="none"/>
        </w:rPr>
        <w:t>改均以</w:t>
      </w:r>
      <w:r>
        <w:rPr>
          <w:rFonts w:hint="eastAsia" w:cs="宋体"/>
          <w:color w:val="auto"/>
          <w:sz w:val="24"/>
          <w:szCs w:val="24"/>
          <w:highlight w:val="none"/>
          <w:lang w:eastAsia="zh-CN"/>
        </w:rPr>
        <w:t>广州交易集团有限公司（广州公共资源交易中心）网站</w:t>
      </w:r>
      <w:r>
        <w:rPr>
          <w:rFonts w:hint="eastAsia" w:cs="宋体"/>
          <w:color w:val="auto"/>
          <w:sz w:val="24"/>
          <w:szCs w:val="24"/>
          <w:highlight w:val="none"/>
        </w:rPr>
        <w:t>发布的内容为准。当招标文件的澄清、修改</w:t>
      </w:r>
      <w:r>
        <w:rPr>
          <w:rFonts w:hint="eastAsia" w:cs="宋体"/>
          <w:color w:val="auto"/>
          <w:sz w:val="24"/>
          <w:szCs w:val="24"/>
          <w:highlight w:val="none"/>
          <w:lang w:eastAsia="zh-CN"/>
        </w:rPr>
        <w:t>、补充等</w:t>
      </w:r>
      <w:r>
        <w:rPr>
          <w:rFonts w:hint="eastAsia" w:cs="宋体"/>
          <w:color w:val="auto"/>
          <w:sz w:val="24"/>
          <w:szCs w:val="24"/>
          <w:highlight w:val="none"/>
        </w:rPr>
        <w:t>在同一内容的表述不一致时，以</w:t>
      </w:r>
      <w:r>
        <w:rPr>
          <w:rFonts w:hint="eastAsia" w:cs="宋体"/>
          <w:color w:val="auto"/>
          <w:sz w:val="24"/>
          <w:szCs w:val="24"/>
          <w:highlight w:val="none"/>
          <w:lang w:eastAsia="zh-CN"/>
        </w:rPr>
        <w:t>广州交易集团有限公司（广州公共资源交易中心）网站</w:t>
      </w:r>
      <w:r>
        <w:rPr>
          <w:rFonts w:hint="eastAsia" w:cs="宋体"/>
          <w:color w:val="auto"/>
          <w:sz w:val="24"/>
          <w:szCs w:val="24"/>
          <w:highlight w:val="none"/>
        </w:rPr>
        <w:t>最后发布的内容为准。</w:t>
      </w:r>
    </w:p>
    <w:p w14:paraId="19E479FE">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lang w:val="en-US" w:eastAsia="zh-CN"/>
        </w:rPr>
        <w:t xml:space="preserve">2.3.5  </w:t>
      </w:r>
      <w:r>
        <w:rPr>
          <w:rFonts w:hint="eastAsia" w:cs="宋体"/>
          <w:color w:val="auto"/>
          <w:sz w:val="24"/>
          <w:szCs w:val="24"/>
          <w:highlight w:val="none"/>
          <w:lang w:eastAsia="zh-CN"/>
        </w:rPr>
        <w:t>为使投标人在编制投标文件时有充分的时间对招标文件的澄清或修改等内容考虑进去，招标人将酌情延长提交投标文件的截止时间，具体时间将在招标文件的澄清或修改中予以明确。若澄清或修改中没有明确延长时间</w:t>
      </w:r>
      <w:r>
        <w:rPr>
          <w:rFonts w:hint="eastAsia" w:cs="宋体"/>
          <w:color w:val="auto"/>
          <w:spacing w:val="-11"/>
          <w:sz w:val="24"/>
          <w:szCs w:val="24"/>
          <w:highlight w:val="none"/>
          <w:lang w:eastAsia="zh-CN"/>
        </w:rPr>
        <w:t>，即表示投标时间不延长。</w:t>
      </w:r>
      <w:bookmarkStart w:id="38" w:name="_Toc20483"/>
    </w:p>
    <w:p w14:paraId="49C0DBC2">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u w:val="single"/>
        </w:rPr>
      </w:pPr>
      <w:r>
        <w:rPr>
          <w:rFonts w:hint="eastAsia" w:cs="宋体"/>
          <w:color w:val="auto"/>
          <w:sz w:val="24"/>
          <w:szCs w:val="24"/>
          <w:highlight w:val="none"/>
          <w:u w:val="single"/>
        </w:rPr>
        <w:t>2.4 招标文件的异议</w:t>
      </w:r>
    </w:p>
    <w:p w14:paraId="396BA548">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u w:val="single"/>
        </w:rPr>
        <w:t>投标人或者其他利害关系人对招标文件有异议的，应当在投标截止时间10日前向招标人提出，可以通过线下或线上的形式提出异议。线上提出异议的，应通过交易平台进行提交。具体按照交易平台相关指南进行操作。招标人将在收到异议之日起3日内作出答复；作出答复前，将暂停招标投标活动。</w:t>
      </w:r>
    </w:p>
    <w:p w14:paraId="438AFAEC">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3.投标文件</w:t>
      </w:r>
      <w:bookmarkEnd w:id="38"/>
    </w:p>
    <w:p w14:paraId="6B051BDE">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2" w:firstLineChars="200"/>
        <w:jc w:val="both"/>
        <w:rPr>
          <w:rFonts w:hint="eastAsia" w:cs="宋体"/>
          <w:color w:val="auto"/>
          <w:sz w:val="24"/>
          <w:szCs w:val="24"/>
          <w:highlight w:val="none"/>
        </w:rPr>
      </w:pPr>
      <w:bookmarkStart w:id="39" w:name="bookmark39"/>
      <w:bookmarkEnd w:id="39"/>
      <w:r>
        <w:rPr>
          <w:rFonts w:hint="eastAsia" w:cs="宋体"/>
          <w:b/>
          <w:bCs/>
          <w:color w:val="auto"/>
          <w:sz w:val="24"/>
          <w:szCs w:val="24"/>
          <w:highlight w:val="none"/>
          <w:u w:val="single"/>
        </w:rPr>
        <w:t>投标文件由评标部分及定标部分两部分组成，各部分文件应分别编制。</w:t>
      </w:r>
    </w:p>
    <w:p w14:paraId="307F2A3D">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highlight w:val="none"/>
        </w:rPr>
      </w:pPr>
      <w:r>
        <w:rPr>
          <w:rFonts w:hint="eastAsia" w:ascii="宋体" w:hAnsi="宋体" w:eastAsia="宋体" w:cs="宋体"/>
          <w:highlight w:val="none"/>
        </w:rPr>
        <w:t>3.1 投标文件的组成</w:t>
      </w:r>
    </w:p>
    <w:p w14:paraId="15E10AAF">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3.1.1 投标文件</w:t>
      </w:r>
      <w:r>
        <w:rPr>
          <w:rFonts w:hint="eastAsia" w:ascii="宋体" w:hAnsi="宋体" w:eastAsia="宋体" w:cs="宋体"/>
          <w:color w:val="auto"/>
          <w:sz w:val="24"/>
          <w:szCs w:val="24"/>
          <w:highlight w:val="none"/>
          <w:u w:val="single"/>
        </w:rPr>
        <w:t>（评标部分）</w:t>
      </w:r>
      <w:r>
        <w:rPr>
          <w:rFonts w:hint="eastAsia" w:ascii="宋体" w:hAnsi="宋体" w:eastAsia="宋体" w:cs="宋体"/>
          <w:color w:val="auto"/>
          <w:sz w:val="24"/>
          <w:szCs w:val="24"/>
          <w:highlight w:val="none"/>
        </w:rPr>
        <w:t>应包括下列内容：</w:t>
      </w:r>
    </w:p>
    <w:p w14:paraId="51653FE4">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（1）投标函及投标函附录；</w:t>
      </w:r>
    </w:p>
    <w:p w14:paraId="7A009202">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（2）法定代表人身份证明或授权委托书；</w:t>
      </w:r>
    </w:p>
    <w:p w14:paraId="314CCF62">
      <w:pPr>
        <w:spacing w:line="360" w:lineRule="auto"/>
        <w:ind w:firstLine="472" w:firstLineChars="200"/>
        <w:rPr>
          <w:rFonts w:hint="eastAsia" w:ascii="宋体" w:hAnsi="宋体" w:eastAsia="宋体" w:cs="宋体"/>
          <w:highlight w:val="none"/>
          <w:lang w:val="en-US" w:eastAsia="zh-CN"/>
        </w:rPr>
      </w:pPr>
      <w:r>
        <w:rPr>
          <w:rFonts w:hint="eastAsia" w:ascii="宋体" w:hAnsi="宋体" w:eastAsia="宋体" w:cs="宋体"/>
          <w:color w:val="auto"/>
          <w:spacing w:val="-2"/>
          <w:sz w:val="24"/>
          <w:highlight w:val="none"/>
          <w:u w:val="single"/>
          <w:lang w:eastAsia="zh-CN"/>
        </w:rPr>
        <w:t>（</w:t>
      </w:r>
      <w:r>
        <w:rPr>
          <w:rFonts w:hint="eastAsia" w:ascii="宋体" w:hAnsi="宋体" w:eastAsia="宋体" w:cs="宋体"/>
          <w:color w:val="auto"/>
          <w:spacing w:val="-2"/>
          <w:sz w:val="24"/>
          <w:highlight w:val="none"/>
          <w:u w:val="single"/>
          <w:lang w:val="en-US" w:eastAsia="zh-CN"/>
        </w:rPr>
        <w:t>3</w:t>
      </w:r>
      <w:r>
        <w:rPr>
          <w:rFonts w:hint="eastAsia" w:ascii="宋体" w:hAnsi="宋体" w:eastAsia="宋体" w:cs="宋体"/>
          <w:color w:val="auto"/>
          <w:spacing w:val="-2"/>
          <w:sz w:val="24"/>
          <w:highlight w:val="none"/>
          <w:u w:val="single"/>
          <w:lang w:eastAsia="zh-CN"/>
        </w:rPr>
        <w:t>）《</w:t>
      </w:r>
      <w:r>
        <w:rPr>
          <w:rFonts w:hint="eastAsia" w:ascii="宋体" w:hAnsi="宋体" w:eastAsia="宋体" w:cs="宋体"/>
          <w:color w:val="auto"/>
          <w:spacing w:val="-2"/>
          <w:sz w:val="24"/>
          <w:highlight w:val="none"/>
          <w:u w:val="single"/>
        </w:rPr>
        <w:t>关于投标保证金的承诺</w:t>
      </w:r>
      <w:r>
        <w:rPr>
          <w:rFonts w:hint="eastAsia" w:ascii="宋体" w:hAnsi="宋体" w:eastAsia="宋体" w:cs="宋体"/>
          <w:color w:val="auto"/>
          <w:spacing w:val="-2"/>
          <w:sz w:val="24"/>
          <w:highlight w:val="none"/>
          <w:u w:val="single"/>
          <w:lang w:eastAsia="zh-CN"/>
        </w:rPr>
        <w:t>》</w:t>
      </w:r>
      <w:r>
        <w:rPr>
          <w:rFonts w:hint="eastAsia" w:ascii="宋体" w:hAnsi="宋体" w:cs="宋体"/>
          <w:color w:val="auto"/>
          <w:spacing w:val="-2"/>
          <w:sz w:val="24"/>
          <w:highlight w:val="none"/>
          <w:u w:val="single"/>
          <w:lang w:val="en-US" w:eastAsia="zh-CN"/>
        </w:rPr>
        <w:t>；</w:t>
      </w:r>
    </w:p>
    <w:p w14:paraId="3107812E">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）监理报酬清单；</w:t>
      </w:r>
    </w:p>
    <w:p w14:paraId="49793BA7">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）资格审查资料；</w:t>
      </w:r>
    </w:p>
    <w:p w14:paraId="7BA6CCA3">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）监理大纲；</w:t>
      </w:r>
    </w:p>
    <w:p w14:paraId="5DD561B2">
      <w:pPr>
        <w:pStyle w:val="12"/>
        <w:pBdr>
          <w:top w:val="none" w:color="auto" w:sz="0" w:space="0"/>
          <w:left w:val="none" w:color="auto" w:sz="0" w:space="0"/>
          <w:bottom w:val="none" w:color="auto" w:sz="0" w:space="0"/>
          <w:right w:val="none" w:color="auto" w:sz="0" w:space="0"/>
          <w:between w:val="none" w:color="auto" w:sz="0" w:space="0"/>
        </w:pBdr>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b/>
          <w:bCs/>
          <w:sz w:val="24"/>
          <w:highlight w:val="none"/>
          <w:lang w:val="en-US" w:eastAsia="zh-CN"/>
        </w:rPr>
      </w:pPr>
      <w:r>
        <w:rPr>
          <w:rFonts w:hint="eastAsia" w:cs="宋体"/>
          <w:color w:val="auto"/>
          <w:sz w:val="24"/>
          <w:szCs w:val="24"/>
          <w:highlight w:val="none"/>
        </w:rPr>
        <w:t>（</w:t>
      </w:r>
      <w:r>
        <w:rPr>
          <w:rFonts w:hint="eastAsia" w:cs="宋体"/>
          <w:color w:val="auto"/>
          <w:sz w:val="24"/>
          <w:szCs w:val="24"/>
          <w:highlight w:val="none"/>
          <w:lang w:val="en-US" w:eastAsia="zh-CN"/>
        </w:rPr>
        <w:t>7</w:t>
      </w:r>
      <w:r>
        <w:rPr>
          <w:rFonts w:hint="eastAsia" w:cs="宋体"/>
          <w:color w:val="auto"/>
          <w:sz w:val="24"/>
          <w:szCs w:val="24"/>
          <w:highlight w:val="none"/>
        </w:rPr>
        <w:t>）投标人须知前附表规定的其他资料。投标人在评标过程中作出的符合法律法规和招标文件规定的澄清确认，构成投标文件的组成部分。</w:t>
      </w:r>
    </w:p>
    <w:p w14:paraId="733794D2">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strike/>
          <w:color w:val="auto"/>
          <w:sz w:val="24"/>
          <w:szCs w:val="24"/>
          <w:highlight w:val="none"/>
        </w:rPr>
      </w:pPr>
      <w:r>
        <w:rPr>
          <w:rFonts w:hint="eastAsia" w:cs="宋体"/>
          <w:strike/>
          <w:color w:val="auto"/>
          <w:sz w:val="24"/>
          <w:szCs w:val="24"/>
          <w:highlight w:val="none"/>
        </w:rPr>
        <w:t>3.1.2 投标人须知前附表规定不接受联合体投标的，或投标人没有组成联合体的，投标文件不包括本章第 3.1.1（3）目所指的联合体协议书。</w:t>
      </w:r>
    </w:p>
    <w:p w14:paraId="41D7C98C">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strike/>
          <w:color w:val="auto"/>
          <w:sz w:val="24"/>
          <w:szCs w:val="24"/>
          <w:highlight w:val="none"/>
        </w:rPr>
      </w:pPr>
      <w:r>
        <w:rPr>
          <w:rFonts w:hint="eastAsia" w:cs="宋体"/>
          <w:strike/>
          <w:color w:val="auto"/>
          <w:sz w:val="24"/>
          <w:szCs w:val="24"/>
          <w:highlight w:val="none"/>
        </w:rPr>
        <w:t>3.1.3 投标人须知前附表未要求提交投标保证金的，投标文件不包括本章第 3.1.1（4）目所指的投标保证金。</w:t>
      </w:r>
    </w:p>
    <w:p w14:paraId="677ACF3E">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u w:val="single"/>
          <w:lang w:val="en-US" w:eastAsia="zh-CN"/>
        </w:rPr>
        <w:t>3.1.2投标文件（定标部分）</w:t>
      </w:r>
      <w:r>
        <w:rPr>
          <w:rFonts w:hint="eastAsia" w:ascii="宋体" w:hAnsi="宋体" w:eastAsia="宋体" w:cs="宋体"/>
          <w:color w:val="000000"/>
          <w:sz w:val="24"/>
          <w:highlight w:val="none"/>
          <w:u w:val="single"/>
        </w:rPr>
        <w:t>应包括下列内容：</w:t>
      </w:r>
    </w:p>
    <w:p w14:paraId="674A47F5">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rFonts w:hint="eastAsia" w:ascii="宋体" w:hAnsi="宋体" w:eastAsia="宋体" w:cs="宋体"/>
          <w:color w:val="000000"/>
          <w:sz w:val="24"/>
          <w:highlight w:val="none"/>
          <w:u w:val="single"/>
          <w:lang w:val="en-US" w:eastAsia="zh-CN"/>
        </w:rPr>
      </w:pPr>
      <w:r>
        <w:rPr>
          <w:rFonts w:hint="eastAsia" w:ascii="宋体" w:hAnsi="宋体" w:eastAsia="宋体" w:cs="宋体"/>
          <w:color w:val="000000"/>
          <w:sz w:val="24"/>
          <w:highlight w:val="none"/>
          <w:u w:val="single"/>
        </w:rPr>
        <w:t>（1）</w:t>
      </w:r>
      <w:r>
        <w:rPr>
          <w:rFonts w:hint="eastAsia" w:ascii="宋体" w:hAnsi="宋体" w:eastAsia="宋体" w:cs="宋体"/>
          <w:color w:val="000000"/>
          <w:sz w:val="24"/>
          <w:highlight w:val="none"/>
          <w:u w:val="single"/>
          <w:lang w:val="en-US" w:eastAsia="zh-CN"/>
        </w:rPr>
        <w:t>投标人依据《定标因素表》提供资料</w:t>
      </w:r>
      <w:r>
        <w:rPr>
          <w:rFonts w:hint="eastAsia" w:cs="宋体"/>
          <w:color w:val="000000"/>
          <w:sz w:val="24"/>
          <w:highlight w:val="none"/>
          <w:u w:val="single"/>
          <w:lang w:val="en-US" w:eastAsia="zh-CN"/>
        </w:rPr>
        <w:t>；</w:t>
      </w:r>
    </w:p>
    <w:p w14:paraId="7B3AEA40">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eastAsia="宋体" w:cs="宋体"/>
          <w:strike/>
          <w:color w:val="auto"/>
          <w:sz w:val="24"/>
          <w:szCs w:val="24"/>
          <w:highlight w:val="none"/>
          <w:lang w:eastAsia="zh-CN"/>
        </w:rPr>
      </w:pPr>
      <w:r>
        <w:rPr>
          <w:rFonts w:hint="eastAsia" w:ascii="宋体" w:hAnsi="宋体" w:eastAsia="宋体" w:cs="宋体"/>
          <w:color w:val="000000"/>
          <w:sz w:val="24"/>
          <w:highlight w:val="none"/>
          <w:u w:val="single"/>
        </w:rPr>
        <w:t>（2）</w:t>
      </w:r>
      <w:r>
        <w:rPr>
          <w:rFonts w:hint="eastAsia" w:ascii="宋体" w:hAnsi="宋体" w:eastAsia="宋体" w:cs="宋体"/>
          <w:color w:val="auto"/>
          <w:sz w:val="24"/>
          <w:highlight w:val="none"/>
          <w:u w:val="single"/>
          <w:lang w:val="en-US" w:eastAsia="zh-CN"/>
        </w:rPr>
        <w:t>投标人认为</w:t>
      </w:r>
      <w:r>
        <w:rPr>
          <w:rFonts w:hint="eastAsia" w:ascii="宋体" w:hAnsi="宋体" w:eastAsia="宋体" w:cs="宋体"/>
          <w:color w:val="000000"/>
          <w:sz w:val="24"/>
          <w:highlight w:val="none"/>
          <w:u w:val="single"/>
        </w:rPr>
        <w:t>其他应提交的材料</w:t>
      </w:r>
      <w:r>
        <w:rPr>
          <w:rFonts w:hint="eastAsia" w:cs="宋体"/>
          <w:color w:val="000000"/>
          <w:sz w:val="24"/>
          <w:highlight w:val="none"/>
          <w:u w:val="single"/>
          <w:lang w:eastAsia="zh-CN"/>
        </w:rPr>
        <w:t>。</w:t>
      </w:r>
    </w:p>
    <w:p w14:paraId="3D976BBC">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highlight w:val="none"/>
        </w:rPr>
      </w:pPr>
      <w:bookmarkStart w:id="40" w:name="bookmark40"/>
      <w:bookmarkEnd w:id="40"/>
      <w:r>
        <w:rPr>
          <w:rFonts w:hint="eastAsia" w:ascii="宋体" w:hAnsi="宋体" w:eastAsia="宋体" w:cs="宋体"/>
          <w:highlight w:val="none"/>
        </w:rPr>
        <w:t>3.2 投标报价</w:t>
      </w:r>
    </w:p>
    <w:p w14:paraId="5B244532">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3.2.1 投标报价应包括国家规定的增值税税金，除投标人须知前附表另有规定外，增值税税金按一般计税方法计算。投标人应按第六章“投标文件格式”的要求在投标函中进行报价并填写监理报酬清单。</w:t>
      </w:r>
    </w:p>
    <w:p w14:paraId="70687652">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3.2.2 投标人应充分了解该项目的总体情况以及影响投标报价的其他要素。</w:t>
      </w:r>
    </w:p>
    <w:p w14:paraId="46FC1B26">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3.2.3 本项目的报价方式见投标人须知前附表。投标人在投标截止时间前修改投标函中的投标报价总额，应同时修改投标文件“监理报酬清单”中的相应报价。此修改须符合本章第4.3款的有关要求。</w:t>
      </w:r>
    </w:p>
    <w:p w14:paraId="19E84D8B">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3.2.4 招标人设有最高投标限价的，投标人的投标报价不得超过最高投标限价，最高投标限价在投标人须知前附表中载明。</w:t>
      </w:r>
    </w:p>
    <w:p w14:paraId="3254756A">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3.2.5 投标报价的其他要求见投标人须知前附表。</w:t>
      </w:r>
    </w:p>
    <w:p w14:paraId="3AB4E712">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highlight w:val="none"/>
        </w:rPr>
      </w:pPr>
      <w:bookmarkStart w:id="41" w:name="bookmark41"/>
      <w:bookmarkEnd w:id="41"/>
      <w:r>
        <w:rPr>
          <w:rFonts w:hint="eastAsia" w:ascii="宋体" w:hAnsi="宋体" w:eastAsia="宋体" w:cs="宋体"/>
          <w:highlight w:val="none"/>
        </w:rPr>
        <w:t>3.3 投标有效期</w:t>
      </w:r>
    </w:p>
    <w:p w14:paraId="61C93C93">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3.3.1 除投标人须知前附表另有规定外，投标有效期为</w:t>
      </w:r>
      <w:r>
        <w:rPr>
          <w:rFonts w:hint="eastAsia" w:cs="宋体"/>
          <w:color w:val="auto"/>
          <w:sz w:val="24"/>
          <w:szCs w:val="24"/>
          <w:highlight w:val="none"/>
          <w:u w:val="single"/>
        </w:rPr>
        <w:t xml:space="preserve"> </w:t>
      </w:r>
      <w:r>
        <w:rPr>
          <w:rFonts w:hint="eastAsia" w:cs="宋体"/>
          <w:color w:val="auto"/>
          <w:sz w:val="24"/>
          <w:szCs w:val="24"/>
          <w:highlight w:val="none"/>
          <w:u w:val="single"/>
          <w:lang w:val="en-US" w:eastAsia="zh-CN"/>
        </w:rPr>
        <w:t>120日历</w:t>
      </w:r>
      <w:r>
        <w:rPr>
          <w:rFonts w:hint="eastAsia" w:cs="宋体"/>
          <w:color w:val="auto"/>
          <w:sz w:val="24"/>
          <w:szCs w:val="24"/>
          <w:highlight w:val="none"/>
        </w:rPr>
        <w:t>天。</w:t>
      </w:r>
    </w:p>
    <w:p w14:paraId="69731E57">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3.3.2 在投标有效期内，投标人撤销投标文件的，应承担招标文件和法律规定的责任。</w:t>
      </w:r>
    </w:p>
    <w:p w14:paraId="14365F2B">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strike/>
          <w:color w:val="auto"/>
          <w:sz w:val="24"/>
          <w:szCs w:val="24"/>
          <w:highlight w:val="none"/>
        </w:rPr>
      </w:pPr>
      <w:r>
        <w:rPr>
          <w:rFonts w:hint="eastAsia" w:cs="宋体"/>
          <w:color w:val="auto"/>
          <w:sz w:val="24"/>
          <w:szCs w:val="24"/>
          <w:highlight w:val="none"/>
        </w:rPr>
        <w:t>3.3.3 出现特殊情况需要延长投标有效期的，招标人以书面形式通知所有投标人延长投标有效期。投标人应予以书面答复，同意延长的</w:t>
      </w:r>
      <w:r>
        <w:rPr>
          <w:rFonts w:hint="eastAsia" w:cs="宋体"/>
          <w:strike/>
          <w:color w:val="auto"/>
          <w:sz w:val="24"/>
          <w:szCs w:val="24"/>
          <w:highlight w:val="none"/>
        </w:rPr>
        <w:t>，应相应延长其投标保证金的有效期，但</w:t>
      </w:r>
      <w:r>
        <w:rPr>
          <w:rFonts w:hint="eastAsia" w:cs="宋体"/>
          <w:color w:val="auto"/>
          <w:sz w:val="24"/>
          <w:szCs w:val="24"/>
          <w:highlight w:val="none"/>
        </w:rPr>
        <w:t>不得要求 或被允许修改其投标文件；投标人拒绝延长的，其投标失效</w:t>
      </w:r>
      <w:r>
        <w:rPr>
          <w:rFonts w:hint="eastAsia" w:cs="宋体"/>
          <w:color w:val="auto"/>
          <w:sz w:val="24"/>
          <w:szCs w:val="24"/>
          <w:highlight w:val="none"/>
          <w:lang w:eastAsia="zh-CN"/>
        </w:rPr>
        <w:t>。</w:t>
      </w:r>
      <w:r>
        <w:rPr>
          <w:rFonts w:hint="eastAsia" w:cs="宋体"/>
          <w:strike/>
          <w:color w:val="auto"/>
          <w:sz w:val="24"/>
          <w:szCs w:val="24"/>
          <w:highlight w:val="none"/>
        </w:rPr>
        <w:t>但投标人有权收回其投标保证金及以现金或者支票形式递交的投标保证金的银行同期存款利息。</w:t>
      </w:r>
    </w:p>
    <w:p w14:paraId="1582D692">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highlight w:val="none"/>
        </w:rPr>
      </w:pPr>
      <w:bookmarkStart w:id="42" w:name="bookmark42"/>
      <w:bookmarkEnd w:id="42"/>
      <w:r>
        <w:rPr>
          <w:rFonts w:hint="eastAsia" w:ascii="宋体" w:hAnsi="宋体" w:eastAsia="宋体" w:cs="宋体"/>
          <w:highlight w:val="none"/>
        </w:rPr>
        <w:t>3.4  投标保证金</w:t>
      </w:r>
    </w:p>
    <w:p w14:paraId="5CD3DBA9">
      <w:pPr>
        <w:pStyle w:val="24"/>
        <w:spacing w:line="360" w:lineRule="auto"/>
        <w:ind w:left="0" w:firstLine="480" w:firstLineChars="200"/>
        <w:rPr>
          <w:rFonts w:hint="eastAsia" w:ascii="宋体" w:hAnsi="宋体" w:eastAsia="宋体" w:cs="宋体"/>
          <w:sz w:val="24"/>
          <w:highlight w:val="none"/>
          <w:u w:val="single"/>
        </w:rPr>
      </w:pPr>
      <w:r>
        <w:rPr>
          <w:rFonts w:hint="eastAsia" w:ascii="宋体" w:hAnsi="宋体" w:eastAsia="宋体" w:cs="宋体"/>
          <w:sz w:val="24"/>
          <w:szCs w:val="24"/>
          <w:highlight w:val="none"/>
          <w:u w:val="single"/>
        </w:rPr>
        <w:t>3.4.1 本项</w:t>
      </w:r>
      <w:r>
        <w:rPr>
          <w:rFonts w:hint="eastAsia" w:ascii="宋体" w:hAnsi="宋体" w:eastAsia="宋体" w:cs="宋体"/>
          <w:sz w:val="24"/>
          <w:highlight w:val="none"/>
          <w:u w:val="single"/>
        </w:rPr>
        <w:t>目免收投标保证金，投标人需提供《关于投标保证金的承诺》（</w:t>
      </w:r>
      <w:r>
        <w:rPr>
          <w:rFonts w:hint="eastAsia" w:ascii="宋体" w:hAnsi="宋体" w:eastAsia="宋体" w:cs="宋体"/>
          <w:sz w:val="24"/>
          <w:highlight w:val="none"/>
          <w:u w:val="single"/>
        </w:rPr>
        <w:t>详见第</w:t>
      </w:r>
      <w:r>
        <w:rPr>
          <w:rFonts w:hint="eastAsia" w:ascii="宋体" w:hAnsi="宋体" w:eastAsia="宋体" w:cs="宋体"/>
          <w:sz w:val="24"/>
          <w:highlight w:val="none"/>
          <w:u w:val="single"/>
          <w:lang w:eastAsia="zh-CN"/>
        </w:rPr>
        <w:t>六</w:t>
      </w:r>
      <w:r>
        <w:rPr>
          <w:rFonts w:hint="eastAsia" w:ascii="宋体" w:hAnsi="宋体" w:eastAsia="宋体" w:cs="宋体"/>
          <w:sz w:val="24"/>
          <w:highlight w:val="none"/>
          <w:u w:val="single"/>
        </w:rPr>
        <w:t>章投标文件格式）</w:t>
      </w:r>
    </w:p>
    <w:p w14:paraId="0B0902F8">
      <w:pPr>
        <w:pStyle w:val="24"/>
        <w:spacing w:line="360" w:lineRule="auto"/>
        <w:ind w:left="0"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u w:val="single"/>
          <w:lang w:val="en-US" w:eastAsia="zh-CN"/>
        </w:rPr>
        <w:t>3.4.2</w:t>
      </w:r>
      <w:r>
        <w:rPr>
          <w:rFonts w:hint="eastAsia" w:ascii="宋体" w:hAnsi="宋体" w:eastAsia="宋体" w:cs="宋体"/>
          <w:sz w:val="24"/>
          <w:highlight w:val="none"/>
          <w:u w:val="single"/>
        </w:rPr>
        <w:t>若投标人存在3.4.4条款所列情形的，需按照招标人的要求，在发现存在3.4.4条款所列情形之日起5个工作日内向招标人足额补交投标保证金。</w:t>
      </w:r>
    </w:p>
    <w:p w14:paraId="2D16B1C2">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rFonts w:hint="eastAsia" w:cs="宋体"/>
          <w:strike/>
          <w:color w:val="auto"/>
          <w:sz w:val="24"/>
          <w:szCs w:val="24"/>
          <w:highlight w:val="none"/>
        </w:rPr>
      </w:pPr>
      <w:r>
        <w:rPr>
          <w:rFonts w:hint="eastAsia" w:cs="宋体"/>
          <w:strike/>
          <w:color w:val="auto"/>
          <w:sz w:val="24"/>
          <w:szCs w:val="24"/>
          <w:highlight w:val="none"/>
        </w:rPr>
        <w:t>3.4.3 中标候选人以外的投标人的投标保证金将尽快退还，最迟不超过中标通知书发出之日起五日内</w:t>
      </w:r>
      <w:r>
        <w:rPr>
          <w:rFonts w:hint="eastAsia" w:cs="宋体"/>
          <w:strike/>
          <w:color w:val="auto"/>
          <w:sz w:val="24"/>
          <w:szCs w:val="24"/>
          <w:highlight w:val="none"/>
          <w:lang w:eastAsia="zh-CN"/>
        </w:rPr>
        <w:t>；</w:t>
      </w:r>
      <w:r>
        <w:rPr>
          <w:rFonts w:hint="eastAsia" w:cs="宋体"/>
          <w:strike/>
          <w:color w:val="auto"/>
          <w:sz w:val="24"/>
          <w:szCs w:val="24"/>
          <w:highlight w:val="none"/>
        </w:rPr>
        <w:t>中标人和其他中标候选人的投标保证金，在书面合同订立之日起五日内予以退还。</w:t>
      </w:r>
    </w:p>
    <w:p w14:paraId="1960F343">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rFonts w:hint="eastAsia" w:ascii="宋体" w:hAnsi="宋体" w:cs="宋体"/>
          <w:sz w:val="24"/>
          <w:highlight w:val="none"/>
        </w:rPr>
      </w:pPr>
      <w:r>
        <w:rPr>
          <w:rFonts w:hint="eastAsia" w:ascii="宋体" w:hAnsi="宋体" w:cs="宋体"/>
          <w:sz w:val="24"/>
          <w:highlight w:val="none"/>
        </w:rPr>
        <w:t>3.4.4 有下列情形之一的，投标保证金将不予退还：</w:t>
      </w:r>
    </w:p>
    <w:p w14:paraId="586C1AA3">
      <w:pPr>
        <w:autoSpaceDE/>
        <w:autoSpaceDN/>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3.4.4.1投标人在规定的投标有效期内撤销其投标文件；</w:t>
      </w:r>
    </w:p>
    <w:p w14:paraId="16C7861F">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highlight w:val="none"/>
        </w:rPr>
      </w:pPr>
      <w:r>
        <w:rPr>
          <w:rFonts w:hint="eastAsia" w:ascii="宋体" w:hAnsi="宋体" w:cs="宋体"/>
          <w:sz w:val="24"/>
          <w:highlight w:val="none"/>
        </w:rPr>
        <w:t>3.4.4.2</w:t>
      </w:r>
      <w:r>
        <w:rPr>
          <w:rFonts w:hint="eastAsia" w:cs="宋体"/>
          <w:color w:val="auto"/>
          <w:sz w:val="24"/>
          <w:szCs w:val="24"/>
          <w:highlight w:val="none"/>
        </w:rPr>
        <w:t>中标人在收到中标通知书后，无正当理由不与招标人订立合同，在签订合同时向招标人提出附加条件</w:t>
      </w:r>
      <w:r>
        <w:rPr>
          <w:rFonts w:hint="eastAsia" w:cs="宋体"/>
          <w:color w:val="auto"/>
          <w:sz w:val="24"/>
          <w:szCs w:val="24"/>
          <w:highlight w:val="none"/>
          <w:lang w:eastAsia="zh-CN"/>
        </w:rPr>
        <w:t>。</w:t>
      </w:r>
      <w:bookmarkStart w:id="43" w:name="bookmark44"/>
      <w:bookmarkEnd w:id="43"/>
      <w:bookmarkStart w:id="44" w:name="bookmark43"/>
      <w:bookmarkEnd w:id="44"/>
    </w:p>
    <w:p w14:paraId="708AF355">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highlight w:val="none"/>
        </w:rPr>
      </w:pPr>
      <w:r>
        <w:rPr>
          <w:rFonts w:hint="eastAsia" w:ascii="宋体" w:hAnsi="宋体" w:eastAsia="宋体" w:cs="宋体"/>
          <w:highlight w:val="none"/>
        </w:rPr>
        <w:t>3.5 资格审查资料</w:t>
      </w:r>
    </w:p>
    <w:p w14:paraId="03A92EE8">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除投标人须知前附表另有规定外，投标人应按下列规定提供资格审查资料，以证明其满足本章第 1.4 款规定的资质</w:t>
      </w:r>
      <w:r>
        <w:rPr>
          <w:rFonts w:hint="eastAsia" w:cs="宋体"/>
          <w:strike/>
          <w:color w:val="auto"/>
          <w:sz w:val="24"/>
          <w:szCs w:val="24"/>
          <w:highlight w:val="none"/>
        </w:rPr>
        <w:t>、财务、业绩、信誉</w:t>
      </w:r>
      <w:r>
        <w:rPr>
          <w:rFonts w:hint="eastAsia" w:cs="宋体"/>
          <w:color w:val="auto"/>
          <w:sz w:val="24"/>
          <w:szCs w:val="24"/>
          <w:highlight w:val="none"/>
        </w:rPr>
        <w:t>等要求。</w:t>
      </w:r>
    </w:p>
    <w:p w14:paraId="374056BE">
      <w:pPr>
        <w:spacing w:line="360" w:lineRule="auto"/>
        <w:ind w:firstLine="480" w:firstLineChars="200"/>
        <w:rPr>
          <w:rFonts w:hint="eastAsia" w:ascii="宋体" w:hAnsi="宋体" w:cs="宋体"/>
          <w:sz w:val="24"/>
          <w:szCs w:val="24"/>
          <w:highlight w:val="none"/>
        </w:rPr>
      </w:pPr>
      <w:r>
        <w:rPr>
          <w:rFonts w:hint="eastAsia" w:ascii="宋体" w:hAnsi="宋体" w:cs="宋体"/>
          <w:color w:val="auto"/>
          <w:sz w:val="24"/>
          <w:szCs w:val="24"/>
          <w:highlight w:val="none"/>
        </w:rPr>
        <w:t>3.5.1 “投标人基本情况表”应附投标人营业执照、投标人监理资质证书等材料的</w:t>
      </w:r>
      <w:r>
        <w:rPr>
          <w:rFonts w:hint="eastAsia" w:ascii="宋体" w:hAnsi="宋体" w:cs="宋体"/>
          <w:color w:val="auto"/>
          <w:sz w:val="24"/>
          <w:szCs w:val="24"/>
          <w:highlight w:val="none"/>
          <w:lang w:eastAsia="zh-CN"/>
        </w:rPr>
        <w:t>扫描件</w:t>
      </w:r>
      <w:r>
        <w:rPr>
          <w:rFonts w:hint="eastAsia" w:ascii="宋体" w:hAnsi="宋体" w:cs="宋体"/>
          <w:color w:val="auto"/>
          <w:sz w:val="24"/>
          <w:szCs w:val="24"/>
          <w:highlight w:val="none"/>
          <w:u w:val="single"/>
        </w:rPr>
        <w:t>或电子证照</w:t>
      </w:r>
      <w:r>
        <w:rPr>
          <w:rFonts w:hint="eastAsia" w:ascii="宋体" w:hAnsi="宋体" w:cs="宋体"/>
          <w:color w:val="auto"/>
          <w:sz w:val="24"/>
          <w:szCs w:val="24"/>
          <w:highlight w:val="none"/>
        </w:rPr>
        <w:t>。</w:t>
      </w:r>
    </w:p>
    <w:p w14:paraId="52699A0B">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strike/>
          <w:color w:val="auto"/>
          <w:sz w:val="24"/>
          <w:szCs w:val="24"/>
          <w:highlight w:val="none"/>
        </w:rPr>
      </w:pPr>
      <w:r>
        <w:rPr>
          <w:rFonts w:hint="eastAsia" w:cs="宋体"/>
          <w:strike w:val="0"/>
          <w:color w:val="auto"/>
          <w:sz w:val="24"/>
          <w:szCs w:val="24"/>
          <w:highlight w:val="none"/>
          <w:u w:val="single"/>
        </w:rPr>
        <w:t>3.5.</w:t>
      </w:r>
      <w:r>
        <w:rPr>
          <w:rFonts w:hint="eastAsia" w:cs="宋体"/>
          <w:strike w:val="0"/>
          <w:color w:val="auto"/>
          <w:sz w:val="24"/>
          <w:szCs w:val="24"/>
          <w:highlight w:val="none"/>
          <w:u w:val="single"/>
          <w:lang w:val="en-US" w:eastAsia="zh-CN"/>
        </w:rPr>
        <w:t>2</w:t>
      </w:r>
      <w:r>
        <w:rPr>
          <w:rFonts w:hint="eastAsia" w:cs="宋体"/>
          <w:strike w:val="0"/>
          <w:color w:val="auto"/>
          <w:sz w:val="24"/>
          <w:szCs w:val="24"/>
          <w:highlight w:val="none"/>
          <w:u w:val="single"/>
        </w:rPr>
        <w:t xml:space="preserve"> </w:t>
      </w:r>
      <w:r>
        <w:rPr>
          <w:rFonts w:hint="eastAsia" w:cs="宋体"/>
          <w:strike w:val="0"/>
          <w:color w:val="auto"/>
          <w:sz w:val="24"/>
          <w:szCs w:val="24"/>
          <w:highlight w:val="none"/>
          <w:u w:val="single"/>
          <w:lang w:val="en-US" w:eastAsia="zh-CN"/>
        </w:rPr>
        <w:t>投标人声明（格式详见第六章）</w:t>
      </w:r>
    </w:p>
    <w:p w14:paraId="7807290D">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rFonts w:hint="eastAsia" w:eastAsia="宋体" w:cs="宋体"/>
          <w:strike w:val="0"/>
          <w:color w:val="auto"/>
          <w:sz w:val="24"/>
          <w:szCs w:val="24"/>
          <w:highlight w:val="none"/>
          <w:lang w:eastAsia="zh-CN"/>
        </w:rPr>
      </w:pPr>
      <w:r>
        <w:rPr>
          <w:rFonts w:hint="eastAsia" w:cs="宋体"/>
          <w:color w:val="auto"/>
          <w:sz w:val="24"/>
          <w:szCs w:val="24"/>
          <w:highlight w:val="none"/>
        </w:rPr>
        <w:t>3.5.</w:t>
      </w:r>
      <w:r>
        <w:rPr>
          <w:rFonts w:hint="eastAsia" w:cs="宋体"/>
          <w:color w:val="auto"/>
          <w:sz w:val="24"/>
          <w:szCs w:val="24"/>
          <w:highlight w:val="none"/>
          <w:lang w:val="en-US" w:eastAsia="zh-CN"/>
        </w:rPr>
        <w:t>3</w:t>
      </w:r>
      <w:r>
        <w:rPr>
          <w:rFonts w:hint="eastAsia" w:cs="宋体"/>
          <w:color w:val="auto"/>
          <w:sz w:val="24"/>
          <w:szCs w:val="24"/>
          <w:highlight w:val="none"/>
        </w:rPr>
        <w:t xml:space="preserve"> “拟委任的主要人员汇总表”应填报满足本章第 1.4.1 项规定的总监理工程师和其他主要人员的相关信息。“主要人员简历表”中总监理工程师应附身份证、学历证、职称证、注册监理工程师执业证书和</w:t>
      </w:r>
      <w:r>
        <w:rPr>
          <w:rFonts w:hint="eastAsia" w:ascii="宋体" w:hAnsi="宋体" w:cs="宋体"/>
          <w:sz w:val="24"/>
          <w:szCs w:val="24"/>
          <w:highlight w:val="none"/>
          <w:u w:val="single"/>
        </w:rPr>
        <w:t>社保证明文件</w:t>
      </w:r>
      <w:r>
        <w:rPr>
          <w:rFonts w:hint="eastAsia" w:cs="宋体"/>
          <w:strike/>
          <w:color w:val="auto"/>
          <w:sz w:val="24"/>
          <w:szCs w:val="24"/>
          <w:highlight w:val="none"/>
        </w:rPr>
        <w:t>，管理过的项目业绩须附合同协议书</w:t>
      </w:r>
      <w:r>
        <w:rPr>
          <w:rFonts w:hint="eastAsia" w:cs="宋体"/>
          <w:strike/>
          <w:color w:val="auto"/>
          <w:sz w:val="24"/>
          <w:szCs w:val="24"/>
          <w:highlight w:val="none"/>
          <w:lang w:eastAsia="zh-CN"/>
        </w:rPr>
        <w:t>（若有）</w:t>
      </w:r>
      <w:r>
        <w:rPr>
          <w:rFonts w:hint="eastAsia" w:cs="宋体"/>
          <w:color w:val="auto"/>
          <w:sz w:val="24"/>
          <w:szCs w:val="24"/>
          <w:highlight w:val="none"/>
        </w:rPr>
        <w:t>；其他主要人员应附身份证、学历证、职称证、有关证书和</w:t>
      </w:r>
      <w:r>
        <w:rPr>
          <w:rFonts w:hint="eastAsia" w:ascii="宋体" w:hAnsi="宋体" w:cs="宋体"/>
          <w:sz w:val="24"/>
          <w:szCs w:val="24"/>
          <w:highlight w:val="none"/>
          <w:u w:val="single"/>
        </w:rPr>
        <w:t>社保证明文件</w:t>
      </w:r>
      <w:r>
        <w:rPr>
          <w:rFonts w:hint="eastAsia" w:cs="宋体"/>
          <w:color w:val="auto"/>
          <w:sz w:val="24"/>
          <w:szCs w:val="24"/>
          <w:highlight w:val="none"/>
        </w:rPr>
        <w:t>。</w:t>
      </w:r>
      <w:r>
        <w:rPr>
          <w:rFonts w:hint="eastAsia" w:cs="宋体"/>
          <w:strike w:val="0"/>
          <w:color w:val="auto"/>
          <w:sz w:val="24"/>
          <w:szCs w:val="24"/>
          <w:highlight w:val="none"/>
          <w:lang w:eastAsia="zh-CN"/>
        </w:rPr>
        <w:t>（注:以上人员社保要求详见投标人须知前附表10.4项。）</w:t>
      </w:r>
    </w:p>
    <w:p w14:paraId="7D10AE5F">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rFonts w:hint="eastAsia" w:cs="宋体"/>
          <w:strike/>
          <w:color w:val="auto"/>
          <w:sz w:val="24"/>
          <w:szCs w:val="24"/>
          <w:highlight w:val="none"/>
        </w:rPr>
      </w:pPr>
      <w:r>
        <w:rPr>
          <w:rFonts w:hint="eastAsia" w:cs="宋体"/>
          <w:strike/>
          <w:color w:val="auto"/>
          <w:sz w:val="24"/>
          <w:szCs w:val="24"/>
          <w:highlight w:val="none"/>
        </w:rPr>
        <w:t>3.5.</w:t>
      </w:r>
      <w:r>
        <w:rPr>
          <w:rFonts w:hint="eastAsia" w:cs="宋体"/>
          <w:strike/>
          <w:color w:val="auto"/>
          <w:sz w:val="24"/>
          <w:szCs w:val="24"/>
          <w:highlight w:val="none"/>
          <w:lang w:val="en-US" w:eastAsia="zh-CN"/>
        </w:rPr>
        <w:t>4</w:t>
      </w:r>
      <w:r>
        <w:rPr>
          <w:rFonts w:hint="eastAsia" w:cs="宋体"/>
          <w:strike/>
          <w:color w:val="auto"/>
          <w:sz w:val="24"/>
          <w:szCs w:val="24"/>
          <w:highlight w:val="none"/>
        </w:rPr>
        <w:t xml:space="preserve"> 投标人须知前附表规定接受联合体投标的，本章第3.5.1 项至第3.5.</w:t>
      </w:r>
      <w:r>
        <w:rPr>
          <w:rFonts w:hint="eastAsia" w:cs="宋体"/>
          <w:strike/>
          <w:color w:val="auto"/>
          <w:sz w:val="24"/>
          <w:szCs w:val="24"/>
          <w:highlight w:val="none"/>
          <w:lang w:val="en-US" w:eastAsia="zh-CN"/>
        </w:rPr>
        <w:t>3</w:t>
      </w:r>
      <w:r>
        <w:rPr>
          <w:rFonts w:hint="eastAsia" w:cs="宋体"/>
          <w:strike/>
          <w:color w:val="auto"/>
          <w:sz w:val="24"/>
          <w:szCs w:val="24"/>
          <w:highlight w:val="none"/>
        </w:rPr>
        <w:t>项规定的表格和资料应包括联合体各方相关情况。</w:t>
      </w:r>
    </w:p>
    <w:p w14:paraId="4CAA8476">
      <w:pPr>
        <w:pStyle w:val="12"/>
        <w:pBdr>
          <w:top w:val="none" w:color="auto" w:sz="0" w:space="0"/>
          <w:left w:val="none" w:color="auto" w:sz="0" w:space="0"/>
          <w:bottom w:val="none" w:color="auto" w:sz="0" w:space="0"/>
          <w:right w:val="none" w:color="auto" w:sz="0" w:space="0"/>
          <w:between w:val="none" w:color="auto" w:sz="0" w:space="0"/>
        </w:pBdr>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strike/>
          <w:color w:val="auto"/>
          <w:sz w:val="24"/>
          <w:szCs w:val="24"/>
          <w:highlight w:val="none"/>
          <w:u w:val="single"/>
        </w:rPr>
      </w:pPr>
      <w:r>
        <w:rPr>
          <w:rFonts w:hint="eastAsia" w:cs="宋体"/>
          <w:strike w:val="0"/>
          <w:color w:val="auto"/>
          <w:sz w:val="24"/>
          <w:szCs w:val="24"/>
          <w:highlight w:val="none"/>
          <w:u w:val="single"/>
          <w:lang w:val="en-US" w:eastAsia="zh-CN"/>
        </w:rPr>
        <w:t>3.5.4资审要求的其他材料。</w:t>
      </w:r>
    </w:p>
    <w:p w14:paraId="34A8BC73">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highlight w:val="none"/>
        </w:rPr>
      </w:pPr>
      <w:bookmarkStart w:id="45" w:name="bookmark45"/>
      <w:bookmarkEnd w:id="45"/>
      <w:r>
        <w:rPr>
          <w:rFonts w:hint="eastAsia" w:ascii="宋体" w:hAnsi="宋体" w:eastAsia="宋体" w:cs="宋体"/>
          <w:highlight w:val="none"/>
        </w:rPr>
        <w:t>3.6 备选投标方案</w:t>
      </w:r>
    </w:p>
    <w:p w14:paraId="145A98B3">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3.6.1 除投标人须知前附表规定允许外，投标人不得递交备选投标方案，否则其投标将被否决。</w:t>
      </w:r>
    </w:p>
    <w:p w14:paraId="7B033911">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14:paraId="1C694326">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3.6.3 投标人提供两个或两个以上投标报价，或者在投标文件中提供一个报价，但同时提供两个或两个以上监理方案的，视为提供备选方案。</w:t>
      </w:r>
    </w:p>
    <w:p w14:paraId="57B9BBC4">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highlight w:val="none"/>
        </w:rPr>
      </w:pPr>
      <w:bookmarkStart w:id="46" w:name="bookmark46"/>
      <w:bookmarkEnd w:id="46"/>
      <w:r>
        <w:rPr>
          <w:rFonts w:hint="eastAsia" w:ascii="宋体" w:hAnsi="宋体" w:eastAsia="宋体" w:cs="宋体"/>
          <w:highlight w:val="none"/>
        </w:rPr>
        <w:t>3.7 投标文件的编制</w:t>
      </w:r>
    </w:p>
    <w:p w14:paraId="4124C56F">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3.7.1</w:t>
      </w:r>
      <w:r>
        <w:rPr>
          <w:rFonts w:hint="eastAsia" w:cs="宋体"/>
          <w:color w:val="auto"/>
          <w:sz w:val="24"/>
          <w:szCs w:val="24"/>
          <w:highlight w:val="none"/>
          <w:lang w:val="en-US" w:eastAsia="zh-CN"/>
        </w:rPr>
        <w:t xml:space="preserve"> </w:t>
      </w:r>
      <w:r>
        <w:rPr>
          <w:rFonts w:hint="eastAsia" w:cs="宋体"/>
          <w:color w:val="auto"/>
          <w:sz w:val="24"/>
          <w:szCs w:val="24"/>
          <w:highlight w:val="none"/>
        </w:rPr>
        <w:t xml:space="preserve"> 投标文件应按第六章“投标文件格式”进行编写， 如有必要，可以增加附页， 作为投标文件的组成部分。其中，投标函附录在满足招标文件实质性要求的基础上，可以提出比招标文件要求更有利于招标人的承诺。</w:t>
      </w:r>
    </w:p>
    <w:p w14:paraId="4AE03651">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3.7.2  投标文件应当对招标文件有关监理服务期限、投标有效期、委托人要求、招标范围等实质性内容作出响应。</w:t>
      </w:r>
    </w:p>
    <w:p w14:paraId="3021A10A">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3.</w:t>
      </w:r>
      <w:r>
        <w:rPr>
          <w:rFonts w:hint="eastAsia" w:cs="宋体"/>
          <w:color w:val="auto"/>
          <w:sz w:val="24"/>
          <w:szCs w:val="24"/>
          <w:highlight w:val="none"/>
          <w:lang w:val="en-US" w:eastAsia="zh-CN"/>
        </w:rPr>
        <w:t>7</w:t>
      </w:r>
      <w:r>
        <w:rPr>
          <w:rFonts w:hint="eastAsia" w:cs="宋体"/>
          <w:color w:val="auto"/>
          <w:sz w:val="24"/>
          <w:szCs w:val="24"/>
          <w:highlight w:val="none"/>
        </w:rPr>
        <w:t>.</w:t>
      </w:r>
      <w:r>
        <w:rPr>
          <w:rFonts w:hint="eastAsia" w:cs="宋体"/>
          <w:color w:val="auto"/>
          <w:sz w:val="24"/>
          <w:szCs w:val="24"/>
          <w:highlight w:val="none"/>
          <w:lang w:val="en-US" w:eastAsia="zh-CN"/>
        </w:rPr>
        <w:t xml:space="preserve">3  </w:t>
      </w:r>
      <w:r>
        <w:rPr>
          <w:rFonts w:hint="eastAsia" w:cs="宋体"/>
          <w:color w:val="auto"/>
          <w:sz w:val="24"/>
          <w:szCs w:val="24"/>
          <w:highlight w:val="none"/>
        </w:rPr>
        <w:t>投标文件全部采用电子文档，投标文件所附证书证件均为原件扫描件</w:t>
      </w:r>
      <w:r>
        <w:rPr>
          <w:rFonts w:hint="eastAsia" w:cs="宋体"/>
          <w:color w:val="auto"/>
          <w:sz w:val="24"/>
          <w:szCs w:val="24"/>
          <w:highlight w:val="none"/>
          <w:lang w:eastAsia="zh-CN"/>
        </w:rPr>
        <w:t>或电子证书</w:t>
      </w:r>
      <w:r>
        <w:rPr>
          <w:rFonts w:hint="eastAsia" w:cs="宋体"/>
          <w:color w:val="auto"/>
          <w:sz w:val="24"/>
          <w:szCs w:val="24"/>
          <w:highlight w:val="none"/>
        </w:rPr>
        <w:t>，并采用单位数字证书，按招标文件要求在相应位置加盖电子印章。投标文件中需个人签字或盖章的，应加盖个人电子印章或在线下完成后扫描上传</w:t>
      </w:r>
      <w:r>
        <w:rPr>
          <w:rFonts w:hint="eastAsia" w:cs="宋体"/>
          <w:color w:val="auto"/>
          <w:kern w:val="2"/>
          <w:sz w:val="24"/>
          <w:szCs w:val="24"/>
          <w:highlight w:val="none"/>
          <w:lang w:val="en-US" w:eastAsia="zh-CN"/>
        </w:rPr>
        <w:t>（</w:t>
      </w:r>
      <w:r>
        <w:rPr>
          <w:rFonts w:hint="eastAsia" w:ascii="宋体" w:hAnsi="宋体" w:eastAsia="宋体" w:cs="宋体"/>
          <w:color w:val="auto"/>
          <w:kern w:val="2"/>
          <w:sz w:val="24"/>
          <w:szCs w:val="24"/>
          <w:highlight w:val="none"/>
          <w:lang w:val="en-US" w:eastAsia="zh-CN" w:bidi="ar-SA"/>
        </w:rPr>
        <w:t>可靠的电子签名与手写签名或者盖章具有同等的法律效力</w:t>
      </w:r>
      <w:r>
        <w:rPr>
          <w:rFonts w:hint="eastAsia" w:cs="宋体"/>
          <w:color w:val="auto"/>
          <w:kern w:val="2"/>
          <w:sz w:val="24"/>
          <w:szCs w:val="24"/>
          <w:highlight w:val="none"/>
          <w:lang w:val="en-US" w:eastAsia="zh-CN"/>
        </w:rPr>
        <w:t>）</w:t>
      </w:r>
      <w:r>
        <w:rPr>
          <w:rFonts w:hint="eastAsia" w:cs="宋体"/>
          <w:color w:val="auto"/>
          <w:sz w:val="24"/>
          <w:szCs w:val="24"/>
          <w:highlight w:val="none"/>
        </w:rPr>
        <w:t>。按照</w:t>
      </w:r>
      <w:r>
        <w:rPr>
          <w:rFonts w:hint="eastAsia" w:cs="宋体"/>
          <w:color w:val="auto"/>
          <w:sz w:val="24"/>
          <w:szCs w:val="24"/>
          <w:highlight w:val="none"/>
          <w:lang w:eastAsia="zh-CN"/>
        </w:rPr>
        <w:t>广州交易集团有限公司（广州公共资源交易中心）网站关于全流程电子化项目的相关指南进行操作</w:t>
      </w:r>
      <w:r>
        <w:rPr>
          <w:rFonts w:hint="eastAsia" w:cs="宋体"/>
          <w:color w:val="auto"/>
          <w:sz w:val="24"/>
          <w:szCs w:val="24"/>
          <w:highlight w:val="none"/>
        </w:rPr>
        <w:t>。</w:t>
      </w:r>
    </w:p>
    <w:p w14:paraId="314A88BA">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strike/>
          <w:color w:val="auto"/>
          <w:sz w:val="24"/>
          <w:szCs w:val="24"/>
          <w:highlight w:val="none"/>
        </w:rPr>
      </w:pPr>
      <w:r>
        <w:rPr>
          <w:rFonts w:hint="eastAsia" w:cs="宋体"/>
          <w:strike/>
          <w:color w:val="auto"/>
          <w:sz w:val="24"/>
          <w:szCs w:val="24"/>
          <w:highlight w:val="none"/>
        </w:rPr>
        <w:t>3.</w:t>
      </w:r>
      <w:r>
        <w:rPr>
          <w:rFonts w:hint="eastAsia" w:cs="宋体"/>
          <w:strike/>
          <w:color w:val="auto"/>
          <w:sz w:val="24"/>
          <w:szCs w:val="24"/>
          <w:highlight w:val="none"/>
          <w:lang w:val="en-US" w:eastAsia="zh-CN"/>
        </w:rPr>
        <w:t>7</w:t>
      </w:r>
      <w:r>
        <w:rPr>
          <w:rFonts w:hint="eastAsia" w:cs="宋体"/>
          <w:strike/>
          <w:color w:val="auto"/>
          <w:sz w:val="24"/>
          <w:szCs w:val="24"/>
          <w:highlight w:val="none"/>
        </w:rPr>
        <w:t>.</w:t>
      </w:r>
      <w:r>
        <w:rPr>
          <w:rFonts w:hint="eastAsia" w:cs="宋体"/>
          <w:strike/>
          <w:color w:val="auto"/>
          <w:sz w:val="24"/>
          <w:szCs w:val="24"/>
          <w:highlight w:val="none"/>
          <w:lang w:val="en-US" w:eastAsia="zh-CN"/>
        </w:rPr>
        <w:t xml:space="preserve">4  </w:t>
      </w:r>
      <w:r>
        <w:rPr>
          <w:rFonts w:hint="eastAsia" w:cs="宋体"/>
          <w:strike/>
          <w:color w:val="auto"/>
          <w:sz w:val="24"/>
          <w:szCs w:val="24"/>
          <w:highlight w:val="none"/>
        </w:rPr>
        <w:t>联合体投标时，</w:t>
      </w:r>
      <w:r>
        <w:rPr>
          <w:rFonts w:hint="eastAsia" w:cs="宋体"/>
          <w:strike/>
          <w:color w:val="auto"/>
          <w:sz w:val="24"/>
          <w:szCs w:val="24"/>
          <w:highlight w:val="none"/>
          <w:lang w:eastAsia="zh-CN"/>
        </w:rPr>
        <w:t>投标人封面及其他内容落款中的“投标人”应填写联合体各方的单位全称【格式为：（主）XXXX公司（成）XXXX公司】。除</w:t>
      </w:r>
      <w:r>
        <w:rPr>
          <w:rFonts w:hint="eastAsia" w:cs="宋体"/>
          <w:strike/>
          <w:color w:val="auto"/>
          <w:sz w:val="24"/>
          <w:szCs w:val="24"/>
          <w:highlight w:val="none"/>
        </w:rPr>
        <w:t>联合体共同投标协议需联合体各方按要求共同盖章签字，其余可由联合体</w:t>
      </w:r>
      <w:r>
        <w:rPr>
          <w:rFonts w:hint="eastAsia" w:cs="宋体"/>
          <w:strike/>
          <w:color w:val="auto"/>
          <w:sz w:val="24"/>
          <w:szCs w:val="24"/>
          <w:highlight w:val="none"/>
          <w:lang w:eastAsia="zh-CN"/>
        </w:rPr>
        <w:t>主办方</w:t>
      </w:r>
      <w:r>
        <w:rPr>
          <w:rFonts w:hint="eastAsia" w:cs="宋体"/>
          <w:strike/>
          <w:color w:val="auto"/>
          <w:sz w:val="24"/>
          <w:szCs w:val="24"/>
          <w:highlight w:val="none"/>
        </w:rPr>
        <w:t>签字、盖章即可，由联合体</w:t>
      </w:r>
      <w:r>
        <w:rPr>
          <w:rFonts w:hint="eastAsia" w:cs="宋体"/>
          <w:strike/>
          <w:color w:val="auto"/>
          <w:sz w:val="24"/>
          <w:szCs w:val="24"/>
          <w:highlight w:val="none"/>
          <w:lang w:eastAsia="zh-CN"/>
        </w:rPr>
        <w:t>主办方</w:t>
      </w:r>
      <w:r>
        <w:rPr>
          <w:rFonts w:hint="eastAsia" w:cs="宋体"/>
          <w:strike/>
          <w:color w:val="auto"/>
          <w:sz w:val="24"/>
          <w:szCs w:val="24"/>
          <w:highlight w:val="none"/>
        </w:rPr>
        <w:t>法人签字的电子投标文件需提供</w:t>
      </w:r>
      <w:r>
        <w:rPr>
          <w:rFonts w:hint="eastAsia" w:cs="宋体"/>
          <w:strike/>
          <w:color w:val="auto"/>
          <w:sz w:val="24"/>
          <w:szCs w:val="24"/>
          <w:highlight w:val="none"/>
          <w:lang w:eastAsia="zh-CN"/>
        </w:rPr>
        <w:t>主办方</w:t>
      </w:r>
      <w:r>
        <w:rPr>
          <w:rFonts w:hint="eastAsia" w:cs="宋体"/>
          <w:strike/>
          <w:color w:val="auto"/>
          <w:sz w:val="24"/>
          <w:szCs w:val="24"/>
          <w:highlight w:val="none"/>
        </w:rPr>
        <w:t>法定代表人证明书，若由联合体</w:t>
      </w:r>
      <w:r>
        <w:rPr>
          <w:rFonts w:hint="eastAsia" w:cs="宋体"/>
          <w:strike/>
          <w:color w:val="auto"/>
          <w:sz w:val="24"/>
          <w:szCs w:val="24"/>
          <w:highlight w:val="none"/>
          <w:lang w:eastAsia="zh-CN"/>
        </w:rPr>
        <w:t>主办方</w:t>
      </w:r>
      <w:r>
        <w:rPr>
          <w:rFonts w:hint="eastAsia" w:cs="宋体"/>
          <w:strike/>
          <w:color w:val="auto"/>
          <w:sz w:val="24"/>
          <w:szCs w:val="24"/>
          <w:highlight w:val="none"/>
        </w:rPr>
        <w:t>法定代表人授权签字的电子投标文件需提供法定代表人证明书及其授权委托书、授权委托人身份证</w:t>
      </w:r>
      <w:r>
        <w:rPr>
          <w:rFonts w:hint="eastAsia" w:cs="宋体"/>
          <w:strike/>
          <w:color w:val="auto"/>
          <w:sz w:val="24"/>
          <w:szCs w:val="24"/>
          <w:highlight w:val="none"/>
          <w:lang w:eastAsia="zh-CN"/>
        </w:rPr>
        <w:t>扫描</w:t>
      </w:r>
      <w:r>
        <w:rPr>
          <w:rFonts w:hint="eastAsia" w:cs="宋体"/>
          <w:strike/>
          <w:color w:val="auto"/>
          <w:sz w:val="24"/>
          <w:szCs w:val="24"/>
          <w:highlight w:val="none"/>
        </w:rPr>
        <w:t>件。</w:t>
      </w:r>
    </w:p>
    <w:p w14:paraId="70769998">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lang w:eastAsia="zh-CN"/>
        </w:rPr>
      </w:pPr>
      <w:r>
        <w:rPr>
          <w:rFonts w:hint="eastAsia" w:cs="宋体"/>
          <w:color w:val="auto"/>
          <w:sz w:val="24"/>
          <w:szCs w:val="24"/>
          <w:highlight w:val="none"/>
          <w:lang w:eastAsia="zh-CN"/>
        </w:rPr>
        <w:t>3.</w:t>
      </w:r>
      <w:r>
        <w:rPr>
          <w:rFonts w:hint="eastAsia" w:cs="宋体"/>
          <w:color w:val="auto"/>
          <w:sz w:val="24"/>
          <w:szCs w:val="24"/>
          <w:highlight w:val="none"/>
          <w:lang w:val="en-US" w:eastAsia="zh-CN"/>
        </w:rPr>
        <w:t>7</w:t>
      </w:r>
      <w:r>
        <w:rPr>
          <w:rFonts w:hint="eastAsia" w:cs="宋体"/>
          <w:color w:val="auto"/>
          <w:sz w:val="24"/>
          <w:szCs w:val="24"/>
          <w:highlight w:val="none"/>
          <w:lang w:eastAsia="zh-CN"/>
        </w:rPr>
        <w:t>.</w:t>
      </w:r>
      <w:r>
        <w:rPr>
          <w:rFonts w:hint="eastAsia" w:cs="宋体"/>
          <w:color w:val="auto"/>
          <w:sz w:val="24"/>
          <w:szCs w:val="24"/>
          <w:highlight w:val="none"/>
          <w:lang w:val="en-US" w:eastAsia="zh-CN"/>
        </w:rPr>
        <w:t xml:space="preserve">5  </w:t>
      </w:r>
      <w:r>
        <w:rPr>
          <w:rFonts w:hint="eastAsia" w:cs="宋体"/>
          <w:color w:val="auto"/>
          <w:sz w:val="24"/>
          <w:szCs w:val="24"/>
          <w:highlight w:val="none"/>
          <w:lang w:eastAsia="zh-CN"/>
        </w:rPr>
        <w:t>投标文件应按照广州交易集团有限公司（广州公共资源交易中心）网站关于全流程电子化项目的相关指南进行编制。如因不按上述编排要求编制而所引起系统无法检索、读取相关信息时，其后果将由投标人自行承担。</w:t>
      </w:r>
    </w:p>
    <w:p w14:paraId="7EB7F485">
      <w:pPr>
        <w:pStyle w:val="4"/>
        <w:outlineLvl w:val="1"/>
        <w:rPr>
          <w:rFonts w:hint="eastAsia" w:cs="宋体"/>
          <w:color w:val="auto"/>
          <w:sz w:val="24"/>
          <w:szCs w:val="24"/>
          <w:highlight w:val="none"/>
        </w:rPr>
      </w:pPr>
      <w:bookmarkStart w:id="47" w:name="bookmark47"/>
      <w:bookmarkEnd w:id="47"/>
      <w:bookmarkStart w:id="48" w:name="_Toc18372"/>
      <w:r>
        <w:rPr>
          <w:rFonts w:hint="eastAsia" w:cs="宋体"/>
          <w:color w:val="auto"/>
          <w:sz w:val="24"/>
          <w:szCs w:val="24"/>
          <w:highlight w:val="none"/>
        </w:rPr>
        <w:t>4.投标</w:t>
      </w:r>
      <w:bookmarkEnd w:id="48"/>
    </w:p>
    <w:p w14:paraId="24D0B385">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highlight w:val="none"/>
          <w:lang w:val="en-US" w:eastAsia="zh-CN"/>
        </w:rPr>
      </w:pPr>
      <w:bookmarkStart w:id="49" w:name="bookmark48"/>
      <w:bookmarkEnd w:id="49"/>
      <w:r>
        <w:rPr>
          <w:rFonts w:hint="eastAsia" w:ascii="宋体" w:hAnsi="宋体" w:eastAsia="宋体" w:cs="宋体"/>
          <w:highlight w:val="none"/>
        </w:rPr>
        <w:t>4.1  投标文件的</w:t>
      </w:r>
      <w:r>
        <w:rPr>
          <w:rFonts w:hint="eastAsia" w:ascii="宋体" w:hAnsi="宋体" w:eastAsia="宋体" w:cs="宋体"/>
          <w:highlight w:val="none"/>
          <w:lang w:val="en-US" w:eastAsia="zh-CN"/>
        </w:rPr>
        <w:t>加密</w:t>
      </w:r>
    </w:p>
    <w:p w14:paraId="77FEED5E">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bookmarkStart w:id="50" w:name="bookmark49"/>
      <w:bookmarkEnd w:id="50"/>
      <w:r>
        <w:rPr>
          <w:rFonts w:hint="eastAsia" w:cs="宋体"/>
          <w:color w:val="auto"/>
          <w:sz w:val="24"/>
          <w:szCs w:val="24"/>
          <w:highlight w:val="none"/>
        </w:rPr>
        <w:t xml:space="preserve">4.1.1 </w:t>
      </w:r>
      <w:r>
        <w:rPr>
          <w:rFonts w:hint="eastAsia" w:cs="宋体"/>
          <w:color w:val="auto"/>
          <w:sz w:val="24"/>
          <w:szCs w:val="24"/>
          <w:highlight w:val="none"/>
          <w:lang w:val="en-US" w:eastAsia="zh-CN"/>
        </w:rPr>
        <w:t xml:space="preserve"> </w:t>
      </w:r>
      <w:r>
        <w:rPr>
          <w:rFonts w:hint="eastAsia" w:cs="宋体"/>
          <w:color w:val="auto"/>
          <w:sz w:val="24"/>
          <w:szCs w:val="24"/>
          <w:highlight w:val="none"/>
        </w:rPr>
        <w:t>递交的电子投标文件（不含备用光盘）必须进行加密。按照</w:t>
      </w:r>
      <w:r>
        <w:rPr>
          <w:rFonts w:hint="eastAsia" w:cs="宋体"/>
          <w:color w:val="auto"/>
          <w:sz w:val="24"/>
          <w:szCs w:val="24"/>
          <w:highlight w:val="none"/>
          <w:lang w:eastAsia="zh-CN"/>
        </w:rPr>
        <w:t>广州交易集团有限公司（广州公共资源交易中心）网站</w:t>
      </w:r>
      <w:r>
        <w:rPr>
          <w:rFonts w:hint="eastAsia" w:cs="宋体"/>
          <w:color w:val="auto"/>
          <w:sz w:val="24"/>
          <w:szCs w:val="24"/>
          <w:highlight w:val="none"/>
        </w:rPr>
        <w:t>关于全流程电子化项目的相关指南进行操作。</w:t>
      </w:r>
    </w:p>
    <w:p w14:paraId="7C8AA06D">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4.1.2  未按要求加密的投标文件，</w:t>
      </w:r>
      <w:r>
        <w:rPr>
          <w:rFonts w:hint="eastAsia" w:cs="宋体"/>
          <w:color w:val="auto"/>
          <w:sz w:val="24"/>
          <w:szCs w:val="24"/>
          <w:highlight w:val="none"/>
          <w:lang w:eastAsia="zh-CN"/>
        </w:rPr>
        <w:t>广州交易集团有限公司（广州公共资源交易中心）网站交易</w:t>
      </w:r>
      <w:r>
        <w:rPr>
          <w:rFonts w:hint="eastAsia" w:cs="宋体"/>
          <w:color w:val="auto"/>
          <w:sz w:val="24"/>
          <w:szCs w:val="24"/>
          <w:highlight w:val="none"/>
        </w:rPr>
        <w:t>平台将予以拒收。</w:t>
      </w:r>
    </w:p>
    <w:p w14:paraId="785B9AE7">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highlight w:val="none"/>
        </w:rPr>
      </w:pPr>
      <w:r>
        <w:rPr>
          <w:rFonts w:hint="eastAsia" w:ascii="宋体" w:hAnsi="宋体" w:eastAsia="宋体" w:cs="宋体"/>
          <w:highlight w:val="none"/>
        </w:rPr>
        <w:t>4.2  投标文件的递交</w:t>
      </w:r>
    </w:p>
    <w:p w14:paraId="581C886A">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bookmarkStart w:id="51" w:name="bookmark50"/>
      <w:bookmarkEnd w:id="51"/>
      <w:r>
        <w:rPr>
          <w:rFonts w:hint="eastAsia" w:cs="宋体"/>
          <w:color w:val="auto"/>
          <w:sz w:val="24"/>
          <w:szCs w:val="24"/>
          <w:highlight w:val="none"/>
        </w:rPr>
        <w:t>4.2.1</w:t>
      </w:r>
      <w:r>
        <w:rPr>
          <w:rFonts w:hint="eastAsia" w:cs="宋体"/>
          <w:color w:val="auto"/>
          <w:sz w:val="24"/>
          <w:szCs w:val="24"/>
          <w:highlight w:val="none"/>
          <w:lang w:val="en-US" w:eastAsia="zh-CN"/>
        </w:rPr>
        <w:t xml:space="preserve">  </w:t>
      </w:r>
      <w:r>
        <w:rPr>
          <w:rFonts w:hint="eastAsia" w:cs="宋体"/>
          <w:color w:val="auto"/>
          <w:sz w:val="24"/>
          <w:szCs w:val="24"/>
          <w:highlight w:val="none"/>
        </w:rPr>
        <w:t>投标人</w:t>
      </w:r>
      <w:r>
        <w:rPr>
          <w:rFonts w:hint="eastAsia" w:cs="宋体"/>
          <w:color w:val="auto"/>
          <w:sz w:val="24"/>
          <w:szCs w:val="24"/>
          <w:highlight w:val="none"/>
          <w:lang w:eastAsia="zh-CN"/>
        </w:rPr>
        <w:t>应在投标人须知前附表规定的投标截止时间前，</w:t>
      </w:r>
      <w:r>
        <w:rPr>
          <w:rFonts w:hint="eastAsia" w:cs="宋体"/>
          <w:color w:val="auto"/>
          <w:sz w:val="24"/>
          <w:szCs w:val="24"/>
          <w:highlight w:val="none"/>
        </w:rPr>
        <w:t>通过</w:t>
      </w:r>
      <w:r>
        <w:rPr>
          <w:rFonts w:hint="eastAsia" w:cs="宋体"/>
          <w:color w:val="auto"/>
          <w:sz w:val="24"/>
          <w:szCs w:val="24"/>
          <w:highlight w:val="none"/>
          <w:lang w:eastAsia="zh-CN"/>
        </w:rPr>
        <w:t>广州交易集团有限公司（广州公共资源交易中心）网站</w:t>
      </w:r>
      <w:r>
        <w:rPr>
          <w:rFonts w:hint="eastAsia" w:cs="宋体"/>
          <w:color w:val="auto"/>
          <w:sz w:val="24"/>
          <w:szCs w:val="24"/>
          <w:highlight w:val="none"/>
        </w:rPr>
        <w:t>交易平台递交电子投标文件。</w:t>
      </w:r>
    </w:p>
    <w:p w14:paraId="0372E213">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4.2.2</w:t>
      </w:r>
      <w:r>
        <w:rPr>
          <w:rFonts w:hint="eastAsia" w:cs="宋体"/>
          <w:color w:val="auto"/>
          <w:sz w:val="24"/>
          <w:szCs w:val="24"/>
          <w:highlight w:val="none"/>
          <w:lang w:val="en-US" w:eastAsia="zh-CN"/>
        </w:rPr>
        <w:t xml:space="preserve">  </w:t>
      </w:r>
      <w:r>
        <w:rPr>
          <w:rFonts w:hint="eastAsia" w:cs="宋体"/>
          <w:color w:val="auto"/>
          <w:sz w:val="24"/>
          <w:szCs w:val="24"/>
          <w:highlight w:val="none"/>
        </w:rPr>
        <w:t>投标人完成电子投标文件上传后，</w:t>
      </w:r>
      <w:r>
        <w:rPr>
          <w:rFonts w:hint="eastAsia" w:cs="宋体"/>
          <w:color w:val="auto"/>
          <w:sz w:val="24"/>
          <w:szCs w:val="24"/>
          <w:highlight w:val="none"/>
          <w:lang w:eastAsia="zh-CN"/>
        </w:rPr>
        <w:t>广州交易集团有限公司（广州公共资源交易中心）网站</w:t>
      </w:r>
      <w:r>
        <w:rPr>
          <w:rFonts w:hint="eastAsia" w:cs="宋体"/>
          <w:color w:val="auto"/>
          <w:sz w:val="24"/>
          <w:szCs w:val="24"/>
          <w:highlight w:val="none"/>
        </w:rPr>
        <w:t>交易平台即时向投标人发出递交回执通知。递交时间以递交回执通知载明的传输完成时间为准。</w:t>
      </w:r>
    </w:p>
    <w:p w14:paraId="014F61E0">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4.2.3</w:t>
      </w:r>
      <w:r>
        <w:rPr>
          <w:rFonts w:hint="eastAsia" w:cs="宋体"/>
          <w:color w:val="auto"/>
          <w:sz w:val="24"/>
          <w:szCs w:val="24"/>
          <w:highlight w:val="none"/>
          <w:lang w:val="en-US" w:eastAsia="zh-CN"/>
        </w:rPr>
        <w:t xml:space="preserve">  </w:t>
      </w:r>
      <w:r>
        <w:rPr>
          <w:rFonts w:hint="eastAsia" w:cs="宋体"/>
          <w:color w:val="auto"/>
          <w:sz w:val="24"/>
          <w:szCs w:val="24"/>
          <w:highlight w:val="none"/>
        </w:rPr>
        <w:t>逾期送达的电子投标文件，</w:t>
      </w:r>
      <w:r>
        <w:rPr>
          <w:rFonts w:hint="eastAsia" w:cs="宋体"/>
          <w:color w:val="auto"/>
          <w:sz w:val="24"/>
          <w:szCs w:val="24"/>
          <w:highlight w:val="none"/>
          <w:lang w:eastAsia="zh-CN"/>
        </w:rPr>
        <w:t>广州交易集团有限公司（广州公共资源交易中心）网站</w:t>
      </w:r>
      <w:r>
        <w:rPr>
          <w:rFonts w:hint="eastAsia" w:cs="宋体"/>
          <w:color w:val="auto"/>
          <w:sz w:val="24"/>
          <w:szCs w:val="24"/>
          <w:highlight w:val="none"/>
        </w:rPr>
        <w:t>交易平台将予以拒收。</w:t>
      </w:r>
    </w:p>
    <w:p w14:paraId="2C03DFFC">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lang w:eastAsia="zh-CN"/>
        </w:rPr>
      </w:pPr>
      <w:r>
        <w:rPr>
          <w:rFonts w:hint="eastAsia" w:cs="宋体"/>
          <w:color w:val="auto"/>
          <w:sz w:val="24"/>
          <w:szCs w:val="24"/>
          <w:highlight w:val="none"/>
        </w:rPr>
        <w:t xml:space="preserve">4.2.4 </w:t>
      </w:r>
      <w:r>
        <w:rPr>
          <w:rFonts w:hint="eastAsia" w:cs="宋体"/>
          <w:color w:val="auto"/>
          <w:sz w:val="24"/>
          <w:szCs w:val="24"/>
          <w:highlight w:val="none"/>
          <w:lang w:val="en-US" w:eastAsia="zh-CN"/>
        </w:rPr>
        <w:t xml:space="preserve"> </w:t>
      </w:r>
      <w:r>
        <w:rPr>
          <w:rFonts w:hint="eastAsia" w:cs="宋体"/>
          <w:color w:val="auto"/>
          <w:sz w:val="24"/>
          <w:szCs w:val="24"/>
          <w:highlight w:val="none"/>
        </w:rPr>
        <w:t>投标截止前，招标人拒绝接收符合条件的投标文件，投标人可向招标监督机构投诉</w:t>
      </w:r>
      <w:r>
        <w:rPr>
          <w:rFonts w:hint="eastAsia" w:cs="宋体"/>
          <w:color w:val="auto"/>
          <w:sz w:val="24"/>
          <w:szCs w:val="24"/>
          <w:highlight w:val="none"/>
          <w:lang w:eastAsia="zh-CN"/>
        </w:rPr>
        <w:t>。</w:t>
      </w:r>
      <w:bookmarkStart w:id="52" w:name="_bookmark83"/>
      <w:bookmarkEnd w:id="52"/>
    </w:p>
    <w:p w14:paraId="1515D40C">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highlight w:val="none"/>
        </w:rPr>
      </w:pPr>
      <w:r>
        <w:rPr>
          <w:rFonts w:hint="eastAsia" w:ascii="宋体" w:hAnsi="宋体" w:eastAsia="宋体" w:cs="宋体"/>
          <w:highlight w:val="none"/>
        </w:rPr>
        <w:t>4.3  投标文件的修改与撤回</w:t>
      </w:r>
    </w:p>
    <w:p w14:paraId="21528436">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4.3.1  在规定的投标截止时间前， 投标人可以修改或撤回已递交的投标文件， 但应以书面形式通知招标人。</w:t>
      </w:r>
    </w:p>
    <w:p w14:paraId="696BF760">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4.3.2  投标人修改或撤回已递交投标文件</w:t>
      </w:r>
      <w:r>
        <w:rPr>
          <w:rFonts w:hint="eastAsia" w:cs="宋体"/>
          <w:color w:val="auto"/>
          <w:sz w:val="24"/>
          <w:szCs w:val="24"/>
          <w:highlight w:val="none"/>
          <w:lang w:val="en-US" w:eastAsia="zh-CN"/>
        </w:rPr>
        <w:t>,</w:t>
      </w:r>
      <w:r>
        <w:rPr>
          <w:rFonts w:hint="eastAsia" w:cs="宋体"/>
          <w:color w:val="auto"/>
          <w:sz w:val="24"/>
          <w:szCs w:val="24"/>
          <w:highlight w:val="none"/>
          <w:lang w:eastAsia="zh-CN"/>
        </w:rPr>
        <w:t>需在交易平台发出修改或撤回通知，并按要求加盖电子印章</w:t>
      </w:r>
      <w:r>
        <w:rPr>
          <w:rFonts w:hint="eastAsia" w:cs="宋体"/>
          <w:color w:val="auto"/>
          <w:sz w:val="24"/>
          <w:szCs w:val="24"/>
          <w:highlight w:val="none"/>
        </w:rPr>
        <w:t>。电子招标投标交易平台收到通知后，即时向投标人发出确认回执通知。</w:t>
      </w:r>
    </w:p>
    <w:p w14:paraId="16E95E7C">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 xml:space="preserve">4.3.3 </w:t>
      </w:r>
      <w:r>
        <w:rPr>
          <w:rFonts w:hint="eastAsia" w:cs="宋体"/>
          <w:color w:val="auto"/>
          <w:sz w:val="24"/>
          <w:szCs w:val="24"/>
          <w:highlight w:val="none"/>
          <w:lang w:val="en-US" w:eastAsia="zh-CN"/>
        </w:rPr>
        <w:t xml:space="preserve"> </w:t>
      </w:r>
      <w:r>
        <w:rPr>
          <w:rFonts w:hint="eastAsia" w:cs="宋体"/>
          <w:color w:val="auto"/>
          <w:sz w:val="24"/>
          <w:szCs w:val="24"/>
          <w:highlight w:val="none"/>
          <w:lang w:eastAsia="zh-CN"/>
        </w:rPr>
        <w:t>修改后再次递交的，按</w:t>
      </w:r>
      <w:r>
        <w:rPr>
          <w:rFonts w:hint="eastAsia" w:cs="宋体"/>
          <w:color w:val="auto"/>
          <w:sz w:val="24"/>
          <w:szCs w:val="24"/>
          <w:highlight w:val="none"/>
          <w:lang w:val="en-US" w:eastAsia="zh-CN"/>
        </w:rPr>
        <w:t>本章</w:t>
      </w:r>
      <w:r>
        <w:rPr>
          <w:rFonts w:hint="eastAsia" w:cs="宋体"/>
          <w:color w:val="auto"/>
          <w:sz w:val="24"/>
          <w:szCs w:val="24"/>
          <w:highlight w:val="none"/>
          <w:lang w:eastAsia="zh-CN"/>
        </w:rPr>
        <w:t>第</w:t>
      </w:r>
      <w:r>
        <w:rPr>
          <w:rFonts w:hint="eastAsia" w:cs="宋体"/>
          <w:color w:val="auto"/>
          <w:sz w:val="24"/>
          <w:szCs w:val="24"/>
          <w:highlight w:val="none"/>
          <w:lang w:val="en-US" w:eastAsia="zh-CN"/>
        </w:rPr>
        <w:t>4.2项的规定执行</w:t>
      </w:r>
      <w:r>
        <w:rPr>
          <w:rFonts w:hint="eastAsia" w:cs="宋体"/>
          <w:color w:val="auto"/>
          <w:sz w:val="24"/>
          <w:szCs w:val="24"/>
          <w:highlight w:val="none"/>
        </w:rPr>
        <w:t>。</w:t>
      </w:r>
    </w:p>
    <w:p w14:paraId="1396C69A">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lang w:eastAsia="zh-CN"/>
        </w:rPr>
      </w:pPr>
      <w:r>
        <w:rPr>
          <w:rFonts w:hint="eastAsia" w:cs="宋体"/>
          <w:color w:val="auto"/>
          <w:sz w:val="24"/>
          <w:szCs w:val="24"/>
          <w:highlight w:val="none"/>
        </w:rPr>
        <w:t>4.3.</w:t>
      </w:r>
      <w:r>
        <w:rPr>
          <w:rFonts w:hint="eastAsia" w:cs="宋体"/>
          <w:color w:val="auto"/>
          <w:sz w:val="24"/>
          <w:szCs w:val="24"/>
          <w:highlight w:val="none"/>
          <w:lang w:val="en-US" w:eastAsia="zh-CN"/>
        </w:rPr>
        <w:t>4</w:t>
      </w:r>
      <w:r>
        <w:rPr>
          <w:rFonts w:hint="eastAsia" w:cs="宋体"/>
          <w:color w:val="auto"/>
          <w:sz w:val="24"/>
          <w:szCs w:val="24"/>
          <w:highlight w:val="none"/>
        </w:rPr>
        <w:t xml:space="preserve"> </w:t>
      </w:r>
      <w:r>
        <w:rPr>
          <w:rFonts w:hint="eastAsia" w:cs="宋体"/>
          <w:color w:val="auto"/>
          <w:sz w:val="24"/>
          <w:szCs w:val="24"/>
          <w:highlight w:val="none"/>
          <w:lang w:eastAsia="zh-CN"/>
        </w:rPr>
        <w:t xml:space="preserve"> 在投标截止时间之后，投标人不得补充、修改和更换投标文件。</w:t>
      </w:r>
    </w:p>
    <w:p w14:paraId="3A0E3BAA">
      <w:pPr>
        <w:pStyle w:val="4"/>
        <w:outlineLvl w:val="1"/>
        <w:rPr>
          <w:rFonts w:hint="eastAsia" w:cs="宋体"/>
          <w:color w:val="auto"/>
          <w:sz w:val="24"/>
          <w:szCs w:val="24"/>
          <w:highlight w:val="none"/>
        </w:rPr>
      </w:pPr>
      <w:bookmarkStart w:id="53" w:name="bookmark51"/>
      <w:bookmarkEnd w:id="53"/>
      <w:bookmarkStart w:id="54" w:name="_Toc19841"/>
      <w:r>
        <w:rPr>
          <w:rFonts w:hint="eastAsia" w:cs="宋体"/>
          <w:color w:val="auto"/>
          <w:sz w:val="24"/>
          <w:szCs w:val="24"/>
          <w:highlight w:val="none"/>
        </w:rPr>
        <w:t>5.开标</w:t>
      </w:r>
      <w:bookmarkEnd w:id="54"/>
    </w:p>
    <w:p w14:paraId="321688ED">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highlight w:val="none"/>
        </w:rPr>
      </w:pPr>
      <w:bookmarkStart w:id="55" w:name="bookmark53"/>
      <w:bookmarkEnd w:id="55"/>
      <w:bookmarkStart w:id="56" w:name="bookmark52"/>
      <w:bookmarkEnd w:id="56"/>
      <w:r>
        <w:rPr>
          <w:rFonts w:hint="eastAsia" w:ascii="宋体" w:hAnsi="宋体" w:eastAsia="宋体" w:cs="宋体"/>
          <w:highlight w:val="none"/>
        </w:rPr>
        <w:t>5.1 开标时间和地点</w:t>
      </w:r>
    </w:p>
    <w:p w14:paraId="0A70E0E5">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lang w:eastAsia="zh-CN"/>
        </w:rPr>
      </w:pPr>
      <w:bookmarkStart w:id="57" w:name="bookmark54"/>
      <w:bookmarkEnd w:id="57"/>
      <w:r>
        <w:rPr>
          <w:rFonts w:hint="eastAsia" w:cs="宋体"/>
          <w:color w:val="auto"/>
          <w:sz w:val="24"/>
          <w:szCs w:val="24"/>
          <w:highlight w:val="none"/>
          <w:lang w:val="en-US" w:eastAsia="zh-CN"/>
        </w:rPr>
        <w:t xml:space="preserve">5.1.1  </w:t>
      </w:r>
      <w:r>
        <w:rPr>
          <w:rFonts w:hint="eastAsia" w:cs="宋体"/>
          <w:color w:val="auto"/>
          <w:sz w:val="24"/>
          <w:szCs w:val="24"/>
          <w:highlight w:val="none"/>
          <w:lang w:eastAsia="zh-CN"/>
        </w:rPr>
        <w:t>招标人按投标须知前附表规定的时间和地点公开开标。截标后，开标开始时间因故推迟的，相关评标信息仍以原定的开标开始时间的信息为准。</w:t>
      </w:r>
    </w:p>
    <w:p w14:paraId="3ED66988">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lang w:eastAsia="zh-CN"/>
        </w:rPr>
      </w:pPr>
      <w:r>
        <w:rPr>
          <w:rFonts w:hint="eastAsia" w:cs="宋体"/>
          <w:color w:val="auto"/>
          <w:sz w:val="24"/>
          <w:szCs w:val="24"/>
          <w:highlight w:val="none"/>
          <w:lang w:val="en-US" w:eastAsia="zh-CN"/>
        </w:rPr>
        <w:t xml:space="preserve">5.1.2  </w:t>
      </w:r>
      <w:r>
        <w:rPr>
          <w:rFonts w:hint="eastAsia" w:cs="宋体"/>
          <w:color w:val="auto"/>
          <w:sz w:val="24"/>
          <w:szCs w:val="24"/>
          <w:highlight w:val="none"/>
          <w:lang w:eastAsia="zh-CN"/>
        </w:rPr>
        <w:t>开标方式采用电子开标和现场开标两种模式，投标人可选择在开标室参与开标或准时在线参加开标，也可不参加开标。参加在线开标的投标人登录交易平台实时查看开标、唱标情况。交易平台生成开标记录并向社会公众公布。</w:t>
      </w:r>
    </w:p>
    <w:p w14:paraId="353BA1FE">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highlight w:val="none"/>
        </w:rPr>
      </w:pPr>
      <w:r>
        <w:rPr>
          <w:rFonts w:hint="eastAsia" w:ascii="宋体" w:hAnsi="宋体" w:eastAsia="宋体" w:cs="宋体"/>
          <w:highlight w:val="none"/>
        </w:rPr>
        <w:t>5.2 开标程序</w:t>
      </w:r>
    </w:p>
    <w:p w14:paraId="0BE8890F">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lang w:val="en-US" w:eastAsia="zh-CN"/>
        </w:rPr>
      </w:pPr>
      <w:bookmarkStart w:id="58" w:name="bookmark55"/>
      <w:bookmarkEnd w:id="58"/>
      <w:r>
        <w:rPr>
          <w:rFonts w:hint="eastAsia" w:cs="宋体"/>
          <w:color w:val="auto"/>
          <w:sz w:val="24"/>
          <w:szCs w:val="24"/>
          <w:highlight w:val="none"/>
          <w:lang w:val="en-US" w:eastAsia="zh-CN"/>
        </w:rPr>
        <w:t>5.2.1   在投标截止时间后</w:t>
      </w:r>
      <w:r>
        <w:rPr>
          <w:rFonts w:hint="eastAsia" w:cs="宋体"/>
          <w:color w:val="auto"/>
          <w:sz w:val="24"/>
          <w:szCs w:val="24"/>
          <w:highlight w:val="none"/>
          <w:u w:val="single"/>
          <w:lang w:val="en-US" w:eastAsia="zh-CN"/>
        </w:rPr>
        <w:t>半小时</w:t>
      </w:r>
      <w:r>
        <w:rPr>
          <w:rFonts w:hint="eastAsia" w:cs="宋体"/>
          <w:color w:val="auto"/>
          <w:sz w:val="24"/>
          <w:szCs w:val="24"/>
          <w:highlight w:val="none"/>
          <w:lang w:val="en-US" w:eastAsia="zh-CN"/>
        </w:rPr>
        <w:t>内，投标人通过递交投标文件的交易平台对已递交的电子投标文件进行解密。投标人完成解密后，再由招标人进行解密。解密完成后，公布招标项目名称、投标人名称、</w:t>
      </w:r>
      <w:r>
        <w:rPr>
          <w:rFonts w:hint="eastAsia" w:cs="宋体"/>
          <w:strike/>
          <w:color w:val="auto"/>
          <w:sz w:val="24"/>
          <w:szCs w:val="24"/>
          <w:highlight w:val="none"/>
          <w:lang w:val="en-US" w:eastAsia="zh-CN"/>
        </w:rPr>
        <w:t>投标保证金的递交情况、</w:t>
      </w:r>
      <w:r>
        <w:rPr>
          <w:rFonts w:hint="eastAsia" w:cs="宋体"/>
          <w:color w:val="auto"/>
          <w:sz w:val="24"/>
          <w:szCs w:val="24"/>
          <w:highlight w:val="none"/>
          <w:lang w:val="en-US" w:eastAsia="zh-CN"/>
        </w:rPr>
        <w:t>投标报价、拟派总监理工程师及其他内容。未在规定时间内解密的投标文件不参与开标、评标。</w:t>
      </w:r>
    </w:p>
    <w:p w14:paraId="091D7EFE">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lang w:val="en-US" w:eastAsia="zh-CN"/>
        </w:rPr>
      </w:pPr>
      <w:r>
        <w:rPr>
          <w:rFonts w:hint="eastAsia" w:cs="宋体"/>
          <w:color w:val="auto"/>
          <w:sz w:val="24"/>
          <w:szCs w:val="24"/>
          <w:highlight w:val="none"/>
          <w:lang w:val="en-US" w:eastAsia="zh-CN"/>
        </w:rPr>
        <w:t>5.2.2  按开标记录表规定的内容进行唱标。</w:t>
      </w:r>
    </w:p>
    <w:p w14:paraId="121FB854">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lang w:val="en-US" w:eastAsia="zh-CN"/>
        </w:rPr>
      </w:pPr>
      <w:r>
        <w:rPr>
          <w:rFonts w:hint="eastAsia" w:cs="宋体"/>
          <w:color w:val="auto"/>
          <w:sz w:val="24"/>
          <w:szCs w:val="24"/>
          <w:highlight w:val="none"/>
          <w:lang w:val="en-US" w:eastAsia="zh-CN"/>
        </w:rPr>
        <w:t>5.2.3  投标人代表、招标人代表、监标人、记录人等有关人员在开标记录上签字确认；若有关人员不签字的，不影响开标程序。</w:t>
      </w:r>
    </w:p>
    <w:p w14:paraId="0AB480EF">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lang w:val="en-US" w:eastAsia="zh-CN"/>
        </w:rPr>
      </w:pPr>
      <w:r>
        <w:rPr>
          <w:rFonts w:hint="eastAsia" w:cs="宋体"/>
          <w:color w:val="auto"/>
          <w:sz w:val="24"/>
          <w:szCs w:val="24"/>
          <w:highlight w:val="none"/>
          <w:lang w:val="en-US" w:eastAsia="zh-CN"/>
        </w:rPr>
        <w:t>5.2.4  开标结束。</w:t>
      </w:r>
    </w:p>
    <w:p w14:paraId="3832A820">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lang w:val="en-US" w:eastAsia="zh-CN"/>
        </w:rPr>
      </w:pPr>
      <w:r>
        <w:rPr>
          <w:rFonts w:hint="eastAsia" w:cs="宋体"/>
          <w:color w:val="auto"/>
          <w:sz w:val="24"/>
          <w:szCs w:val="24"/>
          <w:highlight w:val="none"/>
          <w:lang w:val="en-US" w:eastAsia="zh-CN"/>
        </w:rPr>
        <w:t>5.2.5  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14:paraId="0B361CCB">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lang w:val="en-US" w:eastAsia="zh-CN"/>
        </w:rPr>
      </w:pPr>
      <w:r>
        <w:rPr>
          <w:rFonts w:hint="eastAsia" w:cs="宋体"/>
          <w:color w:val="auto"/>
          <w:sz w:val="24"/>
          <w:szCs w:val="24"/>
          <w:highlight w:val="none"/>
          <w:lang w:val="en-US" w:eastAsia="zh-CN"/>
        </w:rPr>
        <w:t>5.2.6  开标时，两个（含两个）以上的投标人加密打包投标文件电脑机器特征码一致的，不参与下一程序，并由评标委员会否决其投标。</w:t>
      </w:r>
    </w:p>
    <w:p w14:paraId="7F5EA418">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highlight w:val="none"/>
        </w:rPr>
      </w:pPr>
      <w:r>
        <w:rPr>
          <w:rFonts w:hint="eastAsia" w:ascii="宋体" w:hAnsi="宋体" w:eastAsia="宋体" w:cs="宋体"/>
          <w:highlight w:val="none"/>
        </w:rPr>
        <w:t>5.3 开标异议</w:t>
      </w:r>
    </w:p>
    <w:p w14:paraId="5A05C690">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lang w:val="en-US" w:eastAsia="zh-CN"/>
        </w:rPr>
      </w:pPr>
      <w:r>
        <w:rPr>
          <w:rFonts w:hint="eastAsia" w:cs="宋体"/>
          <w:color w:val="auto"/>
          <w:sz w:val="24"/>
          <w:szCs w:val="24"/>
          <w:highlight w:val="none"/>
          <w:lang w:val="en-US" w:eastAsia="zh-CN"/>
        </w:rPr>
        <w:t xml:space="preserve">5.3.1 </w:t>
      </w:r>
      <w:r>
        <w:rPr>
          <w:rFonts w:hint="eastAsia" w:cs="宋体"/>
          <w:color w:val="auto"/>
          <w:sz w:val="24"/>
          <w:szCs w:val="24"/>
          <w:highlight w:val="none"/>
          <w:u w:val="single"/>
          <w:lang w:val="en-US" w:eastAsia="zh-CN"/>
        </w:rPr>
        <w:t>若投标人代表对开标过程有异议的，参加现场开标的，</w:t>
      </w:r>
      <w:r>
        <w:rPr>
          <w:rFonts w:hint="eastAsia" w:cs="宋体"/>
          <w:color w:val="auto"/>
          <w:sz w:val="24"/>
          <w:szCs w:val="24"/>
          <w:highlight w:val="none"/>
          <w:lang w:val="en-US" w:eastAsia="zh-CN"/>
        </w:rPr>
        <w:t>应当在开标现场提出，同时出示本人身份证原件，招标人应当当场作出答复，并制作记录。</w:t>
      </w:r>
    </w:p>
    <w:p w14:paraId="1923D084">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lang w:val="en-US" w:eastAsia="zh-CN"/>
        </w:rPr>
      </w:pPr>
      <w:r>
        <w:rPr>
          <w:rFonts w:hint="eastAsia" w:cs="宋体"/>
          <w:color w:val="auto"/>
          <w:sz w:val="24"/>
          <w:szCs w:val="24"/>
          <w:highlight w:val="none"/>
          <w:lang w:val="en-US" w:eastAsia="zh-CN"/>
        </w:rPr>
        <w:t>5.3.2  参加在线开标的投标人对开标结果有异议的，应当在唱标结束后的规定时间内、使用单位数字证书登录交易平台后通过交易平台提出。招标人授权招标代理机构工作人员使用招标代理机构数字证书登录交易平台答复异议，异议 答复是招标人真实意思表示。未答复的，开标程序不得结束。</w:t>
      </w:r>
    </w:p>
    <w:p w14:paraId="236F2BB8">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lang w:val="en-US" w:eastAsia="zh-CN"/>
        </w:rPr>
      </w:pPr>
      <w:r>
        <w:rPr>
          <w:rFonts w:hint="eastAsia" w:cs="宋体"/>
          <w:color w:val="auto"/>
          <w:sz w:val="24"/>
          <w:szCs w:val="24"/>
          <w:highlight w:val="none"/>
          <w:lang w:val="en-US" w:eastAsia="zh-CN"/>
        </w:rPr>
        <w:t>5.3.3  投标人未参加开标或在规定的时间内未提出异议的，视为对开标无异议。</w:t>
      </w:r>
    </w:p>
    <w:p w14:paraId="7C5FF43C">
      <w:pPr>
        <w:pStyle w:val="4"/>
        <w:outlineLvl w:val="1"/>
        <w:rPr>
          <w:rFonts w:hint="eastAsia" w:ascii="宋体" w:hAnsi="宋体" w:eastAsia="宋体" w:cs="宋体"/>
          <w:b w:val="0"/>
          <w:color w:val="auto"/>
          <w:sz w:val="30"/>
          <w:szCs w:val="24"/>
          <w:highlight w:val="none"/>
        </w:rPr>
      </w:pPr>
      <w:bookmarkStart w:id="59" w:name="bookmark56"/>
      <w:bookmarkEnd w:id="59"/>
      <w:bookmarkStart w:id="60" w:name="_Toc27326"/>
      <w:r>
        <w:rPr>
          <w:rFonts w:hint="eastAsia" w:cs="宋体"/>
          <w:color w:val="auto"/>
          <w:sz w:val="24"/>
          <w:szCs w:val="24"/>
          <w:highlight w:val="none"/>
        </w:rPr>
        <w:t>6.评标</w:t>
      </w:r>
      <w:bookmarkEnd w:id="60"/>
    </w:p>
    <w:p w14:paraId="353CBAFD">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highlight w:val="none"/>
        </w:rPr>
      </w:pPr>
      <w:bookmarkStart w:id="61" w:name="bookmark57"/>
      <w:bookmarkEnd w:id="61"/>
      <w:r>
        <w:rPr>
          <w:rFonts w:hint="eastAsia" w:ascii="宋体" w:hAnsi="宋体" w:eastAsia="宋体" w:cs="宋体"/>
          <w:highlight w:val="none"/>
        </w:rPr>
        <w:t>6.1 评标委员会</w:t>
      </w:r>
    </w:p>
    <w:p w14:paraId="7BBF7385">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6.1.1 评标由招标人依法组建的评标委员会负责。评标委员会由有关技术、经济等方面的专家和招标人代表组成，专家</w:t>
      </w:r>
      <w:r>
        <w:rPr>
          <w:rFonts w:hint="eastAsia" w:cs="宋体"/>
          <w:color w:val="auto"/>
          <w:sz w:val="24"/>
          <w:szCs w:val="24"/>
          <w:highlight w:val="none"/>
          <w:lang w:eastAsia="zh-CN"/>
        </w:rPr>
        <w:t>从</w:t>
      </w:r>
      <w:r>
        <w:rPr>
          <w:rFonts w:hint="eastAsia" w:cs="宋体"/>
          <w:color w:val="auto"/>
          <w:sz w:val="24"/>
          <w:szCs w:val="24"/>
          <w:highlight w:val="none"/>
          <w:u w:val="single"/>
          <w:lang w:eastAsia="zh-CN"/>
        </w:rPr>
        <w:t>广东省综合评标评审</w:t>
      </w:r>
      <w:r>
        <w:rPr>
          <w:rFonts w:hint="eastAsia" w:cs="宋体"/>
          <w:color w:val="auto"/>
          <w:sz w:val="24"/>
          <w:szCs w:val="24"/>
          <w:highlight w:val="none"/>
          <w:u w:val="single"/>
        </w:rPr>
        <w:t>专家库</w:t>
      </w:r>
      <w:r>
        <w:rPr>
          <w:rFonts w:hint="eastAsia" w:cs="宋体"/>
          <w:color w:val="auto"/>
          <w:sz w:val="24"/>
          <w:szCs w:val="24"/>
          <w:highlight w:val="none"/>
        </w:rPr>
        <w:t>中抽取。评标委员会成员人数以及技术、经济等方面专家的确定方式见投标人须知前附表。</w:t>
      </w:r>
    </w:p>
    <w:p w14:paraId="6DF2E9EF">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6.1.2 评标委员会成员有下列情形之一的，应当回避：</w:t>
      </w:r>
    </w:p>
    <w:p w14:paraId="3C93789D">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（1）投标人或投标人主要负责人的近亲属；</w:t>
      </w:r>
    </w:p>
    <w:p w14:paraId="54D8B525">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（2）项目主管部门或者行政监督部门的人员；</w:t>
      </w:r>
    </w:p>
    <w:p w14:paraId="05B490D6">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（3）招标人或投标人的工作人员、退休或离职未满3年的人员；</w:t>
      </w:r>
    </w:p>
    <w:p w14:paraId="7BE977A9">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w:t>
      </w:r>
      <w:r>
        <w:rPr>
          <w:rFonts w:hint="eastAsia" w:cs="宋体"/>
          <w:color w:val="auto"/>
          <w:sz w:val="24"/>
          <w:szCs w:val="24"/>
          <w:highlight w:val="none"/>
          <w:lang w:val="en-US" w:eastAsia="zh-CN"/>
        </w:rPr>
        <w:t>4</w:t>
      </w:r>
      <w:r>
        <w:rPr>
          <w:rFonts w:hint="eastAsia" w:cs="宋体"/>
          <w:color w:val="auto"/>
          <w:sz w:val="24"/>
          <w:szCs w:val="24"/>
          <w:highlight w:val="none"/>
        </w:rPr>
        <w:t>）与投标人有经济利益关系，可能影响对投标公正评审的；</w:t>
      </w:r>
    </w:p>
    <w:p w14:paraId="64F56B9E">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w:t>
      </w:r>
      <w:r>
        <w:rPr>
          <w:rFonts w:hint="eastAsia" w:cs="宋体"/>
          <w:color w:val="auto"/>
          <w:sz w:val="24"/>
          <w:szCs w:val="24"/>
          <w:highlight w:val="none"/>
          <w:lang w:val="en-US" w:eastAsia="zh-CN"/>
        </w:rPr>
        <w:t>5</w:t>
      </w:r>
      <w:r>
        <w:rPr>
          <w:rFonts w:hint="eastAsia" w:cs="宋体"/>
          <w:color w:val="auto"/>
          <w:sz w:val="24"/>
          <w:szCs w:val="24"/>
          <w:highlight w:val="none"/>
        </w:rPr>
        <w:t>）曾因在招标、评标以及其他与招标投标有关活动中从事违法行为而受过行政处罚或刑事处罚的；</w:t>
      </w:r>
    </w:p>
    <w:p w14:paraId="28AA4372">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w:t>
      </w:r>
      <w:r>
        <w:rPr>
          <w:rFonts w:hint="eastAsia" w:cs="宋体"/>
          <w:color w:val="auto"/>
          <w:sz w:val="24"/>
          <w:szCs w:val="24"/>
          <w:highlight w:val="none"/>
          <w:lang w:val="en-US" w:eastAsia="zh-CN"/>
        </w:rPr>
        <w:t>6</w:t>
      </w:r>
      <w:r>
        <w:rPr>
          <w:rFonts w:hint="eastAsia" w:cs="宋体"/>
          <w:color w:val="auto"/>
          <w:sz w:val="24"/>
          <w:szCs w:val="24"/>
          <w:highlight w:val="none"/>
        </w:rPr>
        <w:t>）与投标人有其他利害关系。</w:t>
      </w:r>
    </w:p>
    <w:p w14:paraId="24CD3744">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6.1.3 评标过程中，评标委员会成员有回避事由、擅离职守或者因健康等原因不能继续评标的，招标人有权更换。被更换的评标委员会成员作出的评审结论无效，由更换后的评标委员会成员重新进行评审。</w:t>
      </w:r>
    </w:p>
    <w:p w14:paraId="0484B558">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highlight w:val="none"/>
        </w:rPr>
      </w:pPr>
      <w:bookmarkStart w:id="62" w:name="bookmark58"/>
      <w:bookmarkEnd w:id="62"/>
      <w:r>
        <w:rPr>
          <w:rFonts w:hint="eastAsia" w:ascii="宋体" w:hAnsi="宋体" w:eastAsia="宋体" w:cs="宋体"/>
          <w:highlight w:val="none"/>
        </w:rPr>
        <w:t>6.2 评标原则</w:t>
      </w:r>
    </w:p>
    <w:p w14:paraId="65ADFD1B">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评标活动遵循公平、公正、科学和择优的原则。</w:t>
      </w:r>
    </w:p>
    <w:p w14:paraId="543DB483">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highlight w:val="none"/>
        </w:rPr>
      </w:pPr>
      <w:bookmarkStart w:id="63" w:name="bookmark59"/>
      <w:bookmarkEnd w:id="63"/>
      <w:r>
        <w:rPr>
          <w:rFonts w:hint="eastAsia" w:ascii="宋体" w:hAnsi="宋体" w:eastAsia="宋体" w:cs="宋体"/>
          <w:highlight w:val="none"/>
        </w:rPr>
        <w:t>6.3 评标</w:t>
      </w:r>
    </w:p>
    <w:p w14:paraId="19CE551E">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6.3.1 评标委员会按照第三章“评标</w:t>
      </w:r>
      <w:r>
        <w:rPr>
          <w:rFonts w:hint="eastAsia" w:cs="宋体"/>
          <w:color w:val="auto"/>
          <w:sz w:val="24"/>
          <w:szCs w:val="24"/>
          <w:highlight w:val="none"/>
          <w:u w:val="single"/>
          <w:lang w:eastAsia="zh-CN"/>
        </w:rPr>
        <w:t>、定标</w:t>
      </w:r>
      <w:r>
        <w:rPr>
          <w:rFonts w:hint="eastAsia" w:cs="宋体"/>
          <w:color w:val="auto"/>
          <w:sz w:val="24"/>
          <w:szCs w:val="24"/>
          <w:highlight w:val="none"/>
        </w:rPr>
        <w:t>办法”规定的方法、评审因素、标准和程序对投标文件</w:t>
      </w:r>
      <w:r>
        <w:rPr>
          <w:rFonts w:hint="eastAsia" w:cs="宋体"/>
          <w:color w:val="auto"/>
          <w:sz w:val="24"/>
          <w:szCs w:val="24"/>
          <w:highlight w:val="none"/>
          <w:u w:val="single"/>
          <w:lang w:eastAsia="zh-CN"/>
        </w:rPr>
        <w:t>（评标部分）</w:t>
      </w:r>
      <w:r>
        <w:rPr>
          <w:rFonts w:hint="eastAsia" w:cs="宋体"/>
          <w:color w:val="auto"/>
          <w:sz w:val="24"/>
          <w:szCs w:val="24"/>
          <w:highlight w:val="none"/>
        </w:rPr>
        <w:t>进行评审。第三章“评标</w:t>
      </w:r>
      <w:r>
        <w:rPr>
          <w:rFonts w:hint="eastAsia" w:cs="宋体"/>
          <w:color w:val="auto"/>
          <w:sz w:val="24"/>
          <w:szCs w:val="24"/>
          <w:highlight w:val="none"/>
          <w:u w:val="single"/>
          <w:lang w:eastAsia="zh-CN"/>
        </w:rPr>
        <w:t>、定标</w:t>
      </w:r>
      <w:r>
        <w:rPr>
          <w:rFonts w:hint="eastAsia" w:cs="宋体"/>
          <w:color w:val="auto"/>
          <w:sz w:val="24"/>
          <w:szCs w:val="24"/>
          <w:highlight w:val="none"/>
        </w:rPr>
        <w:t>办法”没有规定的方法、评审因素和标准，不作为评标依据。</w:t>
      </w:r>
    </w:p>
    <w:p w14:paraId="797D9C95">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6.3.2 评标完成后，评标委员会应当向招标人提交书面评标报告和</w:t>
      </w:r>
      <w:r>
        <w:rPr>
          <w:rFonts w:hint="eastAsia" w:cs="宋体"/>
          <w:color w:val="auto"/>
          <w:sz w:val="24"/>
          <w:szCs w:val="24"/>
          <w:highlight w:val="none"/>
          <w:u w:val="single"/>
          <w:lang w:eastAsia="zh-CN"/>
        </w:rPr>
        <w:t>合格</w:t>
      </w:r>
      <w:r>
        <w:rPr>
          <w:rFonts w:hint="eastAsia" w:cs="宋体"/>
          <w:color w:val="auto"/>
          <w:sz w:val="24"/>
          <w:szCs w:val="24"/>
          <w:highlight w:val="none"/>
        </w:rPr>
        <w:t>中标候选人名单。评标委员会推荐</w:t>
      </w:r>
      <w:r>
        <w:rPr>
          <w:rFonts w:hint="eastAsia" w:cs="宋体"/>
          <w:color w:val="auto"/>
          <w:sz w:val="24"/>
          <w:szCs w:val="24"/>
          <w:highlight w:val="none"/>
          <w:u w:val="single"/>
          <w:lang w:eastAsia="zh-CN"/>
        </w:rPr>
        <w:t>合格</w:t>
      </w:r>
      <w:r>
        <w:rPr>
          <w:rFonts w:hint="eastAsia" w:cs="宋体"/>
          <w:color w:val="auto"/>
          <w:sz w:val="24"/>
          <w:szCs w:val="24"/>
          <w:highlight w:val="none"/>
        </w:rPr>
        <w:t>中标候选人的人数见投标人须知前附表。</w:t>
      </w:r>
    </w:p>
    <w:p w14:paraId="52CA1019">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u w:val="single"/>
        </w:rPr>
      </w:pPr>
      <w:r>
        <w:rPr>
          <w:rFonts w:hint="eastAsia" w:cs="宋体"/>
          <w:color w:val="auto"/>
          <w:sz w:val="24"/>
          <w:szCs w:val="24"/>
          <w:highlight w:val="none"/>
          <w:u w:val="single"/>
        </w:rPr>
        <w:t>6.3.3发生下列情形之一的，招标人将重新组织招标：</w:t>
      </w:r>
    </w:p>
    <w:p w14:paraId="38C39A7C">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u w:val="single"/>
        </w:rPr>
      </w:pPr>
      <w:r>
        <w:rPr>
          <w:rFonts w:hint="eastAsia" w:cs="宋体"/>
          <w:color w:val="auto"/>
          <w:sz w:val="24"/>
          <w:szCs w:val="24"/>
          <w:highlight w:val="none"/>
          <w:u w:val="single"/>
        </w:rPr>
        <w:t xml:space="preserve"> (a) 递交投标文件或通过初步评审的投标人不足</w:t>
      </w:r>
      <w:r>
        <w:rPr>
          <w:rFonts w:hint="eastAsia" w:cs="宋体"/>
          <w:color w:val="auto"/>
          <w:sz w:val="24"/>
          <w:szCs w:val="24"/>
          <w:highlight w:val="none"/>
          <w:u w:val="single"/>
          <w:lang w:val="en-US" w:eastAsia="zh-CN"/>
        </w:rPr>
        <w:t>5</w:t>
      </w:r>
      <w:r>
        <w:rPr>
          <w:rFonts w:hint="eastAsia" w:cs="宋体"/>
          <w:color w:val="auto"/>
          <w:sz w:val="24"/>
          <w:szCs w:val="24"/>
          <w:highlight w:val="none"/>
          <w:u w:val="single"/>
        </w:rPr>
        <w:t>人。</w:t>
      </w:r>
    </w:p>
    <w:p w14:paraId="73DF6D01">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u w:val="single"/>
        </w:rPr>
      </w:pPr>
      <w:r>
        <w:rPr>
          <w:rFonts w:hint="eastAsia" w:cs="宋体"/>
          <w:color w:val="auto"/>
          <w:sz w:val="24"/>
          <w:szCs w:val="24"/>
          <w:highlight w:val="none"/>
          <w:u w:val="single"/>
        </w:rPr>
        <w:t xml:space="preserve"> (b) 所有投标被否决，或者经评审有效投标的投标人不足</w:t>
      </w:r>
      <w:r>
        <w:rPr>
          <w:rFonts w:hint="eastAsia" w:cs="宋体"/>
          <w:color w:val="auto"/>
          <w:sz w:val="24"/>
          <w:szCs w:val="24"/>
          <w:highlight w:val="none"/>
          <w:u w:val="single"/>
          <w:lang w:val="en-US" w:eastAsia="zh-CN"/>
        </w:rPr>
        <w:t>5</w:t>
      </w:r>
      <w:r>
        <w:rPr>
          <w:rFonts w:hint="eastAsia" w:cs="宋体"/>
          <w:color w:val="auto"/>
          <w:sz w:val="24"/>
          <w:szCs w:val="24"/>
          <w:highlight w:val="none"/>
          <w:u w:val="single"/>
        </w:rPr>
        <w:t>人。</w:t>
      </w:r>
    </w:p>
    <w:p w14:paraId="3D84CCA0">
      <w:pPr>
        <w:pStyle w:val="4"/>
        <w:outlineLvl w:val="1"/>
        <w:rPr>
          <w:rFonts w:hint="eastAsia" w:cs="宋体"/>
          <w:color w:val="auto"/>
          <w:sz w:val="24"/>
          <w:szCs w:val="24"/>
          <w:highlight w:val="none"/>
        </w:rPr>
      </w:pPr>
      <w:bookmarkStart w:id="64" w:name="bookmark60"/>
      <w:bookmarkEnd w:id="64"/>
      <w:bookmarkStart w:id="65" w:name="_Toc26457"/>
      <w:r>
        <w:rPr>
          <w:rFonts w:hint="eastAsia" w:cs="宋体"/>
          <w:color w:val="auto"/>
          <w:sz w:val="24"/>
          <w:szCs w:val="24"/>
          <w:highlight w:val="none"/>
        </w:rPr>
        <w:t>7.合同授予</w:t>
      </w:r>
      <w:bookmarkEnd w:id="65"/>
    </w:p>
    <w:p w14:paraId="19E3F58C">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highlight w:val="none"/>
        </w:rPr>
      </w:pPr>
      <w:bookmarkStart w:id="66" w:name="bookmark61"/>
      <w:bookmarkEnd w:id="66"/>
      <w:r>
        <w:rPr>
          <w:rFonts w:hint="eastAsia" w:ascii="宋体" w:hAnsi="宋体" w:eastAsia="宋体" w:cs="宋体"/>
          <w:highlight w:val="none"/>
        </w:rPr>
        <w:t xml:space="preserve">7.1 </w:t>
      </w:r>
      <w:r>
        <w:rPr>
          <w:rFonts w:hint="eastAsia" w:ascii="宋体" w:hAnsi="宋体" w:cs="宋体"/>
          <w:highlight w:val="none"/>
          <w:u w:val="single"/>
          <w:lang w:eastAsia="zh-CN"/>
        </w:rPr>
        <w:t>合格</w:t>
      </w:r>
      <w:r>
        <w:rPr>
          <w:rFonts w:hint="eastAsia" w:ascii="宋体" w:hAnsi="宋体" w:eastAsia="宋体" w:cs="宋体"/>
          <w:highlight w:val="none"/>
        </w:rPr>
        <w:t>中标候选人</w:t>
      </w:r>
      <w:r>
        <w:rPr>
          <w:rFonts w:hint="eastAsia" w:ascii="宋体" w:hAnsi="宋体" w:cs="宋体"/>
          <w:highlight w:val="none"/>
          <w:u w:val="single"/>
          <w:lang w:eastAsia="zh-CN"/>
        </w:rPr>
        <w:t>及中标结果</w:t>
      </w:r>
      <w:r>
        <w:rPr>
          <w:rFonts w:hint="eastAsia" w:ascii="宋体" w:hAnsi="宋体" w:eastAsia="宋体" w:cs="宋体"/>
          <w:highlight w:val="none"/>
        </w:rPr>
        <w:t>公示</w:t>
      </w:r>
    </w:p>
    <w:p w14:paraId="65065FB2">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lang w:val="en-US" w:eastAsia="zh-CN"/>
        </w:rPr>
        <w:t>7.1.1</w:t>
      </w:r>
      <w:r>
        <w:rPr>
          <w:rFonts w:hint="eastAsia" w:cs="宋体"/>
          <w:color w:val="auto"/>
          <w:sz w:val="24"/>
          <w:szCs w:val="24"/>
          <w:highlight w:val="none"/>
        </w:rPr>
        <w:t>招标人在收到评标报告之日起3日内，按照投标人须知前附表规定的公示媒介和期限公示</w:t>
      </w:r>
      <w:r>
        <w:rPr>
          <w:rFonts w:hint="eastAsia" w:cs="宋体"/>
          <w:color w:val="auto"/>
          <w:sz w:val="24"/>
          <w:szCs w:val="24"/>
          <w:highlight w:val="none"/>
          <w:u w:val="single"/>
          <w:lang w:eastAsia="zh-CN"/>
        </w:rPr>
        <w:t>合格</w:t>
      </w:r>
      <w:r>
        <w:rPr>
          <w:rFonts w:hint="eastAsia" w:cs="宋体"/>
          <w:color w:val="auto"/>
          <w:sz w:val="24"/>
          <w:szCs w:val="24"/>
          <w:highlight w:val="none"/>
        </w:rPr>
        <w:t>中标候选人，公示期不得少于3天</w:t>
      </w:r>
      <w:r>
        <w:rPr>
          <w:rFonts w:hint="eastAsia" w:cs="宋体"/>
          <w:color w:val="auto"/>
          <w:sz w:val="24"/>
          <w:szCs w:val="24"/>
          <w:highlight w:val="none"/>
          <w:lang w:eastAsia="zh-CN"/>
        </w:rPr>
        <w:t>，</w:t>
      </w:r>
      <w:r>
        <w:rPr>
          <w:rFonts w:hint="eastAsia" w:cs="宋体"/>
          <w:color w:val="auto"/>
          <w:sz w:val="24"/>
          <w:szCs w:val="24"/>
          <w:highlight w:val="none"/>
          <w:lang w:val="en-US" w:eastAsia="zh-CN"/>
        </w:rPr>
        <w:t>最后一天应为工作日</w:t>
      </w:r>
      <w:r>
        <w:rPr>
          <w:rFonts w:hint="eastAsia" w:cs="宋体"/>
          <w:color w:val="auto"/>
          <w:sz w:val="24"/>
          <w:szCs w:val="24"/>
          <w:highlight w:val="none"/>
        </w:rPr>
        <w:t>。</w:t>
      </w:r>
    </w:p>
    <w:p w14:paraId="0F4AAD71">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7.1.2在产生</w:t>
      </w:r>
      <w:r>
        <w:rPr>
          <w:rFonts w:hint="eastAsia" w:cs="宋体"/>
          <w:color w:val="auto"/>
          <w:sz w:val="24"/>
          <w:szCs w:val="24"/>
          <w:highlight w:val="none"/>
          <w:u w:val="single"/>
          <w:lang w:eastAsia="zh-CN"/>
        </w:rPr>
        <w:t>合格</w:t>
      </w:r>
      <w:r>
        <w:rPr>
          <w:rFonts w:hint="eastAsia" w:cs="宋体"/>
          <w:color w:val="auto"/>
          <w:sz w:val="24"/>
          <w:szCs w:val="24"/>
          <w:highlight w:val="none"/>
        </w:rPr>
        <w:t>中标候选人后，招标人将</w:t>
      </w:r>
      <w:r>
        <w:rPr>
          <w:rFonts w:hint="eastAsia" w:cs="宋体"/>
          <w:color w:val="auto"/>
          <w:sz w:val="24"/>
          <w:szCs w:val="24"/>
          <w:highlight w:val="none"/>
          <w:u w:val="single"/>
          <w:lang w:eastAsia="zh-CN"/>
        </w:rPr>
        <w:t>合格</w:t>
      </w:r>
      <w:r>
        <w:rPr>
          <w:rFonts w:hint="eastAsia" w:cs="宋体"/>
          <w:color w:val="auto"/>
          <w:sz w:val="24"/>
          <w:szCs w:val="24"/>
          <w:highlight w:val="none"/>
        </w:rPr>
        <w:t>中标候选人的投标文件商务部分文件的所有内容(包括人员、业绩、奖项等资料)在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广州交易集团有限公司（广州公共资源交易中心）网</w:t>
      </w:r>
      <w:r>
        <w:rPr>
          <w:rFonts w:hint="eastAsia" w:cs="宋体"/>
          <w:color w:val="auto"/>
          <w:sz w:val="24"/>
          <w:szCs w:val="24"/>
          <w:highlight w:val="none"/>
        </w:rPr>
        <w:t>和广东省招标投标监管网公开。</w:t>
      </w:r>
    </w:p>
    <w:p w14:paraId="0186C0D1">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u w:val="single"/>
          <w:lang w:val="en-US" w:eastAsia="zh-CN"/>
        </w:rPr>
        <w:t>7.1.3 定标结束后，招标人3日内在广州交易集团有限公司（广州公共资源交易中心）网站和广东省招标投标监管网公开中标结果。</w:t>
      </w:r>
    </w:p>
    <w:p w14:paraId="31BEDBFE">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highlight w:val="none"/>
        </w:rPr>
      </w:pPr>
      <w:bookmarkStart w:id="67" w:name="bookmark62"/>
      <w:bookmarkEnd w:id="67"/>
      <w:r>
        <w:rPr>
          <w:rFonts w:hint="eastAsia" w:ascii="宋体" w:hAnsi="宋体" w:eastAsia="宋体" w:cs="宋体"/>
          <w:highlight w:val="none"/>
        </w:rPr>
        <w:t>7.2 评标结果异议</w:t>
      </w:r>
    </w:p>
    <w:p w14:paraId="4DE00EFD">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投标人或者其他利害关系人对评标结果有异议的，应当在中标候选人公示期间提出。招标人将在收到异议之日起3日内作出答复；作出答复前，将暂停招标投标活动。</w:t>
      </w:r>
    </w:p>
    <w:p w14:paraId="33BB939F">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highlight w:val="none"/>
        </w:rPr>
      </w:pPr>
      <w:bookmarkStart w:id="68" w:name="bookmark63"/>
      <w:bookmarkEnd w:id="68"/>
      <w:r>
        <w:rPr>
          <w:rFonts w:hint="eastAsia" w:ascii="宋体" w:hAnsi="宋体" w:eastAsia="宋体" w:cs="宋体"/>
          <w:highlight w:val="none"/>
        </w:rPr>
        <w:t>7.3 中标候选人履约能力审查</w:t>
      </w:r>
    </w:p>
    <w:p w14:paraId="3EEF7FE8">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u w:val="single"/>
          <w:lang w:val="en-US" w:eastAsia="zh-CN"/>
        </w:rPr>
        <w:t>7.3.1</w:t>
      </w:r>
      <w:r>
        <w:rPr>
          <w:rFonts w:hint="eastAsia" w:cs="宋体"/>
          <w:color w:val="auto"/>
          <w:sz w:val="24"/>
          <w:szCs w:val="24"/>
          <w:highlight w:val="none"/>
        </w:rPr>
        <w:t>中标候选人的经营、财务状况发生较大变化或存在违法行为，招标人认为可能影响其履约能力的，将在发出中标通知书前提请原评标委员会按照招标文件规定的标准和方法进行审查确认。</w:t>
      </w:r>
    </w:p>
    <w:p w14:paraId="48AF8A62">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u w:val="single"/>
        </w:rPr>
      </w:pPr>
      <w:r>
        <w:rPr>
          <w:rFonts w:hint="eastAsia" w:cs="宋体"/>
          <w:color w:val="auto"/>
          <w:sz w:val="24"/>
          <w:szCs w:val="24"/>
          <w:highlight w:val="none"/>
          <w:u w:val="single"/>
        </w:rPr>
        <w:t>7.3.2招标人或招标代理机构将在</w:t>
      </w:r>
      <w:r>
        <w:rPr>
          <w:rFonts w:hint="eastAsia" w:cs="宋体"/>
          <w:strike w:val="0"/>
          <w:dstrike w:val="0"/>
          <w:color w:val="auto"/>
          <w:sz w:val="24"/>
          <w:szCs w:val="24"/>
          <w:highlight w:val="none"/>
          <w:u w:val="single"/>
          <w:lang w:val="en-US" w:eastAsia="zh-CN"/>
        </w:rPr>
        <w:t>定标</w:t>
      </w:r>
      <w:r>
        <w:rPr>
          <w:rFonts w:hint="eastAsia" w:cs="宋体"/>
          <w:color w:val="auto"/>
          <w:sz w:val="24"/>
          <w:szCs w:val="24"/>
          <w:highlight w:val="none"/>
          <w:u w:val="single"/>
        </w:rPr>
        <w:t>结束后对中标人的企业资质证书有效期进行复核，如果中标人在</w:t>
      </w:r>
      <w:r>
        <w:rPr>
          <w:rFonts w:hint="eastAsia" w:cs="宋体"/>
          <w:color w:val="auto"/>
          <w:sz w:val="24"/>
          <w:szCs w:val="24"/>
          <w:highlight w:val="none"/>
          <w:u w:val="single"/>
          <w:lang w:val="en-US" w:eastAsia="zh-CN"/>
        </w:rPr>
        <w:t>定标</w:t>
      </w:r>
      <w:r>
        <w:rPr>
          <w:rFonts w:hint="eastAsia" w:cs="宋体"/>
          <w:color w:val="auto"/>
          <w:sz w:val="24"/>
          <w:szCs w:val="24"/>
          <w:highlight w:val="none"/>
          <w:u w:val="single"/>
        </w:rPr>
        <w:t>结束后6天内尚未提供资质有效期延续核准的，招标人否决其中标资格，</w:t>
      </w:r>
      <w:r>
        <w:rPr>
          <w:rFonts w:hint="eastAsia" w:ascii="宋体" w:hAnsi="宋体" w:eastAsia="宋体" w:cs="宋体"/>
          <w:sz w:val="24"/>
          <w:szCs w:val="24"/>
          <w:highlight w:val="none"/>
          <w:u w:val="single"/>
        </w:rPr>
        <w:t>按照</w:t>
      </w:r>
      <w:r>
        <w:rPr>
          <w:rFonts w:hint="eastAsia" w:ascii="宋体" w:hAnsi="宋体" w:eastAsia="宋体" w:cs="宋体"/>
          <w:sz w:val="24"/>
          <w:szCs w:val="24"/>
          <w:highlight w:val="none"/>
          <w:u w:val="single"/>
          <w:lang w:val="en-US" w:eastAsia="zh-CN"/>
        </w:rPr>
        <w:t>招标文件第三章“评标、定标办法”3.5</w:t>
      </w:r>
      <w:r>
        <w:rPr>
          <w:rFonts w:hint="eastAsia" w:ascii="宋体" w:hAnsi="宋体" w:cs="宋体"/>
          <w:color w:val="auto"/>
          <w:sz w:val="24"/>
          <w:szCs w:val="24"/>
          <w:highlight w:val="none"/>
          <w:u w:val="single"/>
          <w:lang w:val="en-US" w:eastAsia="zh-CN"/>
        </w:rPr>
        <w:t>重新组织定标，</w:t>
      </w:r>
      <w:r>
        <w:rPr>
          <w:rFonts w:hint="eastAsia" w:ascii="宋体" w:hAnsi="宋体" w:cs="宋体"/>
          <w:color w:val="auto"/>
          <w:sz w:val="24"/>
          <w:szCs w:val="24"/>
          <w:highlight w:val="none"/>
          <w:u w:val="single"/>
        </w:rPr>
        <w:t>或重新组织招标。</w:t>
      </w:r>
    </w:p>
    <w:p w14:paraId="73CA9307">
      <w:pPr>
        <w:adjustRightInd w:val="0"/>
        <w:snapToGrid w:val="0"/>
        <w:spacing w:line="360" w:lineRule="auto"/>
        <w:ind w:firstLine="480" w:firstLineChars="200"/>
        <w:rPr>
          <w:rFonts w:hint="eastAsia" w:ascii="宋体" w:hAnsi="宋体" w:cs="宋体"/>
          <w:b/>
          <w:color w:val="000000"/>
          <w:sz w:val="24"/>
          <w:highlight w:val="none"/>
          <w:u w:val="single"/>
        </w:rPr>
      </w:pPr>
      <w:bookmarkStart w:id="69" w:name="bookmark64"/>
      <w:bookmarkEnd w:id="69"/>
      <w:r>
        <w:rPr>
          <w:rFonts w:hint="eastAsia" w:ascii="宋体" w:hAnsi="宋体" w:eastAsia="宋体" w:cs="宋体"/>
          <w:highlight w:val="none"/>
        </w:rPr>
        <w:t>7.4 定标</w:t>
      </w:r>
      <w:r>
        <w:rPr>
          <w:rFonts w:hint="eastAsia" w:ascii="宋体" w:hAnsi="宋体" w:cs="宋体"/>
          <w:b/>
          <w:color w:val="000000"/>
          <w:sz w:val="24"/>
          <w:highlight w:val="none"/>
        </w:rPr>
        <w:t>（</w:t>
      </w:r>
      <w:r>
        <w:rPr>
          <w:rFonts w:hint="eastAsia" w:ascii="宋体" w:hAnsi="宋体" w:cs="宋体"/>
          <w:b/>
          <w:color w:val="000000"/>
          <w:sz w:val="24"/>
          <w:highlight w:val="none"/>
          <w:u w:val="single"/>
        </w:rPr>
        <w:t>本</w:t>
      </w:r>
      <w:r>
        <w:rPr>
          <w:rFonts w:hint="eastAsia" w:ascii="宋体" w:hAnsi="宋体" w:cs="宋体"/>
          <w:b/>
          <w:color w:val="000000"/>
          <w:sz w:val="24"/>
          <w:highlight w:val="none"/>
          <w:u w:val="single"/>
          <w:lang w:eastAsia="zh-CN"/>
        </w:rPr>
        <w:t>标段</w:t>
      </w:r>
      <w:r>
        <w:rPr>
          <w:rFonts w:hint="eastAsia" w:ascii="宋体" w:hAnsi="宋体" w:cs="宋体"/>
          <w:b/>
          <w:color w:val="000000"/>
          <w:sz w:val="24"/>
          <w:highlight w:val="none"/>
          <w:u w:val="single"/>
        </w:rPr>
        <w:t>采用“评定分离”确定有效中标人）</w:t>
      </w:r>
    </w:p>
    <w:p w14:paraId="1487E806">
      <w:pPr>
        <w:adjustRightInd w:val="0"/>
        <w:snapToGrid w:val="0"/>
        <w:spacing w:line="360" w:lineRule="auto"/>
        <w:ind w:firstLine="480" w:firstLineChars="200"/>
        <w:rPr>
          <w:rFonts w:hint="eastAsia" w:ascii="宋体" w:hAnsi="宋体" w:cs="宋体"/>
          <w:color w:val="000000"/>
          <w:sz w:val="24"/>
          <w:highlight w:val="none"/>
          <w:u w:val="single"/>
        </w:rPr>
      </w:pPr>
      <w:r>
        <w:rPr>
          <w:rFonts w:hint="eastAsia" w:ascii="宋体" w:hAnsi="宋体" w:cs="宋体"/>
          <w:color w:val="000000"/>
          <w:sz w:val="24"/>
          <w:highlight w:val="none"/>
          <w:u w:val="single"/>
        </w:rPr>
        <w:t>7.</w:t>
      </w:r>
      <w:r>
        <w:rPr>
          <w:rFonts w:hint="eastAsia" w:ascii="宋体" w:hAnsi="宋体" w:cs="宋体"/>
          <w:color w:val="000000"/>
          <w:sz w:val="24"/>
          <w:highlight w:val="none"/>
          <w:u w:val="single"/>
          <w:lang w:val="en-US" w:eastAsia="zh-CN"/>
        </w:rPr>
        <w:t>4</w:t>
      </w:r>
      <w:r>
        <w:rPr>
          <w:rFonts w:hint="eastAsia" w:ascii="宋体" w:hAnsi="宋体" w:cs="宋体"/>
          <w:color w:val="000000"/>
          <w:sz w:val="24"/>
          <w:highlight w:val="none"/>
          <w:u w:val="single"/>
        </w:rPr>
        <w:t>.1采用评定分离方式（评标采用综合评估法，定标采用票决法），评标委员会推荐合格中标候选人的人数详见第三章</w:t>
      </w:r>
      <w:r>
        <w:rPr>
          <w:rFonts w:hint="eastAsia" w:ascii="宋体" w:hAnsi="宋体" w:cs="宋体"/>
          <w:color w:val="000000"/>
          <w:sz w:val="24"/>
          <w:highlight w:val="none"/>
          <w:u w:val="single"/>
          <w:lang w:eastAsia="zh-CN"/>
        </w:rPr>
        <w:t>“</w:t>
      </w:r>
      <w:r>
        <w:rPr>
          <w:rFonts w:hint="eastAsia" w:ascii="宋体" w:hAnsi="宋体" w:cs="宋体"/>
          <w:color w:val="000000"/>
          <w:sz w:val="24"/>
          <w:highlight w:val="none"/>
          <w:u w:val="single"/>
        </w:rPr>
        <w:t>评标</w:t>
      </w:r>
      <w:r>
        <w:rPr>
          <w:rFonts w:hint="eastAsia" w:ascii="宋体" w:hAnsi="宋体" w:cs="宋体"/>
          <w:color w:val="000000"/>
          <w:sz w:val="24"/>
          <w:highlight w:val="none"/>
          <w:u w:val="single"/>
          <w:lang w:eastAsia="zh-CN"/>
        </w:rPr>
        <w:t>、</w:t>
      </w:r>
      <w:r>
        <w:rPr>
          <w:rFonts w:hint="eastAsia" w:ascii="宋体" w:hAnsi="宋体" w:cs="宋体"/>
          <w:color w:val="000000"/>
          <w:sz w:val="24"/>
          <w:highlight w:val="none"/>
          <w:u w:val="single"/>
        </w:rPr>
        <w:t>定标办法</w:t>
      </w:r>
      <w:r>
        <w:rPr>
          <w:rFonts w:hint="eastAsia" w:ascii="宋体" w:hAnsi="宋体" w:cs="宋体"/>
          <w:color w:val="000000"/>
          <w:sz w:val="24"/>
          <w:highlight w:val="none"/>
          <w:u w:val="single"/>
          <w:lang w:eastAsia="zh-CN"/>
        </w:rPr>
        <w:t>”</w:t>
      </w:r>
      <w:r>
        <w:rPr>
          <w:rFonts w:hint="eastAsia" w:ascii="宋体" w:hAnsi="宋体" w:cs="宋体"/>
          <w:color w:val="000000"/>
          <w:sz w:val="24"/>
          <w:highlight w:val="none"/>
          <w:u w:val="single"/>
        </w:rPr>
        <w:t>。</w:t>
      </w:r>
    </w:p>
    <w:p w14:paraId="6409AC57">
      <w:pPr>
        <w:adjustRightInd w:val="0"/>
        <w:snapToGrid w:val="0"/>
        <w:spacing w:line="360" w:lineRule="auto"/>
        <w:ind w:firstLine="480" w:firstLineChars="200"/>
        <w:rPr>
          <w:rFonts w:hint="eastAsia" w:ascii="宋体" w:hAnsi="宋体" w:eastAsia="宋体" w:cs="宋体"/>
          <w:color w:val="000000"/>
          <w:sz w:val="24"/>
          <w:highlight w:val="none"/>
          <w:u w:val="single"/>
          <w:lang w:val="en-US" w:eastAsia="zh-CN"/>
        </w:rPr>
      </w:pPr>
      <w:r>
        <w:rPr>
          <w:rFonts w:hint="eastAsia" w:ascii="宋体" w:hAnsi="宋体" w:eastAsia="宋体" w:cs="宋体"/>
          <w:color w:val="000000"/>
          <w:sz w:val="24"/>
          <w:highlight w:val="none"/>
          <w:u w:val="single"/>
          <w:lang w:val="en-US" w:eastAsia="zh-CN"/>
        </w:rPr>
        <w:t>7.4.2依法必须进行公开招标的项目，招标人依据定标委员会的评审结果确定中标人。具体定标办法详见第三章评标、定标办法中的《定标因素表》。</w:t>
      </w:r>
    </w:p>
    <w:p w14:paraId="6FEAABBF">
      <w:pPr>
        <w:adjustRightInd w:val="0"/>
        <w:snapToGrid w:val="0"/>
        <w:spacing w:line="360" w:lineRule="auto"/>
        <w:ind w:firstLine="480" w:firstLineChars="200"/>
        <w:rPr>
          <w:rFonts w:hint="eastAsia" w:ascii="宋体" w:hAnsi="宋体" w:eastAsia="宋体" w:cs="宋体"/>
          <w:color w:val="000000"/>
          <w:sz w:val="24"/>
          <w:highlight w:val="none"/>
          <w:u w:val="single"/>
          <w:lang w:val="en-US" w:eastAsia="zh-CN"/>
        </w:rPr>
      </w:pPr>
      <w:r>
        <w:rPr>
          <w:rFonts w:hint="eastAsia" w:ascii="宋体" w:hAnsi="宋体" w:eastAsia="宋体" w:cs="宋体"/>
          <w:color w:val="000000"/>
          <w:sz w:val="24"/>
          <w:highlight w:val="none"/>
          <w:u w:val="single"/>
          <w:lang w:val="en-US" w:eastAsia="zh-CN"/>
        </w:rPr>
        <w:t>7.4.3定标委员会按照第三章“评标、定标办法”中规定的定标方法、定标因素和评价标准对投标文件</w:t>
      </w:r>
      <w:r>
        <w:rPr>
          <w:rFonts w:hint="eastAsia" w:ascii="宋体" w:hAnsi="宋体" w:cs="宋体"/>
          <w:color w:val="000000"/>
          <w:sz w:val="24"/>
          <w:highlight w:val="none"/>
          <w:u w:val="single"/>
          <w:lang w:val="en-US" w:eastAsia="zh-CN"/>
        </w:rPr>
        <w:t>（定标部分）</w:t>
      </w:r>
      <w:r>
        <w:rPr>
          <w:rFonts w:hint="eastAsia" w:ascii="宋体" w:hAnsi="宋体" w:eastAsia="宋体" w:cs="宋体"/>
          <w:color w:val="000000"/>
          <w:sz w:val="24"/>
          <w:highlight w:val="none"/>
          <w:u w:val="single"/>
          <w:lang w:val="en-US" w:eastAsia="zh-CN"/>
        </w:rPr>
        <w:t>进行评审。第三章“评标、定标办法”没有规定的定标因素和评价标准，不作为定标依据。</w:t>
      </w:r>
    </w:p>
    <w:p w14:paraId="1FB131B6">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cs="宋体"/>
          <w:color w:val="auto"/>
          <w:sz w:val="24"/>
          <w:szCs w:val="24"/>
          <w:highlight w:val="none"/>
          <w:u w:val="single"/>
        </w:rPr>
      </w:pPr>
      <w:r>
        <w:rPr>
          <w:rFonts w:hint="eastAsia" w:ascii="宋体" w:hAnsi="宋体" w:eastAsia="宋体" w:cs="宋体"/>
          <w:color w:val="000000"/>
          <w:sz w:val="24"/>
          <w:highlight w:val="none"/>
          <w:u w:val="single"/>
          <w:lang w:val="en-US" w:eastAsia="zh-CN"/>
        </w:rPr>
        <w:t>7.4.47.4.4定标委员会确定的中标人放弃中标、因不可抗力不能履行合同，或者被查实存在影响中标结果的违法行为等情形，不符合中标条件的，招标人可以</w:t>
      </w:r>
      <w:r>
        <w:rPr>
          <w:rFonts w:hint="eastAsia" w:ascii="宋体" w:hAnsi="宋体" w:cs="宋体"/>
          <w:color w:val="000000"/>
          <w:sz w:val="24"/>
          <w:highlight w:val="none"/>
          <w:u w:val="single"/>
          <w:lang w:val="en-US" w:eastAsia="zh-CN"/>
        </w:rPr>
        <w:t>按照</w:t>
      </w:r>
      <w:r>
        <w:rPr>
          <w:rFonts w:hint="eastAsia" w:ascii="宋体" w:hAnsi="宋体" w:eastAsia="宋体" w:cs="宋体"/>
          <w:color w:val="000000"/>
          <w:sz w:val="24"/>
          <w:highlight w:val="none"/>
          <w:u w:val="single"/>
          <w:lang w:val="en-US" w:eastAsia="zh-CN"/>
        </w:rPr>
        <w:t>第三章“评标、定标办法”</w:t>
      </w:r>
      <w:r>
        <w:rPr>
          <w:rFonts w:hint="eastAsia"/>
          <w:highlight w:val="none"/>
          <w:u w:val="single"/>
          <w:lang w:val="en-US" w:eastAsia="zh-CN"/>
        </w:rPr>
        <w:t>3.5重新组织定标，</w:t>
      </w:r>
      <w:r>
        <w:rPr>
          <w:rFonts w:hint="eastAsia" w:ascii="宋体" w:hAnsi="宋体" w:eastAsia="宋体" w:cs="宋体"/>
          <w:color w:val="000000"/>
          <w:sz w:val="24"/>
          <w:highlight w:val="none"/>
          <w:u w:val="single"/>
          <w:lang w:val="en-US" w:eastAsia="zh-CN"/>
        </w:rPr>
        <w:t>由原定标委员会从其他合格中标候选人</w:t>
      </w:r>
      <w:r>
        <w:rPr>
          <w:rFonts w:hint="eastAsia" w:ascii="宋体" w:hAnsi="宋体" w:cs="宋体"/>
          <w:color w:val="000000"/>
          <w:sz w:val="24"/>
          <w:highlight w:val="none"/>
          <w:u w:val="single"/>
          <w:lang w:val="en-US" w:eastAsia="zh-CN"/>
        </w:rPr>
        <w:t>中</w:t>
      </w:r>
      <w:r>
        <w:rPr>
          <w:rFonts w:hint="eastAsia" w:ascii="宋体" w:hAnsi="宋体" w:eastAsia="宋体" w:cs="宋体"/>
          <w:color w:val="000000"/>
          <w:sz w:val="24"/>
          <w:highlight w:val="none"/>
          <w:u w:val="single"/>
          <w:lang w:val="en-US" w:eastAsia="zh-CN"/>
        </w:rPr>
        <w:t>确定中标人，也可以重新招标。</w:t>
      </w:r>
    </w:p>
    <w:p w14:paraId="42DEAA06">
      <w:pPr>
        <w:pStyle w:val="12"/>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51" w:lineRule="auto"/>
        <w:ind w:left="0" w:firstLine="480" w:firstLineChars="200"/>
        <w:jc w:val="both"/>
        <w:textAlignment w:val="auto"/>
        <w:rPr>
          <w:rFonts w:hint="eastAsia" w:ascii="宋体" w:hAnsi="宋体" w:eastAsia="宋体" w:cs="宋体"/>
          <w:color w:val="auto"/>
          <w:sz w:val="24"/>
          <w:highlight w:val="none"/>
        </w:rPr>
      </w:pPr>
      <w:bookmarkStart w:id="70" w:name="bookmark65"/>
      <w:bookmarkEnd w:id="70"/>
      <w:r>
        <w:rPr>
          <w:rFonts w:hint="eastAsia" w:ascii="宋体" w:hAnsi="宋体" w:eastAsia="宋体" w:cs="宋体"/>
          <w:color w:val="auto"/>
          <w:sz w:val="24"/>
          <w:highlight w:val="none"/>
        </w:rPr>
        <w:t>7.5 中标通知</w:t>
      </w:r>
    </w:p>
    <w:p w14:paraId="263BB1F5">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lang w:val="en-US" w:eastAsia="zh-CN"/>
        </w:rPr>
      </w:pPr>
      <w:bookmarkStart w:id="71" w:name="bookmark66"/>
      <w:bookmarkEnd w:id="71"/>
      <w:r>
        <w:rPr>
          <w:rFonts w:hint="eastAsia" w:cs="宋体"/>
          <w:color w:val="auto"/>
          <w:sz w:val="24"/>
          <w:szCs w:val="24"/>
          <w:highlight w:val="none"/>
          <w:lang w:val="en-US" w:eastAsia="zh-CN"/>
        </w:rPr>
        <w:t>7.5.1  在法规规定的时间内，招标人以书面形式向中标人发出中标通知书。在广州交易集团有限公司（广州公共资源交易中心）网和广东省招标投标监管网发布中标信息，视同将中标结果通知未中标的投标人。</w:t>
      </w:r>
    </w:p>
    <w:p w14:paraId="28E7035A">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lang w:val="en-US" w:eastAsia="zh-CN"/>
        </w:rPr>
      </w:pPr>
      <w:r>
        <w:rPr>
          <w:rFonts w:hint="eastAsia" w:cs="宋体"/>
          <w:color w:val="auto"/>
          <w:sz w:val="24"/>
          <w:szCs w:val="24"/>
          <w:highlight w:val="none"/>
          <w:lang w:val="en-US" w:eastAsia="zh-CN"/>
        </w:rPr>
        <w:t>7.5.2  中标通知书发出前，中标人应未被纳入失信联合惩戒名单，否则招标人将取消其中标资格。失信联合惩戒名单以“信用广州”网站公布的“黑名单”为准。</w:t>
      </w:r>
    </w:p>
    <w:p w14:paraId="31D2D1CB">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highlight w:val="none"/>
        </w:rPr>
      </w:pPr>
      <w:r>
        <w:rPr>
          <w:rFonts w:hint="eastAsia" w:ascii="宋体" w:hAnsi="宋体" w:eastAsia="宋体" w:cs="宋体"/>
          <w:highlight w:val="none"/>
        </w:rPr>
        <w:t>7.6 履约保证金</w:t>
      </w:r>
    </w:p>
    <w:p w14:paraId="40BD2F35">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strike/>
          <w:color w:val="auto"/>
          <w:sz w:val="24"/>
          <w:szCs w:val="24"/>
          <w:highlight w:val="none"/>
        </w:rPr>
      </w:pPr>
      <w:r>
        <w:rPr>
          <w:rFonts w:hint="eastAsia" w:cs="宋体"/>
          <w:strike/>
          <w:color w:val="auto"/>
          <w:sz w:val="24"/>
          <w:szCs w:val="24"/>
          <w:highlight w:val="none"/>
        </w:rPr>
        <w:t>7.6.1 在签订合同前，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10%。联合体中标的，其履约保证金以联合体各方或者联合体中</w:t>
      </w:r>
      <w:r>
        <w:rPr>
          <w:rFonts w:hint="eastAsia" w:cs="宋体"/>
          <w:strike/>
          <w:color w:val="auto"/>
          <w:spacing w:val="-2"/>
          <w:sz w:val="24"/>
          <w:szCs w:val="24"/>
          <w:highlight w:val="none"/>
          <w:lang w:eastAsia="zh-CN"/>
        </w:rPr>
        <w:t>主办方</w:t>
      </w:r>
      <w:r>
        <w:rPr>
          <w:rFonts w:hint="eastAsia" w:cs="宋体"/>
          <w:strike/>
          <w:color w:val="auto"/>
          <w:sz w:val="24"/>
          <w:szCs w:val="24"/>
          <w:highlight w:val="none"/>
        </w:rPr>
        <w:t>的名义提交。</w:t>
      </w:r>
    </w:p>
    <w:p w14:paraId="4A8F5628">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strike/>
          <w:color w:val="auto"/>
          <w:sz w:val="24"/>
          <w:szCs w:val="24"/>
          <w:highlight w:val="none"/>
        </w:rPr>
      </w:pPr>
      <w:r>
        <w:rPr>
          <w:rFonts w:hint="eastAsia" w:cs="宋体"/>
          <w:strike/>
          <w:color w:val="auto"/>
          <w:sz w:val="24"/>
          <w:szCs w:val="24"/>
          <w:highlight w:val="none"/>
        </w:rPr>
        <w:t>7.6.2 中标人不能按本章第 7.6.1 项要求提交履约保证金的，视为放弃中标，其投标保证金不予退还，给招标人造成的损失超过投标保证金数额的，中标人还应当对超过部分予以赔偿。</w:t>
      </w:r>
    </w:p>
    <w:p w14:paraId="2E89BB55">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highlight w:val="none"/>
        </w:rPr>
      </w:pPr>
      <w:bookmarkStart w:id="72" w:name="bookmark67"/>
      <w:bookmarkEnd w:id="72"/>
      <w:r>
        <w:rPr>
          <w:rFonts w:hint="eastAsia" w:ascii="宋体" w:hAnsi="宋体" w:eastAsia="宋体" w:cs="宋体"/>
          <w:highlight w:val="none"/>
        </w:rPr>
        <w:t>7.7 签订合同</w:t>
      </w:r>
    </w:p>
    <w:p w14:paraId="102EDA3B">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7.7.1 招标人和中标人应当在中标通知书发出之日起30日内，根据招标文件和中标人的投标文件订立书面合同</w:t>
      </w:r>
      <w:r>
        <w:rPr>
          <w:rFonts w:hint="eastAsia" w:cs="宋体"/>
          <w:color w:val="auto"/>
          <w:sz w:val="24"/>
          <w:highlight w:val="none"/>
          <w:lang w:eastAsia="zh-CN"/>
        </w:rPr>
        <w:t>，并通过电子交易系统与中标人在线签订合同</w:t>
      </w:r>
      <w:r>
        <w:rPr>
          <w:rFonts w:hint="eastAsia" w:cs="宋体"/>
          <w:color w:val="auto"/>
          <w:sz w:val="24"/>
          <w:szCs w:val="24"/>
          <w:highlight w:val="none"/>
        </w:rPr>
        <w:t>。中标人无正当理由拒签合同，在签订合同时向招标人提出附加条件，</w:t>
      </w:r>
      <w:r>
        <w:rPr>
          <w:rFonts w:hint="eastAsia" w:cs="宋体"/>
          <w:strike/>
          <w:color w:val="auto"/>
          <w:sz w:val="24"/>
          <w:szCs w:val="24"/>
          <w:highlight w:val="none"/>
        </w:rPr>
        <w:t>或者不按照招标文件要求提交履约保证金的，</w:t>
      </w:r>
      <w:r>
        <w:rPr>
          <w:rFonts w:hint="eastAsia" w:cs="宋体"/>
          <w:color w:val="auto"/>
          <w:sz w:val="24"/>
          <w:szCs w:val="24"/>
          <w:highlight w:val="none"/>
        </w:rPr>
        <w:t>招标人有权取消其中标资格</w:t>
      </w:r>
      <w:r>
        <w:rPr>
          <w:rFonts w:hint="eastAsia" w:cs="宋体"/>
          <w:color w:val="auto"/>
          <w:sz w:val="24"/>
          <w:szCs w:val="24"/>
          <w:highlight w:val="none"/>
          <w:lang w:val="en-US" w:eastAsia="zh-CN"/>
        </w:rPr>
        <w:t>并</w:t>
      </w:r>
      <w:r>
        <w:rPr>
          <w:rFonts w:hint="eastAsia" w:cs="宋体"/>
          <w:color w:val="auto"/>
          <w:sz w:val="24"/>
          <w:szCs w:val="24"/>
          <w:highlight w:val="none"/>
        </w:rPr>
        <w:t>根据《关于投标保证金的承诺》，要求投标人足额补交投标保证金，其补交的投标保证金不予退还。给招标人造成的损失超过投标保证金数额的，中标人还应当对超过部分予以赔偿。</w:t>
      </w:r>
    </w:p>
    <w:p w14:paraId="276089F1">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strike/>
          <w:color w:val="auto"/>
          <w:sz w:val="24"/>
          <w:szCs w:val="24"/>
          <w:highlight w:val="none"/>
        </w:rPr>
      </w:pPr>
      <w:r>
        <w:rPr>
          <w:rFonts w:hint="eastAsia" w:cs="宋体"/>
          <w:strike/>
          <w:color w:val="auto"/>
          <w:sz w:val="24"/>
          <w:szCs w:val="24"/>
          <w:highlight w:val="none"/>
        </w:rPr>
        <w:t>7.7.2 发出中标通知书后，招标人无正当理由拒签合同，或者在签订合同时向中标人提出附加条件的，招标人向中标人退还投标保证金；给中标人造成损失的，还应当赔偿损失。</w:t>
      </w:r>
    </w:p>
    <w:p w14:paraId="39C43A21">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strike/>
          <w:color w:val="auto"/>
          <w:sz w:val="24"/>
          <w:szCs w:val="24"/>
          <w:highlight w:val="none"/>
        </w:rPr>
      </w:pPr>
      <w:r>
        <w:rPr>
          <w:rFonts w:hint="eastAsia" w:cs="宋体"/>
          <w:strike/>
          <w:color w:val="auto"/>
          <w:sz w:val="24"/>
          <w:szCs w:val="24"/>
          <w:highlight w:val="none"/>
        </w:rPr>
        <w:t>7.7.3 联合体中标的，联合体各方应当共同与招标人签订合同，就中标项目向招标人承担连带责任。</w:t>
      </w:r>
    </w:p>
    <w:p w14:paraId="15E8BB80">
      <w:pPr>
        <w:pStyle w:val="4"/>
        <w:outlineLvl w:val="1"/>
        <w:rPr>
          <w:rFonts w:hint="eastAsia" w:ascii="宋体" w:hAnsi="宋体" w:eastAsia="宋体" w:cs="宋体"/>
          <w:b w:val="0"/>
          <w:color w:val="auto"/>
          <w:sz w:val="30"/>
          <w:szCs w:val="24"/>
          <w:highlight w:val="none"/>
        </w:rPr>
      </w:pPr>
      <w:bookmarkStart w:id="73" w:name="bookmark68"/>
      <w:bookmarkEnd w:id="73"/>
      <w:bookmarkStart w:id="74" w:name="_Toc5503"/>
      <w:r>
        <w:rPr>
          <w:rFonts w:hint="eastAsia" w:cs="宋体"/>
          <w:color w:val="auto"/>
          <w:sz w:val="24"/>
          <w:szCs w:val="24"/>
          <w:highlight w:val="none"/>
        </w:rPr>
        <w:t>8.纪律和监督</w:t>
      </w:r>
      <w:bookmarkEnd w:id="74"/>
    </w:p>
    <w:p w14:paraId="134E7BBE">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highlight w:val="none"/>
        </w:rPr>
      </w:pPr>
      <w:bookmarkStart w:id="75" w:name="bookmark69"/>
      <w:bookmarkEnd w:id="75"/>
      <w:r>
        <w:rPr>
          <w:rFonts w:hint="eastAsia" w:ascii="宋体" w:hAnsi="宋体" w:eastAsia="宋体" w:cs="宋体"/>
          <w:highlight w:val="none"/>
        </w:rPr>
        <w:t>8.1 对招标人的纪律要求</w:t>
      </w:r>
    </w:p>
    <w:p w14:paraId="27C0E92A">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招标人不得泄露招标投标活动中应当保密的情况和资料，不得与投标人串通损害国家利益、社会公共利益或者他人合法权益。</w:t>
      </w:r>
    </w:p>
    <w:p w14:paraId="4158FF73">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highlight w:val="none"/>
        </w:rPr>
      </w:pPr>
      <w:bookmarkStart w:id="76" w:name="bookmark70"/>
      <w:bookmarkEnd w:id="76"/>
      <w:r>
        <w:rPr>
          <w:rFonts w:hint="eastAsia" w:ascii="宋体" w:hAnsi="宋体" w:eastAsia="宋体" w:cs="宋体"/>
          <w:highlight w:val="none"/>
        </w:rPr>
        <w:t>8.2 对投标人的纪律要求</w:t>
      </w:r>
    </w:p>
    <w:p w14:paraId="42323CB4">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投标人不得相互串通投标或者与招标人串通投标，不得向招标人或者评标</w:t>
      </w:r>
      <w:r>
        <w:rPr>
          <w:rFonts w:hint="eastAsia" w:cs="宋体"/>
          <w:color w:val="auto"/>
          <w:sz w:val="24"/>
          <w:szCs w:val="24"/>
          <w:highlight w:val="none"/>
          <w:u w:val="single"/>
          <w:lang w:eastAsia="zh-CN"/>
        </w:rPr>
        <w:t>、定标</w:t>
      </w:r>
      <w:r>
        <w:rPr>
          <w:rFonts w:hint="eastAsia" w:cs="宋体"/>
          <w:color w:val="auto"/>
          <w:sz w:val="24"/>
          <w:szCs w:val="24"/>
          <w:highlight w:val="none"/>
        </w:rPr>
        <w:t>委员会成员行贿谋取中标，不得以他人名义投标或者以其他方式弄虚作假骗取中标；投标人不得以任何方式干扰、影响评标</w:t>
      </w:r>
      <w:r>
        <w:rPr>
          <w:rFonts w:hint="eastAsia" w:cs="宋体"/>
          <w:color w:val="auto"/>
          <w:sz w:val="24"/>
          <w:szCs w:val="24"/>
          <w:highlight w:val="none"/>
          <w:u w:val="single"/>
          <w:lang w:eastAsia="zh-CN"/>
        </w:rPr>
        <w:t>、定标</w:t>
      </w:r>
      <w:r>
        <w:rPr>
          <w:rFonts w:hint="eastAsia" w:cs="宋体"/>
          <w:color w:val="auto"/>
          <w:sz w:val="24"/>
          <w:szCs w:val="24"/>
          <w:highlight w:val="none"/>
        </w:rPr>
        <w:t>工作。</w:t>
      </w:r>
    </w:p>
    <w:p w14:paraId="21BECC7F">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highlight w:val="none"/>
        </w:rPr>
      </w:pPr>
      <w:bookmarkStart w:id="77" w:name="bookmark71"/>
      <w:bookmarkEnd w:id="77"/>
      <w:r>
        <w:rPr>
          <w:rFonts w:hint="eastAsia" w:ascii="宋体" w:hAnsi="宋体" w:eastAsia="宋体" w:cs="宋体"/>
          <w:highlight w:val="none"/>
        </w:rPr>
        <w:t>8.3 对评标</w:t>
      </w:r>
      <w:r>
        <w:rPr>
          <w:rFonts w:hint="eastAsia" w:ascii="宋体" w:hAnsi="宋体" w:cs="宋体"/>
          <w:highlight w:val="none"/>
          <w:u w:val="single"/>
          <w:lang w:eastAsia="zh-CN"/>
        </w:rPr>
        <w:t>、定标</w:t>
      </w:r>
      <w:r>
        <w:rPr>
          <w:rFonts w:hint="eastAsia" w:ascii="宋体" w:hAnsi="宋体" w:eastAsia="宋体" w:cs="宋体"/>
          <w:highlight w:val="none"/>
        </w:rPr>
        <w:t>委员会成员的纪律要求</w:t>
      </w:r>
    </w:p>
    <w:p w14:paraId="2DFE850D">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评标</w:t>
      </w:r>
      <w:r>
        <w:rPr>
          <w:rFonts w:hint="eastAsia" w:cs="宋体"/>
          <w:color w:val="auto"/>
          <w:sz w:val="24"/>
          <w:szCs w:val="24"/>
          <w:highlight w:val="none"/>
          <w:u w:val="single"/>
          <w:lang w:eastAsia="zh-CN"/>
        </w:rPr>
        <w:t>、定标</w:t>
      </w:r>
      <w:r>
        <w:rPr>
          <w:rFonts w:hint="eastAsia" w:cs="宋体"/>
          <w:color w:val="auto"/>
          <w:sz w:val="24"/>
          <w:szCs w:val="24"/>
          <w:highlight w:val="none"/>
        </w:rPr>
        <w:t>委员会成员不得收受他人的财物或者其他好处，不得向他人透露对投标文件的评审和比较、中标候选人的推荐情况以及评标</w:t>
      </w:r>
      <w:r>
        <w:rPr>
          <w:rFonts w:hint="eastAsia" w:cs="宋体"/>
          <w:color w:val="auto"/>
          <w:sz w:val="24"/>
          <w:szCs w:val="24"/>
          <w:highlight w:val="none"/>
          <w:u w:val="single"/>
          <w:lang w:eastAsia="zh-CN"/>
        </w:rPr>
        <w:t>、定标</w:t>
      </w:r>
      <w:r>
        <w:rPr>
          <w:rFonts w:hint="eastAsia" w:cs="宋体"/>
          <w:color w:val="auto"/>
          <w:sz w:val="24"/>
          <w:szCs w:val="24"/>
          <w:highlight w:val="none"/>
        </w:rPr>
        <w:t>有关的其他情况。在评标</w:t>
      </w:r>
      <w:r>
        <w:rPr>
          <w:rFonts w:hint="eastAsia" w:cs="宋体"/>
          <w:color w:val="auto"/>
          <w:sz w:val="24"/>
          <w:szCs w:val="24"/>
          <w:highlight w:val="none"/>
          <w:u w:val="single"/>
          <w:lang w:eastAsia="zh-CN"/>
        </w:rPr>
        <w:t>、定标</w:t>
      </w:r>
      <w:r>
        <w:rPr>
          <w:rFonts w:hint="eastAsia" w:cs="宋体"/>
          <w:color w:val="auto"/>
          <w:sz w:val="24"/>
          <w:szCs w:val="24"/>
          <w:highlight w:val="none"/>
        </w:rPr>
        <w:t>活动中，评标</w:t>
      </w:r>
      <w:r>
        <w:rPr>
          <w:rFonts w:hint="eastAsia" w:cs="宋体"/>
          <w:color w:val="auto"/>
          <w:sz w:val="24"/>
          <w:szCs w:val="24"/>
          <w:highlight w:val="none"/>
          <w:u w:val="single"/>
          <w:lang w:eastAsia="zh-CN"/>
        </w:rPr>
        <w:t>、定标</w:t>
      </w:r>
      <w:r>
        <w:rPr>
          <w:rFonts w:hint="eastAsia" w:cs="宋体"/>
          <w:color w:val="auto"/>
          <w:sz w:val="24"/>
          <w:szCs w:val="24"/>
          <w:highlight w:val="none"/>
        </w:rPr>
        <w:t>委员会成员应当客观、公正地履行职责，遵守职业道德，不得擅离职守，影响评标</w:t>
      </w:r>
      <w:r>
        <w:rPr>
          <w:rFonts w:hint="eastAsia" w:cs="宋体"/>
          <w:color w:val="auto"/>
          <w:sz w:val="24"/>
          <w:szCs w:val="24"/>
          <w:highlight w:val="none"/>
          <w:u w:val="single"/>
          <w:lang w:eastAsia="zh-CN"/>
        </w:rPr>
        <w:t>、定标</w:t>
      </w:r>
      <w:r>
        <w:rPr>
          <w:rFonts w:hint="eastAsia" w:cs="宋体"/>
          <w:color w:val="auto"/>
          <w:sz w:val="24"/>
          <w:szCs w:val="24"/>
          <w:highlight w:val="none"/>
        </w:rPr>
        <w:t>程序正常进行，不得使用第三章“评标</w:t>
      </w:r>
      <w:r>
        <w:rPr>
          <w:rFonts w:hint="eastAsia" w:cs="宋体"/>
          <w:color w:val="auto"/>
          <w:sz w:val="24"/>
          <w:szCs w:val="24"/>
          <w:highlight w:val="none"/>
          <w:u w:val="single"/>
          <w:lang w:eastAsia="zh-CN"/>
        </w:rPr>
        <w:t>、定标</w:t>
      </w:r>
      <w:r>
        <w:rPr>
          <w:rFonts w:hint="eastAsia" w:cs="宋体"/>
          <w:color w:val="auto"/>
          <w:sz w:val="24"/>
          <w:szCs w:val="24"/>
          <w:highlight w:val="none"/>
        </w:rPr>
        <w:t>办法”没有规定的评审因素和标准进行评标</w:t>
      </w:r>
      <w:r>
        <w:rPr>
          <w:rFonts w:hint="eastAsia" w:cs="宋体"/>
          <w:color w:val="auto"/>
          <w:sz w:val="24"/>
          <w:szCs w:val="24"/>
          <w:highlight w:val="none"/>
          <w:u w:val="single"/>
          <w:lang w:eastAsia="zh-CN"/>
        </w:rPr>
        <w:t>、定标</w:t>
      </w:r>
      <w:r>
        <w:rPr>
          <w:rFonts w:hint="eastAsia" w:cs="宋体"/>
          <w:color w:val="auto"/>
          <w:sz w:val="24"/>
          <w:szCs w:val="24"/>
          <w:highlight w:val="none"/>
        </w:rPr>
        <w:t>。</w:t>
      </w:r>
    </w:p>
    <w:p w14:paraId="7B27BE2B">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highlight w:val="none"/>
        </w:rPr>
      </w:pPr>
      <w:bookmarkStart w:id="78" w:name="bookmark72"/>
      <w:bookmarkEnd w:id="78"/>
      <w:r>
        <w:rPr>
          <w:rFonts w:hint="eastAsia" w:ascii="宋体" w:hAnsi="宋体" w:eastAsia="宋体" w:cs="宋体"/>
          <w:highlight w:val="none"/>
        </w:rPr>
        <w:t>8.4 对与评标</w:t>
      </w:r>
      <w:r>
        <w:rPr>
          <w:rFonts w:hint="eastAsia" w:cs="宋体"/>
          <w:color w:val="auto"/>
          <w:sz w:val="24"/>
          <w:szCs w:val="24"/>
          <w:highlight w:val="none"/>
          <w:u w:val="single"/>
          <w:lang w:eastAsia="zh-CN"/>
        </w:rPr>
        <w:t>、定标</w:t>
      </w:r>
      <w:r>
        <w:rPr>
          <w:rFonts w:hint="eastAsia" w:ascii="宋体" w:hAnsi="宋体" w:eastAsia="宋体" w:cs="宋体"/>
          <w:highlight w:val="none"/>
        </w:rPr>
        <w:t>活动有关的工作人员的纪律要求</w:t>
      </w:r>
    </w:p>
    <w:p w14:paraId="0A69BFF4">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与评标</w:t>
      </w:r>
      <w:r>
        <w:rPr>
          <w:rFonts w:hint="eastAsia" w:cs="宋体"/>
          <w:color w:val="auto"/>
          <w:sz w:val="24"/>
          <w:szCs w:val="24"/>
          <w:highlight w:val="none"/>
          <w:u w:val="single"/>
          <w:lang w:eastAsia="zh-CN"/>
        </w:rPr>
        <w:t>、定标</w:t>
      </w:r>
      <w:r>
        <w:rPr>
          <w:rFonts w:hint="eastAsia" w:cs="宋体"/>
          <w:color w:val="auto"/>
          <w:sz w:val="24"/>
          <w:szCs w:val="24"/>
          <w:highlight w:val="none"/>
        </w:rPr>
        <w:t>活动有关的工作人员不得收受他人的财物或者其他好处，不得向他人透露对投标文件的评审和比较、中标候选人的推荐情况以及评标</w:t>
      </w:r>
      <w:r>
        <w:rPr>
          <w:rFonts w:hint="eastAsia" w:cs="宋体"/>
          <w:color w:val="auto"/>
          <w:sz w:val="24"/>
          <w:szCs w:val="24"/>
          <w:highlight w:val="none"/>
          <w:u w:val="single"/>
          <w:lang w:eastAsia="zh-CN"/>
        </w:rPr>
        <w:t>、定标</w:t>
      </w:r>
      <w:r>
        <w:rPr>
          <w:rFonts w:hint="eastAsia" w:cs="宋体"/>
          <w:color w:val="auto"/>
          <w:sz w:val="24"/>
          <w:szCs w:val="24"/>
          <w:highlight w:val="none"/>
        </w:rPr>
        <w:t>有关的其他情况。在评标</w:t>
      </w:r>
      <w:r>
        <w:rPr>
          <w:rFonts w:hint="eastAsia" w:cs="宋体"/>
          <w:color w:val="auto"/>
          <w:sz w:val="24"/>
          <w:szCs w:val="24"/>
          <w:highlight w:val="none"/>
          <w:u w:val="single"/>
          <w:lang w:eastAsia="zh-CN"/>
        </w:rPr>
        <w:t>、定标</w:t>
      </w:r>
      <w:r>
        <w:rPr>
          <w:rFonts w:hint="eastAsia" w:cs="宋体"/>
          <w:color w:val="auto"/>
          <w:sz w:val="24"/>
          <w:szCs w:val="24"/>
          <w:highlight w:val="none"/>
        </w:rPr>
        <w:t>活动中，与评标</w:t>
      </w:r>
      <w:r>
        <w:rPr>
          <w:rFonts w:hint="eastAsia" w:cs="宋体"/>
          <w:color w:val="auto"/>
          <w:sz w:val="24"/>
          <w:szCs w:val="24"/>
          <w:highlight w:val="none"/>
          <w:u w:val="single"/>
          <w:lang w:eastAsia="zh-CN"/>
        </w:rPr>
        <w:t>、定标</w:t>
      </w:r>
      <w:r>
        <w:rPr>
          <w:rFonts w:hint="eastAsia" w:cs="宋体"/>
          <w:color w:val="auto"/>
          <w:sz w:val="24"/>
          <w:szCs w:val="24"/>
          <w:highlight w:val="none"/>
        </w:rPr>
        <w:t>活动有关的工作人员不得擅离职守，影响评标</w:t>
      </w:r>
      <w:r>
        <w:rPr>
          <w:rFonts w:hint="eastAsia" w:cs="宋体"/>
          <w:color w:val="auto"/>
          <w:sz w:val="24"/>
          <w:szCs w:val="24"/>
          <w:highlight w:val="none"/>
          <w:u w:val="single"/>
          <w:lang w:eastAsia="zh-CN"/>
        </w:rPr>
        <w:t>、定标</w:t>
      </w:r>
      <w:r>
        <w:rPr>
          <w:rFonts w:hint="eastAsia" w:cs="宋体"/>
          <w:color w:val="auto"/>
          <w:sz w:val="24"/>
          <w:szCs w:val="24"/>
          <w:highlight w:val="none"/>
        </w:rPr>
        <w:t>程序正常进行。</w:t>
      </w:r>
    </w:p>
    <w:p w14:paraId="2A5C4B16">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highlight w:val="none"/>
        </w:rPr>
      </w:pPr>
      <w:bookmarkStart w:id="79" w:name="bookmark73"/>
      <w:bookmarkEnd w:id="79"/>
      <w:r>
        <w:rPr>
          <w:rFonts w:hint="eastAsia" w:ascii="宋体" w:hAnsi="宋体" w:eastAsia="宋体" w:cs="宋体"/>
          <w:highlight w:val="none"/>
        </w:rPr>
        <w:t>8.5 投诉</w:t>
      </w:r>
    </w:p>
    <w:p w14:paraId="01C39029">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8.5.1  投标人或者其他利害关系人认为招标投标活动不符合法律、行政法规规定的，可以自知道或者应当知道之日起10日内向有关行政监督部门投诉。投诉应当有明确的请求和必要的证明材料。</w:t>
      </w:r>
    </w:p>
    <w:p w14:paraId="3501C676">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8.5.2  投标人或者其他利害关系人对招标文件、开标和评标</w:t>
      </w:r>
      <w:r>
        <w:rPr>
          <w:rFonts w:hint="eastAsia" w:cs="宋体"/>
          <w:color w:val="auto"/>
          <w:sz w:val="24"/>
          <w:szCs w:val="24"/>
          <w:highlight w:val="none"/>
          <w:u w:val="single"/>
          <w:lang w:eastAsia="zh-CN"/>
        </w:rPr>
        <w:t>、定标</w:t>
      </w:r>
      <w:r>
        <w:rPr>
          <w:rFonts w:hint="eastAsia" w:cs="宋体"/>
          <w:color w:val="auto"/>
          <w:sz w:val="24"/>
          <w:szCs w:val="24"/>
          <w:highlight w:val="none"/>
        </w:rPr>
        <w:t>结果提出投诉的，应当按照投标人须知第2.4款、第5.3款和第7.2款的规定先向招标人提出异议。异议答复期间不计算在第8.5.1项规定的期限内。</w:t>
      </w:r>
    </w:p>
    <w:p w14:paraId="08E9A286">
      <w:pPr>
        <w:pStyle w:val="4"/>
        <w:outlineLvl w:val="1"/>
        <w:rPr>
          <w:rFonts w:hint="eastAsia" w:ascii="宋体" w:hAnsi="宋体" w:eastAsia="宋体" w:cs="宋体"/>
          <w:b w:val="0"/>
          <w:color w:val="auto"/>
          <w:sz w:val="19"/>
          <w:szCs w:val="24"/>
          <w:highlight w:val="none"/>
        </w:rPr>
      </w:pPr>
      <w:bookmarkStart w:id="80" w:name="bookmark74"/>
      <w:bookmarkEnd w:id="80"/>
      <w:bookmarkStart w:id="81" w:name="_Toc31836"/>
      <w:r>
        <w:rPr>
          <w:rFonts w:hint="eastAsia" w:cs="宋体"/>
          <w:color w:val="auto"/>
          <w:sz w:val="24"/>
          <w:szCs w:val="24"/>
          <w:highlight w:val="none"/>
        </w:rPr>
        <w:t>9.采用电子招标投标</w:t>
      </w:r>
      <w:bookmarkEnd w:id="81"/>
    </w:p>
    <w:p w14:paraId="0ED52E69">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48" w:firstLineChars="200"/>
        <w:jc w:val="both"/>
        <w:rPr>
          <w:rFonts w:hint="eastAsia" w:cs="宋体"/>
          <w:color w:val="auto"/>
          <w:sz w:val="24"/>
          <w:szCs w:val="24"/>
          <w:highlight w:val="none"/>
        </w:rPr>
      </w:pPr>
      <w:r>
        <w:rPr>
          <w:rFonts w:hint="eastAsia" w:ascii="宋体" w:hAnsi="宋体" w:eastAsia="宋体" w:cs="宋体"/>
          <w:color w:val="auto"/>
          <w:spacing w:val="-8"/>
          <w:sz w:val="24"/>
          <w:szCs w:val="24"/>
          <w:highlight w:val="none"/>
        </w:rPr>
        <w:t>本招标项目采用电子招标投标方式，</w:t>
      </w:r>
      <w:r>
        <w:rPr>
          <w:rFonts w:hint="eastAsia" w:ascii="宋体" w:hAnsi="宋体" w:eastAsia="宋体" w:cs="宋体"/>
          <w:color w:val="auto"/>
          <w:spacing w:val="-8"/>
          <w:sz w:val="24"/>
          <w:szCs w:val="24"/>
          <w:highlight w:val="none"/>
          <w:lang w:eastAsia="zh-CN"/>
        </w:rPr>
        <w:t>按照广州交易集团有限公司（广州公共资源交易中心）网站关于全流程电子化项目的相关指南进行操作</w:t>
      </w:r>
      <w:r>
        <w:rPr>
          <w:rFonts w:hint="eastAsia" w:cs="宋体"/>
          <w:color w:val="auto"/>
          <w:sz w:val="24"/>
          <w:szCs w:val="24"/>
          <w:highlight w:val="none"/>
        </w:rPr>
        <w:t>。</w:t>
      </w:r>
    </w:p>
    <w:p w14:paraId="71C96E1B">
      <w:pPr>
        <w:pStyle w:val="4"/>
        <w:outlineLvl w:val="1"/>
        <w:rPr>
          <w:rFonts w:hint="eastAsia" w:ascii="宋体" w:hAnsi="宋体" w:eastAsia="宋体" w:cs="宋体"/>
          <w:b w:val="0"/>
          <w:color w:val="auto"/>
          <w:sz w:val="19"/>
          <w:szCs w:val="24"/>
          <w:highlight w:val="none"/>
        </w:rPr>
      </w:pPr>
      <w:bookmarkStart w:id="82" w:name="bookmark75"/>
      <w:bookmarkEnd w:id="82"/>
      <w:bookmarkStart w:id="83" w:name="_Toc7238"/>
      <w:r>
        <w:rPr>
          <w:rFonts w:hint="eastAsia" w:cs="宋体"/>
          <w:color w:val="auto"/>
          <w:sz w:val="24"/>
          <w:szCs w:val="24"/>
          <w:highlight w:val="none"/>
        </w:rPr>
        <w:t>10.需要补充的其他内容</w:t>
      </w:r>
      <w:bookmarkEnd w:id="83"/>
    </w:p>
    <w:p w14:paraId="2CBCD97B">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需要补充的其他内容：见投标人须知前附表。</w:t>
      </w:r>
    </w:p>
    <w:p w14:paraId="56FFB704">
      <w:pPr>
        <w:pStyle w:val="1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eastAsia" w:ascii="宋体" w:hAnsi="宋体" w:eastAsia="宋体" w:cs="宋体"/>
          <w:color w:val="auto"/>
          <w:sz w:val="24"/>
          <w:szCs w:val="24"/>
          <w:highlight w:val="none"/>
        </w:rPr>
        <w:sectPr>
          <w:pgSz w:w="11905" w:h="16838"/>
          <w:pgMar w:top="1417" w:right="1417" w:bottom="1417" w:left="1417" w:header="992" w:footer="992" w:gutter="0"/>
          <w:lnNumType w:countBy="0" w:distance="360"/>
          <w:cols w:space="720" w:num="1"/>
        </w:sectPr>
      </w:pPr>
    </w:p>
    <w:p w14:paraId="0CAAAFB4">
      <w:pPr>
        <w:pStyle w:val="5"/>
        <w:outlineLvl w:val="0"/>
        <w:rPr>
          <w:rFonts w:hint="eastAsia" w:cs="宋体"/>
          <w:color w:val="auto"/>
          <w:sz w:val="28"/>
          <w:szCs w:val="24"/>
          <w:highlight w:val="none"/>
        </w:rPr>
      </w:pPr>
      <w:bookmarkStart w:id="84" w:name="bookmark76"/>
      <w:bookmarkEnd w:id="84"/>
      <w:bookmarkStart w:id="85" w:name="bookmark77"/>
      <w:bookmarkEnd w:id="85"/>
      <w:bookmarkStart w:id="86" w:name="_Toc5057"/>
      <w:bookmarkStart w:id="87" w:name="_Toc1460"/>
      <w:r>
        <w:rPr>
          <w:rFonts w:hint="eastAsia" w:cs="宋体"/>
          <w:color w:val="auto"/>
          <w:sz w:val="28"/>
          <w:szCs w:val="24"/>
          <w:highlight w:val="none"/>
        </w:rPr>
        <w:t>附件</w:t>
      </w:r>
      <w:r>
        <w:rPr>
          <w:rFonts w:hint="eastAsia" w:cs="宋体"/>
          <w:color w:val="auto"/>
          <w:sz w:val="28"/>
          <w:szCs w:val="24"/>
          <w:highlight w:val="none"/>
          <w:lang w:eastAsia="zh-CN"/>
        </w:rPr>
        <w:t>一</w:t>
      </w:r>
      <w:r>
        <w:rPr>
          <w:rFonts w:hint="eastAsia" w:cs="宋体"/>
          <w:color w:val="auto"/>
          <w:sz w:val="28"/>
          <w:szCs w:val="24"/>
          <w:highlight w:val="none"/>
        </w:rPr>
        <w:t>：问题澄清通知</w:t>
      </w:r>
      <w:bookmarkEnd w:id="86"/>
      <w:bookmarkEnd w:id="87"/>
    </w:p>
    <w:p w14:paraId="4ECAD1E1">
      <w:pPr>
        <w:pStyle w:val="12"/>
        <w:kinsoku w:val="0"/>
        <w:overflowPunct w:val="0"/>
        <w:ind w:left="0"/>
        <w:rPr>
          <w:rFonts w:hint="eastAsia" w:cs="宋体"/>
          <w:color w:val="auto"/>
          <w:sz w:val="20"/>
          <w:szCs w:val="24"/>
          <w:highlight w:val="none"/>
        </w:rPr>
      </w:pPr>
    </w:p>
    <w:p w14:paraId="63082682">
      <w:pPr>
        <w:pStyle w:val="12"/>
        <w:kinsoku w:val="0"/>
        <w:overflowPunct w:val="0"/>
        <w:ind w:left="0"/>
        <w:rPr>
          <w:rFonts w:hint="eastAsia" w:cs="宋体"/>
          <w:color w:val="auto"/>
          <w:sz w:val="20"/>
          <w:szCs w:val="24"/>
          <w:highlight w:val="none"/>
        </w:rPr>
      </w:pPr>
    </w:p>
    <w:p w14:paraId="3B90AF3D">
      <w:pPr>
        <w:pStyle w:val="12"/>
        <w:kinsoku w:val="0"/>
        <w:overflowPunct w:val="0"/>
        <w:ind w:left="0"/>
        <w:rPr>
          <w:rFonts w:hint="eastAsia" w:cs="宋体"/>
          <w:color w:val="auto"/>
          <w:sz w:val="20"/>
          <w:szCs w:val="24"/>
          <w:highlight w:val="none"/>
        </w:rPr>
      </w:pPr>
    </w:p>
    <w:p w14:paraId="0B4B2492">
      <w:pPr>
        <w:pStyle w:val="12"/>
        <w:kinsoku w:val="0"/>
        <w:overflowPunct w:val="0"/>
        <w:spacing w:before="4"/>
        <w:ind w:left="0"/>
        <w:rPr>
          <w:rFonts w:hint="eastAsia" w:cs="宋体"/>
          <w:color w:val="auto"/>
          <w:sz w:val="17"/>
          <w:szCs w:val="24"/>
          <w:highlight w:val="none"/>
        </w:rPr>
      </w:pPr>
    </w:p>
    <w:p w14:paraId="3F0544A1">
      <w:pPr>
        <w:pStyle w:val="12"/>
        <w:kinsoku w:val="0"/>
        <w:overflowPunct w:val="0"/>
        <w:spacing w:before="14"/>
        <w:ind w:left="0" w:right="13"/>
        <w:jc w:val="center"/>
        <w:rPr>
          <w:rFonts w:hint="eastAsia" w:cs="宋体"/>
          <w:color w:val="auto"/>
          <w:sz w:val="28"/>
          <w:szCs w:val="24"/>
          <w:highlight w:val="none"/>
        </w:rPr>
      </w:pPr>
      <w:r>
        <w:rPr>
          <w:rFonts w:hint="eastAsia" w:cs="宋体"/>
          <w:color w:val="auto"/>
          <w:sz w:val="28"/>
          <w:szCs w:val="24"/>
          <w:highlight w:val="none"/>
        </w:rPr>
        <w:t>问题澄清通知</w:t>
      </w:r>
    </w:p>
    <w:p w14:paraId="47C29483">
      <w:pPr>
        <w:pStyle w:val="12"/>
        <w:tabs>
          <w:tab w:val="left" w:pos="2937"/>
        </w:tabs>
        <w:kinsoku w:val="0"/>
        <w:overflowPunct w:val="0"/>
        <w:spacing w:before="157"/>
        <w:ind w:left="0" w:right="20"/>
        <w:jc w:val="center"/>
        <w:rPr>
          <w:rFonts w:hint="eastAsia" w:cs="宋体"/>
          <w:color w:val="auto"/>
          <w:sz w:val="21"/>
          <w:szCs w:val="24"/>
          <w:highlight w:val="none"/>
        </w:rPr>
      </w:pPr>
      <w:r>
        <w:rPr>
          <w:rFonts w:hint="eastAsia" w:cs="宋体"/>
          <w:color w:val="auto"/>
          <w:spacing w:val="-1"/>
          <w:sz w:val="21"/>
          <w:szCs w:val="24"/>
          <w:highlight w:val="none"/>
        </w:rPr>
        <w:t>（编号：</w:t>
      </w:r>
      <w:r>
        <w:rPr>
          <w:rFonts w:hint="eastAsia" w:ascii="宋体" w:hAnsi="宋体" w:eastAsia="宋体" w:cs="宋体"/>
          <w:color w:val="auto"/>
          <w:spacing w:val="-1"/>
          <w:sz w:val="21"/>
          <w:szCs w:val="24"/>
          <w:highlight w:val="none"/>
          <w:u w:val="single"/>
        </w:rPr>
        <w:tab/>
      </w:r>
      <w:r>
        <w:rPr>
          <w:rFonts w:hint="eastAsia" w:cs="宋体"/>
          <w:color w:val="auto"/>
          <w:sz w:val="21"/>
          <w:szCs w:val="24"/>
          <w:highlight w:val="none"/>
        </w:rPr>
        <w:t>）</w:t>
      </w:r>
    </w:p>
    <w:p w14:paraId="5FBEA33E">
      <w:pPr>
        <w:pStyle w:val="12"/>
        <w:kinsoku w:val="0"/>
        <w:overflowPunct w:val="0"/>
        <w:ind w:left="0"/>
        <w:rPr>
          <w:rFonts w:hint="eastAsia" w:cs="宋体"/>
          <w:color w:val="auto"/>
          <w:sz w:val="20"/>
          <w:szCs w:val="24"/>
          <w:highlight w:val="none"/>
        </w:rPr>
      </w:pPr>
    </w:p>
    <w:p w14:paraId="52F1B83B">
      <w:pPr>
        <w:pStyle w:val="12"/>
        <w:kinsoku w:val="0"/>
        <w:overflowPunct w:val="0"/>
        <w:spacing w:before="5"/>
        <w:ind w:left="0"/>
        <w:rPr>
          <w:rFonts w:hint="eastAsia" w:cs="宋体"/>
          <w:color w:val="auto"/>
          <w:sz w:val="23"/>
          <w:szCs w:val="24"/>
          <w:highlight w:val="none"/>
        </w:rPr>
      </w:pPr>
    </w:p>
    <w:p w14:paraId="3824E7DF">
      <w:pPr>
        <w:pStyle w:val="12"/>
        <w:tabs>
          <w:tab w:val="left" w:pos="2305"/>
        </w:tabs>
        <w:kinsoku w:val="0"/>
        <w:overflowPunct w:val="0"/>
        <w:spacing w:before="36"/>
        <w:ind w:left="100" w:right="113"/>
        <w:rPr>
          <w:rFonts w:hint="eastAsia" w:cs="宋体"/>
          <w:color w:val="auto"/>
          <w:spacing w:val="-15"/>
          <w:sz w:val="21"/>
          <w:szCs w:val="24"/>
          <w:highlight w:val="none"/>
        </w:rPr>
      </w:pPr>
      <w:r>
        <w:rPr>
          <w:rFonts w:hint="eastAsia" w:ascii="宋体" w:hAnsi="宋体" w:eastAsia="宋体" w:cs="宋体"/>
          <w:color w:val="auto"/>
          <w:sz w:val="21"/>
          <w:szCs w:val="24"/>
          <w:highlight w:val="none"/>
          <w:u w:val="single"/>
        </w:rPr>
        <w:t xml:space="preserve"> </w:t>
      </w:r>
      <w:r>
        <w:rPr>
          <w:rFonts w:hint="eastAsia" w:ascii="宋体" w:hAnsi="宋体" w:eastAsia="宋体" w:cs="宋体"/>
          <w:color w:val="auto"/>
          <w:sz w:val="21"/>
          <w:szCs w:val="24"/>
          <w:highlight w:val="none"/>
          <w:u w:val="single"/>
        </w:rPr>
        <w:tab/>
      </w:r>
      <w:r>
        <w:rPr>
          <w:rFonts w:hint="eastAsia" w:cs="宋体"/>
          <w:color w:val="auto"/>
          <w:spacing w:val="-15"/>
          <w:sz w:val="21"/>
          <w:szCs w:val="24"/>
          <w:highlight w:val="none"/>
        </w:rPr>
        <w:t>（投标人名称）：</w:t>
      </w:r>
    </w:p>
    <w:p w14:paraId="4B7D3603">
      <w:pPr>
        <w:pStyle w:val="12"/>
        <w:kinsoku w:val="0"/>
        <w:overflowPunct w:val="0"/>
        <w:ind w:left="0"/>
        <w:rPr>
          <w:rFonts w:hint="eastAsia" w:cs="宋体"/>
          <w:color w:val="auto"/>
          <w:sz w:val="20"/>
          <w:szCs w:val="24"/>
          <w:highlight w:val="none"/>
        </w:rPr>
      </w:pPr>
    </w:p>
    <w:p w14:paraId="04341783">
      <w:pPr>
        <w:pStyle w:val="12"/>
        <w:kinsoku w:val="0"/>
        <w:overflowPunct w:val="0"/>
        <w:spacing w:before="8"/>
        <w:ind w:left="0"/>
        <w:rPr>
          <w:rFonts w:hint="eastAsia" w:cs="宋体"/>
          <w:color w:val="auto"/>
          <w:sz w:val="23"/>
          <w:szCs w:val="24"/>
          <w:highlight w:val="none"/>
        </w:rPr>
      </w:pPr>
    </w:p>
    <w:p w14:paraId="2E8E0D6C">
      <w:pPr>
        <w:pStyle w:val="12"/>
        <w:kinsoku w:val="0"/>
        <w:overflowPunct w:val="0"/>
        <w:spacing w:before="36" w:line="384" w:lineRule="auto"/>
        <w:ind w:left="100" w:right="113" w:firstLine="422"/>
        <w:rPr>
          <w:rFonts w:hint="eastAsia" w:cs="宋体"/>
          <w:color w:val="auto"/>
          <w:sz w:val="21"/>
          <w:szCs w:val="24"/>
          <w:highlight w:val="none"/>
        </w:rPr>
      </w:pPr>
      <w:r>
        <w:rPr>
          <w:rFonts w:hint="eastAsia" w:cs="宋体"/>
          <w:color w:val="auto"/>
          <w:spacing w:val="-1"/>
          <w:sz w:val="21"/>
          <w:szCs w:val="24"/>
          <w:highlight w:val="none"/>
        </w:rPr>
        <w:t>评标委员会对你方的投标文件进行了仔细的审查，现需你方对下列问题以书面形式予以澄</w:t>
      </w:r>
      <w:r>
        <w:rPr>
          <w:rFonts w:hint="eastAsia" w:cs="宋体"/>
          <w:color w:val="auto"/>
          <w:sz w:val="21"/>
          <w:szCs w:val="24"/>
          <w:highlight w:val="none"/>
        </w:rPr>
        <w:t xml:space="preserve"> 清、说明或补正：</w:t>
      </w:r>
    </w:p>
    <w:p w14:paraId="3CFC84D9">
      <w:pPr>
        <w:pStyle w:val="12"/>
        <w:kinsoku w:val="0"/>
        <w:overflowPunct w:val="0"/>
        <w:ind w:left="0"/>
        <w:rPr>
          <w:rFonts w:hint="eastAsia" w:cs="宋体"/>
          <w:color w:val="auto"/>
          <w:sz w:val="20"/>
          <w:szCs w:val="24"/>
          <w:highlight w:val="none"/>
        </w:rPr>
      </w:pPr>
    </w:p>
    <w:p w14:paraId="29430A36">
      <w:pPr>
        <w:pStyle w:val="12"/>
        <w:kinsoku w:val="0"/>
        <w:overflowPunct w:val="0"/>
        <w:spacing w:before="6"/>
        <w:ind w:left="0"/>
        <w:rPr>
          <w:rFonts w:hint="eastAsia" w:cs="宋体"/>
          <w:color w:val="auto"/>
          <w:sz w:val="20"/>
          <w:szCs w:val="24"/>
          <w:highlight w:val="none"/>
        </w:rPr>
      </w:pPr>
    </w:p>
    <w:p w14:paraId="7A290B3C">
      <w:pPr>
        <w:pStyle w:val="12"/>
        <w:kinsoku w:val="0"/>
        <w:overflowPunct w:val="0"/>
        <w:ind w:left="522" w:right="113"/>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1.</w:t>
      </w:r>
    </w:p>
    <w:p w14:paraId="157950B2">
      <w:pPr>
        <w:pStyle w:val="12"/>
        <w:kinsoku w:val="0"/>
        <w:overflowPunct w:val="0"/>
        <w:spacing w:before="2"/>
        <w:ind w:left="0"/>
        <w:rPr>
          <w:rFonts w:hint="eastAsia" w:ascii="宋体" w:hAnsi="宋体" w:eastAsia="宋体" w:cs="宋体"/>
          <w:color w:val="auto"/>
          <w:sz w:val="17"/>
          <w:szCs w:val="24"/>
          <w:highlight w:val="none"/>
        </w:rPr>
      </w:pPr>
    </w:p>
    <w:p w14:paraId="0E760ED1">
      <w:pPr>
        <w:pStyle w:val="12"/>
        <w:kinsoku w:val="0"/>
        <w:overflowPunct w:val="0"/>
        <w:ind w:left="522" w:right="113"/>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2.</w:t>
      </w:r>
    </w:p>
    <w:p w14:paraId="7204D5A9">
      <w:pPr>
        <w:pStyle w:val="12"/>
        <w:kinsoku w:val="0"/>
        <w:overflowPunct w:val="0"/>
        <w:spacing w:before="5"/>
        <w:ind w:left="0"/>
        <w:rPr>
          <w:rFonts w:hint="eastAsia" w:ascii="宋体" w:hAnsi="宋体" w:eastAsia="宋体" w:cs="宋体"/>
          <w:color w:val="auto"/>
          <w:sz w:val="17"/>
          <w:szCs w:val="24"/>
          <w:highlight w:val="none"/>
        </w:rPr>
      </w:pPr>
    </w:p>
    <w:p w14:paraId="3B657748">
      <w:pPr>
        <w:pStyle w:val="12"/>
        <w:kinsoku w:val="0"/>
        <w:overflowPunct w:val="0"/>
        <w:ind w:left="628" w:right="113"/>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w:t>
      </w:r>
    </w:p>
    <w:p w14:paraId="3040C5FC">
      <w:pPr>
        <w:pStyle w:val="12"/>
        <w:kinsoku w:val="0"/>
        <w:overflowPunct w:val="0"/>
        <w:ind w:left="0"/>
        <w:rPr>
          <w:rFonts w:hint="eastAsia" w:ascii="宋体" w:hAnsi="宋体" w:eastAsia="宋体" w:cs="宋体"/>
          <w:color w:val="auto"/>
          <w:sz w:val="20"/>
          <w:szCs w:val="24"/>
          <w:highlight w:val="none"/>
        </w:rPr>
      </w:pPr>
    </w:p>
    <w:p w14:paraId="49E77237">
      <w:pPr>
        <w:pStyle w:val="12"/>
        <w:kinsoku w:val="0"/>
        <w:overflowPunct w:val="0"/>
        <w:ind w:left="0"/>
        <w:rPr>
          <w:rFonts w:hint="eastAsia" w:ascii="宋体" w:hAnsi="宋体" w:eastAsia="宋体" w:cs="宋体"/>
          <w:color w:val="auto"/>
          <w:sz w:val="20"/>
          <w:szCs w:val="24"/>
          <w:highlight w:val="none"/>
        </w:rPr>
      </w:pPr>
    </w:p>
    <w:p w14:paraId="2EE20742">
      <w:pPr>
        <w:pStyle w:val="12"/>
        <w:tabs>
          <w:tab w:val="left" w:pos="4603"/>
          <w:tab w:val="left" w:pos="5549"/>
          <w:tab w:val="left" w:pos="6494"/>
          <w:tab w:val="left" w:pos="7438"/>
        </w:tabs>
        <w:kinsoku w:val="0"/>
        <w:overflowPunct w:val="0"/>
        <w:spacing w:before="127"/>
        <w:ind w:left="505" w:right="113"/>
        <w:rPr>
          <w:rFonts w:hint="eastAsia" w:cs="宋体"/>
          <w:color w:val="auto"/>
          <w:spacing w:val="-2"/>
          <w:sz w:val="21"/>
          <w:szCs w:val="24"/>
          <w:highlight w:val="none"/>
        </w:rPr>
      </w:pPr>
      <w:r>
        <w:rPr>
          <w:rFonts w:hint="eastAsia" w:cs="宋体"/>
          <w:color w:val="auto"/>
          <w:spacing w:val="-2"/>
          <w:sz w:val="21"/>
          <w:szCs w:val="24"/>
          <w:highlight w:val="none"/>
        </w:rPr>
        <w:t>请将上述问题的澄清、说明或补正于</w:t>
      </w:r>
      <w:r>
        <w:rPr>
          <w:rFonts w:hint="eastAsia" w:ascii="宋体" w:hAnsi="宋体" w:eastAsia="宋体" w:cs="宋体"/>
          <w:color w:val="auto"/>
          <w:spacing w:val="-2"/>
          <w:sz w:val="21"/>
          <w:szCs w:val="24"/>
          <w:highlight w:val="none"/>
          <w:u w:val="single"/>
        </w:rPr>
        <w:tab/>
      </w:r>
      <w:r>
        <w:rPr>
          <w:rFonts w:hint="eastAsia" w:cs="宋体"/>
          <w:color w:val="auto"/>
          <w:sz w:val="21"/>
          <w:szCs w:val="24"/>
          <w:highlight w:val="none"/>
        </w:rPr>
        <w:t>年</w:t>
      </w:r>
      <w:r>
        <w:rPr>
          <w:rFonts w:hint="eastAsia" w:ascii="宋体" w:hAnsi="宋体" w:eastAsia="宋体" w:cs="宋体"/>
          <w:color w:val="auto"/>
          <w:sz w:val="21"/>
          <w:szCs w:val="24"/>
          <w:highlight w:val="none"/>
          <w:u w:val="single"/>
        </w:rPr>
        <w:tab/>
      </w:r>
      <w:r>
        <w:rPr>
          <w:rFonts w:hint="eastAsia" w:cs="宋体"/>
          <w:color w:val="auto"/>
          <w:sz w:val="21"/>
          <w:szCs w:val="24"/>
          <w:highlight w:val="none"/>
        </w:rPr>
        <w:t>月</w:t>
      </w:r>
      <w:r>
        <w:rPr>
          <w:rFonts w:hint="eastAsia" w:ascii="宋体" w:hAnsi="宋体" w:eastAsia="宋体" w:cs="宋体"/>
          <w:color w:val="auto"/>
          <w:sz w:val="21"/>
          <w:szCs w:val="24"/>
          <w:highlight w:val="none"/>
          <w:u w:val="single"/>
        </w:rPr>
        <w:tab/>
      </w:r>
      <w:r>
        <w:rPr>
          <w:rFonts w:hint="eastAsia" w:cs="宋体"/>
          <w:color w:val="auto"/>
          <w:spacing w:val="-3"/>
          <w:sz w:val="21"/>
          <w:szCs w:val="24"/>
          <w:highlight w:val="none"/>
        </w:rPr>
        <w:t>日</w:t>
      </w:r>
      <w:r>
        <w:rPr>
          <w:rFonts w:hint="eastAsia" w:ascii="宋体" w:hAnsi="宋体" w:eastAsia="宋体" w:cs="宋体"/>
          <w:color w:val="auto"/>
          <w:spacing w:val="-3"/>
          <w:sz w:val="21"/>
          <w:szCs w:val="24"/>
          <w:highlight w:val="none"/>
          <w:u w:val="single"/>
        </w:rPr>
        <w:tab/>
      </w:r>
      <w:r>
        <w:rPr>
          <w:rFonts w:hint="eastAsia" w:cs="宋体"/>
          <w:color w:val="auto"/>
          <w:spacing w:val="-2"/>
          <w:sz w:val="21"/>
          <w:szCs w:val="24"/>
          <w:highlight w:val="none"/>
        </w:rPr>
        <w:t>时前递交至</w:t>
      </w:r>
    </w:p>
    <w:p w14:paraId="4B430106">
      <w:pPr>
        <w:pStyle w:val="12"/>
        <w:kinsoku w:val="0"/>
        <w:overflowPunct w:val="0"/>
        <w:spacing w:before="13"/>
        <w:ind w:left="0"/>
        <w:rPr>
          <w:rFonts w:hint="eastAsia" w:cs="宋体"/>
          <w:color w:val="auto"/>
          <w:sz w:val="9"/>
          <w:szCs w:val="24"/>
          <w:highlight w:val="none"/>
        </w:rPr>
      </w:pPr>
    </w:p>
    <w:p w14:paraId="5E2A4473">
      <w:pPr>
        <w:pStyle w:val="12"/>
        <w:tabs>
          <w:tab w:val="left" w:pos="3040"/>
          <w:tab w:val="left" w:pos="7296"/>
        </w:tabs>
        <w:kinsoku w:val="0"/>
        <w:overflowPunct w:val="0"/>
        <w:spacing w:before="36"/>
        <w:ind w:left="100"/>
        <w:rPr>
          <w:rFonts w:hint="eastAsia" w:cs="宋体"/>
          <w:color w:val="auto"/>
          <w:spacing w:val="-5"/>
          <w:sz w:val="21"/>
          <w:szCs w:val="24"/>
          <w:highlight w:val="none"/>
        </w:rPr>
      </w:pPr>
      <w:r>
        <w:rPr>
          <w:rFonts w:hint="eastAsia" w:ascii="宋体" w:hAnsi="宋体" w:eastAsia="宋体" w:cs="宋体"/>
          <w:color w:val="auto"/>
          <w:sz w:val="21"/>
          <w:szCs w:val="24"/>
          <w:highlight w:val="none"/>
          <w:u w:val="single"/>
        </w:rPr>
        <w:t xml:space="preserve"> </w:t>
      </w:r>
      <w:r>
        <w:rPr>
          <w:rFonts w:hint="eastAsia" w:ascii="宋体" w:hAnsi="宋体" w:eastAsia="宋体" w:cs="宋体"/>
          <w:color w:val="auto"/>
          <w:sz w:val="21"/>
          <w:szCs w:val="24"/>
          <w:highlight w:val="none"/>
          <w:u w:val="single"/>
        </w:rPr>
        <w:tab/>
      </w:r>
      <w:r>
        <w:rPr>
          <w:rFonts w:hint="eastAsia" w:cs="宋体"/>
          <w:color w:val="auto"/>
          <w:spacing w:val="-5"/>
          <w:sz w:val="21"/>
          <w:szCs w:val="24"/>
          <w:highlight w:val="none"/>
        </w:rPr>
        <w:t>（详细地址）或传真至</w:t>
      </w:r>
      <w:r>
        <w:rPr>
          <w:rFonts w:hint="eastAsia" w:ascii="宋体" w:hAnsi="宋体" w:eastAsia="宋体" w:cs="宋体"/>
          <w:color w:val="auto"/>
          <w:spacing w:val="-5"/>
          <w:sz w:val="21"/>
          <w:szCs w:val="24"/>
          <w:highlight w:val="none"/>
          <w:u w:val="single"/>
        </w:rPr>
        <w:tab/>
      </w:r>
      <w:r>
        <w:rPr>
          <w:rFonts w:hint="eastAsia" w:cs="宋体"/>
          <w:color w:val="auto"/>
          <w:spacing w:val="-5"/>
          <w:sz w:val="21"/>
          <w:szCs w:val="24"/>
          <w:highlight w:val="none"/>
        </w:rPr>
        <w:t>（传真号码）或</w:t>
      </w:r>
    </w:p>
    <w:p w14:paraId="21B0DA4B">
      <w:pPr>
        <w:pStyle w:val="12"/>
        <w:kinsoku w:val="0"/>
        <w:overflowPunct w:val="0"/>
        <w:spacing w:before="10"/>
        <w:ind w:left="0"/>
        <w:rPr>
          <w:rFonts w:hint="eastAsia" w:cs="宋体"/>
          <w:color w:val="auto"/>
          <w:sz w:val="9"/>
          <w:szCs w:val="24"/>
          <w:highlight w:val="none"/>
        </w:rPr>
      </w:pPr>
    </w:p>
    <w:p w14:paraId="0E60DD44">
      <w:pPr>
        <w:pStyle w:val="12"/>
        <w:tabs>
          <w:tab w:val="left" w:pos="7138"/>
          <w:tab w:val="left" w:pos="8084"/>
        </w:tabs>
        <w:kinsoku w:val="0"/>
        <w:overflowPunct w:val="0"/>
        <w:spacing w:before="36"/>
        <w:ind w:left="100" w:right="113"/>
        <w:rPr>
          <w:rFonts w:hint="eastAsia" w:cs="宋体"/>
          <w:color w:val="auto"/>
          <w:sz w:val="21"/>
          <w:szCs w:val="24"/>
          <w:highlight w:val="none"/>
        </w:rPr>
      </w:pPr>
      <w:r>
        <w:rPr>
          <w:rFonts w:hint="eastAsia" w:cs="宋体"/>
          <w:color w:val="auto"/>
          <w:spacing w:val="-2"/>
          <w:sz w:val="21"/>
          <w:szCs w:val="24"/>
          <w:highlight w:val="none"/>
        </w:rPr>
        <w:t>通过下载招标文件的电子招标交易平台上传。采用传真方式的，应在</w:t>
      </w:r>
      <w:r>
        <w:rPr>
          <w:rFonts w:hint="eastAsia" w:ascii="宋体" w:hAnsi="宋体" w:eastAsia="宋体" w:cs="宋体"/>
          <w:color w:val="auto"/>
          <w:spacing w:val="-2"/>
          <w:sz w:val="21"/>
          <w:szCs w:val="24"/>
          <w:highlight w:val="none"/>
          <w:u w:val="single"/>
        </w:rPr>
        <w:tab/>
      </w:r>
      <w:r>
        <w:rPr>
          <w:rFonts w:hint="eastAsia" w:cs="宋体"/>
          <w:color w:val="auto"/>
          <w:sz w:val="21"/>
          <w:szCs w:val="24"/>
          <w:highlight w:val="none"/>
        </w:rPr>
        <w:t>年</w:t>
      </w:r>
      <w:r>
        <w:rPr>
          <w:rFonts w:hint="eastAsia" w:ascii="宋体" w:hAnsi="宋体" w:eastAsia="宋体" w:cs="宋体"/>
          <w:color w:val="auto"/>
          <w:sz w:val="21"/>
          <w:szCs w:val="24"/>
          <w:highlight w:val="none"/>
          <w:u w:val="single"/>
        </w:rPr>
        <w:tab/>
      </w:r>
      <w:r>
        <w:rPr>
          <w:rFonts w:hint="eastAsia" w:cs="宋体"/>
          <w:color w:val="auto"/>
          <w:sz w:val="21"/>
          <w:szCs w:val="24"/>
          <w:highlight w:val="none"/>
        </w:rPr>
        <w:t>月</w:t>
      </w:r>
    </w:p>
    <w:p w14:paraId="68A074A3">
      <w:pPr>
        <w:pStyle w:val="12"/>
        <w:kinsoku w:val="0"/>
        <w:overflowPunct w:val="0"/>
        <w:spacing w:before="10"/>
        <w:ind w:left="0"/>
        <w:rPr>
          <w:rFonts w:hint="eastAsia" w:cs="宋体"/>
          <w:color w:val="auto"/>
          <w:sz w:val="9"/>
          <w:szCs w:val="24"/>
          <w:highlight w:val="none"/>
        </w:rPr>
      </w:pPr>
    </w:p>
    <w:p w14:paraId="046D5146">
      <w:pPr>
        <w:pStyle w:val="12"/>
        <w:tabs>
          <w:tab w:val="left" w:pos="837"/>
          <w:tab w:val="left" w:pos="1782"/>
          <w:tab w:val="left" w:pos="5669"/>
        </w:tabs>
        <w:kinsoku w:val="0"/>
        <w:overflowPunct w:val="0"/>
        <w:spacing w:before="36"/>
        <w:ind w:left="100" w:right="113"/>
        <w:rPr>
          <w:rFonts w:hint="eastAsia" w:cs="宋体"/>
          <w:color w:val="auto"/>
          <w:spacing w:val="-17"/>
          <w:sz w:val="21"/>
          <w:szCs w:val="24"/>
          <w:highlight w:val="none"/>
        </w:rPr>
      </w:pPr>
      <w:r>
        <w:rPr>
          <w:rFonts w:hint="eastAsia" w:ascii="宋体" w:hAnsi="宋体" w:eastAsia="宋体" w:cs="宋体"/>
          <w:color w:val="auto"/>
          <w:sz w:val="21"/>
          <w:szCs w:val="24"/>
          <w:highlight w:val="none"/>
          <w:u w:val="single"/>
        </w:rPr>
        <w:t xml:space="preserve"> </w:t>
      </w:r>
      <w:r>
        <w:rPr>
          <w:rFonts w:hint="eastAsia" w:ascii="宋体" w:hAnsi="宋体" w:eastAsia="宋体" w:cs="宋体"/>
          <w:color w:val="auto"/>
          <w:sz w:val="21"/>
          <w:szCs w:val="24"/>
          <w:highlight w:val="none"/>
          <w:u w:val="single"/>
        </w:rPr>
        <w:tab/>
      </w:r>
      <w:r>
        <w:rPr>
          <w:rFonts w:hint="eastAsia" w:cs="宋体"/>
          <w:color w:val="auto"/>
          <w:sz w:val="21"/>
          <w:szCs w:val="24"/>
          <w:highlight w:val="none"/>
        </w:rPr>
        <w:t>日</w:t>
      </w:r>
      <w:r>
        <w:rPr>
          <w:rFonts w:hint="eastAsia" w:ascii="宋体" w:hAnsi="宋体" w:eastAsia="宋体" w:cs="宋体"/>
          <w:color w:val="auto"/>
          <w:sz w:val="21"/>
          <w:szCs w:val="24"/>
          <w:highlight w:val="none"/>
          <w:u w:val="single"/>
        </w:rPr>
        <w:tab/>
      </w:r>
      <w:r>
        <w:rPr>
          <w:rFonts w:hint="eastAsia" w:cs="宋体"/>
          <w:color w:val="auto"/>
          <w:spacing w:val="-2"/>
          <w:sz w:val="21"/>
          <w:szCs w:val="24"/>
          <w:highlight w:val="none"/>
        </w:rPr>
        <w:t>时前将原件递交至</w:t>
      </w:r>
      <w:r>
        <w:rPr>
          <w:rFonts w:hint="eastAsia" w:ascii="宋体" w:hAnsi="宋体" w:eastAsia="宋体" w:cs="宋体"/>
          <w:color w:val="auto"/>
          <w:spacing w:val="-2"/>
          <w:sz w:val="21"/>
          <w:szCs w:val="24"/>
          <w:highlight w:val="none"/>
          <w:u w:val="single"/>
        </w:rPr>
        <w:tab/>
      </w:r>
      <w:r>
        <w:rPr>
          <w:rFonts w:hint="eastAsia" w:cs="宋体"/>
          <w:color w:val="auto"/>
          <w:spacing w:val="-17"/>
          <w:sz w:val="21"/>
          <w:szCs w:val="24"/>
          <w:highlight w:val="none"/>
        </w:rPr>
        <w:t>（详细地址）。</w:t>
      </w:r>
    </w:p>
    <w:p w14:paraId="76DBF339">
      <w:pPr>
        <w:pStyle w:val="12"/>
        <w:kinsoku w:val="0"/>
        <w:overflowPunct w:val="0"/>
        <w:ind w:left="0"/>
        <w:rPr>
          <w:rFonts w:hint="eastAsia" w:cs="宋体"/>
          <w:color w:val="auto"/>
          <w:sz w:val="20"/>
          <w:szCs w:val="24"/>
          <w:highlight w:val="none"/>
        </w:rPr>
      </w:pPr>
    </w:p>
    <w:p w14:paraId="5AB1415E">
      <w:pPr>
        <w:pStyle w:val="12"/>
        <w:kinsoku w:val="0"/>
        <w:overflowPunct w:val="0"/>
        <w:ind w:left="0"/>
        <w:rPr>
          <w:rFonts w:hint="eastAsia" w:cs="宋体"/>
          <w:color w:val="auto"/>
          <w:sz w:val="20"/>
          <w:szCs w:val="24"/>
          <w:highlight w:val="none"/>
        </w:rPr>
      </w:pPr>
    </w:p>
    <w:p w14:paraId="551DE358">
      <w:pPr>
        <w:pStyle w:val="12"/>
        <w:kinsoku w:val="0"/>
        <w:overflowPunct w:val="0"/>
        <w:ind w:left="0"/>
        <w:rPr>
          <w:rFonts w:hint="eastAsia" w:cs="宋体"/>
          <w:color w:val="auto"/>
          <w:sz w:val="20"/>
          <w:szCs w:val="24"/>
          <w:highlight w:val="none"/>
        </w:rPr>
      </w:pPr>
    </w:p>
    <w:p w14:paraId="249D1CF7">
      <w:pPr>
        <w:pStyle w:val="12"/>
        <w:kinsoku w:val="0"/>
        <w:overflowPunct w:val="0"/>
        <w:spacing w:before="2"/>
        <w:ind w:left="0"/>
        <w:rPr>
          <w:rFonts w:hint="eastAsia" w:cs="宋体"/>
          <w:color w:val="auto"/>
          <w:sz w:val="17"/>
          <w:szCs w:val="24"/>
          <w:highlight w:val="none"/>
        </w:rPr>
      </w:pPr>
    </w:p>
    <w:p w14:paraId="612699CD">
      <w:pPr>
        <w:pStyle w:val="12"/>
        <w:tabs>
          <w:tab w:val="left" w:pos="7032"/>
        </w:tabs>
        <w:kinsoku w:val="0"/>
        <w:overflowPunct w:val="0"/>
        <w:spacing w:before="36"/>
        <w:ind w:left="2200" w:right="113"/>
        <w:rPr>
          <w:rFonts w:hint="eastAsia" w:cs="宋体"/>
          <w:color w:val="auto"/>
          <w:spacing w:val="-1"/>
          <w:sz w:val="21"/>
          <w:szCs w:val="24"/>
          <w:highlight w:val="none"/>
        </w:rPr>
      </w:pPr>
      <w:r>
        <w:rPr>
          <w:rFonts w:hint="eastAsia" w:cs="宋体"/>
          <w:color w:val="auto"/>
          <w:spacing w:val="-2"/>
          <w:sz w:val="21"/>
          <w:szCs w:val="24"/>
          <w:highlight w:val="none"/>
        </w:rPr>
        <w:t>评标委员会</w:t>
      </w:r>
      <w:r>
        <w:rPr>
          <w:rFonts w:hint="eastAsia" w:cs="宋体"/>
          <w:color w:val="auto"/>
          <w:spacing w:val="-2"/>
          <w:sz w:val="21"/>
          <w:szCs w:val="24"/>
          <w:highlight w:val="none"/>
          <w:lang w:eastAsia="zh-CN"/>
        </w:rPr>
        <w:t>签字</w:t>
      </w:r>
      <w:r>
        <w:rPr>
          <w:rFonts w:hint="eastAsia" w:cs="宋体"/>
          <w:color w:val="auto"/>
          <w:spacing w:val="-2"/>
          <w:sz w:val="21"/>
          <w:szCs w:val="24"/>
          <w:highlight w:val="none"/>
        </w:rPr>
        <w:t>：</w:t>
      </w:r>
      <w:r>
        <w:rPr>
          <w:rFonts w:hint="eastAsia" w:ascii="宋体" w:hAnsi="宋体" w:eastAsia="宋体" w:cs="宋体"/>
          <w:color w:val="auto"/>
          <w:spacing w:val="-2"/>
          <w:sz w:val="21"/>
          <w:szCs w:val="24"/>
          <w:highlight w:val="none"/>
          <w:u w:val="single"/>
        </w:rPr>
        <w:tab/>
      </w:r>
    </w:p>
    <w:p w14:paraId="7C6A00CA">
      <w:pPr>
        <w:pStyle w:val="12"/>
        <w:kinsoku w:val="0"/>
        <w:overflowPunct w:val="0"/>
        <w:ind w:left="0"/>
        <w:rPr>
          <w:rFonts w:hint="eastAsia" w:cs="宋体"/>
          <w:color w:val="auto"/>
          <w:sz w:val="20"/>
          <w:szCs w:val="24"/>
          <w:highlight w:val="none"/>
        </w:rPr>
      </w:pPr>
    </w:p>
    <w:p w14:paraId="10ACDCA4">
      <w:pPr>
        <w:pStyle w:val="12"/>
        <w:kinsoku w:val="0"/>
        <w:overflowPunct w:val="0"/>
        <w:spacing w:before="7"/>
        <w:ind w:left="0"/>
        <w:rPr>
          <w:rFonts w:hint="eastAsia" w:cs="宋体"/>
          <w:color w:val="auto"/>
          <w:sz w:val="23"/>
          <w:szCs w:val="24"/>
          <w:highlight w:val="none"/>
        </w:rPr>
      </w:pPr>
    </w:p>
    <w:p w14:paraId="797F5438">
      <w:pPr>
        <w:pStyle w:val="12"/>
        <w:tabs>
          <w:tab w:val="left" w:pos="5803"/>
          <w:tab w:val="left" w:pos="6746"/>
          <w:tab w:val="left" w:pos="7692"/>
        </w:tabs>
        <w:kinsoku w:val="0"/>
        <w:overflowPunct w:val="0"/>
        <w:spacing w:before="36"/>
        <w:ind w:left="4961" w:right="113"/>
        <w:rPr>
          <w:rFonts w:hint="eastAsia" w:cs="宋体"/>
          <w:color w:val="auto"/>
          <w:sz w:val="21"/>
          <w:szCs w:val="24"/>
          <w:highlight w:val="none"/>
        </w:rPr>
      </w:pPr>
      <w:r>
        <w:rPr>
          <w:rFonts w:hint="eastAsia" w:ascii="宋体" w:hAnsi="宋体" w:eastAsia="宋体" w:cs="宋体"/>
          <w:color w:val="auto"/>
          <w:sz w:val="21"/>
          <w:szCs w:val="24"/>
          <w:highlight w:val="none"/>
          <w:u w:val="single"/>
        </w:rPr>
        <w:t xml:space="preserve"> </w:t>
      </w:r>
      <w:r>
        <w:rPr>
          <w:rFonts w:hint="eastAsia" w:ascii="宋体" w:hAnsi="宋体" w:eastAsia="宋体" w:cs="宋体"/>
          <w:color w:val="auto"/>
          <w:sz w:val="21"/>
          <w:szCs w:val="24"/>
          <w:highlight w:val="none"/>
          <w:u w:val="single"/>
        </w:rPr>
        <w:tab/>
      </w:r>
      <w:r>
        <w:rPr>
          <w:rFonts w:hint="eastAsia" w:cs="宋体"/>
          <w:color w:val="auto"/>
          <w:spacing w:val="-3"/>
          <w:sz w:val="21"/>
          <w:szCs w:val="24"/>
          <w:highlight w:val="none"/>
        </w:rPr>
        <w:t>年</w:t>
      </w:r>
      <w:r>
        <w:rPr>
          <w:rFonts w:hint="eastAsia" w:ascii="宋体" w:hAnsi="宋体" w:eastAsia="宋体" w:cs="宋体"/>
          <w:color w:val="auto"/>
          <w:spacing w:val="-3"/>
          <w:sz w:val="21"/>
          <w:szCs w:val="24"/>
          <w:highlight w:val="none"/>
          <w:u w:val="single"/>
        </w:rPr>
        <w:tab/>
      </w:r>
      <w:r>
        <w:rPr>
          <w:rFonts w:hint="eastAsia" w:cs="宋体"/>
          <w:color w:val="auto"/>
          <w:sz w:val="21"/>
          <w:szCs w:val="24"/>
          <w:highlight w:val="none"/>
        </w:rPr>
        <w:t>月</w:t>
      </w:r>
      <w:r>
        <w:rPr>
          <w:rFonts w:hint="eastAsia" w:ascii="宋体" w:hAnsi="宋体" w:eastAsia="宋体" w:cs="宋体"/>
          <w:color w:val="auto"/>
          <w:sz w:val="21"/>
          <w:szCs w:val="24"/>
          <w:highlight w:val="none"/>
          <w:u w:val="single"/>
        </w:rPr>
        <w:tab/>
      </w:r>
      <w:r>
        <w:rPr>
          <w:rFonts w:hint="eastAsia" w:cs="宋体"/>
          <w:color w:val="auto"/>
          <w:sz w:val="21"/>
          <w:szCs w:val="24"/>
          <w:highlight w:val="none"/>
        </w:rPr>
        <w:t>日</w:t>
      </w:r>
    </w:p>
    <w:p w14:paraId="532FD512">
      <w:pPr>
        <w:pStyle w:val="12"/>
        <w:tabs>
          <w:tab w:val="left" w:pos="5803"/>
          <w:tab w:val="left" w:pos="6746"/>
          <w:tab w:val="left" w:pos="7692"/>
        </w:tabs>
        <w:kinsoku w:val="0"/>
        <w:overflowPunct w:val="0"/>
        <w:spacing w:before="36"/>
        <w:ind w:left="4961" w:right="113"/>
        <w:rPr>
          <w:rFonts w:hint="eastAsia" w:ascii="宋体" w:hAnsi="宋体" w:eastAsia="宋体" w:cs="宋体"/>
          <w:color w:val="auto"/>
          <w:sz w:val="21"/>
          <w:szCs w:val="24"/>
          <w:highlight w:val="none"/>
        </w:rPr>
        <w:sectPr>
          <w:pgSz w:w="11905" w:h="16838"/>
          <w:pgMar w:top="1417" w:right="1417" w:bottom="1417" w:left="1417" w:header="992" w:footer="992" w:gutter="0"/>
          <w:lnNumType w:countBy="0" w:distance="360"/>
          <w:cols w:space="720" w:num="1"/>
        </w:sectPr>
      </w:pPr>
    </w:p>
    <w:p w14:paraId="7429FC97">
      <w:pPr>
        <w:pStyle w:val="5"/>
        <w:rPr>
          <w:rFonts w:hint="eastAsia" w:cs="宋体"/>
          <w:color w:val="auto"/>
          <w:sz w:val="28"/>
          <w:szCs w:val="24"/>
          <w:highlight w:val="none"/>
        </w:rPr>
      </w:pPr>
      <w:bookmarkStart w:id="88" w:name="bookmark78"/>
      <w:bookmarkEnd w:id="88"/>
      <w:r>
        <w:rPr>
          <w:rFonts w:hint="eastAsia" w:cs="宋体"/>
          <w:color w:val="auto"/>
          <w:sz w:val="28"/>
          <w:szCs w:val="24"/>
          <w:highlight w:val="none"/>
        </w:rPr>
        <w:t>附件</w:t>
      </w:r>
      <w:r>
        <w:rPr>
          <w:rFonts w:hint="eastAsia" w:cs="宋体"/>
          <w:color w:val="auto"/>
          <w:sz w:val="28"/>
          <w:szCs w:val="24"/>
          <w:highlight w:val="none"/>
          <w:lang w:eastAsia="zh-CN"/>
        </w:rPr>
        <w:t>二</w:t>
      </w:r>
      <w:r>
        <w:rPr>
          <w:rFonts w:hint="eastAsia" w:cs="宋体"/>
          <w:color w:val="auto"/>
          <w:sz w:val="28"/>
          <w:szCs w:val="24"/>
          <w:highlight w:val="none"/>
        </w:rPr>
        <w:t>：问题的澄清</w:t>
      </w:r>
    </w:p>
    <w:p w14:paraId="31FCC57F">
      <w:pPr>
        <w:pStyle w:val="12"/>
        <w:kinsoku w:val="0"/>
        <w:overflowPunct w:val="0"/>
        <w:ind w:left="0"/>
        <w:rPr>
          <w:rFonts w:hint="eastAsia" w:cs="宋体"/>
          <w:color w:val="auto"/>
          <w:sz w:val="20"/>
          <w:szCs w:val="24"/>
          <w:highlight w:val="none"/>
        </w:rPr>
      </w:pPr>
    </w:p>
    <w:p w14:paraId="415CF89C">
      <w:pPr>
        <w:pStyle w:val="12"/>
        <w:kinsoku w:val="0"/>
        <w:overflowPunct w:val="0"/>
        <w:ind w:left="0"/>
        <w:rPr>
          <w:rFonts w:hint="eastAsia" w:cs="宋体"/>
          <w:color w:val="auto"/>
          <w:sz w:val="20"/>
          <w:szCs w:val="24"/>
          <w:highlight w:val="none"/>
        </w:rPr>
      </w:pPr>
    </w:p>
    <w:p w14:paraId="146CFD3D">
      <w:pPr>
        <w:pStyle w:val="12"/>
        <w:kinsoku w:val="0"/>
        <w:overflowPunct w:val="0"/>
        <w:ind w:left="0"/>
        <w:rPr>
          <w:rFonts w:hint="eastAsia" w:cs="宋体"/>
          <w:color w:val="auto"/>
          <w:sz w:val="20"/>
          <w:szCs w:val="24"/>
          <w:highlight w:val="none"/>
        </w:rPr>
      </w:pPr>
    </w:p>
    <w:p w14:paraId="63FFD7AB">
      <w:pPr>
        <w:pStyle w:val="12"/>
        <w:kinsoku w:val="0"/>
        <w:overflowPunct w:val="0"/>
        <w:spacing w:before="168"/>
        <w:ind w:left="0" w:right="16"/>
        <w:jc w:val="center"/>
        <w:rPr>
          <w:rFonts w:hint="eastAsia" w:cs="宋体"/>
          <w:color w:val="auto"/>
          <w:sz w:val="28"/>
          <w:szCs w:val="24"/>
          <w:highlight w:val="none"/>
        </w:rPr>
      </w:pPr>
      <w:r>
        <w:rPr>
          <w:rFonts w:hint="eastAsia" w:cs="宋体"/>
          <w:color w:val="auto"/>
          <w:sz w:val="28"/>
          <w:szCs w:val="24"/>
          <w:highlight w:val="none"/>
        </w:rPr>
        <w:t>问题的澄清</w:t>
      </w:r>
    </w:p>
    <w:p w14:paraId="277F55A6">
      <w:pPr>
        <w:pStyle w:val="12"/>
        <w:tabs>
          <w:tab w:val="left" w:pos="5947"/>
        </w:tabs>
        <w:kinsoku w:val="0"/>
        <w:overflowPunct w:val="0"/>
        <w:spacing w:before="113"/>
        <w:ind w:left="3566" w:right="113"/>
        <w:rPr>
          <w:rFonts w:hint="eastAsia" w:cs="宋体"/>
          <w:color w:val="auto"/>
          <w:sz w:val="21"/>
          <w:szCs w:val="24"/>
          <w:highlight w:val="none"/>
        </w:rPr>
      </w:pPr>
      <w:r>
        <w:rPr>
          <w:rFonts w:hint="eastAsia" w:cs="宋体"/>
          <w:color w:val="auto"/>
          <w:spacing w:val="-1"/>
          <w:sz w:val="21"/>
          <w:szCs w:val="24"/>
          <w:highlight w:val="none"/>
        </w:rPr>
        <w:t>（编号：</w:t>
      </w:r>
      <w:r>
        <w:rPr>
          <w:rFonts w:hint="eastAsia" w:ascii="宋体" w:hAnsi="宋体" w:eastAsia="宋体" w:cs="宋体"/>
          <w:color w:val="auto"/>
          <w:spacing w:val="-1"/>
          <w:sz w:val="21"/>
          <w:szCs w:val="24"/>
          <w:highlight w:val="none"/>
          <w:u w:val="single"/>
        </w:rPr>
        <w:tab/>
      </w:r>
      <w:r>
        <w:rPr>
          <w:rFonts w:hint="eastAsia" w:cs="宋体"/>
          <w:color w:val="auto"/>
          <w:sz w:val="21"/>
          <w:szCs w:val="24"/>
          <w:highlight w:val="none"/>
        </w:rPr>
        <w:t>）</w:t>
      </w:r>
    </w:p>
    <w:p w14:paraId="13ABCB43">
      <w:pPr>
        <w:pStyle w:val="12"/>
        <w:kinsoku w:val="0"/>
        <w:overflowPunct w:val="0"/>
        <w:ind w:left="0"/>
        <w:rPr>
          <w:rFonts w:hint="eastAsia" w:cs="宋体"/>
          <w:color w:val="auto"/>
          <w:sz w:val="20"/>
          <w:szCs w:val="24"/>
          <w:highlight w:val="none"/>
        </w:rPr>
      </w:pPr>
    </w:p>
    <w:p w14:paraId="217E93CC">
      <w:pPr>
        <w:pStyle w:val="12"/>
        <w:kinsoku w:val="0"/>
        <w:overflowPunct w:val="0"/>
        <w:spacing w:before="1"/>
        <w:ind w:left="0"/>
        <w:rPr>
          <w:rFonts w:hint="eastAsia" w:cs="宋体"/>
          <w:color w:val="auto"/>
          <w:sz w:val="20"/>
          <w:szCs w:val="24"/>
          <w:highlight w:val="none"/>
        </w:rPr>
      </w:pPr>
    </w:p>
    <w:p w14:paraId="055899B9">
      <w:pPr>
        <w:pStyle w:val="12"/>
        <w:kinsoku w:val="0"/>
        <w:overflowPunct w:val="0"/>
        <w:spacing w:before="36"/>
        <w:ind w:left="100" w:right="113"/>
        <w:rPr>
          <w:rFonts w:hint="eastAsia" w:cs="宋体"/>
          <w:color w:val="auto"/>
          <w:sz w:val="21"/>
          <w:szCs w:val="24"/>
          <w:highlight w:val="none"/>
        </w:rPr>
      </w:pPr>
      <w:r>
        <w:rPr>
          <w:rFonts w:hint="eastAsia" w:cs="宋体"/>
          <w:color w:val="auto"/>
          <w:sz w:val="21"/>
          <w:szCs w:val="24"/>
          <w:highlight w:val="none"/>
        </w:rPr>
        <w:t>评标委员会：</w:t>
      </w:r>
    </w:p>
    <w:p w14:paraId="4F93D95B">
      <w:pPr>
        <w:pStyle w:val="12"/>
        <w:kinsoku w:val="0"/>
        <w:overflowPunct w:val="0"/>
        <w:ind w:left="0"/>
        <w:rPr>
          <w:rFonts w:hint="eastAsia" w:cs="宋体"/>
          <w:color w:val="auto"/>
          <w:sz w:val="20"/>
          <w:szCs w:val="24"/>
          <w:highlight w:val="none"/>
        </w:rPr>
      </w:pPr>
    </w:p>
    <w:p w14:paraId="6877E3AC">
      <w:pPr>
        <w:pStyle w:val="12"/>
        <w:kinsoku w:val="0"/>
        <w:overflowPunct w:val="0"/>
        <w:spacing w:before="2"/>
        <w:ind w:left="0"/>
        <w:rPr>
          <w:rFonts w:hint="eastAsia" w:cs="宋体"/>
          <w:color w:val="auto"/>
          <w:sz w:val="26"/>
          <w:szCs w:val="24"/>
          <w:highlight w:val="none"/>
        </w:rPr>
      </w:pPr>
    </w:p>
    <w:p w14:paraId="1F2235A2">
      <w:pPr>
        <w:pStyle w:val="12"/>
        <w:tabs>
          <w:tab w:val="left" w:pos="3460"/>
        </w:tabs>
        <w:kinsoku w:val="0"/>
        <w:overflowPunct w:val="0"/>
        <w:ind w:left="522" w:right="113"/>
        <w:rPr>
          <w:rFonts w:hint="eastAsia" w:cs="宋体"/>
          <w:color w:val="auto"/>
          <w:spacing w:val="-2"/>
          <w:sz w:val="21"/>
          <w:szCs w:val="24"/>
          <w:highlight w:val="none"/>
        </w:rPr>
      </w:pPr>
      <w:r>
        <w:rPr>
          <w:rFonts w:hint="eastAsia" w:cs="宋体"/>
          <w:color w:val="auto"/>
          <w:spacing w:val="-2"/>
          <w:sz w:val="21"/>
          <w:szCs w:val="24"/>
          <w:highlight w:val="none"/>
        </w:rPr>
        <w:t>问题澄清通知（编号：</w:t>
      </w:r>
      <w:r>
        <w:rPr>
          <w:rFonts w:hint="eastAsia" w:ascii="宋体" w:hAnsi="宋体" w:eastAsia="宋体" w:cs="宋体"/>
          <w:color w:val="auto"/>
          <w:spacing w:val="-2"/>
          <w:sz w:val="21"/>
          <w:szCs w:val="24"/>
          <w:highlight w:val="none"/>
          <w:u w:val="single"/>
        </w:rPr>
        <w:tab/>
      </w:r>
      <w:r>
        <w:rPr>
          <w:rFonts w:hint="eastAsia" w:cs="宋体"/>
          <w:color w:val="auto"/>
          <w:spacing w:val="-2"/>
          <w:sz w:val="21"/>
          <w:szCs w:val="24"/>
          <w:highlight w:val="none"/>
        </w:rPr>
        <w:t>）已收悉，现澄清、说明或补正如下：</w:t>
      </w:r>
    </w:p>
    <w:p w14:paraId="49AA9406">
      <w:pPr>
        <w:pStyle w:val="12"/>
        <w:kinsoku w:val="0"/>
        <w:overflowPunct w:val="0"/>
        <w:spacing w:before="11"/>
        <w:ind w:left="0"/>
        <w:rPr>
          <w:rFonts w:hint="eastAsia" w:cs="宋体"/>
          <w:color w:val="auto"/>
          <w:sz w:val="10"/>
          <w:szCs w:val="24"/>
          <w:highlight w:val="none"/>
        </w:rPr>
      </w:pPr>
    </w:p>
    <w:p w14:paraId="5DA00CE1">
      <w:pPr>
        <w:pStyle w:val="12"/>
        <w:kinsoku w:val="0"/>
        <w:overflowPunct w:val="0"/>
        <w:spacing w:before="74"/>
        <w:ind w:left="0" w:right="7025"/>
        <w:jc w:val="center"/>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1.</w:t>
      </w:r>
    </w:p>
    <w:p w14:paraId="11A32FB8">
      <w:pPr>
        <w:pStyle w:val="12"/>
        <w:kinsoku w:val="0"/>
        <w:overflowPunct w:val="0"/>
        <w:spacing w:before="2"/>
        <w:ind w:left="0"/>
        <w:rPr>
          <w:rFonts w:hint="eastAsia" w:ascii="宋体" w:hAnsi="宋体" w:eastAsia="宋体" w:cs="宋体"/>
          <w:color w:val="auto"/>
          <w:sz w:val="17"/>
          <w:szCs w:val="24"/>
          <w:highlight w:val="none"/>
        </w:rPr>
      </w:pPr>
    </w:p>
    <w:p w14:paraId="0DE7B176">
      <w:pPr>
        <w:pStyle w:val="12"/>
        <w:kinsoku w:val="0"/>
        <w:overflowPunct w:val="0"/>
        <w:ind w:left="0" w:right="7025"/>
        <w:jc w:val="center"/>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2.</w:t>
      </w:r>
    </w:p>
    <w:p w14:paraId="6A5B18F3">
      <w:pPr>
        <w:pStyle w:val="12"/>
        <w:kinsoku w:val="0"/>
        <w:overflowPunct w:val="0"/>
        <w:spacing w:before="2"/>
        <w:ind w:left="0"/>
        <w:rPr>
          <w:rFonts w:hint="eastAsia" w:ascii="宋体" w:hAnsi="宋体" w:eastAsia="宋体" w:cs="宋体"/>
          <w:color w:val="auto"/>
          <w:sz w:val="17"/>
          <w:szCs w:val="24"/>
          <w:highlight w:val="none"/>
        </w:rPr>
      </w:pPr>
    </w:p>
    <w:p w14:paraId="7C0E07EF">
      <w:pPr>
        <w:pStyle w:val="12"/>
        <w:kinsoku w:val="0"/>
        <w:overflowPunct w:val="0"/>
        <w:ind w:left="0" w:right="7130"/>
        <w:jc w:val="center"/>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w:t>
      </w:r>
    </w:p>
    <w:p w14:paraId="76E1839E">
      <w:pPr>
        <w:pStyle w:val="12"/>
        <w:kinsoku w:val="0"/>
        <w:overflowPunct w:val="0"/>
        <w:ind w:left="0"/>
        <w:rPr>
          <w:rFonts w:hint="eastAsia" w:ascii="宋体" w:hAnsi="宋体" w:eastAsia="宋体" w:cs="宋体"/>
          <w:color w:val="auto"/>
          <w:sz w:val="20"/>
          <w:szCs w:val="24"/>
          <w:highlight w:val="none"/>
        </w:rPr>
      </w:pPr>
    </w:p>
    <w:p w14:paraId="1B19F5E2">
      <w:pPr>
        <w:pStyle w:val="12"/>
        <w:kinsoku w:val="0"/>
        <w:overflowPunct w:val="0"/>
        <w:ind w:left="0"/>
        <w:rPr>
          <w:rFonts w:hint="eastAsia" w:ascii="宋体" w:hAnsi="宋体" w:eastAsia="宋体" w:cs="宋体"/>
          <w:color w:val="auto"/>
          <w:sz w:val="20"/>
          <w:szCs w:val="24"/>
          <w:highlight w:val="none"/>
        </w:rPr>
      </w:pPr>
    </w:p>
    <w:p w14:paraId="2065E248">
      <w:pPr>
        <w:pStyle w:val="12"/>
        <w:kinsoku w:val="0"/>
        <w:overflowPunct w:val="0"/>
        <w:ind w:left="0"/>
        <w:rPr>
          <w:rFonts w:hint="eastAsia" w:ascii="宋体" w:hAnsi="宋体" w:eastAsia="宋体" w:cs="宋体"/>
          <w:color w:val="auto"/>
          <w:sz w:val="20"/>
          <w:szCs w:val="24"/>
          <w:highlight w:val="none"/>
        </w:rPr>
      </w:pPr>
    </w:p>
    <w:p w14:paraId="374A43BC">
      <w:pPr>
        <w:pStyle w:val="12"/>
        <w:kinsoku w:val="0"/>
        <w:overflowPunct w:val="0"/>
        <w:ind w:left="0"/>
        <w:rPr>
          <w:rFonts w:hint="eastAsia" w:ascii="宋体" w:hAnsi="宋体" w:eastAsia="宋体" w:cs="宋体"/>
          <w:color w:val="auto"/>
          <w:sz w:val="20"/>
          <w:szCs w:val="24"/>
          <w:highlight w:val="none"/>
        </w:rPr>
      </w:pPr>
    </w:p>
    <w:p w14:paraId="61653686">
      <w:pPr>
        <w:pStyle w:val="12"/>
        <w:kinsoku w:val="0"/>
        <w:overflowPunct w:val="0"/>
        <w:ind w:left="0"/>
        <w:rPr>
          <w:rFonts w:hint="eastAsia" w:ascii="宋体" w:hAnsi="宋体" w:eastAsia="宋体" w:cs="宋体"/>
          <w:color w:val="auto"/>
          <w:sz w:val="20"/>
          <w:szCs w:val="24"/>
          <w:highlight w:val="none"/>
        </w:rPr>
      </w:pPr>
    </w:p>
    <w:p w14:paraId="22DF4F3D">
      <w:pPr>
        <w:pStyle w:val="12"/>
        <w:kinsoku w:val="0"/>
        <w:overflowPunct w:val="0"/>
        <w:spacing w:before="11"/>
        <w:ind w:left="0"/>
        <w:rPr>
          <w:rFonts w:hint="eastAsia" w:ascii="宋体" w:hAnsi="宋体" w:eastAsia="宋体" w:cs="宋体"/>
          <w:color w:val="auto"/>
          <w:sz w:val="27"/>
          <w:szCs w:val="24"/>
          <w:highlight w:val="none"/>
        </w:rPr>
      </w:pPr>
    </w:p>
    <w:p w14:paraId="55FAC627">
      <w:pPr>
        <w:pStyle w:val="12"/>
        <w:kinsoku w:val="0"/>
        <w:overflowPunct w:val="0"/>
        <w:spacing w:line="384" w:lineRule="auto"/>
        <w:ind w:left="100" w:right="113" w:firstLine="419"/>
        <w:rPr>
          <w:rFonts w:hint="eastAsia" w:cs="宋体"/>
          <w:color w:val="auto"/>
          <w:sz w:val="21"/>
          <w:szCs w:val="24"/>
          <w:highlight w:val="none"/>
        </w:rPr>
      </w:pPr>
      <w:r>
        <w:rPr>
          <w:rFonts w:hint="eastAsia" w:cs="宋体"/>
          <w:color w:val="auto"/>
          <w:spacing w:val="-1"/>
          <w:sz w:val="21"/>
          <w:szCs w:val="24"/>
          <w:highlight w:val="none"/>
        </w:rPr>
        <w:t>上述问题澄清、说明或补正，不改变我方投标文件的实质性内容，构成我方投标文件的组</w:t>
      </w:r>
      <w:r>
        <w:rPr>
          <w:rFonts w:hint="eastAsia" w:cs="宋体"/>
          <w:color w:val="auto"/>
          <w:sz w:val="21"/>
          <w:szCs w:val="24"/>
          <w:highlight w:val="none"/>
        </w:rPr>
        <w:t xml:space="preserve"> 成部分。</w:t>
      </w:r>
    </w:p>
    <w:p w14:paraId="3C78040B">
      <w:pPr>
        <w:pStyle w:val="12"/>
        <w:kinsoku w:val="0"/>
        <w:overflowPunct w:val="0"/>
        <w:ind w:left="0"/>
        <w:rPr>
          <w:rFonts w:hint="eastAsia" w:cs="宋体"/>
          <w:color w:val="auto"/>
          <w:sz w:val="20"/>
          <w:szCs w:val="24"/>
          <w:highlight w:val="none"/>
        </w:rPr>
      </w:pPr>
    </w:p>
    <w:p w14:paraId="61052516">
      <w:pPr>
        <w:pStyle w:val="12"/>
        <w:kinsoku w:val="0"/>
        <w:overflowPunct w:val="0"/>
        <w:ind w:left="0"/>
        <w:rPr>
          <w:rFonts w:hint="eastAsia" w:cs="宋体"/>
          <w:color w:val="auto"/>
          <w:sz w:val="20"/>
          <w:szCs w:val="24"/>
          <w:highlight w:val="none"/>
        </w:rPr>
      </w:pPr>
    </w:p>
    <w:p w14:paraId="1068F0D4">
      <w:pPr>
        <w:pStyle w:val="12"/>
        <w:kinsoku w:val="0"/>
        <w:overflowPunct w:val="0"/>
        <w:spacing w:before="6"/>
        <w:ind w:left="0"/>
        <w:rPr>
          <w:rFonts w:hint="eastAsia" w:cs="宋体"/>
          <w:color w:val="auto"/>
          <w:sz w:val="19"/>
          <w:szCs w:val="24"/>
          <w:highlight w:val="none"/>
        </w:rPr>
      </w:pPr>
    </w:p>
    <w:p w14:paraId="6C7EE2C9">
      <w:pPr>
        <w:pStyle w:val="12"/>
        <w:tabs>
          <w:tab w:val="left" w:pos="7382"/>
        </w:tabs>
        <w:kinsoku w:val="0"/>
        <w:overflowPunct w:val="0"/>
        <w:ind w:left="3043" w:right="113"/>
        <w:rPr>
          <w:rFonts w:hint="eastAsia" w:cs="宋体"/>
          <w:color w:val="auto"/>
          <w:spacing w:val="-1"/>
          <w:sz w:val="21"/>
          <w:szCs w:val="24"/>
          <w:highlight w:val="none"/>
        </w:rPr>
      </w:pPr>
      <w:r>
        <w:rPr>
          <w:rFonts w:hint="eastAsia" w:cs="宋体"/>
          <w:color w:val="auto"/>
          <w:spacing w:val="-1"/>
          <w:sz w:val="21"/>
          <w:szCs w:val="24"/>
          <w:highlight w:val="none"/>
        </w:rPr>
        <w:t>投标人：</w:t>
      </w:r>
      <w:r>
        <w:rPr>
          <w:rFonts w:hint="eastAsia" w:ascii="宋体" w:hAnsi="宋体" w:eastAsia="宋体" w:cs="宋体"/>
          <w:color w:val="auto"/>
          <w:spacing w:val="-1"/>
          <w:sz w:val="21"/>
          <w:szCs w:val="24"/>
          <w:highlight w:val="none"/>
          <w:u w:val="single"/>
        </w:rPr>
        <w:tab/>
      </w:r>
      <w:r>
        <w:rPr>
          <w:rFonts w:hint="eastAsia" w:cs="宋体"/>
          <w:color w:val="auto"/>
          <w:spacing w:val="-1"/>
          <w:sz w:val="21"/>
          <w:szCs w:val="24"/>
          <w:highlight w:val="none"/>
        </w:rPr>
        <w:t>（盖单位章）</w:t>
      </w:r>
    </w:p>
    <w:p w14:paraId="7FA7F2EB">
      <w:pPr>
        <w:pStyle w:val="12"/>
        <w:kinsoku w:val="0"/>
        <w:overflowPunct w:val="0"/>
        <w:spacing w:before="11"/>
        <w:ind w:left="0"/>
        <w:rPr>
          <w:rFonts w:hint="eastAsia" w:cs="宋体"/>
          <w:color w:val="auto"/>
          <w:sz w:val="17"/>
          <w:szCs w:val="24"/>
          <w:highlight w:val="none"/>
        </w:rPr>
      </w:pPr>
    </w:p>
    <w:p w14:paraId="560B72D1">
      <w:pPr>
        <w:pStyle w:val="12"/>
        <w:tabs>
          <w:tab w:val="left" w:pos="6612"/>
        </w:tabs>
        <w:kinsoku w:val="0"/>
        <w:overflowPunct w:val="0"/>
        <w:spacing w:before="36"/>
        <w:ind w:left="3041" w:right="113"/>
        <w:rPr>
          <w:rFonts w:hint="eastAsia" w:cs="宋体"/>
          <w:color w:val="auto"/>
          <w:spacing w:val="-2"/>
          <w:sz w:val="21"/>
          <w:szCs w:val="24"/>
          <w:highlight w:val="none"/>
        </w:rPr>
      </w:pPr>
      <w:r>
        <w:rPr>
          <w:rFonts w:hint="eastAsia" w:cs="宋体"/>
          <w:color w:val="auto"/>
          <w:spacing w:val="-2"/>
          <w:sz w:val="21"/>
          <w:szCs w:val="24"/>
          <w:highlight w:val="none"/>
        </w:rPr>
        <w:t>法定代表人或其委托代理人：</w:t>
      </w:r>
      <w:r>
        <w:rPr>
          <w:rFonts w:hint="eastAsia" w:ascii="宋体" w:hAnsi="宋体" w:eastAsia="宋体" w:cs="宋体"/>
          <w:color w:val="auto"/>
          <w:spacing w:val="-2"/>
          <w:sz w:val="21"/>
          <w:szCs w:val="24"/>
          <w:highlight w:val="none"/>
          <w:u w:val="single"/>
        </w:rPr>
        <w:tab/>
      </w:r>
      <w:r>
        <w:rPr>
          <w:rFonts w:hint="eastAsia" w:cs="宋体"/>
          <w:color w:val="auto"/>
          <w:spacing w:val="-2"/>
          <w:sz w:val="21"/>
          <w:szCs w:val="24"/>
          <w:highlight w:val="none"/>
        </w:rPr>
        <w:t>（签字）</w:t>
      </w:r>
    </w:p>
    <w:p w14:paraId="1945C4B7">
      <w:pPr>
        <w:pStyle w:val="12"/>
        <w:kinsoku w:val="0"/>
        <w:overflowPunct w:val="0"/>
        <w:ind w:left="0"/>
        <w:rPr>
          <w:rFonts w:hint="eastAsia" w:cs="宋体"/>
          <w:color w:val="auto"/>
          <w:sz w:val="20"/>
          <w:szCs w:val="24"/>
          <w:highlight w:val="none"/>
        </w:rPr>
      </w:pPr>
    </w:p>
    <w:p w14:paraId="2A02F947">
      <w:pPr>
        <w:pStyle w:val="12"/>
        <w:kinsoku w:val="0"/>
        <w:overflowPunct w:val="0"/>
        <w:ind w:left="0"/>
        <w:rPr>
          <w:rFonts w:hint="eastAsia" w:cs="宋体"/>
          <w:color w:val="auto"/>
          <w:sz w:val="20"/>
          <w:szCs w:val="24"/>
          <w:highlight w:val="none"/>
        </w:rPr>
      </w:pPr>
    </w:p>
    <w:p w14:paraId="5ADF8530">
      <w:pPr>
        <w:pStyle w:val="12"/>
        <w:kinsoku w:val="0"/>
        <w:overflowPunct w:val="0"/>
        <w:spacing w:before="4"/>
        <w:ind w:left="0"/>
        <w:rPr>
          <w:rFonts w:hint="eastAsia" w:cs="宋体"/>
          <w:color w:val="auto"/>
          <w:sz w:val="22"/>
          <w:szCs w:val="24"/>
          <w:highlight w:val="none"/>
        </w:rPr>
      </w:pPr>
    </w:p>
    <w:p w14:paraId="050A76E5">
      <w:pPr>
        <w:pStyle w:val="12"/>
        <w:tabs>
          <w:tab w:val="left" w:pos="6434"/>
          <w:tab w:val="left" w:pos="7483"/>
          <w:tab w:val="left" w:pos="8533"/>
        </w:tabs>
        <w:kinsoku w:val="0"/>
        <w:overflowPunct w:val="0"/>
        <w:spacing w:before="36"/>
        <w:ind w:left="5595"/>
        <w:rPr>
          <w:rFonts w:hint="eastAsia" w:ascii="宋体" w:hAnsi="宋体" w:eastAsia="宋体" w:cs="宋体"/>
          <w:color w:val="auto"/>
          <w:sz w:val="21"/>
          <w:szCs w:val="24"/>
          <w:highlight w:val="none"/>
        </w:rPr>
        <w:sectPr>
          <w:pgSz w:w="11905" w:h="16838"/>
          <w:pgMar w:top="1417" w:right="1417" w:bottom="1417" w:left="1417" w:header="992" w:footer="992" w:gutter="0"/>
          <w:lnNumType w:countBy="0" w:distance="360"/>
          <w:cols w:space="720" w:num="1"/>
        </w:sectPr>
      </w:pPr>
      <w:r>
        <w:rPr>
          <w:rFonts w:hint="eastAsia" w:ascii="宋体" w:hAnsi="宋体" w:eastAsia="宋体" w:cs="宋体"/>
          <w:color w:val="auto"/>
          <w:sz w:val="21"/>
          <w:szCs w:val="24"/>
          <w:highlight w:val="none"/>
          <w:u w:val="single"/>
        </w:rPr>
        <w:t xml:space="preserve"> </w:t>
      </w:r>
      <w:r>
        <w:rPr>
          <w:rFonts w:hint="eastAsia" w:ascii="宋体" w:hAnsi="宋体" w:eastAsia="宋体" w:cs="宋体"/>
          <w:color w:val="auto"/>
          <w:sz w:val="21"/>
          <w:szCs w:val="24"/>
          <w:highlight w:val="none"/>
          <w:u w:val="single"/>
        </w:rPr>
        <w:tab/>
      </w:r>
      <w:r>
        <w:rPr>
          <w:rFonts w:hint="eastAsia" w:cs="宋体"/>
          <w:color w:val="auto"/>
          <w:spacing w:val="-3"/>
          <w:sz w:val="21"/>
          <w:szCs w:val="24"/>
          <w:highlight w:val="none"/>
        </w:rPr>
        <w:t>年</w:t>
      </w:r>
      <w:r>
        <w:rPr>
          <w:rFonts w:hint="eastAsia" w:ascii="宋体" w:hAnsi="宋体" w:eastAsia="宋体" w:cs="宋体"/>
          <w:color w:val="auto"/>
          <w:spacing w:val="-3"/>
          <w:sz w:val="21"/>
          <w:szCs w:val="24"/>
          <w:highlight w:val="none"/>
          <w:u w:val="single"/>
        </w:rPr>
        <w:tab/>
      </w:r>
      <w:r>
        <w:rPr>
          <w:rFonts w:hint="eastAsia" w:cs="宋体"/>
          <w:color w:val="auto"/>
          <w:sz w:val="21"/>
          <w:szCs w:val="24"/>
          <w:highlight w:val="none"/>
        </w:rPr>
        <w:t>月</w:t>
      </w:r>
      <w:r>
        <w:rPr>
          <w:rFonts w:hint="eastAsia" w:ascii="宋体" w:hAnsi="宋体" w:eastAsia="宋体" w:cs="宋体"/>
          <w:color w:val="auto"/>
          <w:sz w:val="21"/>
          <w:szCs w:val="24"/>
          <w:highlight w:val="none"/>
          <w:u w:val="single"/>
        </w:rPr>
        <w:tab/>
      </w:r>
      <w:r>
        <w:rPr>
          <w:rFonts w:hint="eastAsia" w:cs="宋体"/>
          <w:color w:val="auto"/>
          <w:sz w:val="21"/>
          <w:szCs w:val="24"/>
          <w:highlight w:val="none"/>
        </w:rPr>
        <w:t>日</w:t>
      </w:r>
    </w:p>
    <w:p w14:paraId="41CA0691">
      <w:pPr>
        <w:pStyle w:val="3"/>
        <w:outlineLvl w:val="0"/>
        <w:rPr>
          <w:rFonts w:hint="eastAsia" w:cs="宋体"/>
          <w:b w:val="0"/>
          <w:color w:val="auto"/>
          <w:sz w:val="57"/>
          <w:szCs w:val="24"/>
          <w:highlight w:val="none"/>
        </w:rPr>
      </w:pPr>
      <w:bookmarkStart w:id="89" w:name="bookmark82"/>
      <w:bookmarkEnd w:id="89"/>
      <w:bookmarkStart w:id="90" w:name="bookmark79"/>
      <w:bookmarkEnd w:id="90"/>
      <w:bookmarkStart w:id="91" w:name="_Toc23003"/>
      <w:r>
        <w:rPr>
          <w:rFonts w:hint="eastAsia" w:cs="宋体"/>
          <w:color w:val="auto"/>
          <w:sz w:val="44"/>
          <w:szCs w:val="24"/>
          <w:highlight w:val="none"/>
        </w:rPr>
        <w:t>第三章</w:t>
      </w:r>
      <w:r>
        <w:rPr>
          <w:rFonts w:hint="eastAsia" w:cs="宋体"/>
          <w:color w:val="auto"/>
          <w:sz w:val="44"/>
          <w:szCs w:val="24"/>
          <w:highlight w:val="none"/>
          <w:lang w:val="en-US" w:eastAsia="zh-CN"/>
        </w:rPr>
        <w:t xml:space="preserve"> </w:t>
      </w:r>
      <w:r>
        <w:rPr>
          <w:rFonts w:hint="eastAsia" w:cs="宋体"/>
          <w:color w:val="auto"/>
          <w:sz w:val="44"/>
          <w:szCs w:val="24"/>
          <w:highlight w:val="none"/>
        </w:rPr>
        <w:t>评标</w:t>
      </w:r>
      <w:r>
        <w:rPr>
          <w:rFonts w:hint="eastAsia" w:cs="宋体"/>
          <w:color w:val="auto"/>
          <w:sz w:val="44"/>
          <w:szCs w:val="24"/>
          <w:highlight w:val="none"/>
          <w:u w:val="single"/>
          <w:lang w:eastAsia="zh-CN"/>
        </w:rPr>
        <w:t>、定标</w:t>
      </w:r>
      <w:r>
        <w:rPr>
          <w:rFonts w:hint="eastAsia" w:cs="宋体"/>
          <w:color w:val="auto"/>
          <w:sz w:val="44"/>
          <w:szCs w:val="24"/>
          <w:highlight w:val="none"/>
        </w:rPr>
        <w:t>办法</w:t>
      </w:r>
      <w:r>
        <w:rPr>
          <w:rFonts w:hint="eastAsia" w:cs="宋体"/>
          <w:strike/>
          <w:dstrike w:val="0"/>
          <w:color w:val="auto"/>
          <w:sz w:val="44"/>
          <w:szCs w:val="24"/>
          <w:highlight w:val="none"/>
        </w:rPr>
        <w:t>（综合评估法）</w:t>
      </w:r>
      <w:bookmarkEnd w:id="91"/>
    </w:p>
    <w:p w14:paraId="15756DAA">
      <w:pPr>
        <w:pStyle w:val="4"/>
        <w:kinsoku w:val="0"/>
        <w:overflowPunct w:val="0"/>
        <w:ind w:left="120"/>
        <w:jc w:val="center"/>
        <w:outlineLvl w:val="1"/>
        <w:rPr>
          <w:rFonts w:hint="eastAsia" w:cs="宋体"/>
          <w:color w:val="auto"/>
          <w:sz w:val="32"/>
          <w:szCs w:val="24"/>
          <w:highlight w:val="none"/>
        </w:rPr>
      </w:pPr>
      <w:bookmarkStart w:id="92" w:name="bookmark83"/>
      <w:bookmarkEnd w:id="92"/>
      <w:bookmarkStart w:id="93" w:name="_Toc10305"/>
      <w:r>
        <w:rPr>
          <w:rFonts w:hint="eastAsia" w:cs="宋体"/>
          <w:color w:val="auto"/>
          <w:sz w:val="32"/>
          <w:szCs w:val="24"/>
          <w:highlight w:val="none"/>
        </w:rPr>
        <w:t>评标办法前附表</w:t>
      </w:r>
      <w:bookmarkEnd w:id="93"/>
    </w:p>
    <w:tbl>
      <w:tblPr>
        <w:tblStyle w:val="27"/>
        <w:tblW w:w="93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
        <w:gridCol w:w="168"/>
        <w:gridCol w:w="1132"/>
        <w:gridCol w:w="2013"/>
        <w:gridCol w:w="5066"/>
      </w:tblGrid>
      <w:tr w14:paraId="6B05F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2263"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0636EE55">
            <w:pPr>
              <w:pStyle w:val="34"/>
              <w:kinsoku w:val="0"/>
              <w:overflowPunct w:val="0"/>
              <w:spacing w:before="41"/>
              <w:jc w:val="cente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条款号</w:t>
            </w: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DA9B204">
            <w:pPr>
              <w:pStyle w:val="34"/>
              <w:kinsoku w:val="0"/>
              <w:overflowPunct w:val="0"/>
              <w:spacing w:before="41"/>
              <w:jc w:val="cente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评审因素</w:t>
            </w:r>
          </w:p>
        </w:tc>
        <w:tc>
          <w:tcPr>
            <w:tcW w:w="506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9717BA6">
            <w:pPr>
              <w:pStyle w:val="34"/>
              <w:kinsoku w:val="0"/>
              <w:overflowPunct w:val="0"/>
              <w:spacing w:before="41"/>
              <w:jc w:val="cente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评审标准</w:t>
            </w:r>
          </w:p>
        </w:tc>
      </w:tr>
      <w:tr w14:paraId="0839C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trPr>
        <w:tc>
          <w:tcPr>
            <w:tcW w:w="9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BEBF05F">
            <w:pPr>
              <w:pStyle w:val="34"/>
              <w:kinsoku w:val="0"/>
              <w:overflowPunct w:val="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30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6F305059">
            <w:pPr>
              <w:pStyle w:val="34"/>
              <w:kinsoku w:val="0"/>
              <w:overflowPunct w:val="0"/>
              <w:spacing w:before="141"/>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w:t>
            </w:r>
            <w:r>
              <w:rPr>
                <w:rFonts w:hint="eastAsia" w:ascii="宋体" w:hAnsi="宋体" w:cs="宋体"/>
                <w:color w:val="auto"/>
                <w:sz w:val="21"/>
                <w:szCs w:val="21"/>
                <w:highlight w:val="none"/>
                <w:u w:val="single"/>
                <w:lang w:eastAsia="zh-CN"/>
              </w:rPr>
              <w:t>、定标</w:t>
            </w:r>
            <w:r>
              <w:rPr>
                <w:rFonts w:hint="eastAsia" w:ascii="宋体" w:hAnsi="宋体" w:eastAsia="宋体" w:cs="宋体"/>
                <w:color w:val="auto"/>
                <w:sz w:val="21"/>
                <w:szCs w:val="21"/>
                <w:highlight w:val="none"/>
              </w:rPr>
              <w:t>方法</w:t>
            </w: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8BE7F8E">
            <w:pPr>
              <w:pStyle w:val="34"/>
              <w:kinsoku w:val="0"/>
              <w:overflowPunct w:val="0"/>
              <w:spacing w:before="141"/>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u w:val="single"/>
                <w:lang w:eastAsia="zh-CN"/>
              </w:rPr>
              <w:t>合格</w:t>
            </w:r>
            <w:r>
              <w:rPr>
                <w:rFonts w:hint="eastAsia" w:ascii="宋体" w:hAnsi="宋体" w:eastAsia="宋体" w:cs="宋体"/>
                <w:color w:val="auto"/>
                <w:sz w:val="21"/>
                <w:szCs w:val="21"/>
                <w:highlight w:val="none"/>
              </w:rPr>
              <w:t>中标候选人排序方法</w:t>
            </w:r>
          </w:p>
        </w:tc>
        <w:tc>
          <w:tcPr>
            <w:tcW w:w="506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3AF6BAF">
            <w:pPr>
              <w:pStyle w:val="34"/>
              <w:kinsoku w:val="0"/>
              <w:overflowPunct w:val="0"/>
              <w:spacing w:before="107"/>
              <w:jc w:val="both"/>
              <w:rPr>
                <w:rFonts w:hint="eastAsia" w:ascii="宋体" w:hAnsi="宋体" w:eastAsia="宋体" w:cs="宋体"/>
                <w:color w:val="auto"/>
                <w:sz w:val="21"/>
                <w:szCs w:val="24"/>
                <w:highlight w:val="none"/>
                <w:lang w:val="en-US" w:eastAsia="zh-CN"/>
              </w:rPr>
            </w:pPr>
            <w:r>
              <w:rPr>
                <w:rFonts w:hint="eastAsia" w:ascii="宋体" w:hAnsi="宋体" w:eastAsia="宋体" w:cs="宋体"/>
                <w:color w:val="auto"/>
                <w:sz w:val="21"/>
                <w:szCs w:val="21"/>
                <w:highlight w:val="none"/>
                <w:u w:val="single"/>
              </w:rPr>
              <w:t>详见本章第1款规定</w:t>
            </w:r>
          </w:p>
        </w:tc>
      </w:tr>
      <w:tr w14:paraId="02719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963"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55904BB1">
            <w:pPr>
              <w:pStyle w:val="34"/>
              <w:kinsoku w:val="0"/>
              <w:overflowPunct w:val="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2.1.1</w:t>
            </w:r>
          </w:p>
        </w:tc>
        <w:tc>
          <w:tcPr>
            <w:tcW w:w="1300" w:type="dxa"/>
            <w:gridSpan w:val="2"/>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53A0A44E">
            <w:pPr>
              <w:pStyle w:val="34"/>
              <w:kinsoku w:val="0"/>
              <w:overflowPunct w:val="0"/>
              <w:spacing w:line="384" w:lineRule="auto"/>
              <w:ind w:right="132"/>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资格评审标准</w:t>
            </w: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2B1800A">
            <w:pPr>
              <w:pStyle w:val="34"/>
              <w:kinsoku w:val="0"/>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营业执照</w:t>
            </w:r>
          </w:p>
        </w:tc>
        <w:tc>
          <w:tcPr>
            <w:tcW w:w="5066" w:type="dxa"/>
            <w:tcBorders>
              <w:top w:val="single" w:color="auto" w:sz="4" w:space="0"/>
              <w:left w:val="single" w:color="auto" w:sz="4" w:space="0"/>
              <w:bottom w:val="single" w:color="auto" w:sz="4" w:space="0"/>
              <w:right w:val="single" w:color="auto" w:sz="4" w:space="0"/>
              <w:tl2br w:val="nil"/>
              <w:tr2bl w:val="nil"/>
            </w:tcBorders>
            <w:noWrap w:val="0"/>
            <w:vAlign w:val="top"/>
          </w:tcPr>
          <w:p w14:paraId="3526DE9A">
            <w:pPr>
              <w:pStyle w:val="34"/>
              <w:kinsoku w:val="0"/>
              <w:overflowPunct w:val="0"/>
              <w:spacing w:before="107"/>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符合第二章“投标人须知”第 3.5.1项规定，具备有效的营业执照</w:t>
            </w:r>
          </w:p>
        </w:tc>
      </w:tr>
      <w:tr w14:paraId="43E57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9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303380D">
            <w:pPr>
              <w:pStyle w:val="34"/>
              <w:kinsoku w:val="0"/>
              <w:overflowPunct w:val="0"/>
              <w:jc w:val="both"/>
              <w:rPr>
                <w:rFonts w:hint="eastAsia" w:ascii="宋体" w:hAnsi="宋体" w:eastAsia="宋体" w:cs="宋体"/>
                <w:color w:val="auto"/>
                <w:sz w:val="21"/>
                <w:szCs w:val="21"/>
                <w:highlight w:val="none"/>
              </w:rPr>
            </w:pPr>
          </w:p>
        </w:tc>
        <w:tc>
          <w:tcPr>
            <w:tcW w:w="1300"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BB2E8E9">
            <w:pPr>
              <w:pStyle w:val="34"/>
              <w:kinsoku w:val="0"/>
              <w:overflowPunct w:val="0"/>
              <w:spacing w:line="384" w:lineRule="auto"/>
              <w:ind w:right="132"/>
              <w:jc w:val="both"/>
              <w:rPr>
                <w:rFonts w:hint="eastAsia" w:ascii="宋体" w:hAnsi="宋体" w:eastAsia="宋体" w:cs="宋体"/>
                <w:color w:val="auto"/>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B27E712">
            <w:pPr>
              <w:pStyle w:val="34"/>
              <w:kinsoku w:val="0"/>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资质要求</w:t>
            </w:r>
          </w:p>
        </w:tc>
        <w:tc>
          <w:tcPr>
            <w:tcW w:w="506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A088632">
            <w:pPr>
              <w:pStyle w:val="34"/>
              <w:kinsoku w:val="0"/>
              <w:overflowPunct w:val="0"/>
              <w:spacing w:before="107"/>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符合第二章“投标人须知”第 1.4.1项规定</w:t>
            </w:r>
          </w:p>
        </w:tc>
      </w:tr>
      <w:tr w14:paraId="11318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9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A4671BD">
            <w:pPr>
              <w:pStyle w:val="34"/>
              <w:kinsoku w:val="0"/>
              <w:overflowPunct w:val="0"/>
              <w:jc w:val="both"/>
              <w:rPr>
                <w:rFonts w:hint="eastAsia" w:ascii="宋体" w:hAnsi="宋体" w:eastAsia="宋体" w:cs="宋体"/>
                <w:color w:val="auto"/>
                <w:sz w:val="21"/>
                <w:szCs w:val="21"/>
                <w:highlight w:val="none"/>
              </w:rPr>
            </w:pPr>
          </w:p>
        </w:tc>
        <w:tc>
          <w:tcPr>
            <w:tcW w:w="1300"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6D2254F">
            <w:pPr>
              <w:pStyle w:val="34"/>
              <w:kinsoku w:val="0"/>
              <w:overflowPunct w:val="0"/>
              <w:spacing w:line="384" w:lineRule="auto"/>
              <w:ind w:right="132"/>
              <w:jc w:val="both"/>
              <w:rPr>
                <w:rFonts w:hint="eastAsia" w:ascii="宋体" w:hAnsi="宋体" w:eastAsia="宋体" w:cs="宋体"/>
                <w:color w:val="auto"/>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B1FB898">
            <w:pPr>
              <w:pStyle w:val="34"/>
              <w:kinsoku w:val="0"/>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总监理工程师</w:t>
            </w:r>
          </w:p>
        </w:tc>
        <w:tc>
          <w:tcPr>
            <w:tcW w:w="506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69B1791">
            <w:pPr>
              <w:pStyle w:val="34"/>
              <w:kinsoku w:val="0"/>
              <w:overflowPunct w:val="0"/>
              <w:spacing w:before="107"/>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符合第二章“投标人须知”第 1.4.1项规定</w:t>
            </w:r>
          </w:p>
        </w:tc>
      </w:tr>
      <w:tr w14:paraId="177D0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9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7EA27E5">
            <w:pPr>
              <w:pStyle w:val="34"/>
              <w:kinsoku w:val="0"/>
              <w:overflowPunct w:val="0"/>
              <w:jc w:val="both"/>
              <w:rPr>
                <w:rFonts w:hint="eastAsia" w:ascii="宋体" w:hAnsi="宋体" w:eastAsia="宋体" w:cs="宋体"/>
                <w:color w:val="auto"/>
                <w:sz w:val="21"/>
                <w:szCs w:val="21"/>
                <w:highlight w:val="none"/>
              </w:rPr>
            </w:pPr>
          </w:p>
        </w:tc>
        <w:tc>
          <w:tcPr>
            <w:tcW w:w="1300"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E467804">
            <w:pPr>
              <w:pStyle w:val="34"/>
              <w:kinsoku w:val="0"/>
              <w:overflowPunct w:val="0"/>
              <w:spacing w:line="384" w:lineRule="auto"/>
              <w:ind w:right="132"/>
              <w:jc w:val="both"/>
              <w:rPr>
                <w:rFonts w:hint="eastAsia" w:ascii="宋体" w:hAnsi="宋体" w:eastAsia="宋体" w:cs="宋体"/>
                <w:color w:val="auto"/>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4685A1C">
            <w:pPr>
              <w:pStyle w:val="34"/>
              <w:kinsoku w:val="0"/>
              <w:overflowPunct w:val="0"/>
              <w:jc w:val="center"/>
              <w:rPr>
                <w:rFonts w:hint="eastAsia" w:ascii="宋体" w:hAnsi="宋体" w:eastAsia="宋体" w:cs="宋体"/>
                <w:strike/>
                <w:color w:val="auto"/>
                <w:sz w:val="21"/>
                <w:szCs w:val="21"/>
                <w:highlight w:val="none"/>
              </w:rPr>
            </w:pPr>
            <w:r>
              <w:rPr>
                <w:rFonts w:hint="eastAsia" w:ascii="宋体" w:hAnsi="宋体" w:eastAsia="宋体" w:cs="宋体"/>
                <w:strike/>
                <w:color w:val="auto"/>
                <w:sz w:val="21"/>
                <w:szCs w:val="21"/>
                <w:highlight w:val="none"/>
              </w:rPr>
              <w:t>业绩要求</w:t>
            </w:r>
          </w:p>
        </w:tc>
        <w:tc>
          <w:tcPr>
            <w:tcW w:w="506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927395B">
            <w:pPr>
              <w:pStyle w:val="34"/>
              <w:kinsoku w:val="0"/>
              <w:overflowPunct w:val="0"/>
              <w:spacing w:before="107"/>
              <w:jc w:val="both"/>
              <w:rPr>
                <w:rFonts w:hint="eastAsia" w:ascii="宋体" w:hAnsi="宋体" w:eastAsia="宋体" w:cs="宋体"/>
                <w:strike/>
                <w:color w:val="auto"/>
                <w:sz w:val="21"/>
                <w:szCs w:val="21"/>
                <w:highlight w:val="none"/>
              </w:rPr>
            </w:pPr>
            <w:r>
              <w:rPr>
                <w:rFonts w:hint="eastAsia" w:ascii="宋体" w:hAnsi="宋体" w:eastAsia="宋体" w:cs="宋体"/>
                <w:strike/>
                <w:color w:val="auto"/>
                <w:sz w:val="21"/>
                <w:szCs w:val="21"/>
                <w:highlight w:val="none"/>
              </w:rPr>
              <w:t>符合第二章“投标人须知”第 1.4.1项规定</w:t>
            </w:r>
          </w:p>
        </w:tc>
      </w:tr>
      <w:tr w14:paraId="58672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9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FA5B2DE">
            <w:pPr>
              <w:pStyle w:val="34"/>
              <w:kinsoku w:val="0"/>
              <w:overflowPunct w:val="0"/>
              <w:jc w:val="both"/>
              <w:rPr>
                <w:rFonts w:hint="eastAsia" w:ascii="宋体" w:hAnsi="宋体" w:eastAsia="宋体" w:cs="宋体"/>
                <w:color w:val="auto"/>
                <w:sz w:val="21"/>
                <w:szCs w:val="21"/>
                <w:highlight w:val="none"/>
              </w:rPr>
            </w:pPr>
          </w:p>
        </w:tc>
        <w:tc>
          <w:tcPr>
            <w:tcW w:w="1300"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113A18D">
            <w:pPr>
              <w:pStyle w:val="34"/>
              <w:kinsoku w:val="0"/>
              <w:overflowPunct w:val="0"/>
              <w:spacing w:line="384" w:lineRule="auto"/>
              <w:ind w:right="132"/>
              <w:jc w:val="both"/>
              <w:rPr>
                <w:rFonts w:hint="eastAsia" w:ascii="宋体" w:hAnsi="宋体" w:eastAsia="宋体" w:cs="宋体"/>
                <w:color w:val="auto"/>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A8CC83D">
            <w:pPr>
              <w:pStyle w:val="34"/>
              <w:kinsoku w:val="0"/>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联合体投标人</w:t>
            </w:r>
          </w:p>
        </w:tc>
        <w:tc>
          <w:tcPr>
            <w:tcW w:w="506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9A93368">
            <w:pPr>
              <w:pStyle w:val="34"/>
              <w:kinsoku w:val="0"/>
              <w:overflowPunct w:val="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本项目不允许联合体投标</w:t>
            </w:r>
          </w:p>
        </w:tc>
      </w:tr>
      <w:tr w14:paraId="0A3AC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9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A950E6F">
            <w:pPr>
              <w:pStyle w:val="34"/>
              <w:kinsoku w:val="0"/>
              <w:overflowPunct w:val="0"/>
              <w:jc w:val="both"/>
              <w:rPr>
                <w:rFonts w:hint="eastAsia" w:ascii="宋体" w:hAnsi="宋体" w:eastAsia="宋体" w:cs="宋体"/>
                <w:color w:val="auto"/>
                <w:sz w:val="21"/>
                <w:szCs w:val="21"/>
                <w:highlight w:val="none"/>
              </w:rPr>
            </w:pPr>
          </w:p>
        </w:tc>
        <w:tc>
          <w:tcPr>
            <w:tcW w:w="1300"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77B9C71">
            <w:pPr>
              <w:pStyle w:val="34"/>
              <w:kinsoku w:val="0"/>
              <w:overflowPunct w:val="0"/>
              <w:spacing w:line="384" w:lineRule="auto"/>
              <w:ind w:right="132"/>
              <w:jc w:val="both"/>
              <w:rPr>
                <w:rFonts w:hint="eastAsia" w:ascii="宋体" w:hAnsi="宋体" w:eastAsia="宋体" w:cs="宋体"/>
                <w:color w:val="auto"/>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83DB509">
            <w:pPr>
              <w:jc w:val="center"/>
              <w:rPr>
                <w:rFonts w:hint="eastAsia" w:ascii="宋体" w:hAnsi="宋体" w:eastAsia="宋体" w:cs="宋体"/>
                <w:snapToGrid w:val="0"/>
                <w:color w:val="auto"/>
                <w:kern w:val="2"/>
                <w:sz w:val="21"/>
                <w:szCs w:val="21"/>
                <w:highlight w:val="none"/>
                <w:lang w:val="en-US" w:eastAsia="zh-CN" w:bidi="ar-SA"/>
              </w:rPr>
            </w:pPr>
            <w:r>
              <w:rPr>
                <w:rFonts w:hint="eastAsia" w:ascii="宋体" w:hAnsi="宋体" w:eastAsia="宋体" w:cs="宋体"/>
                <w:color w:val="auto"/>
                <w:spacing w:val="-2"/>
                <w:sz w:val="21"/>
                <w:szCs w:val="21"/>
                <w:highlight w:val="none"/>
                <w:lang w:eastAsia="zh-CN"/>
              </w:rPr>
              <w:t>未被纳入失信联合惩戒名单且被限制参与相关项目投标的</w:t>
            </w:r>
          </w:p>
        </w:tc>
        <w:tc>
          <w:tcPr>
            <w:tcW w:w="506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13F4A75">
            <w:pPr>
              <w:ind w:left="137" w:leftChars="57"/>
              <w:rPr>
                <w:rFonts w:hint="eastAsia" w:ascii="宋体" w:hAnsi="宋体" w:eastAsia="宋体" w:cs="宋体"/>
                <w:snapToGrid w:val="0"/>
                <w:color w:val="auto"/>
                <w:kern w:val="2"/>
                <w:sz w:val="21"/>
                <w:szCs w:val="21"/>
                <w:highlight w:val="none"/>
                <w:lang w:val="en-US" w:eastAsia="zh-CN" w:bidi="ar-SA"/>
              </w:rPr>
            </w:pPr>
            <w:r>
              <w:rPr>
                <w:rFonts w:hint="eastAsia" w:ascii="宋体" w:hAnsi="宋体" w:eastAsia="宋体" w:cs="宋体"/>
                <w:color w:val="auto"/>
                <w:spacing w:val="-4"/>
                <w:sz w:val="21"/>
                <w:szCs w:val="21"/>
                <w:highlight w:val="none"/>
              </w:rPr>
              <w:t>失信联合惩戒名单以“信用广州”网站公布的“</w:t>
            </w:r>
            <w:r>
              <w:rPr>
                <w:rFonts w:hint="eastAsia" w:ascii="宋体" w:hAnsi="宋体" w:cs="宋体"/>
                <w:color w:val="auto"/>
                <w:spacing w:val="-4"/>
                <w:sz w:val="21"/>
                <w:szCs w:val="21"/>
                <w:highlight w:val="none"/>
                <w:lang w:eastAsia="zh-CN"/>
              </w:rPr>
              <w:t>黑名单</w:t>
            </w:r>
            <w:r>
              <w:rPr>
                <w:rFonts w:hint="eastAsia" w:ascii="宋体" w:hAnsi="宋体" w:eastAsia="宋体" w:cs="宋体"/>
                <w:color w:val="auto"/>
                <w:spacing w:val="-4"/>
                <w:sz w:val="21"/>
                <w:szCs w:val="21"/>
                <w:highlight w:val="none"/>
              </w:rPr>
              <w:t>”为准。（提供</w:t>
            </w:r>
            <w:r>
              <w:rPr>
                <w:rFonts w:hint="eastAsia" w:ascii="宋体" w:hAnsi="宋体" w:eastAsia="宋体" w:cs="宋体"/>
                <w:color w:val="auto"/>
                <w:spacing w:val="-4"/>
                <w:sz w:val="21"/>
                <w:szCs w:val="21"/>
                <w:highlight w:val="none"/>
                <w:lang w:eastAsia="zh-CN"/>
              </w:rPr>
              <w:t>查询结果</w:t>
            </w:r>
            <w:r>
              <w:rPr>
                <w:rFonts w:hint="eastAsia" w:ascii="宋体" w:hAnsi="宋体" w:eastAsia="宋体" w:cs="宋体"/>
                <w:color w:val="auto"/>
                <w:spacing w:val="-4"/>
                <w:sz w:val="21"/>
                <w:szCs w:val="21"/>
                <w:highlight w:val="none"/>
              </w:rPr>
              <w:t>网页截图，并加盖公章</w:t>
            </w:r>
            <w:r>
              <w:rPr>
                <w:rFonts w:hint="eastAsia" w:ascii="宋体" w:hAnsi="宋体" w:eastAsia="宋体" w:cs="宋体"/>
                <w:color w:val="auto"/>
                <w:spacing w:val="-4"/>
                <w:sz w:val="21"/>
                <w:szCs w:val="21"/>
                <w:highlight w:val="none"/>
                <w:lang w:eastAsia="zh-CN"/>
              </w:rPr>
              <w:t>。</w:t>
            </w:r>
            <w:r>
              <w:rPr>
                <w:rFonts w:hint="eastAsia" w:ascii="宋体" w:hAnsi="宋体" w:eastAsia="宋体" w:cs="宋体"/>
                <w:color w:val="auto"/>
                <w:spacing w:val="-4"/>
                <w:sz w:val="21"/>
                <w:szCs w:val="21"/>
                <w:highlight w:val="none"/>
              </w:rPr>
              <w:t>）</w:t>
            </w:r>
          </w:p>
        </w:tc>
      </w:tr>
      <w:tr w14:paraId="05B2E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9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D10D3FF">
            <w:pPr>
              <w:pStyle w:val="34"/>
              <w:kinsoku w:val="0"/>
              <w:overflowPunct w:val="0"/>
              <w:jc w:val="both"/>
              <w:rPr>
                <w:rFonts w:hint="eastAsia" w:ascii="宋体" w:hAnsi="宋体" w:eastAsia="宋体" w:cs="宋体"/>
                <w:color w:val="auto"/>
                <w:sz w:val="21"/>
                <w:szCs w:val="21"/>
                <w:highlight w:val="none"/>
              </w:rPr>
            </w:pPr>
          </w:p>
        </w:tc>
        <w:tc>
          <w:tcPr>
            <w:tcW w:w="1300"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7DB08AE">
            <w:pPr>
              <w:pStyle w:val="34"/>
              <w:kinsoku w:val="0"/>
              <w:overflowPunct w:val="0"/>
              <w:spacing w:line="384" w:lineRule="auto"/>
              <w:ind w:right="132"/>
              <w:jc w:val="both"/>
              <w:rPr>
                <w:rFonts w:hint="eastAsia" w:ascii="宋体" w:hAnsi="宋体" w:eastAsia="宋体" w:cs="宋体"/>
                <w:color w:val="auto"/>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757BF32">
            <w:pPr>
              <w:pStyle w:val="34"/>
              <w:kinsoku w:val="0"/>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投标人声明</w:t>
            </w:r>
          </w:p>
        </w:tc>
        <w:tc>
          <w:tcPr>
            <w:tcW w:w="506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802DCD2">
            <w:pPr>
              <w:pStyle w:val="34"/>
              <w:kinsoku w:val="0"/>
              <w:overflowPunct w:val="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投标人已按第</w:t>
            </w:r>
            <w:r>
              <w:rPr>
                <w:rFonts w:hint="eastAsia" w:ascii="宋体" w:hAnsi="宋体" w:eastAsia="宋体" w:cs="宋体"/>
                <w:color w:val="auto"/>
                <w:sz w:val="21"/>
                <w:szCs w:val="21"/>
                <w:highlight w:val="none"/>
                <w:lang w:eastAsia="zh-CN"/>
              </w:rPr>
              <w:t>六</w:t>
            </w:r>
            <w:r>
              <w:rPr>
                <w:rFonts w:hint="eastAsia" w:ascii="宋体" w:hAnsi="宋体" w:eastAsia="宋体" w:cs="宋体"/>
                <w:color w:val="auto"/>
                <w:sz w:val="21"/>
                <w:szCs w:val="21"/>
                <w:highlight w:val="none"/>
              </w:rPr>
              <w:t>章“投标文件格式”</w:t>
            </w:r>
            <w:r>
              <w:rPr>
                <w:rFonts w:hint="eastAsia" w:ascii="宋体" w:hAnsi="宋体" w:eastAsia="宋体" w:cs="宋体"/>
                <w:color w:val="auto"/>
                <w:sz w:val="21"/>
                <w:szCs w:val="21"/>
                <w:highlight w:val="none"/>
                <w:lang w:eastAsia="zh-CN"/>
              </w:rPr>
              <w:t>规定</w:t>
            </w:r>
            <w:r>
              <w:rPr>
                <w:rFonts w:hint="eastAsia" w:ascii="宋体" w:hAnsi="宋体" w:eastAsia="宋体" w:cs="宋体"/>
                <w:color w:val="auto"/>
                <w:sz w:val="21"/>
                <w:szCs w:val="21"/>
                <w:highlight w:val="none"/>
              </w:rPr>
              <w:t>的内容签署盖章《投标人声明》，且</w:t>
            </w:r>
            <w:r>
              <w:rPr>
                <w:rFonts w:hint="eastAsia" w:ascii="宋体" w:hAnsi="宋体" w:cs="宋体"/>
                <w:color w:val="auto"/>
                <w:sz w:val="21"/>
                <w:szCs w:val="21"/>
                <w:highlight w:val="none"/>
                <w:lang w:val="en-US" w:eastAsia="zh-CN"/>
              </w:rPr>
              <w:t>法定代表人、</w:t>
            </w:r>
            <w:r>
              <w:rPr>
                <w:rFonts w:hint="eastAsia" w:ascii="宋体" w:hAnsi="宋体" w:eastAsia="宋体" w:cs="宋体"/>
                <w:color w:val="auto"/>
                <w:sz w:val="21"/>
                <w:szCs w:val="21"/>
                <w:highlight w:val="none"/>
              </w:rPr>
              <w:t>总监理工程师、技术负责人签字确认</w:t>
            </w:r>
          </w:p>
        </w:tc>
      </w:tr>
      <w:tr w14:paraId="391AB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9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FCF93CA">
            <w:pPr>
              <w:pStyle w:val="34"/>
              <w:kinsoku w:val="0"/>
              <w:overflowPunct w:val="0"/>
              <w:jc w:val="both"/>
              <w:rPr>
                <w:rFonts w:hint="eastAsia" w:ascii="宋体" w:hAnsi="宋体" w:eastAsia="宋体" w:cs="宋体"/>
                <w:color w:val="auto"/>
                <w:sz w:val="21"/>
                <w:szCs w:val="21"/>
                <w:highlight w:val="none"/>
              </w:rPr>
            </w:pPr>
          </w:p>
        </w:tc>
        <w:tc>
          <w:tcPr>
            <w:tcW w:w="1300"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BC0CF1A">
            <w:pPr>
              <w:pStyle w:val="34"/>
              <w:kinsoku w:val="0"/>
              <w:overflowPunct w:val="0"/>
              <w:spacing w:line="384" w:lineRule="auto"/>
              <w:ind w:right="132"/>
              <w:jc w:val="both"/>
              <w:rPr>
                <w:rFonts w:hint="eastAsia" w:ascii="宋体" w:hAnsi="宋体" w:eastAsia="宋体" w:cs="宋体"/>
                <w:color w:val="auto"/>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F3C9AF9">
            <w:pPr>
              <w:pStyle w:val="34"/>
              <w:kinsoku w:val="0"/>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不存在禁止投标的情形</w:t>
            </w:r>
          </w:p>
        </w:tc>
        <w:tc>
          <w:tcPr>
            <w:tcW w:w="506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9FD939B">
            <w:pPr>
              <w:pStyle w:val="34"/>
              <w:kinsoku w:val="0"/>
              <w:overflowPunct w:val="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none"/>
                <w:shd w:val="clear" w:color="auto" w:fill="auto"/>
              </w:rPr>
              <w:t>不存在第二章“投标人须知”第1.4.3项规定的任何一种情形（以《投标函》为准）</w:t>
            </w:r>
          </w:p>
        </w:tc>
      </w:tr>
      <w:tr w14:paraId="429AD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963"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61983B28">
            <w:pPr>
              <w:pStyle w:val="34"/>
              <w:kinsoku w:val="0"/>
              <w:overflowPunct w:val="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lang w:val="en-US" w:eastAsia="zh-CN"/>
              </w:rPr>
              <w:t>2</w:t>
            </w:r>
          </w:p>
        </w:tc>
        <w:tc>
          <w:tcPr>
            <w:tcW w:w="1300" w:type="dxa"/>
            <w:gridSpan w:val="2"/>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4AE09EB2">
            <w:pPr>
              <w:pStyle w:val="34"/>
              <w:kinsoku w:val="0"/>
              <w:overflowPunct w:val="0"/>
              <w:spacing w:line="384" w:lineRule="auto"/>
              <w:ind w:right="132"/>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形式评审标准</w:t>
            </w: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8C2D30F">
            <w:pPr>
              <w:pStyle w:val="34"/>
              <w:kinsoku w:val="0"/>
              <w:overflowPunct w:val="0"/>
              <w:spacing w:before="11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投标人名称</w:t>
            </w:r>
          </w:p>
        </w:tc>
        <w:tc>
          <w:tcPr>
            <w:tcW w:w="506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2387B39">
            <w:pPr>
              <w:pStyle w:val="34"/>
              <w:kinsoku w:val="0"/>
              <w:overflowPunct w:val="0"/>
              <w:spacing w:before="11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与营业执照、资质证书一致</w:t>
            </w:r>
          </w:p>
        </w:tc>
      </w:tr>
      <w:tr w14:paraId="0A892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963" w:type="dxa"/>
            <w:vMerge w:val="continue"/>
            <w:tcBorders>
              <w:left w:val="single" w:color="auto" w:sz="4" w:space="0"/>
              <w:right w:val="single" w:color="auto" w:sz="4" w:space="0"/>
              <w:tl2br w:val="nil"/>
              <w:tr2bl w:val="nil"/>
            </w:tcBorders>
            <w:noWrap w:val="0"/>
            <w:vAlign w:val="center"/>
          </w:tcPr>
          <w:p w14:paraId="23421B17">
            <w:pPr>
              <w:pStyle w:val="34"/>
              <w:kinsoku w:val="0"/>
              <w:overflowPunct w:val="0"/>
              <w:jc w:val="both"/>
              <w:rPr>
                <w:rFonts w:hint="eastAsia" w:ascii="宋体" w:hAnsi="宋体" w:eastAsia="宋体" w:cs="宋体"/>
                <w:color w:val="auto"/>
                <w:sz w:val="21"/>
                <w:szCs w:val="21"/>
                <w:highlight w:val="none"/>
              </w:rPr>
            </w:pPr>
          </w:p>
        </w:tc>
        <w:tc>
          <w:tcPr>
            <w:tcW w:w="1300" w:type="dxa"/>
            <w:gridSpan w:val="2"/>
            <w:vMerge w:val="continue"/>
            <w:tcBorders>
              <w:left w:val="single" w:color="auto" w:sz="4" w:space="0"/>
              <w:right w:val="single" w:color="auto" w:sz="4" w:space="0"/>
              <w:tl2br w:val="nil"/>
              <w:tr2bl w:val="nil"/>
            </w:tcBorders>
            <w:noWrap w:val="0"/>
            <w:vAlign w:val="center"/>
          </w:tcPr>
          <w:p w14:paraId="59DCC7E4">
            <w:pPr>
              <w:pStyle w:val="34"/>
              <w:kinsoku w:val="0"/>
              <w:overflowPunct w:val="0"/>
              <w:spacing w:line="384" w:lineRule="auto"/>
              <w:ind w:right="132"/>
              <w:jc w:val="both"/>
              <w:rPr>
                <w:rFonts w:hint="eastAsia" w:ascii="宋体" w:hAnsi="宋体" w:eastAsia="宋体" w:cs="宋体"/>
                <w:color w:val="auto"/>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57B9687">
            <w:pPr>
              <w:pStyle w:val="34"/>
              <w:kinsoku w:val="0"/>
              <w:overflowPunct w:val="0"/>
              <w:spacing w:before="11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投标人参加投标的意思表达清楚，投标人代表被授权有效</w:t>
            </w:r>
          </w:p>
        </w:tc>
        <w:tc>
          <w:tcPr>
            <w:tcW w:w="506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F509ECD">
            <w:pPr>
              <w:pStyle w:val="34"/>
              <w:kinsoku w:val="0"/>
              <w:overflowPunct w:val="0"/>
              <w:spacing w:before="11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投标人声明、</w:t>
            </w:r>
            <w:r>
              <w:rPr>
                <w:rFonts w:hint="eastAsia" w:ascii="宋体" w:hAnsi="宋体" w:cs="宋体"/>
                <w:color w:val="auto"/>
                <w:sz w:val="21"/>
                <w:szCs w:val="21"/>
                <w:highlight w:val="none"/>
                <w:lang w:val="en-US" w:eastAsia="zh-CN"/>
              </w:rPr>
              <w:t>投标人</w:t>
            </w:r>
            <w:r>
              <w:rPr>
                <w:rFonts w:hint="eastAsia" w:ascii="宋体" w:hAnsi="宋体" w:eastAsia="宋体" w:cs="宋体"/>
                <w:color w:val="auto"/>
                <w:sz w:val="21"/>
                <w:szCs w:val="21"/>
                <w:highlight w:val="none"/>
              </w:rPr>
              <w:t>廉洁承诺书、法定代表人证明书；委托投标的还应提供法人授权委托证明书</w:t>
            </w:r>
          </w:p>
        </w:tc>
      </w:tr>
      <w:tr w14:paraId="34B25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 w:hRule="atLeast"/>
        </w:trPr>
        <w:tc>
          <w:tcPr>
            <w:tcW w:w="9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826F5B6">
            <w:pPr>
              <w:pStyle w:val="4"/>
              <w:kinsoku w:val="0"/>
              <w:overflowPunct w:val="0"/>
              <w:jc w:val="both"/>
              <w:outlineLvl w:val="9"/>
              <w:rPr>
                <w:rFonts w:hint="eastAsia" w:cs="宋体"/>
                <w:color w:val="auto"/>
                <w:sz w:val="21"/>
                <w:szCs w:val="21"/>
                <w:highlight w:val="none"/>
              </w:rPr>
            </w:pPr>
          </w:p>
        </w:tc>
        <w:tc>
          <w:tcPr>
            <w:tcW w:w="1300"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737CCF7">
            <w:pPr>
              <w:pStyle w:val="4"/>
              <w:kinsoku w:val="0"/>
              <w:overflowPunct w:val="0"/>
              <w:jc w:val="both"/>
              <w:outlineLvl w:val="9"/>
              <w:rPr>
                <w:rFonts w:hint="eastAsia" w:cs="宋体"/>
                <w:color w:val="auto"/>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A9D9988">
            <w:pPr>
              <w:pStyle w:val="34"/>
              <w:kinsoku w:val="0"/>
              <w:overflowPunct w:val="0"/>
              <w:ind w:right="180"/>
              <w:jc w:val="center"/>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投标函及投标函附录签</w:t>
            </w:r>
            <w:r>
              <w:rPr>
                <w:rFonts w:hint="eastAsia" w:ascii="宋体" w:hAnsi="宋体" w:eastAsia="宋体" w:cs="宋体"/>
                <w:color w:val="auto"/>
                <w:spacing w:val="-84"/>
                <w:sz w:val="21"/>
                <w:szCs w:val="21"/>
                <w:highlight w:val="none"/>
              </w:rPr>
              <w:t xml:space="preserve"> </w:t>
            </w:r>
            <w:r>
              <w:rPr>
                <w:rFonts w:hint="eastAsia" w:ascii="宋体" w:hAnsi="宋体" w:eastAsia="宋体" w:cs="宋体"/>
                <w:color w:val="auto"/>
                <w:sz w:val="21"/>
                <w:szCs w:val="21"/>
                <w:highlight w:val="none"/>
              </w:rPr>
              <w:t>字盖章</w:t>
            </w:r>
          </w:p>
        </w:tc>
        <w:tc>
          <w:tcPr>
            <w:tcW w:w="506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C9801D5">
            <w:pPr>
              <w:pStyle w:val="34"/>
              <w:kinsoku w:val="0"/>
              <w:overflowPunct w:val="0"/>
              <w:spacing w:before="107"/>
              <w:ind w:right="96"/>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有法定代表人或其委托代理人签字</w:t>
            </w:r>
            <w:r>
              <w:rPr>
                <w:rFonts w:hint="eastAsia" w:ascii="宋体" w:hAnsi="宋体" w:cs="宋体"/>
                <w:color w:val="auto"/>
                <w:sz w:val="21"/>
                <w:szCs w:val="21"/>
                <w:highlight w:val="none"/>
                <w:lang w:val="en-US" w:eastAsia="zh-CN"/>
              </w:rPr>
              <w:t>（或签章）并</w:t>
            </w:r>
            <w:r>
              <w:rPr>
                <w:rFonts w:hint="eastAsia" w:ascii="宋体" w:hAnsi="宋体" w:eastAsia="宋体" w:cs="宋体"/>
                <w:color w:val="auto"/>
                <w:sz w:val="21"/>
                <w:szCs w:val="21"/>
                <w:highlight w:val="none"/>
              </w:rPr>
              <w:t>加盖单位章。由法定代表人签字的，应附法定代表人身份证明，由代理人签字的，应附授权委托书，身份证明或授权委托书应符合第六章“投标文件格式”的规定</w:t>
            </w:r>
          </w:p>
        </w:tc>
      </w:tr>
      <w:tr w14:paraId="341A7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9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AFA4609">
            <w:pPr>
              <w:pStyle w:val="4"/>
              <w:kinsoku w:val="0"/>
              <w:overflowPunct w:val="0"/>
              <w:jc w:val="both"/>
              <w:outlineLvl w:val="9"/>
              <w:rPr>
                <w:rFonts w:hint="eastAsia" w:cs="宋体"/>
                <w:color w:val="auto"/>
                <w:sz w:val="21"/>
                <w:szCs w:val="21"/>
                <w:highlight w:val="none"/>
              </w:rPr>
            </w:pPr>
          </w:p>
        </w:tc>
        <w:tc>
          <w:tcPr>
            <w:tcW w:w="1300"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5D4F1A7">
            <w:pPr>
              <w:pStyle w:val="4"/>
              <w:kinsoku w:val="0"/>
              <w:overflowPunct w:val="0"/>
              <w:jc w:val="both"/>
              <w:outlineLvl w:val="9"/>
              <w:rPr>
                <w:rFonts w:hint="eastAsia" w:cs="宋体"/>
                <w:color w:val="auto"/>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B388179">
            <w:pPr>
              <w:pStyle w:val="34"/>
              <w:kinsoku w:val="0"/>
              <w:overflowPunct w:val="0"/>
              <w:spacing w:before="10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投标文件格式</w:t>
            </w:r>
          </w:p>
        </w:tc>
        <w:tc>
          <w:tcPr>
            <w:tcW w:w="506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0229179">
            <w:pPr>
              <w:pStyle w:val="34"/>
              <w:kinsoku w:val="0"/>
              <w:overflowPunct w:val="0"/>
              <w:spacing w:before="107"/>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符合第六章“投标文件格式”的规定</w:t>
            </w:r>
          </w:p>
        </w:tc>
      </w:tr>
      <w:tr w14:paraId="0D6E4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9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FFE5DC6">
            <w:pPr>
              <w:pStyle w:val="4"/>
              <w:kinsoku w:val="0"/>
              <w:overflowPunct w:val="0"/>
              <w:jc w:val="both"/>
              <w:outlineLvl w:val="9"/>
              <w:rPr>
                <w:rFonts w:hint="eastAsia" w:cs="宋体"/>
                <w:color w:val="auto"/>
                <w:sz w:val="21"/>
                <w:szCs w:val="21"/>
                <w:highlight w:val="none"/>
              </w:rPr>
            </w:pPr>
          </w:p>
        </w:tc>
        <w:tc>
          <w:tcPr>
            <w:tcW w:w="1300"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C260F28">
            <w:pPr>
              <w:pStyle w:val="4"/>
              <w:kinsoku w:val="0"/>
              <w:overflowPunct w:val="0"/>
              <w:jc w:val="both"/>
              <w:outlineLvl w:val="9"/>
              <w:rPr>
                <w:rFonts w:hint="eastAsia" w:cs="宋体"/>
                <w:color w:val="auto"/>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41024E6">
            <w:pPr>
              <w:pStyle w:val="34"/>
              <w:kinsoku w:val="0"/>
              <w:overflowPunct w:val="0"/>
              <w:jc w:val="center"/>
              <w:rPr>
                <w:rFonts w:hint="eastAsia" w:ascii="宋体" w:hAnsi="宋体" w:eastAsia="宋体" w:cs="宋体"/>
                <w:strike/>
                <w:dstrike w:val="0"/>
                <w:color w:val="auto"/>
                <w:sz w:val="21"/>
                <w:szCs w:val="21"/>
                <w:highlight w:val="none"/>
              </w:rPr>
            </w:pPr>
            <w:r>
              <w:rPr>
                <w:rFonts w:hint="eastAsia" w:ascii="宋体" w:hAnsi="宋体" w:eastAsia="宋体" w:cs="宋体"/>
                <w:strike/>
                <w:dstrike w:val="0"/>
                <w:color w:val="auto"/>
                <w:sz w:val="21"/>
                <w:szCs w:val="21"/>
                <w:highlight w:val="none"/>
              </w:rPr>
              <w:t>联合体投标人</w:t>
            </w:r>
          </w:p>
        </w:tc>
        <w:tc>
          <w:tcPr>
            <w:tcW w:w="506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2B863D3">
            <w:pPr>
              <w:pStyle w:val="34"/>
              <w:kinsoku w:val="0"/>
              <w:overflowPunct w:val="0"/>
              <w:spacing w:before="107"/>
              <w:jc w:val="both"/>
              <w:rPr>
                <w:rFonts w:hint="eastAsia" w:ascii="宋体" w:hAnsi="宋体" w:eastAsia="宋体" w:cs="宋体"/>
                <w:strike/>
                <w:dstrike w:val="0"/>
                <w:color w:val="auto"/>
                <w:sz w:val="21"/>
                <w:szCs w:val="21"/>
                <w:highlight w:val="none"/>
                <w:lang w:eastAsia="zh-CN"/>
              </w:rPr>
            </w:pPr>
            <w:r>
              <w:rPr>
                <w:rFonts w:hint="eastAsia" w:ascii="宋体" w:hAnsi="宋体" w:eastAsia="宋体" w:cs="宋体"/>
                <w:strike/>
                <w:dstrike w:val="0"/>
                <w:color w:val="auto"/>
                <w:sz w:val="21"/>
                <w:szCs w:val="21"/>
                <w:highlight w:val="none"/>
              </w:rPr>
              <w:t>提交符合招标文件要求的联合体协议书，明确各方承担连带责任，并明确联合体</w:t>
            </w:r>
            <w:r>
              <w:rPr>
                <w:rFonts w:hint="eastAsia" w:ascii="宋体" w:hAnsi="宋体" w:eastAsia="宋体" w:cs="宋体"/>
                <w:strike/>
                <w:dstrike w:val="0"/>
                <w:color w:val="auto"/>
                <w:sz w:val="21"/>
                <w:szCs w:val="21"/>
                <w:highlight w:val="none"/>
                <w:lang w:eastAsia="zh-CN"/>
              </w:rPr>
              <w:t>主办方</w:t>
            </w:r>
          </w:p>
        </w:tc>
      </w:tr>
      <w:tr w14:paraId="6740B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7A4F1EA">
            <w:pPr>
              <w:pStyle w:val="4"/>
              <w:kinsoku w:val="0"/>
              <w:overflowPunct w:val="0"/>
              <w:jc w:val="both"/>
              <w:outlineLvl w:val="9"/>
              <w:rPr>
                <w:rFonts w:hint="eastAsia" w:cs="宋体"/>
                <w:color w:val="auto"/>
                <w:sz w:val="21"/>
                <w:szCs w:val="21"/>
                <w:highlight w:val="none"/>
              </w:rPr>
            </w:pPr>
          </w:p>
        </w:tc>
        <w:tc>
          <w:tcPr>
            <w:tcW w:w="1300"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D11E286">
            <w:pPr>
              <w:pStyle w:val="4"/>
              <w:kinsoku w:val="0"/>
              <w:overflowPunct w:val="0"/>
              <w:jc w:val="both"/>
              <w:outlineLvl w:val="9"/>
              <w:rPr>
                <w:rFonts w:hint="eastAsia" w:cs="宋体"/>
                <w:color w:val="auto"/>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D9B5A87">
            <w:pPr>
              <w:pStyle w:val="34"/>
              <w:kinsoku w:val="0"/>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备选投标方案</w:t>
            </w:r>
          </w:p>
        </w:tc>
        <w:tc>
          <w:tcPr>
            <w:tcW w:w="506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794D96C">
            <w:pPr>
              <w:pStyle w:val="34"/>
              <w:kinsoku w:val="0"/>
              <w:overflowPunct w:val="0"/>
              <w:spacing w:before="107"/>
              <w:jc w:val="both"/>
              <w:rPr>
                <w:rFonts w:hint="eastAsia" w:ascii="宋体" w:hAnsi="宋体" w:eastAsia="宋体" w:cs="宋体"/>
                <w:color w:val="auto"/>
                <w:sz w:val="21"/>
                <w:szCs w:val="21"/>
                <w:highlight w:val="none"/>
              </w:rPr>
            </w:pPr>
            <w:r>
              <w:rPr>
                <w:rFonts w:hint="eastAsia" w:ascii="宋体" w:hAnsi="宋体" w:cs="宋体"/>
                <w:sz w:val="21"/>
                <w:szCs w:val="21"/>
                <w:highlight w:val="none"/>
              </w:rPr>
              <w:t>不允许。</w:t>
            </w:r>
          </w:p>
        </w:tc>
      </w:tr>
      <w:tr w14:paraId="69433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9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0305FC8">
            <w:pPr>
              <w:pStyle w:val="4"/>
              <w:kinsoku w:val="0"/>
              <w:overflowPunct w:val="0"/>
              <w:jc w:val="both"/>
              <w:outlineLvl w:val="9"/>
              <w:rPr>
                <w:rFonts w:hint="eastAsia" w:cs="宋体"/>
                <w:color w:val="auto"/>
                <w:sz w:val="21"/>
                <w:szCs w:val="21"/>
                <w:highlight w:val="none"/>
              </w:rPr>
            </w:pPr>
          </w:p>
        </w:tc>
        <w:tc>
          <w:tcPr>
            <w:tcW w:w="1300"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EF6B524">
            <w:pPr>
              <w:pStyle w:val="4"/>
              <w:kinsoku w:val="0"/>
              <w:overflowPunct w:val="0"/>
              <w:jc w:val="both"/>
              <w:outlineLvl w:val="9"/>
              <w:rPr>
                <w:rFonts w:hint="eastAsia" w:cs="宋体"/>
                <w:color w:val="auto"/>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37062AB">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4"/>
                <w:highlight w:val="none"/>
              </w:rPr>
              <w:t>投标人机器码</w:t>
            </w:r>
          </w:p>
        </w:tc>
        <w:tc>
          <w:tcPr>
            <w:tcW w:w="506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9CBCA83">
            <w:pPr>
              <w:ind w:left="91" w:leftChars="38"/>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4"/>
                <w:highlight w:val="none"/>
              </w:rPr>
              <w:t>投标人与</w:t>
            </w:r>
            <w:r>
              <w:rPr>
                <w:rFonts w:hint="eastAsia" w:ascii="宋体" w:hAnsi="宋体" w:eastAsia="宋体" w:cs="宋体"/>
                <w:color w:val="auto"/>
                <w:sz w:val="21"/>
                <w:szCs w:val="24"/>
                <w:highlight w:val="none"/>
                <w:lang w:eastAsia="zh-CN"/>
              </w:rPr>
              <w:t>本项目</w:t>
            </w:r>
            <w:r>
              <w:rPr>
                <w:rFonts w:hint="eastAsia" w:ascii="宋体" w:hAnsi="宋体" w:eastAsia="宋体" w:cs="宋体"/>
                <w:color w:val="auto"/>
                <w:sz w:val="21"/>
                <w:szCs w:val="24"/>
                <w:highlight w:val="none"/>
              </w:rPr>
              <w:t>其他投标人加密打包投标文件电脑机器特征码</w:t>
            </w:r>
            <w:r>
              <w:rPr>
                <w:rFonts w:hint="eastAsia" w:ascii="宋体" w:hAnsi="宋体" w:eastAsia="宋体" w:cs="宋体"/>
                <w:color w:val="auto"/>
                <w:sz w:val="21"/>
                <w:szCs w:val="24"/>
                <w:highlight w:val="none"/>
                <w:lang w:eastAsia="zh-CN"/>
              </w:rPr>
              <w:t>不</w:t>
            </w:r>
            <w:r>
              <w:rPr>
                <w:rFonts w:hint="eastAsia" w:ascii="宋体" w:hAnsi="宋体" w:eastAsia="宋体" w:cs="宋体"/>
                <w:color w:val="auto"/>
                <w:sz w:val="21"/>
                <w:szCs w:val="24"/>
                <w:highlight w:val="none"/>
              </w:rPr>
              <w:t>一致的(以</w:t>
            </w:r>
            <w:r>
              <w:rPr>
                <w:rFonts w:hint="eastAsia" w:ascii="宋体" w:hAnsi="宋体" w:cs="宋体"/>
                <w:color w:val="auto"/>
                <w:sz w:val="21"/>
                <w:szCs w:val="24"/>
                <w:highlight w:val="none"/>
                <w:lang w:eastAsia="zh-CN"/>
              </w:rPr>
              <w:t>广州交易集团有限公司（广州公共资源交易中心）</w:t>
            </w:r>
            <w:r>
              <w:rPr>
                <w:rFonts w:hint="eastAsia" w:ascii="宋体" w:hAnsi="宋体" w:eastAsia="宋体" w:cs="宋体"/>
                <w:color w:val="auto"/>
                <w:sz w:val="21"/>
                <w:szCs w:val="24"/>
                <w:highlight w:val="none"/>
                <w:lang w:eastAsia="zh-CN"/>
              </w:rPr>
              <w:t>交易</w:t>
            </w:r>
            <w:r>
              <w:rPr>
                <w:rFonts w:hint="eastAsia" w:ascii="宋体" w:hAnsi="宋体" w:eastAsia="宋体" w:cs="宋体"/>
                <w:color w:val="auto"/>
                <w:sz w:val="21"/>
                <w:szCs w:val="24"/>
                <w:highlight w:val="none"/>
              </w:rPr>
              <w:t>平台</w:t>
            </w:r>
            <w:r>
              <w:rPr>
                <w:rFonts w:hint="eastAsia" w:ascii="宋体" w:hAnsi="宋体" w:cs="宋体"/>
                <w:color w:val="auto"/>
                <w:sz w:val="21"/>
                <w:szCs w:val="24"/>
                <w:highlight w:val="none"/>
                <w:lang w:eastAsia="zh-CN"/>
              </w:rPr>
              <w:t>开标</w:t>
            </w:r>
            <w:r>
              <w:rPr>
                <w:rFonts w:hint="eastAsia" w:ascii="宋体" w:hAnsi="宋体" w:eastAsia="宋体" w:cs="宋体"/>
                <w:color w:val="auto"/>
                <w:sz w:val="21"/>
                <w:szCs w:val="24"/>
                <w:highlight w:val="none"/>
              </w:rPr>
              <w:t>系统的检索信息为准)</w:t>
            </w:r>
          </w:p>
        </w:tc>
      </w:tr>
      <w:tr w14:paraId="0933C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3"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3613D15A">
            <w:pPr>
              <w:pStyle w:val="34"/>
              <w:kinsoku w:val="0"/>
              <w:overflowPunct w:val="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2.1.3</w:t>
            </w:r>
          </w:p>
        </w:tc>
        <w:tc>
          <w:tcPr>
            <w:tcW w:w="1300" w:type="dxa"/>
            <w:gridSpan w:val="2"/>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4F65A792">
            <w:pPr>
              <w:pStyle w:val="34"/>
              <w:kinsoku w:val="0"/>
              <w:overflowPunct w:val="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响应性评审标准</w:t>
            </w: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E613A38">
            <w:pPr>
              <w:pStyle w:val="34"/>
              <w:kinsoku w:val="0"/>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w:t>
            </w:r>
          </w:p>
        </w:tc>
        <w:tc>
          <w:tcPr>
            <w:tcW w:w="506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7837D37">
            <w:pPr>
              <w:pStyle w:val="34"/>
              <w:kinsoku w:val="0"/>
              <w:overflowPunct w:val="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符合第二章“投标人须知”第3.2款规定</w:t>
            </w:r>
          </w:p>
        </w:tc>
      </w:tr>
      <w:tr w14:paraId="19827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3"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4B877B50">
            <w:pPr>
              <w:pStyle w:val="4"/>
              <w:kinsoku w:val="0"/>
              <w:overflowPunct w:val="0"/>
              <w:outlineLvl w:val="9"/>
              <w:rPr>
                <w:rFonts w:hint="eastAsia" w:cs="宋体"/>
                <w:color w:val="auto"/>
                <w:sz w:val="21"/>
                <w:szCs w:val="21"/>
                <w:highlight w:val="none"/>
              </w:rPr>
            </w:pPr>
          </w:p>
        </w:tc>
        <w:tc>
          <w:tcPr>
            <w:tcW w:w="1300"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77347BA2">
            <w:pPr>
              <w:pStyle w:val="4"/>
              <w:kinsoku w:val="0"/>
              <w:overflowPunct w:val="0"/>
              <w:outlineLvl w:val="9"/>
              <w:rPr>
                <w:rFonts w:hint="eastAsia" w:cs="宋体"/>
                <w:color w:val="auto"/>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89480BA">
            <w:pPr>
              <w:pStyle w:val="34"/>
              <w:kinsoku w:val="0"/>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投标内容</w:t>
            </w:r>
          </w:p>
        </w:tc>
        <w:tc>
          <w:tcPr>
            <w:tcW w:w="506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D9BC595">
            <w:pPr>
              <w:pStyle w:val="34"/>
              <w:kinsoku w:val="0"/>
              <w:overflowPunct w:val="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符合第二章“投标人须知”第1.3.1项规定</w:t>
            </w:r>
          </w:p>
        </w:tc>
      </w:tr>
      <w:tr w14:paraId="6C1B5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3"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3611BB43">
            <w:pPr>
              <w:pStyle w:val="4"/>
              <w:kinsoku w:val="0"/>
              <w:overflowPunct w:val="0"/>
              <w:outlineLvl w:val="9"/>
              <w:rPr>
                <w:rFonts w:hint="eastAsia" w:cs="宋体"/>
                <w:color w:val="auto"/>
                <w:sz w:val="21"/>
                <w:szCs w:val="21"/>
                <w:highlight w:val="none"/>
              </w:rPr>
            </w:pPr>
          </w:p>
        </w:tc>
        <w:tc>
          <w:tcPr>
            <w:tcW w:w="1300"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05D65C18">
            <w:pPr>
              <w:pStyle w:val="4"/>
              <w:kinsoku w:val="0"/>
              <w:overflowPunct w:val="0"/>
              <w:outlineLvl w:val="9"/>
              <w:rPr>
                <w:rFonts w:hint="eastAsia" w:cs="宋体"/>
                <w:color w:val="auto"/>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3802642">
            <w:pPr>
              <w:pStyle w:val="34"/>
              <w:kinsoku w:val="0"/>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监理服务期限</w:t>
            </w:r>
          </w:p>
        </w:tc>
        <w:tc>
          <w:tcPr>
            <w:tcW w:w="506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80C93E1">
            <w:pPr>
              <w:pStyle w:val="34"/>
              <w:tabs>
                <w:tab w:val="right" w:pos="4795"/>
              </w:tabs>
              <w:kinsoku w:val="0"/>
              <w:overflowPunct w:val="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符合第二章“投标人须知”第1.3.2项规定</w:t>
            </w:r>
            <w:r>
              <w:rPr>
                <w:rFonts w:hint="eastAsia" w:ascii="宋体" w:hAnsi="宋体" w:cs="宋体"/>
                <w:color w:val="auto"/>
                <w:sz w:val="21"/>
                <w:szCs w:val="21"/>
                <w:highlight w:val="none"/>
                <w:lang w:eastAsia="zh-CN"/>
              </w:rPr>
              <w:tab/>
            </w:r>
          </w:p>
        </w:tc>
      </w:tr>
      <w:tr w14:paraId="631FA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3"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1015896F">
            <w:pPr>
              <w:pStyle w:val="4"/>
              <w:kinsoku w:val="0"/>
              <w:overflowPunct w:val="0"/>
              <w:outlineLvl w:val="9"/>
              <w:rPr>
                <w:rFonts w:hint="eastAsia" w:cs="宋体"/>
                <w:color w:val="auto"/>
                <w:sz w:val="21"/>
                <w:szCs w:val="21"/>
                <w:highlight w:val="none"/>
              </w:rPr>
            </w:pPr>
          </w:p>
        </w:tc>
        <w:tc>
          <w:tcPr>
            <w:tcW w:w="1300"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7628CE29">
            <w:pPr>
              <w:pStyle w:val="4"/>
              <w:kinsoku w:val="0"/>
              <w:overflowPunct w:val="0"/>
              <w:outlineLvl w:val="9"/>
              <w:rPr>
                <w:rFonts w:hint="eastAsia" w:cs="宋体"/>
                <w:color w:val="auto"/>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AA61B9E">
            <w:pPr>
              <w:pStyle w:val="34"/>
              <w:kinsoku w:val="0"/>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质量标准</w:t>
            </w:r>
          </w:p>
        </w:tc>
        <w:tc>
          <w:tcPr>
            <w:tcW w:w="506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3393704">
            <w:pPr>
              <w:pStyle w:val="34"/>
              <w:kinsoku w:val="0"/>
              <w:overflowPunct w:val="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符合第二章“投标人须知”第1.3.3项规定</w:t>
            </w:r>
          </w:p>
        </w:tc>
      </w:tr>
      <w:tr w14:paraId="3D607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3"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58C99358">
            <w:pPr>
              <w:pStyle w:val="4"/>
              <w:kinsoku w:val="0"/>
              <w:overflowPunct w:val="0"/>
              <w:outlineLvl w:val="9"/>
              <w:rPr>
                <w:rFonts w:hint="eastAsia" w:cs="宋体"/>
                <w:color w:val="auto"/>
                <w:sz w:val="21"/>
                <w:szCs w:val="21"/>
                <w:highlight w:val="none"/>
              </w:rPr>
            </w:pPr>
          </w:p>
        </w:tc>
        <w:tc>
          <w:tcPr>
            <w:tcW w:w="1300"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6C49803C">
            <w:pPr>
              <w:pStyle w:val="4"/>
              <w:kinsoku w:val="0"/>
              <w:overflowPunct w:val="0"/>
              <w:outlineLvl w:val="9"/>
              <w:rPr>
                <w:rFonts w:hint="eastAsia" w:cs="宋体"/>
                <w:color w:val="auto"/>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9F60B57">
            <w:pPr>
              <w:pStyle w:val="34"/>
              <w:kinsoku w:val="0"/>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投标有效期</w:t>
            </w:r>
          </w:p>
        </w:tc>
        <w:tc>
          <w:tcPr>
            <w:tcW w:w="506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A24B80D">
            <w:pPr>
              <w:pStyle w:val="34"/>
              <w:kinsoku w:val="0"/>
              <w:overflowPunct w:val="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符合第二章“投标人须知”第3.3.1项规定</w:t>
            </w:r>
          </w:p>
        </w:tc>
      </w:tr>
      <w:tr w14:paraId="1D197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963"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33E4F3E4">
            <w:pPr>
              <w:pStyle w:val="4"/>
              <w:kinsoku w:val="0"/>
              <w:overflowPunct w:val="0"/>
              <w:outlineLvl w:val="9"/>
              <w:rPr>
                <w:rFonts w:hint="eastAsia" w:cs="宋体"/>
                <w:color w:val="auto"/>
                <w:sz w:val="21"/>
                <w:szCs w:val="21"/>
                <w:highlight w:val="none"/>
              </w:rPr>
            </w:pPr>
          </w:p>
        </w:tc>
        <w:tc>
          <w:tcPr>
            <w:tcW w:w="1300"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1BE918D7">
            <w:pPr>
              <w:pStyle w:val="4"/>
              <w:kinsoku w:val="0"/>
              <w:overflowPunct w:val="0"/>
              <w:outlineLvl w:val="9"/>
              <w:rPr>
                <w:rFonts w:hint="eastAsia" w:cs="宋体"/>
                <w:color w:val="auto"/>
                <w:sz w:val="21"/>
                <w:szCs w:val="21"/>
                <w:highlight w:val="none"/>
              </w:rPr>
            </w:pPr>
          </w:p>
        </w:tc>
        <w:tc>
          <w:tcPr>
            <w:tcW w:w="2013" w:type="dxa"/>
            <w:tcBorders>
              <w:top w:val="single" w:color="auto" w:sz="4" w:space="0"/>
              <w:left w:val="single" w:color="auto" w:sz="4" w:space="0"/>
              <w:right w:val="single" w:color="auto" w:sz="4" w:space="0"/>
              <w:tl2br w:val="nil"/>
              <w:tr2bl w:val="nil"/>
            </w:tcBorders>
            <w:noWrap w:val="0"/>
            <w:vAlign w:val="center"/>
          </w:tcPr>
          <w:p w14:paraId="4AB29F66">
            <w:pPr>
              <w:pStyle w:val="34"/>
              <w:kinsoku w:val="0"/>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投标保证金</w:t>
            </w:r>
          </w:p>
        </w:tc>
        <w:tc>
          <w:tcPr>
            <w:tcW w:w="506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CD10920">
            <w:pPr>
              <w:pStyle w:val="34"/>
              <w:kinsoku w:val="0"/>
              <w:overflowPunct w:val="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符合第二章“投标人须知”第3.4.1项规定</w:t>
            </w:r>
          </w:p>
        </w:tc>
      </w:tr>
      <w:tr w14:paraId="7A85F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963"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31691345">
            <w:pPr>
              <w:pStyle w:val="4"/>
              <w:kinsoku w:val="0"/>
              <w:overflowPunct w:val="0"/>
              <w:outlineLvl w:val="9"/>
              <w:rPr>
                <w:rFonts w:hint="eastAsia" w:cs="宋体"/>
                <w:color w:val="auto"/>
                <w:sz w:val="21"/>
                <w:szCs w:val="21"/>
                <w:highlight w:val="none"/>
              </w:rPr>
            </w:pPr>
          </w:p>
        </w:tc>
        <w:tc>
          <w:tcPr>
            <w:tcW w:w="1300"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75C332A2">
            <w:pPr>
              <w:pStyle w:val="4"/>
              <w:kinsoku w:val="0"/>
              <w:overflowPunct w:val="0"/>
              <w:outlineLvl w:val="9"/>
              <w:rPr>
                <w:rFonts w:hint="eastAsia" w:cs="宋体"/>
                <w:color w:val="auto"/>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FB509E7">
            <w:pPr>
              <w:pStyle w:val="34"/>
              <w:kinsoku w:val="0"/>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串通投标情形</w:t>
            </w:r>
          </w:p>
        </w:tc>
        <w:tc>
          <w:tcPr>
            <w:tcW w:w="5066" w:type="dxa"/>
            <w:tcBorders>
              <w:top w:val="single" w:color="auto" w:sz="4" w:space="0"/>
              <w:left w:val="single" w:color="auto" w:sz="4" w:space="0"/>
              <w:bottom w:val="single" w:color="auto" w:sz="4" w:space="0"/>
              <w:right w:val="single" w:color="auto" w:sz="4" w:space="0"/>
              <w:tl2br w:val="nil"/>
              <w:tr2bl w:val="nil"/>
            </w:tcBorders>
            <w:noWrap w:val="0"/>
            <w:vAlign w:val="top"/>
          </w:tcPr>
          <w:p w14:paraId="058DDC49">
            <w:pPr>
              <w:pStyle w:val="34"/>
              <w:kinsoku w:val="0"/>
              <w:overflowPunct w:val="0"/>
              <w:spacing w:line="360" w:lineRule="auto"/>
              <w:ind w:right="-57" w:right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不存在</w:t>
            </w:r>
            <w:r>
              <w:rPr>
                <w:rFonts w:hint="eastAsia" w:ascii="宋体" w:hAnsi="宋体" w:eastAsia="宋体" w:cs="宋体"/>
                <w:color w:val="auto"/>
                <w:sz w:val="21"/>
                <w:szCs w:val="21"/>
                <w:highlight w:val="none"/>
                <w:lang w:eastAsia="zh-CN"/>
              </w:rPr>
              <w:t>串通投标情形（串通投标情形以</w:t>
            </w:r>
            <w:r>
              <w:rPr>
                <w:rFonts w:hint="eastAsia" w:ascii="宋体" w:hAnsi="宋体" w:eastAsia="宋体" w:cs="宋体"/>
                <w:color w:val="auto"/>
                <w:sz w:val="21"/>
                <w:szCs w:val="21"/>
                <w:highlight w:val="none"/>
              </w:rPr>
              <w:t>《中华人民共和国招标投标法</w:t>
            </w:r>
            <w:r>
              <w:rPr>
                <w:rFonts w:hint="eastAsia" w:ascii="宋体" w:hAnsi="宋体" w:eastAsia="宋体" w:cs="宋体"/>
                <w:color w:val="auto"/>
                <w:sz w:val="21"/>
                <w:szCs w:val="21"/>
                <w:highlight w:val="none"/>
                <w:lang w:eastAsia="zh-CN"/>
              </w:rPr>
              <w:t>实施条例</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eastAsia="zh-CN"/>
              </w:rPr>
              <w:t>规定为准</w:t>
            </w:r>
            <w:r>
              <w:rPr>
                <w:rFonts w:hint="eastAsia" w:ascii="宋体" w:hAnsi="宋体" w:cs="宋体"/>
                <w:color w:val="auto"/>
                <w:sz w:val="21"/>
                <w:szCs w:val="21"/>
                <w:highlight w:val="none"/>
                <w:lang w:val="en-US" w:eastAsia="zh-CN"/>
              </w:rPr>
              <w:t>)</w:t>
            </w:r>
          </w:p>
        </w:tc>
      </w:tr>
      <w:tr w14:paraId="47A1A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2263"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5ACC660A">
            <w:pPr>
              <w:pStyle w:val="34"/>
              <w:kinsoku w:val="0"/>
              <w:overflowPunct w:val="0"/>
              <w:spacing w:before="41"/>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w:t>
            </w: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D1B7A6E">
            <w:pPr>
              <w:pStyle w:val="34"/>
              <w:kinsoku w:val="0"/>
              <w:overflowPunct w:val="0"/>
              <w:spacing w:before="41"/>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条款内容</w:t>
            </w:r>
          </w:p>
        </w:tc>
        <w:tc>
          <w:tcPr>
            <w:tcW w:w="506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A787076">
            <w:pPr>
              <w:pStyle w:val="34"/>
              <w:kinsoku w:val="0"/>
              <w:overflowPunct w:val="0"/>
              <w:spacing w:before="41"/>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编列内容</w:t>
            </w:r>
          </w:p>
        </w:tc>
      </w:tr>
      <w:tr w14:paraId="0E4AF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3" w:hRule="atLeast"/>
        </w:trPr>
        <w:tc>
          <w:tcPr>
            <w:tcW w:w="2263"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5258ED1D">
            <w:pPr>
              <w:pStyle w:val="34"/>
              <w:kinsoku w:val="0"/>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2.2.1</w:t>
            </w: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C05DF56">
            <w:pPr>
              <w:pStyle w:val="34"/>
              <w:kinsoku w:val="0"/>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分值构成(总分100分)</w:t>
            </w:r>
          </w:p>
        </w:tc>
        <w:tc>
          <w:tcPr>
            <w:tcW w:w="506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F20CE40">
            <w:pPr>
              <w:pStyle w:val="34"/>
              <w:kinsoku w:val="0"/>
              <w:overflowPunct w:val="0"/>
              <w:spacing w:line="360" w:lineRule="auto"/>
              <w:ind w:right="-57"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资信业绩部分：</w:t>
            </w:r>
            <w:r>
              <w:rPr>
                <w:rFonts w:hint="eastAsia" w:ascii="宋体" w:hAnsi="宋体" w:cs="宋体"/>
                <w:color w:val="auto"/>
                <w:sz w:val="21"/>
                <w:szCs w:val="21"/>
                <w:highlight w:val="none"/>
                <w:u w:val="single"/>
                <w:lang w:val="en-US" w:eastAsia="zh-CN"/>
              </w:rPr>
              <w:t>60</w:t>
            </w:r>
            <w:r>
              <w:rPr>
                <w:rFonts w:hint="eastAsia" w:ascii="宋体" w:hAnsi="宋体" w:eastAsia="宋体" w:cs="宋体"/>
                <w:color w:val="auto"/>
                <w:sz w:val="21"/>
                <w:szCs w:val="21"/>
                <w:highlight w:val="none"/>
              </w:rPr>
              <w:t>分</w:t>
            </w:r>
          </w:p>
          <w:p w14:paraId="363E2EDA">
            <w:pPr>
              <w:pStyle w:val="34"/>
              <w:kinsoku w:val="0"/>
              <w:overflowPunct w:val="0"/>
              <w:spacing w:line="360" w:lineRule="auto"/>
              <w:ind w:right="-57"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监理大纲部分：</w:t>
            </w:r>
            <w:r>
              <w:rPr>
                <w:rFonts w:hint="eastAsia" w:ascii="宋体" w:hAnsi="宋体" w:cs="宋体"/>
                <w:color w:val="auto"/>
                <w:sz w:val="21"/>
                <w:szCs w:val="21"/>
                <w:highlight w:val="none"/>
                <w:u w:val="single"/>
                <w:lang w:val="en-US" w:eastAsia="zh-CN"/>
              </w:rPr>
              <w:t>30</w:t>
            </w:r>
            <w:r>
              <w:rPr>
                <w:rFonts w:hint="eastAsia" w:ascii="宋体" w:hAnsi="宋体" w:eastAsia="宋体" w:cs="宋体"/>
                <w:color w:val="auto"/>
                <w:sz w:val="21"/>
                <w:szCs w:val="21"/>
                <w:highlight w:val="none"/>
              </w:rPr>
              <w:t>分</w:t>
            </w:r>
          </w:p>
          <w:p w14:paraId="53CB1AA8">
            <w:pPr>
              <w:pStyle w:val="34"/>
              <w:kinsoku w:val="0"/>
              <w:overflowPunct w:val="0"/>
              <w:spacing w:line="360" w:lineRule="auto"/>
              <w:ind w:right="-57"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w:t>
            </w:r>
            <w:r>
              <w:rPr>
                <w:rFonts w:hint="eastAsia" w:ascii="宋体" w:hAnsi="宋体" w:cs="宋体"/>
                <w:color w:val="auto"/>
                <w:sz w:val="21"/>
                <w:szCs w:val="21"/>
                <w:highlight w:val="none"/>
                <w:u w:val="single"/>
                <w:lang w:val="en-US" w:eastAsia="zh-CN"/>
              </w:rPr>
              <w:t>10</w:t>
            </w:r>
            <w:r>
              <w:rPr>
                <w:rFonts w:hint="eastAsia" w:ascii="宋体" w:hAnsi="宋体" w:eastAsia="宋体" w:cs="宋体"/>
                <w:color w:val="auto"/>
                <w:sz w:val="21"/>
                <w:szCs w:val="21"/>
                <w:highlight w:val="none"/>
              </w:rPr>
              <w:t>分</w:t>
            </w:r>
          </w:p>
          <w:p w14:paraId="3220BDA8">
            <w:pPr>
              <w:pStyle w:val="34"/>
              <w:kinsoku w:val="0"/>
              <w:overflowPunct w:val="0"/>
              <w:spacing w:line="360" w:lineRule="auto"/>
              <w:ind w:right="-57"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诚信得分</w:t>
            </w:r>
            <w:r>
              <w:rPr>
                <w:rFonts w:hint="eastAsia" w:ascii="宋体" w:hAnsi="宋体" w:eastAsia="宋体" w:cs="宋体"/>
                <w:color w:val="auto"/>
                <w:sz w:val="21"/>
                <w:szCs w:val="21"/>
                <w:highlight w:val="none"/>
              </w:rPr>
              <w:t>：</w:t>
            </w:r>
            <w:r>
              <w:rPr>
                <w:rFonts w:hint="eastAsia" w:ascii="宋体" w:hAnsi="宋体" w:cs="宋体"/>
                <w:sz w:val="24"/>
                <w:szCs w:val="24"/>
                <w:highlight w:val="none"/>
              </w:rPr>
              <w:t>/</w:t>
            </w:r>
            <w:r>
              <w:rPr>
                <w:rFonts w:hint="eastAsia" w:ascii="宋体" w:hAnsi="宋体" w:eastAsia="宋体" w:cs="宋体"/>
                <w:color w:val="auto"/>
                <w:sz w:val="21"/>
                <w:szCs w:val="21"/>
                <w:highlight w:val="none"/>
              </w:rPr>
              <w:t>分</w:t>
            </w:r>
          </w:p>
        </w:tc>
      </w:tr>
      <w:tr w14:paraId="36929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2263"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1D348D85">
            <w:pPr>
              <w:pStyle w:val="34"/>
              <w:kinsoku w:val="0"/>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2.2.2</w:t>
            </w: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BC69E4F">
            <w:pPr>
              <w:pStyle w:val="34"/>
              <w:kinsoku w:val="0"/>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评标基准价计算方法</w:t>
            </w:r>
          </w:p>
        </w:tc>
        <w:tc>
          <w:tcPr>
            <w:tcW w:w="506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3BF714C">
            <w:pPr>
              <w:pStyle w:val="34"/>
              <w:kinsoku w:val="0"/>
              <w:overflowPunct w:val="0"/>
              <w:spacing w:line="360" w:lineRule="auto"/>
              <w:ind w:right="-57"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当通过资格评审、形式评审和响应性评审的有效投标人大于5名时，去掉一个最高价和一个最低价，取余下有效投标价的算术平均值的作为评标基准价（PC）。当通过资格评审、形式评审和响应性评审的有效投标人小于或等于5名时，取所有入围的有效投标价的算术平均值的作为评标基准价（PC）。低于最高投标限价80%的有效投标价不参与计算评标基准价（PC）。</w:t>
            </w:r>
            <w:r>
              <w:rPr>
                <w:rFonts w:hint="eastAsia" w:ascii="宋体" w:hAnsi="宋体" w:cs="宋体"/>
                <w:color w:val="auto"/>
                <w:sz w:val="21"/>
                <w:szCs w:val="21"/>
                <w:highlight w:val="none"/>
                <w:lang w:eastAsia="zh-CN"/>
              </w:rPr>
              <w:t>若所有入围的有效投标价均低于最高投标限价</w:t>
            </w:r>
            <w:r>
              <w:rPr>
                <w:rFonts w:hint="eastAsia" w:ascii="宋体" w:hAnsi="宋体" w:cs="宋体"/>
                <w:color w:val="auto"/>
                <w:sz w:val="21"/>
                <w:szCs w:val="21"/>
                <w:highlight w:val="none"/>
                <w:lang w:val="en-US" w:eastAsia="zh-CN"/>
              </w:rPr>
              <w:t>80%，则取最高投标限价80%为评标基准价。</w:t>
            </w:r>
          </w:p>
        </w:tc>
      </w:tr>
      <w:tr w14:paraId="546F1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trPr>
        <w:tc>
          <w:tcPr>
            <w:tcW w:w="2263"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29986AF3">
            <w:pPr>
              <w:pStyle w:val="34"/>
              <w:kinsoku w:val="0"/>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.2.3</w:t>
            </w: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D46F3DA">
            <w:pPr>
              <w:pStyle w:val="34"/>
              <w:kinsoku w:val="0"/>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投标报价的偏差率计算公式（10分）</w:t>
            </w:r>
          </w:p>
        </w:tc>
        <w:tc>
          <w:tcPr>
            <w:tcW w:w="506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EE4B0B3">
            <w:pPr>
              <w:pStyle w:val="34"/>
              <w:kinsoku w:val="0"/>
              <w:overflowPunct w:val="0"/>
              <w:spacing w:line="360" w:lineRule="auto"/>
              <w:ind w:right="-57"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评标基准价（PC）作为计算各有效投标价得分的基础。当有效投标价（PT）等于评标基准价（PC）时，有效投标价得分I=10分；有效投标价（PT）比评标基准价（PC）上偏差1%减0.6分，下偏差1%减0.3分，最多减至0分止。</w:t>
            </w:r>
          </w:p>
          <w:p w14:paraId="66AB94CB">
            <w:pPr>
              <w:pStyle w:val="34"/>
              <w:kinsoku w:val="0"/>
              <w:overflowPunct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计算公式为：</w:t>
            </w:r>
          </w:p>
          <w:p w14:paraId="42B00F11">
            <w:pPr>
              <w:pStyle w:val="34"/>
              <w:kinsoku w:val="0"/>
              <w:overflowPunct w:val="0"/>
              <w:spacing w:line="360" w:lineRule="auto"/>
              <w:ind w:right="-57"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投标报价得分=10-n×100*|PT-PC|/PC，当PT≥PC时，n=0.6；当PT ＜PC时，n=0.3</w:t>
            </w:r>
          </w:p>
        </w:tc>
      </w:tr>
      <w:tr w14:paraId="074DE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131" w:type="dxa"/>
            <w:gridSpan w:val="2"/>
            <w:vMerge w:val="restart"/>
            <w:tcBorders>
              <w:top w:val="single" w:color="auto" w:sz="4" w:space="0"/>
              <w:left w:val="single" w:color="auto" w:sz="4" w:space="0"/>
              <w:right w:val="single" w:color="auto" w:sz="4" w:space="0"/>
              <w:tl2br w:val="nil"/>
              <w:tr2bl w:val="nil"/>
            </w:tcBorders>
            <w:noWrap w:val="0"/>
            <w:vAlign w:val="center"/>
          </w:tcPr>
          <w:p w14:paraId="7217A8A9">
            <w:pPr>
              <w:pStyle w:val="34"/>
              <w:kinsoku w:val="0"/>
              <w:overflowPunct w:val="0"/>
              <w:jc w:val="center"/>
              <w:rPr>
                <w:rFonts w:hint="eastAsia" w:ascii="宋体" w:hAnsi="宋体" w:eastAsia="宋体" w:cs="宋体"/>
                <w:color w:val="auto"/>
                <w:sz w:val="21"/>
                <w:szCs w:val="21"/>
                <w:highlight w:val="none"/>
              </w:rPr>
            </w:pPr>
          </w:p>
          <w:p w14:paraId="7F7B3B4D">
            <w:pPr>
              <w:pStyle w:val="34"/>
              <w:kinsoku w:val="0"/>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2.2.4</w:t>
            </w:r>
          </w:p>
          <w:p w14:paraId="7EF3C0BF">
            <w:pPr>
              <w:pStyle w:val="34"/>
              <w:kinsoku w:val="0"/>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132" w:type="dxa"/>
            <w:vMerge w:val="restart"/>
            <w:tcBorders>
              <w:top w:val="single" w:color="auto" w:sz="4" w:space="0"/>
              <w:left w:val="single" w:color="auto" w:sz="4" w:space="0"/>
              <w:right w:val="single" w:color="auto" w:sz="4" w:space="0"/>
              <w:tl2br w:val="nil"/>
              <w:tr2bl w:val="nil"/>
            </w:tcBorders>
            <w:noWrap w:val="0"/>
            <w:vAlign w:val="center"/>
          </w:tcPr>
          <w:p w14:paraId="1141413E">
            <w:pPr>
              <w:pStyle w:val="34"/>
              <w:kinsoku w:val="0"/>
              <w:overflowPunct w:val="0"/>
              <w:jc w:val="center"/>
              <w:rPr>
                <w:rFonts w:hint="eastAsia" w:ascii="宋体" w:hAnsi="宋体" w:eastAsia="宋体" w:cs="宋体"/>
                <w:color w:val="auto"/>
                <w:sz w:val="21"/>
                <w:szCs w:val="21"/>
                <w:highlight w:val="none"/>
              </w:rPr>
            </w:pPr>
          </w:p>
          <w:p w14:paraId="06B0BDD8">
            <w:pPr>
              <w:pStyle w:val="34"/>
              <w:kinsoku w:val="0"/>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资信业绩评分标准</w:t>
            </w:r>
            <w:r>
              <w:rPr>
                <w:rFonts w:hint="eastAsia" w:ascii="宋体" w:hAnsi="宋体" w:cs="宋体"/>
                <w:sz w:val="24"/>
                <w:szCs w:val="24"/>
                <w:highlight w:val="none"/>
              </w:rPr>
              <w:t>（</w:t>
            </w:r>
            <w:r>
              <w:rPr>
                <w:rFonts w:hint="eastAsia" w:ascii="宋体" w:hAnsi="宋体" w:cs="宋体"/>
                <w:sz w:val="24"/>
                <w:szCs w:val="24"/>
                <w:highlight w:val="none"/>
                <w:lang w:val="en-US"/>
              </w:rPr>
              <w:t>60</w:t>
            </w:r>
            <w:r>
              <w:rPr>
                <w:rFonts w:hint="eastAsia" w:ascii="宋体" w:hAnsi="宋体" w:cs="宋体"/>
                <w:sz w:val="24"/>
                <w:szCs w:val="24"/>
                <w:highlight w:val="none"/>
              </w:rPr>
              <w:t>分）</w:t>
            </w: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917DB0B">
            <w:pPr>
              <w:spacing w:line="360" w:lineRule="auto"/>
              <w:ind w:left="-3" w:leftChars="-16" w:hanging="35" w:hangingChars="17"/>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类似项目业绩</w:t>
            </w:r>
          </w:p>
          <w:p w14:paraId="315FA580">
            <w:pPr>
              <w:spacing w:line="360" w:lineRule="auto"/>
              <w:ind w:left="-3" w:leftChars="-16" w:hanging="35" w:hangingChars="17"/>
              <w:jc w:val="center"/>
              <w:rPr>
                <w:rFonts w:hint="eastAsia" w:ascii="宋体" w:hAnsi="宋体" w:eastAsia="宋体" w:cs="宋体"/>
                <w:color w:val="auto"/>
                <w:sz w:val="21"/>
                <w:szCs w:val="21"/>
                <w:highlight w:val="none"/>
              </w:rPr>
            </w:pPr>
            <w:r>
              <w:rPr>
                <w:rFonts w:hint="eastAsia" w:ascii="宋体" w:hAnsi="宋体" w:eastAsia="宋体" w:cs="宋体"/>
                <w:sz w:val="21"/>
                <w:szCs w:val="21"/>
                <w:highlight w:val="none"/>
              </w:rPr>
              <w:t>（15分）</w:t>
            </w:r>
          </w:p>
        </w:tc>
        <w:tc>
          <w:tcPr>
            <w:tcW w:w="506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39D4898">
            <w:pPr>
              <w:pStyle w:val="34"/>
              <w:kinsoku w:val="0"/>
              <w:overflowPunct w:val="0"/>
              <w:spacing w:line="360" w:lineRule="auto"/>
              <w:ind w:right="-57" w:rightChars="0"/>
              <w:rPr>
                <w:rFonts w:hint="eastAsia" w:ascii="宋体" w:hAnsi="宋体" w:eastAsia="宋体" w:cs="宋体"/>
                <w:b/>
                <w:color w:val="auto"/>
                <w:sz w:val="21"/>
                <w:szCs w:val="21"/>
                <w:highlight w:val="none"/>
              </w:rPr>
            </w:pPr>
            <w:r>
              <w:rPr>
                <w:rFonts w:hint="eastAsia" w:ascii="宋体" w:hAnsi="宋体" w:eastAsia="宋体" w:cs="宋体"/>
                <w:sz w:val="21"/>
                <w:szCs w:val="21"/>
                <w:highlight w:val="none"/>
              </w:rPr>
              <w:t>投标人自</w:t>
            </w:r>
            <w:r>
              <w:rPr>
                <w:rFonts w:hint="eastAsia" w:ascii="宋体" w:hAnsi="宋体" w:eastAsia="宋体" w:cs="宋体"/>
                <w:sz w:val="21"/>
                <w:szCs w:val="21"/>
                <w:highlight w:val="none"/>
                <w:lang w:val="en-US"/>
              </w:rPr>
              <w:t>20</w:t>
            </w:r>
            <w:r>
              <w:rPr>
                <w:rFonts w:hint="eastAsia" w:ascii="宋体" w:hAnsi="宋体" w:eastAsia="宋体" w:cs="宋体"/>
                <w:sz w:val="21"/>
                <w:szCs w:val="21"/>
                <w:highlight w:val="none"/>
                <w:lang w:val="en-US" w:eastAsia="zh-CN"/>
              </w:rPr>
              <w:t>20</w:t>
            </w:r>
            <w:r>
              <w:rPr>
                <w:rFonts w:hint="eastAsia" w:ascii="宋体" w:hAnsi="宋体" w:eastAsia="宋体" w:cs="宋体"/>
                <w:sz w:val="21"/>
                <w:szCs w:val="21"/>
                <w:highlight w:val="none"/>
              </w:rPr>
              <w:t>年1月1日至今独立完成过类似项目监理。</w:t>
            </w:r>
            <w:r>
              <w:rPr>
                <w:rFonts w:hint="eastAsia" w:ascii="宋体" w:hAnsi="宋体" w:eastAsia="宋体" w:cs="宋体"/>
                <w:sz w:val="21"/>
                <w:szCs w:val="21"/>
                <w:highlight w:val="none"/>
                <w:u w:val="none"/>
              </w:rPr>
              <w:t>类似项目监理是指总投资金额大于等于</w:t>
            </w:r>
            <w:r>
              <w:rPr>
                <w:rFonts w:hint="eastAsia" w:ascii="宋体" w:hAnsi="宋体" w:cs="宋体"/>
                <w:sz w:val="21"/>
                <w:szCs w:val="21"/>
                <w:highlight w:val="none"/>
                <w:u w:val="none"/>
                <w:lang w:val="en-US" w:eastAsia="zh-CN"/>
              </w:rPr>
              <w:t>14500</w:t>
            </w:r>
            <w:r>
              <w:rPr>
                <w:rFonts w:hint="eastAsia" w:ascii="宋体" w:hAnsi="宋体" w:eastAsia="宋体" w:cs="宋体"/>
                <w:sz w:val="21"/>
                <w:szCs w:val="21"/>
                <w:highlight w:val="none"/>
                <w:u w:val="none"/>
              </w:rPr>
              <w:t>万元的市政公用工程监理项目，每项得5分；项目总投资金额</w:t>
            </w:r>
            <w:r>
              <w:rPr>
                <w:rFonts w:hint="eastAsia" w:ascii="宋体" w:hAnsi="宋体" w:eastAsia="宋体" w:cs="宋体"/>
                <w:sz w:val="21"/>
                <w:szCs w:val="21"/>
                <w:highlight w:val="none"/>
                <w:u w:val="none"/>
                <w:lang w:val="en-US" w:eastAsia="zh-CN"/>
              </w:rPr>
              <w:t>大于等于</w:t>
            </w:r>
            <w:r>
              <w:rPr>
                <w:rFonts w:hint="eastAsia" w:ascii="宋体" w:hAnsi="宋体" w:cs="宋体"/>
                <w:sz w:val="21"/>
                <w:szCs w:val="21"/>
                <w:highlight w:val="none"/>
                <w:u w:val="none"/>
                <w:lang w:val="en-US" w:eastAsia="zh-CN"/>
              </w:rPr>
              <w:t>7200</w:t>
            </w:r>
            <w:r>
              <w:rPr>
                <w:rFonts w:hint="eastAsia" w:ascii="宋体" w:hAnsi="宋体" w:eastAsia="宋体" w:cs="宋体"/>
                <w:sz w:val="21"/>
                <w:szCs w:val="21"/>
                <w:highlight w:val="none"/>
                <w:u w:val="none"/>
                <w:lang w:val="en-US" w:eastAsia="zh-CN"/>
              </w:rPr>
              <w:t>万元且小于</w:t>
            </w:r>
            <w:r>
              <w:rPr>
                <w:rFonts w:hint="eastAsia" w:ascii="宋体" w:hAnsi="宋体" w:cs="宋体"/>
                <w:sz w:val="21"/>
                <w:szCs w:val="21"/>
                <w:highlight w:val="none"/>
                <w:u w:val="none"/>
                <w:lang w:val="en-US" w:eastAsia="zh-CN"/>
              </w:rPr>
              <w:t>145</w:t>
            </w:r>
            <w:r>
              <w:rPr>
                <w:rFonts w:hint="eastAsia" w:ascii="宋体" w:hAnsi="宋体" w:eastAsia="宋体" w:cs="宋体"/>
                <w:sz w:val="21"/>
                <w:szCs w:val="21"/>
                <w:highlight w:val="none"/>
                <w:u w:val="none"/>
                <w:lang w:val="en-US" w:eastAsia="zh-CN"/>
              </w:rPr>
              <w:t>00万元</w:t>
            </w:r>
            <w:r>
              <w:rPr>
                <w:rFonts w:hint="eastAsia" w:ascii="宋体" w:hAnsi="宋体" w:eastAsia="宋体" w:cs="宋体"/>
                <w:sz w:val="21"/>
                <w:szCs w:val="21"/>
                <w:highlight w:val="none"/>
                <w:u w:val="none"/>
              </w:rPr>
              <w:t>的市政</w:t>
            </w:r>
            <w:r>
              <w:rPr>
                <w:rFonts w:hint="eastAsia" w:ascii="宋体" w:hAnsi="宋体" w:eastAsia="宋体" w:cs="宋体"/>
                <w:sz w:val="21"/>
                <w:szCs w:val="21"/>
                <w:highlight w:val="none"/>
              </w:rPr>
              <w:t>公用工程监理项目，每项得2.5分；本项最高得15分。</w:t>
            </w:r>
          </w:p>
        </w:tc>
      </w:tr>
      <w:tr w14:paraId="7EFA4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131" w:type="dxa"/>
            <w:gridSpan w:val="2"/>
            <w:vMerge w:val="continue"/>
            <w:tcBorders>
              <w:left w:val="single" w:color="auto" w:sz="4" w:space="0"/>
              <w:right w:val="single" w:color="auto" w:sz="4" w:space="0"/>
              <w:tl2br w:val="nil"/>
              <w:tr2bl w:val="nil"/>
            </w:tcBorders>
            <w:noWrap w:val="0"/>
            <w:vAlign w:val="top"/>
          </w:tcPr>
          <w:p w14:paraId="019E39F3">
            <w:pPr>
              <w:pStyle w:val="34"/>
              <w:kinsoku w:val="0"/>
              <w:overflowPunct w:val="0"/>
              <w:jc w:val="center"/>
              <w:rPr>
                <w:rFonts w:hint="eastAsia" w:ascii="宋体" w:hAnsi="宋体" w:eastAsia="宋体" w:cs="宋体"/>
                <w:color w:val="auto"/>
                <w:sz w:val="21"/>
                <w:szCs w:val="21"/>
                <w:highlight w:val="none"/>
              </w:rPr>
            </w:pPr>
          </w:p>
        </w:tc>
        <w:tc>
          <w:tcPr>
            <w:tcW w:w="1132" w:type="dxa"/>
            <w:vMerge w:val="continue"/>
            <w:tcBorders>
              <w:left w:val="single" w:color="auto" w:sz="4" w:space="0"/>
              <w:right w:val="single" w:color="auto" w:sz="4" w:space="0"/>
              <w:tl2br w:val="nil"/>
              <w:tr2bl w:val="nil"/>
            </w:tcBorders>
            <w:noWrap w:val="0"/>
            <w:vAlign w:val="top"/>
          </w:tcPr>
          <w:p w14:paraId="75946607">
            <w:pPr>
              <w:pStyle w:val="34"/>
              <w:kinsoku w:val="0"/>
              <w:overflowPunct w:val="0"/>
              <w:jc w:val="center"/>
              <w:rPr>
                <w:rFonts w:hint="eastAsia" w:ascii="宋体" w:hAnsi="宋体" w:eastAsia="宋体" w:cs="宋体"/>
                <w:color w:val="auto"/>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8AAB256">
            <w:pPr>
              <w:spacing w:line="360" w:lineRule="auto"/>
              <w:ind w:left="-3" w:leftChars="-16" w:hanging="35" w:hangingChars="17"/>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项目获奖</w:t>
            </w:r>
            <w:r>
              <w:rPr>
                <w:rFonts w:hint="eastAsia" w:ascii="宋体" w:hAnsi="宋体" w:cs="宋体"/>
                <w:sz w:val="21"/>
                <w:szCs w:val="21"/>
                <w:highlight w:val="none"/>
                <w:lang w:val="en-US" w:eastAsia="zh-CN"/>
              </w:rPr>
              <w:t>情况</w:t>
            </w:r>
          </w:p>
          <w:p w14:paraId="52B9694A">
            <w:pPr>
              <w:spacing w:line="360" w:lineRule="auto"/>
              <w:ind w:left="-3" w:leftChars="-16" w:hanging="35" w:hangingChars="17"/>
              <w:jc w:val="center"/>
              <w:rPr>
                <w:rFonts w:hint="eastAsia" w:ascii="宋体" w:hAnsi="宋体" w:eastAsia="宋体" w:cs="宋体"/>
                <w:color w:val="auto"/>
                <w:sz w:val="21"/>
                <w:szCs w:val="21"/>
                <w:highlight w:val="none"/>
              </w:rPr>
            </w:pPr>
            <w:r>
              <w:rPr>
                <w:rFonts w:hint="eastAsia" w:ascii="宋体" w:hAnsi="宋体" w:eastAsia="宋体" w:cs="宋体"/>
                <w:sz w:val="21"/>
                <w:szCs w:val="21"/>
                <w:highlight w:val="none"/>
              </w:rPr>
              <w:t>（9分）</w:t>
            </w:r>
          </w:p>
        </w:tc>
        <w:tc>
          <w:tcPr>
            <w:tcW w:w="506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1F7A507">
            <w:pPr>
              <w:pStyle w:val="34"/>
              <w:kinsoku w:val="0"/>
              <w:overflowPunct w:val="0"/>
              <w:spacing w:line="360" w:lineRule="auto"/>
              <w:ind w:right="-57" w:rightChars="0"/>
              <w:rPr>
                <w:rFonts w:hint="eastAsia" w:ascii="宋体" w:hAnsi="宋体" w:eastAsia="宋体" w:cs="宋体"/>
                <w:sz w:val="21"/>
                <w:szCs w:val="21"/>
                <w:highlight w:val="none"/>
              </w:rPr>
            </w:pPr>
            <w:r>
              <w:rPr>
                <w:rFonts w:hint="eastAsia" w:ascii="宋体" w:hAnsi="宋体" w:eastAsia="宋体" w:cs="宋体"/>
                <w:sz w:val="21"/>
                <w:szCs w:val="21"/>
                <w:highlight w:val="none"/>
              </w:rPr>
              <w:t>投标人自20</w:t>
            </w:r>
            <w:r>
              <w:rPr>
                <w:rFonts w:hint="eastAsia" w:ascii="宋体" w:hAnsi="宋体" w:cs="宋体"/>
                <w:sz w:val="21"/>
                <w:szCs w:val="21"/>
                <w:highlight w:val="none"/>
                <w:lang w:val="en-US" w:eastAsia="zh-CN"/>
              </w:rPr>
              <w:t>20</w:t>
            </w:r>
            <w:r>
              <w:rPr>
                <w:rFonts w:hint="eastAsia" w:ascii="宋体" w:hAnsi="宋体" w:eastAsia="宋体" w:cs="宋体"/>
                <w:sz w:val="21"/>
                <w:szCs w:val="21"/>
                <w:highlight w:val="none"/>
              </w:rPr>
              <w:t>年1月1日至今独立完成过市政公用工程监理项目获得国家级奖项的，每项得3分;获得省级</w:t>
            </w:r>
            <w:r>
              <w:rPr>
                <w:rFonts w:hint="eastAsia" w:ascii="宋体" w:hAnsi="宋体" w:cs="宋体"/>
                <w:sz w:val="21"/>
                <w:szCs w:val="21"/>
                <w:highlight w:val="none"/>
                <w:lang w:eastAsia="zh-CN"/>
              </w:rPr>
              <w:t>（</w:t>
            </w:r>
            <w:r>
              <w:rPr>
                <w:rFonts w:hint="eastAsia" w:ascii="宋体" w:hAnsi="宋体" w:cs="宋体"/>
                <w:sz w:val="21"/>
                <w:szCs w:val="21"/>
                <w:highlight w:val="none"/>
                <w:lang w:val="zh-CN"/>
              </w:rPr>
              <w:t>含行业级、部级，包括自治区、直辖市</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奖项的，每项得2分;获得市级</w:t>
            </w:r>
            <w:r>
              <w:rPr>
                <w:rFonts w:hint="eastAsia" w:ascii="宋体" w:hAnsi="宋体" w:eastAsia="宋体" w:cs="宋体"/>
                <w:color w:val="auto"/>
                <w:sz w:val="21"/>
                <w:szCs w:val="21"/>
                <w:highlight w:val="none"/>
                <w:lang w:val="zh-CN"/>
              </w:rPr>
              <w:t>（含副省级）</w:t>
            </w:r>
            <w:r>
              <w:rPr>
                <w:rFonts w:hint="eastAsia" w:ascii="宋体" w:hAnsi="宋体" w:eastAsia="宋体" w:cs="宋体"/>
                <w:sz w:val="21"/>
                <w:szCs w:val="21"/>
                <w:highlight w:val="none"/>
              </w:rPr>
              <w:t>奖项的，每项得1分;本项最高得9分。</w:t>
            </w:r>
          </w:p>
        </w:tc>
      </w:tr>
      <w:tr w14:paraId="7ABC2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131" w:type="dxa"/>
            <w:gridSpan w:val="2"/>
            <w:vMerge w:val="continue"/>
            <w:tcBorders>
              <w:left w:val="single" w:color="auto" w:sz="4" w:space="0"/>
              <w:right w:val="single" w:color="auto" w:sz="4" w:space="0"/>
              <w:tl2br w:val="nil"/>
              <w:tr2bl w:val="nil"/>
            </w:tcBorders>
            <w:noWrap w:val="0"/>
            <w:vAlign w:val="top"/>
          </w:tcPr>
          <w:p w14:paraId="506F0374">
            <w:pPr>
              <w:pStyle w:val="34"/>
              <w:kinsoku w:val="0"/>
              <w:overflowPunct w:val="0"/>
              <w:jc w:val="center"/>
              <w:rPr>
                <w:rFonts w:hint="eastAsia" w:ascii="宋体" w:hAnsi="宋体" w:eastAsia="宋体" w:cs="宋体"/>
                <w:color w:val="auto"/>
                <w:sz w:val="21"/>
                <w:szCs w:val="21"/>
                <w:highlight w:val="none"/>
              </w:rPr>
            </w:pPr>
          </w:p>
        </w:tc>
        <w:tc>
          <w:tcPr>
            <w:tcW w:w="1132" w:type="dxa"/>
            <w:vMerge w:val="continue"/>
            <w:tcBorders>
              <w:left w:val="single" w:color="auto" w:sz="4" w:space="0"/>
              <w:right w:val="single" w:color="auto" w:sz="4" w:space="0"/>
              <w:tl2br w:val="nil"/>
              <w:tr2bl w:val="nil"/>
            </w:tcBorders>
            <w:noWrap w:val="0"/>
            <w:vAlign w:val="top"/>
          </w:tcPr>
          <w:p w14:paraId="38281766">
            <w:pPr>
              <w:pStyle w:val="34"/>
              <w:kinsoku w:val="0"/>
              <w:overflowPunct w:val="0"/>
              <w:jc w:val="center"/>
              <w:rPr>
                <w:rFonts w:hint="eastAsia" w:ascii="宋体" w:hAnsi="宋体" w:eastAsia="宋体" w:cs="宋体"/>
                <w:color w:val="auto"/>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F9E20DA">
            <w:pPr>
              <w:spacing w:line="360" w:lineRule="auto"/>
              <w:ind w:left="-3" w:leftChars="-16" w:hanging="35" w:hangingChars="17"/>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总监理工程师</w:t>
            </w:r>
          </w:p>
          <w:p w14:paraId="36996E64">
            <w:pPr>
              <w:spacing w:line="360" w:lineRule="auto"/>
              <w:ind w:left="-3" w:leftChars="-16" w:hanging="35" w:hangingChars="17"/>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资历经验</w:t>
            </w:r>
          </w:p>
          <w:p w14:paraId="53031AB9">
            <w:pPr>
              <w:spacing w:line="360" w:lineRule="auto"/>
              <w:ind w:left="-3" w:leftChars="-16" w:hanging="35" w:hangingChars="17"/>
              <w:jc w:val="center"/>
              <w:rPr>
                <w:rFonts w:hint="eastAsia" w:ascii="宋体" w:hAnsi="宋体" w:eastAsia="宋体" w:cs="宋体"/>
                <w:color w:val="auto"/>
                <w:sz w:val="21"/>
                <w:szCs w:val="21"/>
                <w:highlight w:val="none"/>
              </w:rPr>
            </w:pPr>
            <w:r>
              <w:rPr>
                <w:rFonts w:hint="eastAsia" w:ascii="宋体" w:hAnsi="宋体" w:eastAsia="宋体" w:cs="宋体"/>
                <w:sz w:val="21"/>
                <w:szCs w:val="21"/>
                <w:highlight w:val="none"/>
              </w:rPr>
              <w:t>（4分）</w:t>
            </w:r>
          </w:p>
        </w:tc>
        <w:tc>
          <w:tcPr>
            <w:tcW w:w="506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57C5DB7">
            <w:pPr>
              <w:pStyle w:val="34"/>
              <w:kinsoku w:val="0"/>
              <w:overflowPunct w:val="0"/>
              <w:spacing w:line="360" w:lineRule="auto"/>
              <w:ind w:right="-57" w:rightChars="0"/>
              <w:rPr>
                <w:rFonts w:hint="eastAsia" w:ascii="宋体" w:hAnsi="宋体" w:eastAsia="宋体" w:cs="宋体"/>
                <w:b/>
                <w:color w:val="auto"/>
                <w:sz w:val="21"/>
                <w:szCs w:val="21"/>
                <w:highlight w:val="none"/>
              </w:rPr>
            </w:pPr>
            <w:r>
              <w:rPr>
                <w:rFonts w:hint="eastAsia" w:ascii="宋体" w:hAnsi="宋体" w:eastAsia="宋体" w:cs="宋体"/>
                <w:sz w:val="21"/>
                <w:szCs w:val="21"/>
                <w:highlight w:val="none"/>
              </w:rPr>
              <w:t>自20</w:t>
            </w:r>
            <w:r>
              <w:rPr>
                <w:rFonts w:hint="eastAsia" w:ascii="宋体" w:hAnsi="宋体" w:eastAsia="宋体" w:cs="宋体"/>
                <w:sz w:val="21"/>
                <w:szCs w:val="21"/>
                <w:highlight w:val="none"/>
                <w:lang w:val="en-US" w:eastAsia="zh-CN"/>
              </w:rPr>
              <w:t>20</w:t>
            </w:r>
            <w:r>
              <w:rPr>
                <w:rFonts w:hint="eastAsia" w:ascii="宋体" w:hAnsi="宋体" w:eastAsia="宋体" w:cs="宋体"/>
                <w:sz w:val="21"/>
                <w:szCs w:val="21"/>
                <w:highlight w:val="none"/>
              </w:rPr>
              <w:t>年1月1日至今,曾在已完成的类似项目监理中担任监理项</w:t>
            </w:r>
            <w:r>
              <w:rPr>
                <w:rFonts w:hint="eastAsia" w:ascii="宋体" w:hAnsi="宋体" w:eastAsia="宋体" w:cs="宋体"/>
                <w:sz w:val="21"/>
                <w:szCs w:val="21"/>
                <w:highlight w:val="none"/>
                <w:u w:val="none"/>
              </w:rPr>
              <w:t>目总监。类似项目监理是指项目总投资金额大于等于</w:t>
            </w:r>
            <w:r>
              <w:rPr>
                <w:rFonts w:hint="eastAsia" w:ascii="宋体" w:hAnsi="宋体" w:eastAsia="宋体" w:cs="宋体"/>
                <w:sz w:val="21"/>
                <w:szCs w:val="21"/>
                <w:highlight w:val="none"/>
                <w:u w:val="none"/>
                <w:lang w:val="en-US" w:eastAsia="zh-CN"/>
              </w:rPr>
              <w:t>1</w:t>
            </w:r>
            <w:r>
              <w:rPr>
                <w:rFonts w:hint="eastAsia" w:ascii="宋体" w:hAnsi="宋体" w:cs="宋体"/>
                <w:sz w:val="21"/>
                <w:szCs w:val="21"/>
                <w:highlight w:val="none"/>
                <w:u w:val="none"/>
                <w:lang w:val="en-US" w:eastAsia="zh-CN"/>
              </w:rPr>
              <w:t>45</w:t>
            </w:r>
            <w:r>
              <w:rPr>
                <w:rFonts w:hint="eastAsia" w:ascii="宋体" w:hAnsi="宋体" w:eastAsia="宋体" w:cs="宋体"/>
                <w:sz w:val="21"/>
                <w:szCs w:val="21"/>
                <w:highlight w:val="none"/>
                <w:u w:val="none"/>
                <w:lang w:val="en-US" w:eastAsia="zh-CN"/>
              </w:rPr>
              <w:t>00</w:t>
            </w:r>
            <w:r>
              <w:rPr>
                <w:rFonts w:hint="eastAsia" w:ascii="宋体" w:hAnsi="宋体" w:eastAsia="宋体" w:cs="宋体"/>
                <w:sz w:val="21"/>
                <w:szCs w:val="21"/>
                <w:highlight w:val="none"/>
                <w:u w:val="none"/>
              </w:rPr>
              <w:t>万元的市政公用工程监理项目，每项得4分；项目总投资金额大于等于</w:t>
            </w:r>
            <w:r>
              <w:rPr>
                <w:rFonts w:hint="eastAsia" w:ascii="宋体" w:hAnsi="宋体" w:cs="宋体"/>
                <w:sz w:val="21"/>
                <w:szCs w:val="21"/>
                <w:highlight w:val="none"/>
                <w:u w:val="none"/>
                <w:lang w:val="en-US" w:eastAsia="zh-CN"/>
              </w:rPr>
              <w:t>72</w:t>
            </w:r>
            <w:r>
              <w:rPr>
                <w:rFonts w:hint="eastAsia" w:ascii="宋体" w:hAnsi="宋体" w:eastAsia="宋体" w:cs="宋体"/>
                <w:sz w:val="21"/>
                <w:szCs w:val="21"/>
                <w:highlight w:val="none"/>
                <w:u w:val="none"/>
                <w:lang w:val="en-US" w:eastAsia="zh-CN"/>
              </w:rPr>
              <w:t>00</w:t>
            </w:r>
            <w:r>
              <w:rPr>
                <w:rFonts w:hint="eastAsia" w:ascii="宋体" w:hAnsi="宋体" w:eastAsia="宋体" w:cs="宋体"/>
                <w:sz w:val="21"/>
                <w:szCs w:val="21"/>
                <w:highlight w:val="none"/>
                <w:u w:val="none"/>
              </w:rPr>
              <w:t>万元且小于</w:t>
            </w:r>
            <w:r>
              <w:rPr>
                <w:rFonts w:hint="eastAsia" w:ascii="宋体" w:hAnsi="宋体" w:eastAsia="宋体" w:cs="宋体"/>
                <w:sz w:val="21"/>
                <w:szCs w:val="21"/>
                <w:highlight w:val="none"/>
                <w:u w:val="none"/>
                <w:lang w:val="en-US" w:eastAsia="zh-CN"/>
              </w:rPr>
              <w:t>1</w:t>
            </w:r>
            <w:r>
              <w:rPr>
                <w:rFonts w:hint="eastAsia" w:ascii="宋体" w:hAnsi="宋体" w:cs="宋体"/>
                <w:sz w:val="21"/>
                <w:szCs w:val="21"/>
                <w:highlight w:val="none"/>
                <w:u w:val="none"/>
                <w:lang w:val="en-US" w:eastAsia="zh-CN"/>
              </w:rPr>
              <w:t>45</w:t>
            </w:r>
            <w:r>
              <w:rPr>
                <w:rFonts w:hint="eastAsia" w:ascii="宋体" w:hAnsi="宋体" w:eastAsia="宋体" w:cs="宋体"/>
                <w:sz w:val="21"/>
                <w:szCs w:val="21"/>
                <w:highlight w:val="none"/>
                <w:u w:val="none"/>
                <w:lang w:val="en-US" w:eastAsia="zh-CN"/>
              </w:rPr>
              <w:t>00</w:t>
            </w:r>
            <w:r>
              <w:rPr>
                <w:rFonts w:hint="eastAsia" w:ascii="宋体" w:hAnsi="宋体" w:eastAsia="宋体" w:cs="宋体"/>
                <w:sz w:val="21"/>
                <w:szCs w:val="21"/>
                <w:highlight w:val="none"/>
                <w:u w:val="none"/>
              </w:rPr>
              <w:t>万元的，每项得2分；本项最高得4分。</w:t>
            </w:r>
          </w:p>
        </w:tc>
      </w:tr>
      <w:tr w14:paraId="2E5C6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1131" w:type="dxa"/>
            <w:gridSpan w:val="2"/>
            <w:vMerge w:val="continue"/>
            <w:tcBorders>
              <w:left w:val="single" w:color="auto" w:sz="4" w:space="0"/>
              <w:right w:val="single" w:color="auto" w:sz="4" w:space="0"/>
              <w:tl2br w:val="nil"/>
              <w:tr2bl w:val="nil"/>
            </w:tcBorders>
            <w:noWrap w:val="0"/>
            <w:vAlign w:val="top"/>
          </w:tcPr>
          <w:p w14:paraId="285C8AB9">
            <w:pPr>
              <w:pStyle w:val="34"/>
              <w:kinsoku w:val="0"/>
              <w:overflowPunct w:val="0"/>
              <w:jc w:val="center"/>
              <w:rPr>
                <w:rFonts w:hint="eastAsia" w:ascii="宋体" w:hAnsi="宋体" w:eastAsia="宋体" w:cs="宋体"/>
                <w:color w:val="auto"/>
                <w:sz w:val="21"/>
                <w:szCs w:val="21"/>
                <w:highlight w:val="none"/>
              </w:rPr>
            </w:pPr>
          </w:p>
        </w:tc>
        <w:tc>
          <w:tcPr>
            <w:tcW w:w="1132" w:type="dxa"/>
            <w:vMerge w:val="continue"/>
            <w:tcBorders>
              <w:left w:val="single" w:color="auto" w:sz="4" w:space="0"/>
              <w:right w:val="single" w:color="auto" w:sz="4" w:space="0"/>
              <w:tl2br w:val="nil"/>
              <w:tr2bl w:val="nil"/>
            </w:tcBorders>
            <w:noWrap w:val="0"/>
            <w:vAlign w:val="top"/>
          </w:tcPr>
          <w:p w14:paraId="14731A88">
            <w:pPr>
              <w:pStyle w:val="34"/>
              <w:kinsoku w:val="0"/>
              <w:overflowPunct w:val="0"/>
              <w:jc w:val="center"/>
              <w:rPr>
                <w:rFonts w:hint="eastAsia" w:ascii="宋体" w:hAnsi="宋体" w:eastAsia="宋体" w:cs="宋体"/>
                <w:color w:val="auto"/>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3F6AD3B">
            <w:pPr>
              <w:spacing w:line="360" w:lineRule="auto"/>
              <w:ind w:left="-3" w:leftChars="-16" w:hanging="35" w:hangingChars="17"/>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人员配备满足程度</w:t>
            </w:r>
          </w:p>
          <w:p w14:paraId="57DB3852">
            <w:pPr>
              <w:spacing w:line="360" w:lineRule="auto"/>
              <w:ind w:left="-3" w:leftChars="-16" w:hanging="35" w:hangingChars="17"/>
              <w:jc w:val="center"/>
              <w:rPr>
                <w:rFonts w:hint="eastAsia" w:ascii="宋体" w:hAnsi="宋体" w:eastAsia="宋体" w:cs="宋体"/>
                <w:color w:val="auto"/>
                <w:sz w:val="21"/>
                <w:szCs w:val="21"/>
                <w:highlight w:val="none"/>
                <w:lang w:val="en-US" w:eastAsia="zh-CN"/>
              </w:rPr>
            </w:pPr>
            <w:r>
              <w:rPr>
                <w:rFonts w:hint="eastAsia" w:ascii="宋体" w:hAnsi="宋体" w:eastAsia="宋体" w:cs="宋体"/>
                <w:sz w:val="21"/>
                <w:szCs w:val="21"/>
                <w:highlight w:val="none"/>
              </w:rPr>
              <w:t>（13分）</w:t>
            </w:r>
          </w:p>
        </w:tc>
        <w:tc>
          <w:tcPr>
            <w:tcW w:w="506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16A457A">
            <w:pPr>
              <w:pStyle w:val="34"/>
              <w:kinsoku w:val="0"/>
              <w:overflowPunct w:val="0"/>
              <w:spacing w:line="360" w:lineRule="auto"/>
              <w:ind w:right="-57"/>
              <w:rPr>
                <w:rFonts w:hint="eastAsia" w:ascii="宋体" w:hAnsi="宋体" w:eastAsia="宋体" w:cs="宋体"/>
                <w:sz w:val="21"/>
                <w:szCs w:val="21"/>
                <w:highlight w:val="none"/>
              </w:rPr>
            </w:pPr>
            <w:r>
              <w:rPr>
                <w:rFonts w:hint="eastAsia" w:ascii="宋体" w:hAnsi="宋体" w:eastAsia="宋体" w:cs="宋体"/>
                <w:sz w:val="21"/>
                <w:szCs w:val="21"/>
                <w:highlight w:val="none"/>
              </w:rPr>
              <w:t>满足招标文件第五章委托人要求中监理人员（总监除外）最低配置要求的得</w:t>
            </w:r>
            <w:r>
              <w:rPr>
                <w:rFonts w:hint="eastAsia" w:ascii="宋体" w:hAnsi="宋体" w:eastAsia="宋体" w:cs="宋体"/>
                <w:sz w:val="21"/>
                <w:szCs w:val="21"/>
                <w:highlight w:val="none"/>
                <w:lang w:val="en-US"/>
              </w:rPr>
              <w:t>5</w:t>
            </w:r>
            <w:r>
              <w:rPr>
                <w:rFonts w:hint="eastAsia" w:ascii="宋体" w:hAnsi="宋体" w:eastAsia="宋体" w:cs="宋体"/>
                <w:sz w:val="21"/>
                <w:szCs w:val="21"/>
                <w:highlight w:val="none"/>
              </w:rPr>
              <w:t>分，不满足最低配置要求不得分。在满足最低配置要求的条件下：</w:t>
            </w:r>
          </w:p>
          <w:p w14:paraId="255C68C2">
            <w:pPr>
              <w:pStyle w:val="34"/>
              <w:kinsoku w:val="0"/>
              <w:overflowPunct w:val="0"/>
              <w:spacing w:line="360" w:lineRule="auto"/>
              <w:ind w:right="-57"/>
              <w:rPr>
                <w:rFonts w:hint="eastAsia" w:ascii="宋体" w:hAnsi="宋体" w:eastAsia="宋体" w:cs="宋体"/>
                <w:sz w:val="21"/>
                <w:szCs w:val="21"/>
                <w:highlight w:val="none"/>
              </w:rPr>
            </w:pPr>
            <w:r>
              <w:rPr>
                <w:rFonts w:hint="eastAsia" w:ascii="宋体" w:hAnsi="宋体" w:eastAsia="宋体" w:cs="宋体"/>
                <w:sz w:val="21"/>
                <w:szCs w:val="21"/>
                <w:highlight w:val="none"/>
              </w:rPr>
              <w:t>1.其中，每增加一名监理人员的职称证或学历证或资格证专业为给排水工程相关专业的，加1分，最多加</w:t>
            </w:r>
            <w:r>
              <w:rPr>
                <w:rFonts w:hint="eastAsia" w:ascii="宋体" w:hAnsi="宋体" w:eastAsia="宋体" w:cs="宋体"/>
                <w:sz w:val="21"/>
                <w:szCs w:val="21"/>
                <w:highlight w:val="none"/>
                <w:lang w:val="en-US"/>
              </w:rPr>
              <w:t>4</w:t>
            </w:r>
            <w:r>
              <w:rPr>
                <w:rFonts w:hint="eastAsia" w:ascii="宋体" w:hAnsi="宋体" w:eastAsia="宋体" w:cs="宋体"/>
                <w:sz w:val="21"/>
                <w:szCs w:val="21"/>
                <w:highlight w:val="none"/>
              </w:rPr>
              <w:t>分。</w:t>
            </w:r>
          </w:p>
          <w:p w14:paraId="4CEB89E7">
            <w:pPr>
              <w:pStyle w:val="34"/>
              <w:kinsoku w:val="0"/>
              <w:overflowPunct w:val="0"/>
              <w:spacing w:line="360" w:lineRule="auto"/>
              <w:ind w:right="-57"/>
              <w:rPr>
                <w:rFonts w:hint="eastAsia" w:ascii="宋体" w:hAnsi="宋体" w:eastAsia="宋体" w:cs="宋体"/>
                <w:sz w:val="21"/>
                <w:szCs w:val="21"/>
                <w:highlight w:val="none"/>
              </w:rPr>
            </w:pPr>
            <w:r>
              <w:rPr>
                <w:rFonts w:hint="eastAsia" w:ascii="宋体" w:hAnsi="宋体" w:eastAsia="宋体" w:cs="宋体"/>
                <w:sz w:val="21"/>
                <w:szCs w:val="21"/>
                <w:highlight w:val="none"/>
              </w:rPr>
              <w:t>2.其中，每增加一名具有注册监理工程师注册执业证书的监理人员的加1分，最多加</w:t>
            </w:r>
            <w:r>
              <w:rPr>
                <w:rFonts w:hint="eastAsia" w:ascii="宋体" w:hAnsi="宋体" w:eastAsia="宋体" w:cs="宋体"/>
                <w:sz w:val="21"/>
                <w:szCs w:val="21"/>
                <w:highlight w:val="none"/>
                <w:lang w:val="en-US"/>
              </w:rPr>
              <w:t>4</w:t>
            </w:r>
            <w:r>
              <w:rPr>
                <w:rFonts w:hint="eastAsia" w:ascii="宋体" w:hAnsi="宋体" w:eastAsia="宋体" w:cs="宋体"/>
                <w:sz w:val="21"/>
                <w:szCs w:val="21"/>
                <w:highlight w:val="none"/>
              </w:rPr>
              <w:t>分。</w:t>
            </w:r>
          </w:p>
          <w:p w14:paraId="2867A873">
            <w:pPr>
              <w:pStyle w:val="34"/>
              <w:kinsoku w:val="0"/>
              <w:overflowPunct w:val="0"/>
              <w:spacing w:line="360" w:lineRule="auto"/>
              <w:ind w:right="-57"/>
              <w:rPr>
                <w:rFonts w:hint="eastAsia" w:ascii="宋体" w:hAnsi="宋体" w:eastAsia="宋体" w:cs="宋体"/>
                <w:sz w:val="21"/>
                <w:szCs w:val="21"/>
                <w:highlight w:val="none"/>
              </w:rPr>
            </w:pPr>
            <w:r>
              <w:rPr>
                <w:rFonts w:hint="eastAsia" w:ascii="宋体" w:hAnsi="宋体" w:eastAsia="宋体" w:cs="宋体"/>
                <w:sz w:val="21"/>
                <w:szCs w:val="21"/>
                <w:highlight w:val="none"/>
              </w:rPr>
              <w:t>本项最高得</w:t>
            </w:r>
            <w:r>
              <w:rPr>
                <w:rFonts w:hint="eastAsia" w:ascii="宋体" w:hAnsi="宋体" w:eastAsia="宋体" w:cs="宋体"/>
                <w:sz w:val="21"/>
                <w:szCs w:val="21"/>
                <w:highlight w:val="none"/>
                <w:lang w:val="en-US"/>
              </w:rPr>
              <w:t>13</w:t>
            </w:r>
            <w:r>
              <w:rPr>
                <w:rFonts w:hint="eastAsia" w:ascii="宋体" w:hAnsi="宋体" w:eastAsia="宋体" w:cs="宋体"/>
                <w:sz w:val="21"/>
                <w:szCs w:val="21"/>
                <w:highlight w:val="none"/>
              </w:rPr>
              <w:t>分。</w:t>
            </w:r>
          </w:p>
          <w:p w14:paraId="5B720FA3">
            <w:pPr>
              <w:pStyle w:val="34"/>
              <w:kinsoku w:val="0"/>
              <w:overflowPunct w:val="0"/>
              <w:spacing w:line="360" w:lineRule="auto"/>
              <w:ind w:right="-57" w:rightChars="0"/>
              <w:rPr>
                <w:rFonts w:hint="eastAsia" w:ascii="宋体" w:hAnsi="宋体" w:eastAsia="宋体" w:cs="宋体"/>
                <w:b/>
                <w:color w:val="auto"/>
                <w:sz w:val="21"/>
                <w:szCs w:val="21"/>
                <w:highlight w:val="none"/>
              </w:rPr>
            </w:pPr>
            <w:r>
              <w:rPr>
                <w:rFonts w:hint="eastAsia" w:ascii="宋体" w:hAnsi="宋体" w:eastAsia="宋体" w:cs="宋体"/>
                <w:sz w:val="21"/>
                <w:szCs w:val="21"/>
                <w:highlight w:val="none"/>
              </w:rPr>
              <w:t>（若投入的监理人员，既具有注册监理工程执业证，又具有职称证或学历证或资格证专业为给排水工程相关专业的，两项能同时加分。）</w:t>
            </w:r>
          </w:p>
        </w:tc>
      </w:tr>
      <w:tr w14:paraId="3D737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31" w:type="dxa"/>
            <w:gridSpan w:val="2"/>
            <w:vMerge w:val="continue"/>
            <w:tcBorders>
              <w:left w:val="single" w:color="auto" w:sz="4" w:space="0"/>
              <w:right w:val="single" w:color="auto" w:sz="4" w:space="0"/>
              <w:tl2br w:val="nil"/>
              <w:tr2bl w:val="nil"/>
            </w:tcBorders>
            <w:noWrap w:val="0"/>
            <w:vAlign w:val="top"/>
          </w:tcPr>
          <w:p w14:paraId="7873E979">
            <w:pPr>
              <w:pStyle w:val="34"/>
              <w:kinsoku w:val="0"/>
              <w:overflowPunct w:val="0"/>
              <w:jc w:val="center"/>
              <w:rPr>
                <w:rFonts w:hint="eastAsia" w:ascii="宋体" w:hAnsi="宋体" w:eastAsia="宋体" w:cs="宋体"/>
                <w:color w:val="auto"/>
                <w:sz w:val="21"/>
                <w:szCs w:val="21"/>
                <w:highlight w:val="none"/>
              </w:rPr>
            </w:pPr>
          </w:p>
        </w:tc>
        <w:tc>
          <w:tcPr>
            <w:tcW w:w="1132" w:type="dxa"/>
            <w:vMerge w:val="continue"/>
            <w:tcBorders>
              <w:left w:val="single" w:color="auto" w:sz="4" w:space="0"/>
              <w:right w:val="single" w:color="auto" w:sz="4" w:space="0"/>
              <w:tl2br w:val="nil"/>
              <w:tr2bl w:val="nil"/>
            </w:tcBorders>
            <w:noWrap w:val="0"/>
            <w:vAlign w:val="top"/>
          </w:tcPr>
          <w:p w14:paraId="00EDC5F0">
            <w:pPr>
              <w:pStyle w:val="34"/>
              <w:kinsoku w:val="0"/>
              <w:overflowPunct w:val="0"/>
              <w:jc w:val="center"/>
              <w:rPr>
                <w:rFonts w:hint="eastAsia" w:ascii="宋体" w:hAnsi="宋体" w:eastAsia="宋体" w:cs="宋体"/>
                <w:color w:val="auto"/>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9EB5B9F">
            <w:pPr>
              <w:spacing w:line="360" w:lineRule="auto"/>
              <w:ind w:left="-3" w:leftChars="-16" w:hanging="35" w:hangingChars="17"/>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检测设备</w:t>
            </w:r>
          </w:p>
          <w:p w14:paraId="1F0E3DBA">
            <w:pPr>
              <w:spacing w:line="360" w:lineRule="auto"/>
              <w:ind w:left="-3" w:leftChars="-16" w:hanging="35" w:hangingChars="17"/>
              <w:jc w:val="center"/>
              <w:rPr>
                <w:rFonts w:hint="eastAsia" w:ascii="宋体" w:hAnsi="宋体" w:eastAsia="宋体" w:cs="宋体"/>
                <w:color w:val="auto"/>
                <w:sz w:val="21"/>
                <w:szCs w:val="21"/>
                <w:highlight w:val="none"/>
              </w:rPr>
            </w:pPr>
            <w:r>
              <w:rPr>
                <w:rFonts w:hint="eastAsia" w:ascii="宋体" w:hAnsi="宋体" w:eastAsia="宋体" w:cs="宋体"/>
                <w:sz w:val="21"/>
                <w:szCs w:val="21"/>
                <w:highlight w:val="none"/>
              </w:rPr>
              <w:t>（4分）</w:t>
            </w:r>
          </w:p>
        </w:tc>
        <w:tc>
          <w:tcPr>
            <w:tcW w:w="506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84A9862">
            <w:pPr>
              <w:pStyle w:val="34"/>
              <w:kinsoku w:val="0"/>
              <w:overflowPunct w:val="0"/>
              <w:spacing w:line="360" w:lineRule="auto"/>
              <w:ind w:right="45" w:rightChars="0"/>
              <w:rPr>
                <w:rFonts w:hint="eastAsia" w:ascii="宋体" w:hAnsi="宋体" w:eastAsia="宋体" w:cs="宋体"/>
                <w:b/>
                <w:color w:val="auto"/>
                <w:sz w:val="21"/>
                <w:szCs w:val="21"/>
                <w:highlight w:val="none"/>
              </w:rPr>
            </w:pPr>
            <w:r>
              <w:rPr>
                <w:rFonts w:hint="eastAsia" w:ascii="宋体" w:hAnsi="宋体" w:eastAsia="宋体" w:cs="宋体"/>
                <w:sz w:val="21"/>
                <w:szCs w:val="21"/>
                <w:highlight w:val="none"/>
              </w:rPr>
              <w:t>满足招标文件第五章委托人要求中设备最低配置要求的得</w:t>
            </w:r>
            <w:r>
              <w:rPr>
                <w:rFonts w:hint="eastAsia" w:ascii="宋体" w:hAnsi="宋体" w:eastAsia="宋体" w:cs="宋体"/>
                <w:sz w:val="21"/>
                <w:szCs w:val="21"/>
                <w:highlight w:val="none"/>
                <w:lang w:val="en-US"/>
              </w:rPr>
              <w:t>2</w:t>
            </w:r>
            <w:r>
              <w:rPr>
                <w:rFonts w:hint="eastAsia" w:ascii="宋体" w:hAnsi="宋体" w:eastAsia="宋体" w:cs="宋体"/>
                <w:sz w:val="21"/>
                <w:szCs w:val="21"/>
                <w:highlight w:val="none"/>
              </w:rPr>
              <w:t>分，不满足最低配置要求不得分。优于最低配置要求的得</w:t>
            </w:r>
            <w:r>
              <w:rPr>
                <w:rFonts w:hint="eastAsia" w:ascii="宋体" w:hAnsi="宋体" w:eastAsia="宋体" w:cs="宋体"/>
                <w:sz w:val="21"/>
                <w:szCs w:val="21"/>
                <w:highlight w:val="none"/>
                <w:lang w:val="en-US"/>
              </w:rPr>
              <w:t>4</w:t>
            </w:r>
            <w:r>
              <w:rPr>
                <w:rFonts w:hint="eastAsia" w:ascii="宋体" w:hAnsi="宋体" w:eastAsia="宋体" w:cs="宋体"/>
                <w:sz w:val="21"/>
                <w:szCs w:val="21"/>
                <w:highlight w:val="none"/>
              </w:rPr>
              <w:t>分。</w:t>
            </w:r>
          </w:p>
        </w:tc>
      </w:tr>
      <w:tr w14:paraId="4314B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31" w:type="dxa"/>
            <w:gridSpan w:val="2"/>
            <w:vMerge w:val="continue"/>
            <w:tcBorders>
              <w:left w:val="single" w:color="auto" w:sz="4" w:space="0"/>
              <w:right w:val="single" w:color="auto" w:sz="4" w:space="0"/>
              <w:tl2br w:val="nil"/>
              <w:tr2bl w:val="nil"/>
            </w:tcBorders>
            <w:noWrap w:val="0"/>
            <w:vAlign w:val="top"/>
          </w:tcPr>
          <w:p w14:paraId="71B9F643">
            <w:pPr>
              <w:pStyle w:val="34"/>
              <w:kinsoku w:val="0"/>
              <w:overflowPunct w:val="0"/>
              <w:jc w:val="center"/>
              <w:rPr>
                <w:rFonts w:hint="eastAsia" w:ascii="宋体" w:hAnsi="宋体" w:eastAsia="宋体" w:cs="宋体"/>
                <w:color w:val="auto"/>
                <w:sz w:val="21"/>
                <w:szCs w:val="21"/>
                <w:highlight w:val="none"/>
              </w:rPr>
            </w:pPr>
          </w:p>
        </w:tc>
        <w:tc>
          <w:tcPr>
            <w:tcW w:w="1132" w:type="dxa"/>
            <w:vMerge w:val="continue"/>
            <w:tcBorders>
              <w:left w:val="single" w:color="auto" w:sz="4" w:space="0"/>
              <w:right w:val="single" w:color="auto" w:sz="4" w:space="0"/>
              <w:tl2br w:val="nil"/>
              <w:tr2bl w:val="nil"/>
            </w:tcBorders>
            <w:noWrap w:val="0"/>
            <w:vAlign w:val="top"/>
          </w:tcPr>
          <w:p w14:paraId="5D18EC85">
            <w:pPr>
              <w:pStyle w:val="34"/>
              <w:kinsoku w:val="0"/>
              <w:overflowPunct w:val="0"/>
              <w:jc w:val="center"/>
              <w:rPr>
                <w:rFonts w:hint="eastAsia" w:ascii="宋体" w:hAnsi="宋体" w:eastAsia="宋体" w:cs="宋体"/>
                <w:color w:val="auto"/>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3D4C2BA">
            <w:pPr>
              <w:spacing w:line="360" w:lineRule="auto"/>
              <w:ind w:left="-3" w:leftChars="-16" w:hanging="35" w:hangingChars="17"/>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企业管理体系认证</w:t>
            </w:r>
          </w:p>
          <w:p w14:paraId="2CFF12E3">
            <w:pPr>
              <w:spacing w:line="360" w:lineRule="auto"/>
              <w:ind w:left="-3" w:leftChars="-16" w:hanging="35" w:hangingChars="17"/>
              <w:jc w:val="center"/>
              <w:rPr>
                <w:rFonts w:hint="eastAsia" w:ascii="宋体" w:hAnsi="宋体" w:eastAsia="宋体" w:cs="宋体"/>
                <w:color w:val="auto"/>
                <w:sz w:val="21"/>
                <w:szCs w:val="21"/>
                <w:highlight w:val="none"/>
              </w:rPr>
            </w:pPr>
            <w:r>
              <w:rPr>
                <w:rFonts w:hint="eastAsia" w:ascii="宋体" w:hAnsi="宋体" w:eastAsia="宋体" w:cs="宋体"/>
                <w:sz w:val="21"/>
                <w:szCs w:val="21"/>
                <w:highlight w:val="none"/>
              </w:rPr>
              <w:t>（10分）</w:t>
            </w:r>
          </w:p>
        </w:tc>
        <w:tc>
          <w:tcPr>
            <w:tcW w:w="506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51CC539">
            <w:pPr>
              <w:pStyle w:val="34"/>
              <w:kinsoku w:val="0"/>
              <w:overflowPunct w:val="0"/>
              <w:spacing w:line="360" w:lineRule="auto"/>
              <w:ind w:right="-57" w:rightChars="0"/>
              <w:rPr>
                <w:rFonts w:hint="eastAsia" w:ascii="宋体" w:hAnsi="宋体" w:eastAsia="宋体" w:cs="宋体"/>
                <w:b/>
                <w:color w:val="auto"/>
                <w:sz w:val="21"/>
                <w:szCs w:val="21"/>
                <w:highlight w:val="none"/>
              </w:rPr>
            </w:pPr>
            <w:r>
              <w:rPr>
                <w:rFonts w:hint="eastAsia" w:ascii="宋体" w:hAnsi="宋体" w:eastAsia="宋体" w:cs="宋体"/>
                <w:sz w:val="21"/>
                <w:szCs w:val="21"/>
                <w:highlight w:val="none"/>
              </w:rPr>
              <w:t>投标人具有</w:t>
            </w:r>
            <w:r>
              <w:rPr>
                <w:rFonts w:hint="eastAsia" w:ascii="宋体" w:hAnsi="宋体" w:eastAsia="宋体" w:cs="宋体"/>
                <w:sz w:val="21"/>
                <w:szCs w:val="21"/>
                <w:highlight w:val="none"/>
                <w:lang w:val="en-US"/>
              </w:rPr>
              <w:t>有效期内的质量管理体系、</w:t>
            </w:r>
            <w:r>
              <w:rPr>
                <w:rFonts w:hint="eastAsia" w:ascii="宋体" w:hAnsi="宋体" w:eastAsia="宋体" w:cs="宋体"/>
                <w:sz w:val="21"/>
                <w:szCs w:val="21"/>
                <w:highlight w:val="none"/>
              </w:rPr>
              <w:t>环境管理体系、职业健康安全管理体系、</w:t>
            </w:r>
            <w:r>
              <w:rPr>
                <w:rFonts w:hint="eastAsia" w:ascii="宋体" w:hAnsi="宋体" w:eastAsia="宋体" w:cs="宋体"/>
                <w:sz w:val="21"/>
                <w:szCs w:val="21"/>
                <w:highlight w:val="none"/>
                <w:lang w:val="en-US"/>
              </w:rPr>
              <w:t>知识产权管理体系认证、信息安全管理体系认证的，</w:t>
            </w:r>
            <w:r>
              <w:rPr>
                <w:rFonts w:hint="eastAsia" w:ascii="宋体" w:hAnsi="宋体" w:eastAsia="宋体" w:cs="宋体"/>
                <w:sz w:val="21"/>
                <w:szCs w:val="21"/>
                <w:highlight w:val="none"/>
              </w:rPr>
              <w:t>每</w:t>
            </w:r>
            <w:r>
              <w:rPr>
                <w:rFonts w:hint="eastAsia" w:ascii="宋体" w:hAnsi="宋体" w:eastAsia="宋体" w:cs="宋体"/>
                <w:sz w:val="21"/>
                <w:szCs w:val="21"/>
                <w:highlight w:val="none"/>
                <w:lang w:val="en-US"/>
              </w:rPr>
              <w:t>提供一项</w:t>
            </w:r>
            <w:r>
              <w:rPr>
                <w:rFonts w:hint="eastAsia" w:ascii="宋体" w:hAnsi="宋体" w:eastAsia="宋体" w:cs="宋体"/>
                <w:sz w:val="21"/>
                <w:szCs w:val="21"/>
                <w:highlight w:val="none"/>
              </w:rPr>
              <w:t>得2分，本项最高得</w:t>
            </w:r>
            <w:r>
              <w:rPr>
                <w:rFonts w:hint="eastAsia" w:ascii="宋体" w:hAnsi="宋体" w:eastAsia="宋体" w:cs="宋体"/>
                <w:sz w:val="21"/>
                <w:szCs w:val="21"/>
                <w:highlight w:val="none"/>
                <w:lang w:val="en-US"/>
              </w:rPr>
              <w:t>10</w:t>
            </w:r>
            <w:r>
              <w:rPr>
                <w:rFonts w:hint="eastAsia" w:ascii="宋体" w:hAnsi="宋体" w:eastAsia="宋体" w:cs="宋体"/>
                <w:sz w:val="21"/>
                <w:szCs w:val="21"/>
                <w:highlight w:val="none"/>
              </w:rPr>
              <w:t>分。没有</w:t>
            </w:r>
            <w:r>
              <w:rPr>
                <w:rFonts w:hint="eastAsia" w:ascii="宋体" w:hAnsi="宋体" w:eastAsia="宋体" w:cs="宋体"/>
                <w:sz w:val="21"/>
                <w:szCs w:val="21"/>
                <w:highlight w:val="none"/>
                <w:lang w:val="en-US"/>
              </w:rPr>
              <w:t>提供证书</w:t>
            </w:r>
            <w:r>
              <w:rPr>
                <w:rFonts w:hint="eastAsia" w:ascii="宋体" w:hAnsi="宋体" w:eastAsia="宋体" w:cs="宋体"/>
                <w:sz w:val="21"/>
                <w:szCs w:val="21"/>
                <w:highlight w:val="none"/>
              </w:rPr>
              <w:t>的或证书不在有效期内的不得分。</w:t>
            </w:r>
          </w:p>
        </w:tc>
      </w:tr>
      <w:tr w14:paraId="0EE07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31" w:type="dxa"/>
            <w:gridSpan w:val="2"/>
            <w:vMerge w:val="continue"/>
            <w:tcBorders>
              <w:left w:val="single" w:color="auto" w:sz="4" w:space="0"/>
              <w:bottom w:val="single" w:color="auto" w:sz="4" w:space="0"/>
              <w:right w:val="single" w:color="auto" w:sz="4" w:space="0"/>
              <w:tl2br w:val="nil"/>
              <w:tr2bl w:val="nil"/>
            </w:tcBorders>
            <w:noWrap w:val="0"/>
            <w:vAlign w:val="top"/>
          </w:tcPr>
          <w:p w14:paraId="75FC4E58">
            <w:pPr>
              <w:pStyle w:val="34"/>
              <w:kinsoku w:val="0"/>
              <w:overflowPunct w:val="0"/>
              <w:jc w:val="center"/>
              <w:rPr>
                <w:rFonts w:hint="eastAsia" w:ascii="宋体" w:hAnsi="宋体" w:eastAsia="宋体" w:cs="宋体"/>
                <w:color w:val="auto"/>
                <w:sz w:val="21"/>
                <w:szCs w:val="21"/>
                <w:highlight w:val="none"/>
              </w:rPr>
            </w:pPr>
          </w:p>
        </w:tc>
        <w:tc>
          <w:tcPr>
            <w:tcW w:w="1132" w:type="dxa"/>
            <w:vMerge w:val="continue"/>
            <w:tcBorders>
              <w:left w:val="single" w:color="auto" w:sz="4" w:space="0"/>
              <w:bottom w:val="single" w:color="auto" w:sz="4" w:space="0"/>
              <w:right w:val="single" w:color="auto" w:sz="4" w:space="0"/>
              <w:tl2br w:val="nil"/>
              <w:tr2bl w:val="nil"/>
            </w:tcBorders>
            <w:noWrap w:val="0"/>
            <w:vAlign w:val="top"/>
          </w:tcPr>
          <w:p w14:paraId="6E74C1E4">
            <w:pPr>
              <w:pStyle w:val="34"/>
              <w:kinsoku w:val="0"/>
              <w:overflowPunct w:val="0"/>
              <w:jc w:val="center"/>
              <w:rPr>
                <w:rFonts w:hint="eastAsia" w:ascii="宋体" w:hAnsi="宋体" w:eastAsia="宋体" w:cs="宋体"/>
                <w:color w:val="auto"/>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1AB1133">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履约能力评价</w:t>
            </w:r>
          </w:p>
          <w:p w14:paraId="340B01E3">
            <w:pPr>
              <w:spacing w:line="360" w:lineRule="auto"/>
              <w:ind w:left="-3" w:leftChars="-16" w:hanging="35" w:hangingChars="17"/>
              <w:jc w:val="center"/>
              <w:rPr>
                <w:rFonts w:hint="eastAsia" w:ascii="宋体" w:hAnsi="宋体" w:eastAsia="宋体" w:cs="宋体"/>
                <w:color w:val="auto"/>
                <w:sz w:val="21"/>
                <w:szCs w:val="21"/>
                <w:highlight w:val="none"/>
              </w:rPr>
            </w:pPr>
            <w:r>
              <w:rPr>
                <w:rFonts w:hint="eastAsia" w:ascii="宋体" w:hAnsi="宋体" w:eastAsia="宋体" w:cs="宋体"/>
                <w:sz w:val="21"/>
                <w:szCs w:val="21"/>
                <w:highlight w:val="none"/>
              </w:rPr>
              <w:t>（5分）</w:t>
            </w:r>
          </w:p>
        </w:tc>
        <w:tc>
          <w:tcPr>
            <w:tcW w:w="506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B02231B">
            <w:pPr>
              <w:spacing w:line="360" w:lineRule="auto"/>
              <w:rPr>
                <w:rFonts w:hint="eastAsia" w:ascii="宋体" w:hAnsi="宋体" w:eastAsia="宋体" w:cs="宋体"/>
                <w:b/>
                <w:color w:val="auto"/>
                <w:sz w:val="21"/>
                <w:szCs w:val="21"/>
                <w:highlight w:val="none"/>
              </w:rPr>
            </w:pPr>
            <w:r>
              <w:rPr>
                <w:rFonts w:hint="eastAsia" w:ascii="宋体" w:hAnsi="宋体" w:eastAsia="宋体" w:cs="宋体"/>
                <w:sz w:val="21"/>
                <w:szCs w:val="21"/>
                <w:highlight w:val="none"/>
              </w:rPr>
              <w:t>投标人具有履约能力评价认证证书，AAA等级或以上的得5分，AA等级的得3分，A等级或以下的得1分，没有的或证书不在有效期内的不得分。</w:t>
            </w:r>
          </w:p>
        </w:tc>
      </w:tr>
      <w:tr w14:paraId="043DA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131" w:type="dxa"/>
            <w:gridSpan w:val="2"/>
            <w:vMerge w:val="restart"/>
            <w:tcBorders>
              <w:top w:val="single" w:color="auto" w:sz="4" w:space="0"/>
              <w:left w:val="single" w:color="auto" w:sz="4" w:space="0"/>
              <w:right w:val="single" w:color="auto" w:sz="4" w:space="0"/>
              <w:tl2br w:val="nil"/>
              <w:tr2bl w:val="nil"/>
            </w:tcBorders>
            <w:noWrap w:val="0"/>
            <w:vAlign w:val="center"/>
          </w:tcPr>
          <w:p w14:paraId="56B72E4D">
            <w:pPr>
              <w:pStyle w:val="34"/>
              <w:kinsoku w:val="0"/>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2.2.4</w:t>
            </w:r>
          </w:p>
          <w:p w14:paraId="7055B4F4">
            <w:pPr>
              <w:pStyle w:val="34"/>
              <w:kinsoku w:val="0"/>
              <w:overflowPunct w:val="0"/>
              <w:jc w:val="center"/>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（2）</w:t>
            </w:r>
          </w:p>
        </w:tc>
        <w:tc>
          <w:tcPr>
            <w:tcW w:w="1132" w:type="dxa"/>
            <w:vMerge w:val="restart"/>
            <w:tcBorders>
              <w:top w:val="single" w:color="auto" w:sz="4" w:space="0"/>
              <w:left w:val="single" w:color="auto" w:sz="4" w:space="0"/>
              <w:right w:val="single" w:color="auto" w:sz="4" w:space="0"/>
              <w:tl2br w:val="nil"/>
              <w:tr2bl w:val="nil"/>
            </w:tcBorders>
            <w:noWrap w:val="0"/>
            <w:vAlign w:val="center"/>
          </w:tcPr>
          <w:p w14:paraId="4483B223">
            <w:pPr>
              <w:pStyle w:val="34"/>
              <w:kinsoku w:val="0"/>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监理大纲评分标准（30分）</w:t>
            </w: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47F388C">
            <w:pPr>
              <w:pStyle w:val="34"/>
              <w:kinsoku w:val="0"/>
              <w:overflowPunct w:val="0"/>
              <w:spacing w:before="14" w:line="360" w:lineRule="auto"/>
              <w:ind w:left="-117" w:leftChars="-49" w:hanging="1"/>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投资控制</w:t>
            </w:r>
          </w:p>
          <w:p w14:paraId="1FF15B54">
            <w:pPr>
              <w:pStyle w:val="34"/>
              <w:kinsoku w:val="0"/>
              <w:overflowPunct w:val="0"/>
              <w:spacing w:before="14" w:line="360" w:lineRule="auto"/>
              <w:ind w:left="-117" w:leftChars="-49" w:hanging="1" w:firstLineChars="0"/>
              <w:jc w:val="center"/>
              <w:rPr>
                <w:rFonts w:hint="eastAsia" w:ascii="宋体" w:hAnsi="宋体" w:eastAsia="宋体" w:cs="宋体"/>
                <w:color w:val="auto"/>
                <w:sz w:val="21"/>
                <w:szCs w:val="21"/>
                <w:highlight w:val="none"/>
              </w:rPr>
            </w:pPr>
            <w:r>
              <w:rPr>
                <w:rFonts w:hint="eastAsia" w:ascii="宋体" w:hAnsi="宋体" w:eastAsia="宋体" w:cs="宋体"/>
                <w:sz w:val="21"/>
                <w:szCs w:val="21"/>
                <w:highlight w:val="none"/>
              </w:rPr>
              <w:t>（3分）</w:t>
            </w:r>
          </w:p>
        </w:tc>
        <w:tc>
          <w:tcPr>
            <w:tcW w:w="506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3D9B2D2">
            <w:pPr>
              <w:pStyle w:val="34"/>
              <w:kinsoku w:val="0"/>
              <w:overflowPunct w:val="0"/>
              <w:spacing w:line="360" w:lineRule="auto"/>
              <w:ind w:right="-57" w:rightChars="0"/>
              <w:rPr>
                <w:rFonts w:hint="eastAsia" w:ascii="宋体" w:hAnsi="宋体" w:eastAsia="宋体" w:cs="宋体"/>
                <w:b/>
                <w:color w:val="auto"/>
                <w:sz w:val="21"/>
                <w:szCs w:val="21"/>
                <w:highlight w:val="none"/>
              </w:rPr>
            </w:pPr>
            <w:r>
              <w:rPr>
                <w:rFonts w:hint="eastAsia" w:ascii="宋体" w:hAnsi="宋体" w:eastAsia="宋体" w:cs="宋体"/>
                <w:sz w:val="21"/>
                <w:szCs w:val="21"/>
                <w:highlight w:val="none"/>
              </w:rPr>
              <w:t>要求目标明确、方法合理可行、措施具体、针对性强为优得3分；良得2分；一般得</w:t>
            </w:r>
            <w:r>
              <w:rPr>
                <w:rFonts w:hint="eastAsia" w:ascii="宋体" w:hAnsi="宋体" w:eastAsia="宋体" w:cs="宋体"/>
                <w:sz w:val="21"/>
                <w:szCs w:val="21"/>
                <w:highlight w:val="none"/>
                <w:lang w:val="en-US"/>
              </w:rPr>
              <w:t>1</w:t>
            </w:r>
            <w:r>
              <w:rPr>
                <w:rFonts w:hint="eastAsia" w:ascii="宋体" w:hAnsi="宋体" w:eastAsia="宋体" w:cs="宋体"/>
                <w:sz w:val="21"/>
                <w:szCs w:val="21"/>
                <w:highlight w:val="none"/>
              </w:rPr>
              <w:t>分；无措施不得分。</w:t>
            </w:r>
          </w:p>
        </w:tc>
      </w:tr>
      <w:tr w14:paraId="15AFB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131" w:type="dxa"/>
            <w:gridSpan w:val="2"/>
            <w:vMerge w:val="continue"/>
            <w:tcBorders>
              <w:left w:val="single" w:color="auto" w:sz="4" w:space="0"/>
              <w:right w:val="single" w:color="auto" w:sz="4" w:space="0"/>
              <w:tl2br w:val="nil"/>
              <w:tr2bl w:val="nil"/>
            </w:tcBorders>
            <w:noWrap w:val="0"/>
            <w:vAlign w:val="center"/>
          </w:tcPr>
          <w:p w14:paraId="0D11EA9F">
            <w:pPr>
              <w:pStyle w:val="34"/>
              <w:kinsoku w:val="0"/>
              <w:overflowPunct w:val="0"/>
              <w:spacing w:before="41"/>
              <w:jc w:val="center"/>
              <w:rPr>
                <w:rFonts w:hint="eastAsia" w:ascii="宋体" w:hAnsi="宋体" w:eastAsia="宋体" w:cs="宋体"/>
                <w:b/>
                <w:color w:val="auto"/>
                <w:sz w:val="21"/>
                <w:szCs w:val="21"/>
                <w:highlight w:val="none"/>
              </w:rPr>
            </w:pPr>
          </w:p>
        </w:tc>
        <w:tc>
          <w:tcPr>
            <w:tcW w:w="1132" w:type="dxa"/>
            <w:vMerge w:val="continue"/>
            <w:tcBorders>
              <w:left w:val="single" w:color="auto" w:sz="4" w:space="0"/>
              <w:right w:val="single" w:color="auto" w:sz="4" w:space="0"/>
              <w:tl2br w:val="nil"/>
              <w:tr2bl w:val="nil"/>
            </w:tcBorders>
            <w:noWrap w:val="0"/>
            <w:vAlign w:val="center"/>
          </w:tcPr>
          <w:p w14:paraId="1D043829">
            <w:pPr>
              <w:pStyle w:val="34"/>
              <w:kinsoku w:val="0"/>
              <w:overflowPunct w:val="0"/>
              <w:spacing w:before="41"/>
              <w:jc w:val="center"/>
              <w:rPr>
                <w:rFonts w:hint="eastAsia" w:ascii="宋体" w:hAnsi="宋体" w:eastAsia="宋体" w:cs="宋体"/>
                <w:b/>
                <w:color w:val="auto"/>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0A36516">
            <w:pPr>
              <w:pStyle w:val="34"/>
              <w:kinsoku w:val="0"/>
              <w:overflowPunct w:val="0"/>
              <w:spacing w:before="14" w:line="360" w:lineRule="auto"/>
              <w:ind w:left="-117" w:leftChars="-49" w:hanging="1"/>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进度控制</w:t>
            </w:r>
          </w:p>
          <w:p w14:paraId="6A97DCA1">
            <w:pPr>
              <w:pStyle w:val="34"/>
              <w:kinsoku w:val="0"/>
              <w:overflowPunct w:val="0"/>
              <w:spacing w:before="14" w:line="360" w:lineRule="auto"/>
              <w:ind w:left="-117" w:leftChars="-49" w:hanging="1" w:firstLineChars="0"/>
              <w:jc w:val="center"/>
              <w:rPr>
                <w:rFonts w:hint="eastAsia" w:ascii="宋体" w:hAnsi="宋体" w:eastAsia="宋体" w:cs="宋体"/>
                <w:color w:val="auto"/>
                <w:sz w:val="21"/>
                <w:szCs w:val="21"/>
                <w:highlight w:val="none"/>
              </w:rPr>
            </w:pPr>
            <w:r>
              <w:rPr>
                <w:rFonts w:hint="eastAsia" w:ascii="宋体" w:hAnsi="宋体" w:eastAsia="宋体" w:cs="宋体"/>
                <w:sz w:val="21"/>
                <w:szCs w:val="21"/>
                <w:highlight w:val="none"/>
              </w:rPr>
              <w:t>（3分）</w:t>
            </w:r>
          </w:p>
        </w:tc>
        <w:tc>
          <w:tcPr>
            <w:tcW w:w="506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88C23BF">
            <w:pPr>
              <w:spacing w:line="360" w:lineRule="auto"/>
              <w:rPr>
                <w:rFonts w:hint="eastAsia" w:ascii="宋体" w:hAnsi="宋体" w:eastAsia="宋体" w:cs="宋体"/>
                <w:b/>
                <w:color w:val="auto"/>
                <w:sz w:val="21"/>
                <w:szCs w:val="21"/>
                <w:highlight w:val="none"/>
              </w:rPr>
            </w:pPr>
            <w:r>
              <w:rPr>
                <w:rFonts w:hint="eastAsia" w:ascii="宋体" w:hAnsi="宋体" w:eastAsia="宋体" w:cs="宋体"/>
                <w:sz w:val="21"/>
                <w:szCs w:val="21"/>
                <w:highlight w:val="none"/>
              </w:rPr>
              <w:t>要求目标明确、方法合理可行、措施具体、针对性强为优得3分；良得2分；一般得1分；无措施不得分。</w:t>
            </w:r>
          </w:p>
        </w:tc>
      </w:tr>
      <w:tr w14:paraId="0322F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1131" w:type="dxa"/>
            <w:gridSpan w:val="2"/>
            <w:vMerge w:val="continue"/>
            <w:tcBorders>
              <w:left w:val="single" w:color="auto" w:sz="4" w:space="0"/>
              <w:right w:val="single" w:color="auto" w:sz="4" w:space="0"/>
              <w:tl2br w:val="nil"/>
              <w:tr2bl w:val="nil"/>
            </w:tcBorders>
            <w:noWrap w:val="0"/>
            <w:vAlign w:val="center"/>
          </w:tcPr>
          <w:p w14:paraId="01B74787">
            <w:pPr>
              <w:pStyle w:val="34"/>
              <w:kinsoku w:val="0"/>
              <w:overflowPunct w:val="0"/>
              <w:spacing w:before="41"/>
              <w:jc w:val="center"/>
              <w:rPr>
                <w:rFonts w:hint="eastAsia" w:ascii="宋体" w:hAnsi="宋体" w:eastAsia="宋体" w:cs="宋体"/>
                <w:b/>
                <w:color w:val="auto"/>
                <w:sz w:val="21"/>
                <w:szCs w:val="21"/>
                <w:highlight w:val="none"/>
              </w:rPr>
            </w:pPr>
          </w:p>
        </w:tc>
        <w:tc>
          <w:tcPr>
            <w:tcW w:w="1132" w:type="dxa"/>
            <w:vMerge w:val="continue"/>
            <w:tcBorders>
              <w:left w:val="single" w:color="auto" w:sz="4" w:space="0"/>
              <w:right w:val="single" w:color="auto" w:sz="4" w:space="0"/>
              <w:tl2br w:val="nil"/>
              <w:tr2bl w:val="nil"/>
            </w:tcBorders>
            <w:noWrap w:val="0"/>
            <w:vAlign w:val="center"/>
          </w:tcPr>
          <w:p w14:paraId="208C442E">
            <w:pPr>
              <w:pStyle w:val="34"/>
              <w:kinsoku w:val="0"/>
              <w:overflowPunct w:val="0"/>
              <w:spacing w:before="41"/>
              <w:jc w:val="center"/>
              <w:rPr>
                <w:rFonts w:hint="eastAsia" w:ascii="宋体" w:hAnsi="宋体" w:eastAsia="宋体" w:cs="宋体"/>
                <w:b/>
                <w:color w:val="auto"/>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256FDEF">
            <w:pPr>
              <w:pStyle w:val="34"/>
              <w:kinsoku w:val="0"/>
              <w:overflowPunct w:val="0"/>
              <w:spacing w:before="14" w:line="360" w:lineRule="auto"/>
              <w:ind w:left="-117" w:leftChars="-49" w:hanging="1"/>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质量控制</w:t>
            </w:r>
          </w:p>
          <w:p w14:paraId="7D108613">
            <w:pPr>
              <w:pStyle w:val="34"/>
              <w:kinsoku w:val="0"/>
              <w:overflowPunct w:val="0"/>
              <w:spacing w:before="14" w:line="360" w:lineRule="auto"/>
              <w:ind w:left="-117" w:leftChars="-49" w:hanging="1" w:firstLineChars="0"/>
              <w:jc w:val="center"/>
              <w:rPr>
                <w:rFonts w:hint="eastAsia" w:ascii="宋体" w:hAnsi="宋体" w:eastAsia="宋体" w:cs="宋体"/>
                <w:color w:val="auto"/>
                <w:sz w:val="21"/>
                <w:szCs w:val="21"/>
                <w:highlight w:val="none"/>
              </w:rPr>
            </w:pPr>
            <w:r>
              <w:rPr>
                <w:rFonts w:hint="eastAsia" w:ascii="宋体" w:hAnsi="宋体" w:eastAsia="宋体" w:cs="宋体"/>
                <w:sz w:val="21"/>
                <w:szCs w:val="21"/>
                <w:highlight w:val="none"/>
              </w:rPr>
              <w:t>（3分）</w:t>
            </w:r>
          </w:p>
        </w:tc>
        <w:tc>
          <w:tcPr>
            <w:tcW w:w="506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82F4B35">
            <w:pPr>
              <w:spacing w:line="360" w:lineRule="auto"/>
              <w:rPr>
                <w:rFonts w:hint="eastAsia" w:ascii="宋体" w:hAnsi="宋体" w:eastAsia="宋体" w:cs="宋体"/>
                <w:b/>
                <w:color w:val="auto"/>
                <w:sz w:val="21"/>
                <w:szCs w:val="21"/>
                <w:highlight w:val="none"/>
              </w:rPr>
            </w:pPr>
            <w:r>
              <w:rPr>
                <w:rFonts w:hint="eastAsia" w:ascii="宋体" w:hAnsi="宋体" w:eastAsia="宋体" w:cs="宋体"/>
                <w:sz w:val="21"/>
                <w:szCs w:val="21"/>
                <w:highlight w:val="none"/>
              </w:rPr>
              <w:t>要求目标明确、方法合理可行、措施具体、针对性强为优得3分；良得2分；一般得1分；无措施不得分。</w:t>
            </w:r>
          </w:p>
        </w:tc>
      </w:tr>
      <w:tr w14:paraId="4C969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131" w:type="dxa"/>
            <w:gridSpan w:val="2"/>
            <w:vMerge w:val="continue"/>
            <w:tcBorders>
              <w:left w:val="single" w:color="auto" w:sz="4" w:space="0"/>
              <w:right w:val="single" w:color="auto" w:sz="4" w:space="0"/>
              <w:tl2br w:val="nil"/>
              <w:tr2bl w:val="nil"/>
            </w:tcBorders>
            <w:noWrap w:val="0"/>
            <w:vAlign w:val="center"/>
          </w:tcPr>
          <w:p w14:paraId="3EC98D1B">
            <w:pPr>
              <w:pStyle w:val="34"/>
              <w:kinsoku w:val="0"/>
              <w:overflowPunct w:val="0"/>
              <w:spacing w:before="41"/>
              <w:jc w:val="center"/>
              <w:rPr>
                <w:rFonts w:hint="eastAsia" w:ascii="宋体" w:hAnsi="宋体" w:eastAsia="宋体" w:cs="宋体"/>
                <w:b/>
                <w:color w:val="auto"/>
                <w:sz w:val="21"/>
                <w:szCs w:val="21"/>
                <w:highlight w:val="none"/>
              </w:rPr>
            </w:pPr>
          </w:p>
        </w:tc>
        <w:tc>
          <w:tcPr>
            <w:tcW w:w="1132" w:type="dxa"/>
            <w:vMerge w:val="continue"/>
            <w:tcBorders>
              <w:left w:val="single" w:color="auto" w:sz="4" w:space="0"/>
              <w:right w:val="single" w:color="auto" w:sz="4" w:space="0"/>
              <w:tl2br w:val="nil"/>
              <w:tr2bl w:val="nil"/>
            </w:tcBorders>
            <w:noWrap w:val="0"/>
            <w:vAlign w:val="center"/>
          </w:tcPr>
          <w:p w14:paraId="270DE18D">
            <w:pPr>
              <w:pStyle w:val="34"/>
              <w:kinsoku w:val="0"/>
              <w:overflowPunct w:val="0"/>
              <w:spacing w:before="41"/>
              <w:jc w:val="center"/>
              <w:rPr>
                <w:rFonts w:hint="eastAsia" w:ascii="宋体" w:hAnsi="宋体" w:eastAsia="宋体" w:cs="宋体"/>
                <w:b/>
                <w:color w:val="auto"/>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B58C00F">
            <w:pPr>
              <w:pStyle w:val="34"/>
              <w:kinsoku w:val="0"/>
              <w:overflowPunct w:val="0"/>
              <w:spacing w:before="14" w:line="360" w:lineRule="auto"/>
              <w:ind w:left="-117" w:leftChars="-49" w:hanging="1"/>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组织协调</w:t>
            </w:r>
          </w:p>
          <w:p w14:paraId="189245F0">
            <w:pPr>
              <w:pStyle w:val="34"/>
              <w:kinsoku w:val="0"/>
              <w:overflowPunct w:val="0"/>
              <w:spacing w:before="14" w:line="360" w:lineRule="auto"/>
              <w:ind w:left="-117" w:leftChars="-49" w:hanging="1" w:firstLineChars="0"/>
              <w:jc w:val="center"/>
              <w:rPr>
                <w:rFonts w:hint="eastAsia" w:ascii="宋体" w:hAnsi="宋体" w:eastAsia="宋体" w:cs="宋体"/>
                <w:color w:val="auto"/>
                <w:sz w:val="21"/>
                <w:szCs w:val="21"/>
                <w:highlight w:val="none"/>
              </w:r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rPr>
              <w:t>2</w:t>
            </w:r>
            <w:r>
              <w:rPr>
                <w:rFonts w:hint="eastAsia" w:ascii="宋体" w:hAnsi="宋体" w:eastAsia="宋体" w:cs="宋体"/>
                <w:sz w:val="21"/>
                <w:szCs w:val="21"/>
                <w:highlight w:val="none"/>
              </w:rPr>
              <w:t>分）</w:t>
            </w:r>
          </w:p>
        </w:tc>
        <w:tc>
          <w:tcPr>
            <w:tcW w:w="506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A30F4F3">
            <w:pPr>
              <w:pStyle w:val="34"/>
              <w:kinsoku w:val="0"/>
              <w:overflowPunct w:val="0"/>
              <w:spacing w:line="360" w:lineRule="auto"/>
              <w:ind w:right="-57" w:rightChars="0"/>
              <w:rPr>
                <w:rFonts w:hint="eastAsia" w:ascii="宋体" w:hAnsi="宋体" w:eastAsia="宋体" w:cs="宋体"/>
                <w:b/>
                <w:color w:val="auto"/>
                <w:sz w:val="21"/>
                <w:szCs w:val="21"/>
                <w:highlight w:val="none"/>
              </w:rPr>
            </w:pPr>
            <w:r>
              <w:rPr>
                <w:rFonts w:hint="eastAsia" w:ascii="宋体" w:hAnsi="宋体" w:eastAsia="宋体" w:cs="宋体"/>
                <w:sz w:val="21"/>
                <w:szCs w:val="21"/>
                <w:highlight w:val="none"/>
              </w:rPr>
              <w:t>措施具体、合理可行、针对性强为优得</w:t>
            </w:r>
            <w:r>
              <w:rPr>
                <w:rFonts w:hint="eastAsia" w:ascii="宋体" w:hAnsi="宋体" w:eastAsia="宋体" w:cs="宋体"/>
                <w:sz w:val="21"/>
                <w:szCs w:val="21"/>
                <w:highlight w:val="none"/>
                <w:lang w:val="en-US"/>
              </w:rPr>
              <w:t>2</w:t>
            </w:r>
            <w:r>
              <w:rPr>
                <w:rFonts w:hint="eastAsia" w:ascii="宋体" w:hAnsi="宋体" w:eastAsia="宋体" w:cs="宋体"/>
                <w:sz w:val="21"/>
                <w:szCs w:val="21"/>
                <w:highlight w:val="none"/>
              </w:rPr>
              <w:t>分；良得</w:t>
            </w:r>
            <w:r>
              <w:rPr>
                <w:rFonts w:hint="eastAsia" w:ascii="宋体" w:hAnsi="宋体" w:eastAsia="宋体" w:cs="宋体"/>
                <w:sz w:val="21"/>
                <w:szCs w:val="21"/>
                <w:highlight w:val="none"/>
                <w:lang w:val="en-US"/>
              </w:rPr>
              <w:t>1</w:t>
            </w:r>
            <w:r>
              <w:rPr>
                <w:rFonts w:hint="eastAsia" w:ascii="宋体" w:hAnsi="宋体" w:eastAsia="宋体" w:cs="宋体"/>
                <w:sz w:val="21"/>
                <w:szCs w:val="21"/>
                <w:highlight w:val="none"/>
              </w:rPr>
              <w:t>分；一般得</w:t>
            </w:r>
            <w:r>
              <w:rPr>
                <w:rFonts w:hint="eastAsia" w:ascii="宋体" w:hAnsi="宋体" w:eastAsia="宋体" w:cs="宋体"/>
                <w:sz w:val="21"/>
                <w:szCs w:val="21"/>
                <w:highlight w:val="none"/>
                <w:lang w:val="en-US"/>
              </w:rPr>
              <w:t>0.5</w:t>
            </w:r>
            <w:r>
              <w:rPr>
                <w:rFonts w:hint="eastAsia" w:ascii="宋体" w:hAnsi="宋体" w:eastAsia="宋体" w:cs="宋体"/>
                <w:sz w:val="21"/>
                <w:szCs w:val="21"/>
                <w:highlight w:val="none"/>
              </w:rPr>
              <w:t>分；无措施不得分。</w:t>
            </w:r>
          </w:p>
        </w:tc>
      </w:tr>
      <w:tr w14:paraId="7D304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131" w:type="dxa"/>
            <w:gridSpan w:val="2"/>
            <w:vMerge w:val="continue"/>
            <w:tcBorders>
              <w:left w:val="single" w:color="auto" w:sz="4" w:space="0"/>
              <w:right w:val="single" w:color="auto" w:sz="4" w:space="0"/>
              <w:tl2br w:val="nil"/>
              <w:tr2bl w:val="nil"/>
            </w:tcBorders>
            <w:noWrap w:val="0"/>
            <w:vAlign w:val="center"/>
          </w:tcPr>
          <w:p w14:paraId="196B7CBE">
            <w:pPr>
              <w:pStyle w:val="34"/>
              <w:kinsoku w:val="0"/>
              <w:overflowPunct w:val="0"/>
              <w:spacing w:before="41"/>
              <w:jc w:val="center"/>
              <w:rPr>
                <w:rFonts w:hint="eastAsia" w:ascii="宋体" w:hAnsi="宋体" w:eastAsia="宋体" w:cs="宋体"/>
                <w:b/>
                <w:color w:val="auto"/>
                <w:sz w:val="21"/>
                <w:szCs w:val="21"/>
                <w:highlight w:val="none"/>
              </w:rPr>
            </w:pPr>
          </w:p>
        </w:tc>
        <w:tc>
          <w:tcPr>
            <w:tcW w:w="1132" w:type="dxa"/>
            <w:vMerge w:val="continue"/>
            <w:tcBorders>
              <w:left w:val="single" w:color="auto" w:sz="4" w:space="0"/>
              <w:right w:val="single" w:color="auto" w:sz="4" w:space="0"/>
              <w:tl2br w:val="nil"/>
              <w:tr2bl w:val="nil"/>
            </w:tcBorders>
            <w:noWrap w:val="0"/>
            <w:vAlign w:val="center"/>
          </w:tcPr>
          <w:p w14:paraId="0C2827BF">
            <w:pPr>
              <w:pStyle w:val="34"/>
              <w:kinsoku w:val="0"/>
              <w:overflowPunct w:val="0"/>
              <w:spacing w:before="41"/>
              <w:jc w:val="center"/>
              <w:rPr>
                <w:rFonts w:hint="eastAsia" w:ascii="宋体" w:hAnsi="宋体" w:eastAsia="宋体" w:cs="宋体"/>
                <w:b/>
                <w:color w:val="auto"/>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CDE8B5D">
            <w:pPr>
              <w:pStyle w:val="34"/>
              <w:kinsoku w:val="0"/>
              <w:overflowPunct w:val="0"/>
              <w:spacing w:before="14" w:line="360" w:lineRule="auto"/>
              <w:ind w:left="-117" w:leftChars="-49" w:hanging="1"/>
              <w:jc w:val="center"/>
              <w:rPr>
                <w:rFonts w:hint="eastAsia" w:ascii="宋体" w:hAnsi="宋体" w:eastAsia="宋体" w:cs="宋体"/>
                <w:sz w:val="21"/>
                <w:szCs w:val="21"/>
                <w:highlight w:val="none"/>
                <w:lang w:val="en-US"/>
              </w:rPr>
            </w:pPr>
            <w:r>
              <w:rPr>
                <w:rFonts w:hint="eastAsia" w:ascii="宋体" w:hAnsi="宋体" w:eastAsia="宋体" w:cs="宋体"/>
                <w:sz w:val="21"/>
                <w:szCs w:val="21"/>
                <w:highlight w:val="none"/>
              </w:rPr>
              <w:t>合同、信息管理</w:t>
            </w:r>
          </w:p>
          <w:p w14:paraId="057B52B6">
            <w:pPr>
              <w:pStyle w:val="34"/>
              <w:kinsoku w:val="0"/>
              <w:overflowPunct w:val="0"/>
              <w:spacing w:before="14" w:line="360" w:lineRule="auto"/>
              <w:ind w:left="-117" w:leftChars="-49" w:hanging="1" w:firstLineChars="0"/>
              <w:jc w:val="center"/>
              <w:rPr>
                <w:rFonts w:hint="eastAsia" w:ascii="宋体" w:hAnsi="宋体" w:eastAsia="宋体" w:cs="宋体"/>
                <w:color w:val="auto"/>
                <w:sz w:val="21"/>
                <w:szCs w:val="21"/>
                <w:highlight w:val="none"/>
              </w:rPr>
            </w:pPr>
            <w:r>
              <w:rPr>
                <w:rFonts w:hint="eastAsia" w:ascii="宋体" w:hAnsi="宋体" w:eastAsia="宋体" w:cs="宋体"/>
                <w:sz w:val="21"/>
                <w:szCs w:val="21"/>
                <w:highlight w:val="none"/>
                <w:lang w:val="en-US"/>
              </w:rPr>
              <w:t>（3</w:t>
            </w:r>
            <w:r>
              <w:rPr>
                <w:rFonts w:hint="eastAsia" w:ascii="宋体" w:hAnsi="宋体" w:eastAsia="宋体" w:cs="宋体"/>
                <w:sz w:val="21"/>
                <w:szCs w:val="21"/>
                <w:highlight w:val="none"/>
              </w:rPr>
              <w:t>分</w:t>
            </w:r>
            <w:r>
              <w:rPr>
                <w:rFonts w:hint="eastAsia" w:ascii="宋体" w:hAnsi="宋体" w:eastAsia="宋体" w:cs="宋体"/>
                <w:sz w:val="21"/>
                <w:szCs w:val="21"/>
                <w:highlight w:val="none"/>
                <w:lang w:val="en-US"/>
              </w:rPr>
              <w:t>）</w:t>
            </w:r>
          </w:p>
        </w:tc>
        <w:tc>
          <w:tcPr>
            <w:tcW w:w="506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ABBB712">
            <w:pPr>
              <w:kinsoku w:val="0"/>
              <w:overflowPunct w:val="0"/>
              <w:spacing w:line="360" w:lineRule="auto"/>
              <w:ind w:right="-57" w:rightChars="0"/>
              <w:rPr>
                <w:rFonts w:hint="eastAsia" w:ascii="宋体" w:hAnsi="宋体" w:eastAsia="宋体" w:cs="宋体"/>
                <w:b/>
                <w:color w:val="auto"/>
                <w:sz w:val="21"/>
                <w:szCs w:val="21"/>
                <w:highlight w:val="none"/>
              </w:rPr>
            </w:pPr>
            <w:r>
              <w:rPr>
                <w:rFonts w:hint="eastAsia" w:ascii="宋体" w:hAnsi="宋体" w:eastAsia="宋体" w:cs="宋体"/>
                <w:sz w:val="21"/>
                <w:szCs w:val="21"/>
                <w:highlight w:val="none"/>
              </w:rPr>
              <w:t>措施具体、合理可行、针对性强为优得3分；良得2分；一般得1分；无措施不得分。</w:t>
            </w:r>
          </w:p>
        </w:tc>
      </w:tr>
      <w:tr w14:paraId="1386E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1131" w:type="dxa"/>
            <w:gridSpan w:val="2"/>
            <w:vMerge w:val="continue"/>
            <w:tcBorders>
              <w:left w:val="single" w:color="auto" w:sz="4" w:space="0"/>
              <w:right w:val="single" w:color="auto" w:sz="4" w:space="0"/>
              <w:tl2br w:val="nil"/>
              <w:tr2bl w:val="nil"/>
            </w:tcBorders>
            <w:noWrap w:val="0"/>
            <w:vAlign w:val="center"/>
          </w:tcPr>
          <w:p w14:paraId="5545A451">
            <w:pPr>
              <w:pStyle w:val="34"/>
              <w:kinsoku w:val="0"/>
              <w:overflowPunct w:val="0"/>
              <w:spacing w:before="41"/>
              <w:jc w:val="center"/>
              <w:rPr>
                <w:rFonts w:hint="eastAsia" w:ascii="宋体" w:hAnsi="宋体" w:eastAsia="宋体" w:cs="宋体"/>
                <w:b/>
                <w:color w:val="auto"/>
                <w:sz w:val="21"/>
                <w:szCs w:val="21"/>
                <w:highlight w:val="none"/>
              </w:rPr>
            </w:pPr>
          </w:p>
        </w:tc>
        <w:tc>
          <w:tcPr>
            <w:tcW w:w="1132" w:type="dxa"/>
            <w:vMerge w:val="continue"/>
            <w:tcBorders>
              <w:left w:val="single" w:color="auto" w:sz="4" w:space="0"/>
              <w:right w:val="single" w:color="auto" w:sz="4" w:space="0"/>
              <w:tl2br w:val="nil"/>
              <w:tr2bl w:val="nil"/>
            </w:tcBorders>
            <w:noWrap w:val="0"/>
            <w:vAlign w:val="center"/>
          </w:tcPr>
          <w:p w14:paraId="07088911">
            <w:pPr>
              <w:pStyle w:val="34"/>
              <w:kinsoku w:val="0"/>
              <w:overflowPunct w:val="0"/>
              <w:spacing w:before="41"/>
              <w:jc w:val="center"/>
              <w:rPr>
                <w:rFonts w:hint="eastAsia" w:ascii="宋体" w:hAnsi="宋体" w:eastAsia="宋体" w:cs="宋体"/>
                <w:b/>
                <w:color w:val="auto"/>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5EF5EB9">
            <w:pPr>
              <w:pStyle w:val="34"/>
              <w:kinsoku w:val="0"/>
              <w:overflowPunct w:val="0"/>
              <w:spacing w:before="14" w:line="360" w:lineRule="auto"/>
              <w:jc w:val="center"/>
              <w:rPr>
                <w:rFonts w:hint="eastAsia" w:ascii="宋体" w:hAnsi="宋体" w:eastAsia="宋体" w:cs="宋体"/>
                <w:sz w:val="21"/>
                <w:szCs w:val="21"/>
                <w:highlight w:val="none"/>
                <w:lang w:val="en-US"/>
              </w:rPr>
            </w:pPr>
            <w:r>
              <w:rPr>
                <w:rFonts w:hint="eastAsia" w:ascii="宋体" w:hAnsi="宋体" w:eastAsia="宋体" w:cs="宋体"/>
                <w:sz w:val="21"/>
                <w:szCs w:val="21"/>
                <w:highlight w:val="none"/>
              </w:rPr>
              <w:t>安全、文明施工管理</w:t>
            </w:r>
          </w:p>
          <w:p w14:paraId="74A9F116">
            <w:pPr>
              <w:pStyle w:val="34"/>
              <w:kinsoku w:val="0"/>
              <w:overflowPunct w:val="0"/>
              <w:spacing w:before="14" w:line="360" w:lineRule="auto"/>
              <w:jc w:val="center"/>
              <w:rPr>
                <w:rFonts w:hint="eastAsia" w:ascii="宋体" w:hAnsi="宋体" w:eastAsia="宋体" w:cs="宋体"/>
                <w:color w:val="auto"/>
                <w:sz w:val="21"/>
                <w:szCs w:val="21"/>
                <w:highlight w:val="none"/>
              </w:rPr>
            </w:pPr>
            <w:r>
              <w:rPr>
                <w:rFonts w:hint="eastAsia" w:ascii="宋体" w:hAnsi="宋体" w:eastAsia="宋体" w:cs="宋体"/>
                <w:sz w:val="21"/>
                <w:szCs w:val="21"/>
                <w:highlight w:val="none"/>
                <w:lang w:val="en-US"/>
              </w:rPr>
              <w:t>（3</w:t>
            </w:r>
            <w:r>
              <w:rPr>
                <w:rFonts w:hint="eastAsia" w:ascii="宋体" w:hAnsi="宋体" w:eastAsia="宋体" w:cs="宋体"/>
                <w:sz w:val="21"/>
                <w:szCs w:val="21"/>
                <w:highlight w:val="none"/>
              </w:rPr>
              <w:t>分</w:t>
            </w:r>
            <w:r>
              <w:rPr>
                <w:rFonts w:hint="eastAsia" w:ascii="宋体" w:hAnsi="宋体" w:eastAsia="宋体" w:cs="宋体"/>
                <w:sz w:val="21"/>
                <w:szCs w:val="21"/>
                <w:highlight w:val="none"/>
                <w:lang w:val="en-US"/>
              </w:rPr>
              <w:t>）</w:t>
            </w:r>
          </w:p>
        </w:tc>
        <w:tc>
          <w:tcPr>
            <w:tcW w:w="506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33131D7">
            <w:pPr>
              <w:kinsoku w:val="0"/>
              <w:overflowPunct w:val="0"/>
              <w:spacing w:line="360" w:lineRule="auto"/>
              <w:ind w:right="-57" w:rightChars="0"/>
              <w:rPr>
                <w:rFonts w:hint="eastAsia" w:ascii="宋体" w:hAnsi="宋体" w:eastAsia="宋体" w:cs="宋体"/>
                <w:b/>
                <w:color w:val="auto"/>
                <w:sz w:val="21"/>
                <w:szCs w:val="21"/>
                <w:highlight w:val="none"/>
              </w:rPr>
            </w:pPr>
            <w:r>
              <w:rPr>
                <w:rFonts w:hint="eastAsia" w:ascii="宋体" w:hAnsi="宋体" w:eastAsia="宋体" w:cs="宋体"/>
                <w:sz w:val="21"/>
                <w:szCs w:val="21"/>
                <w:highlight w:val="none"/>
              </w:rPr>
              <w:t>措施具体、合理可行、针对性强为优得3分；良得2分；一般得1分；无措施不得分。</w:t>
            </w:r>
          </w:p>
        </w:tc>
      </w:tr>
      <w:tr w14:paraId="3C736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131" w:type="dxa"/>
            <w:gridSpan w:val="2"/>
            <w:vMerge w:val="continue"/>
            <w:tcBorders>
              <w:left w:val="single" w:color="auto" w:sz="4" w:space="0"/>
              <w:right w:val="single" w:color="auto" w:sz="4" w:space="0"/>
              <w:tl2br w:val="nil"/>
              <w:tr2bl w:val="nil"/>
            </w:tcBorders>
            <w:noWrap w:val="0"/>
            <w:vAlign w:val="center"/>
          </w:tcPr>
          <w:p w14:paraId="1157C88F">
            <w:pPr>
              <w:pStyle w:val="34"/>
              <w:kinsoku w:val="0"/>
              <w:overflowPunct w:val="0"/>
              <w:spacing w:before="41"/>
              <w:jc w:val="center"/>
              <w:rPr>
                <w:rFonts w:hint="eastAsia" w:ascii="宋体" w:hAnsi="宋体" w:eastAsia="宋体" w:cs="宋体"/>
                <w:b/>
                <w:color w:val="auto"/>
                <w:sz w:val="21"/>
                <w:szCs w:val="21"/>
                <w:highlight w:val="none"/>
              </w:rPr>
            </w:pPr>
          </w:p>
        </w:tc>
        <w:tc>
          <w:tcPr>
            <w:tcW w:w="1132" w:type="dxa"/>
            <w:vMerge w:val="continue"/>
            <w:tcBorders>
              <w:left w:val="single" w:color="auto" w:sz="4" w:space="0"/>
              <w:right w:val="single" w:color="auto" w:sz="4" w:space="0"/>
              <w:tl2br w:val="nil"/>
              <w:tr2bl w:val="nil"/>
            </w:tcBorders>
            <w:noWrap w:val="0"/>
            <w:vAlign w:val="center"/>
          </w:tcPr>
          <w:p w14:paraId="58276905">
            <w:pPr>
              <w:pStyle w:val="34"/>
              <w:kinsoku w:val="0"/>
              <w:overflowPunct w:val="0"/>
              <w:spacing w:before="41"/>
              <w:jc w:val="center"/>
              <w:rPr>
                <w:rFonts w:hint="eastAsia" w:ascii="宋体" w:hAnsi="宋体" w:eastAsia="宋体" w:cs="宋体"/>
                <w:b/>
                <w:color w:val="auto"/>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DFB4576">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工程进度款、结算管理</w:t>
            </w:r>
          </w:p>
          <w:p w14:paraId="1C818A9C">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sz w:val="21"/>
                <w:szCs w:val="21"/>
                <w:highlight w:val="none"/>
              </w:rPr>
              <w:t>（2分）</w:t>
            </w:r>
          </w:p>
        </w:tc>
        <w:tc>
          <w:tcPr>
            <w:tcW w:w="506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F0D87BE">
            <w:pPr>
              <w:kinsoku w:val="0"/>
              <w:overflowPunct w:val="0"/>
              <w:spacing w:line="360" w:lineRule="auto"/>
              <w:ind w:right="-57" w:rightChars="0"/>
              <w:rPr>
                <w:rFonts w:hint="eastAsia" w:ascii="宋体" w:hAnsi="宋体" w:eastAsia="宋体" w:cs="宋体"/>
                <w:b/>
                <w:color w:val="auto"/>
                <w:sz w:val="21"/>
                <w:szCs w:val="21"/>
                <w:highlight w:val="none"/>
              </w:rPr>
            </w:pPr>
            <w:r>
              <w:rPr>
                <w:rFonts w:hint="eastAsia" w:ascii="宋体" w:hAnsi="宋体" w:eastAsia="宋体" w:cs="宋体"/>
                <w:sz w:val="21"/>
                <w:szCs w:val="21"/>
                <w:highlight w:val="none"/>
              </w:rPr>
              <w:t>措施具体、合理可行、针对性强为优得2分；良得1分；一般得0.5分；无措施不得分。</w:t>
            </w:r>
          </w:p>
        </w:tc>
      </w:tr>
      <w:tr w14:paraId="4BC7C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131" w:type="dxa"/>
            <w:gridSpan w:val="2"/>
            <w:vMerge w:val="continue"/>
            <w:tcBorders>
              <w:left w:val="single" w:color="auto" w:sz="4" w:space="0"/>
              <w:right w:val="single" w:color="auto" w:sz="4" w:space="0"/>
              <w:tl2br w:val="nil"/>
              <w:tr2bl w:val="nil"/>
            </w:tcBorders>
            <w:noWrap w:val="0"/>
            <w:vAlign w:val="center"/>
          </w:tcPr>
          <w:p w14:paraId="7DFA68DE">
            <w:pPr>
              <w:pStyle w:val="34"/>
              <w:kinsoku w:val="0"/>
              <w:overflowPunct w:val="0"/>
              <w:spacing w:before="41"/>
              <w:jc w:val="center"/>
              <w:rPr>
                <w:rFonts w:hint="eastAsia" w:ascii="宋体" w:hAnsi="宋体" w:eastAsia="宋体" w:cs="宋体"/>
                <w:b/>
                <w:color w:val="auto"/>
                <w:sz w:val="21"/>
                <w:szCs w:val="21"/>
                <w:highlight w:val="none"/>
              </w:rPr>
            </w:pPr>
          </w:p>
        </w:tc>
        <w:tc>
          <w:tcPr>
            <w:tcW w:w="1132" w:type="dxa"/>
            <w:vMerge w:val="continue"/>
            <w:tcBorders>
              <w:left w:val="single" w:color="auto" w:sz="4" w:space="0"/>
              <w:right w:val="single" w:color="auto" w:sz="4" w:space="0"/>
              <w:tl2br w:val="nil"/>
              <w:tr2bl w:val="nil"/>
            </w:tcBorders>
            <w:noWrap w:val="0"/>
            <w:vAlign w:val="center"/>
          </w:tcPr>
          <w:p w14:paraId="7B55CC5D">
            <w:pPr>
              <w:pStyle w:val="34"/>
              <w:kinsoku w:val="0"/>
              <w:overflowPunct w:val="0"/>
              <w:spacing w:before="41"/>
              <w:jc w:val="center"/>
              <w:rPr>
                <w:rFonts w:hint="eastAsia" w:ascii="宋体" w:hAnsi="宋体" w:eastAsia="宋体" w:cs="宋体"/>
                <w:b/>
                <w:color w:val="auto"/>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15F88D5">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会议制度</w:t>
            </w:r>
          </w:p>
          <w:p w14:paraId="447670B2">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sz w:val="21"/>
                <w:szCs w:val="21"/>
                <w:highlight w:val="none"/>
              </w:rPr>
              <w:t>（2分）</w:t>
            </w:r>
          </w:p>
        </w:tc>
        <w:tc>
          <w:tcPr>
            <w:tcW w:w="506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E5B5092">
            <w:pPr>
              <w:pStyle w:val="34"/>
              <w:kinsoku w:val="0"/>
              <w:overflowPunct w:val="0"/>
              <w:spacing w:line="360" w:lineRule="auto"/>
              <w:ind w:right="-57" w:rightChars="0"/>
              <w:rPr>
                <w:rFonts w:hint="eastAsia" w:ascii="宋体" w:hAnsi="宋体" w:eastAsia="宋体" w:cs="宋体"/>
                <w:b/>
                <w:color w:val="auto"/>
                <w:sz w:val="21"/>
                <w:szCs w:val="21"/>
                <w:highlight w:val="none"/>
              </w:rPr>
            </w:pPr>
            <w:r>
              <w:rPr>
                <w:rFonts w:hint="eastAsia" w:ascii="宋体" w:hAnsi="宋体" w:eastAsia="宋体" w:cs="宋体"/>
                <w:sz w:val="21"/>
                <w:szCs w:val="21"/>
                <w:highlight w:val="none"/>
              </w:rPr>
              <w:t>工地会议制度完善健全为优得</w:t>
            </w:r>
            <w:r>
              <w:rPr>
                <w:rFonts w:hint="eastAsia" w:ascii="宋体" w:hAnsi="宋体" w:eastAsia="宋体" w:cs="宋体"/>
                <w:sz w:val="21"/>
                <w:szCs w:val="21"/>
                <w:highlight w:val="none"/>
                <w:lang w:val="en-US"/>
              </w:rPr>
              <w:t>2</w:t>
            </w:r>
            <w:r>
              <w:rPr>
                <w:rFonts w:hint="eastAsia" w:ascii="宋体" w:hAnsi="宋体" w:eastAsia="宋体" w:cs="宋体"/>
                <w:sz w:val="21"/>
                <w:szCs w:val="21"/>
                <w:highlight w:val="none"/>
              </w:rPr>
              <w:t>分；良得</w:t>
            </w:r>
            <w:r>
              <w:rPr>
                <w:rFonts w:hint="eastAsia" w:ascii="宋体" w:hAnsi="宋体" w:eastAsia="宋体" w:cs="宋体"/>
                <w:sz w:val="21"/>
                <w:szCs w:val="21"/>
                <w:highlight w:val="none"/>
                <w:lang w:val="en-US"/>
              </w:rPr>
              <w:t>1</w:t>
            </w:r>
            <w:r>
              <w:rPr>
                <w:rFonts w:hint="eastAsia" w:ascii="宋体" w:hAnsi="宋体" w:eastAsia="宋体" w:cs="宋体"/>
                <w:sz w:val="21"/>
                <w:szCs w:val="21"/>
                <w:highlight w:val="none"/>
              </w:rPr>
              <w:t>分；一般得</w:t>
            </w:r>
            <w:r>
              <w:rPr>
                <w:rFonts w:hint="eastAsia" w:ascii="宋体" w:hAnsi="宋体" w:eastAsia="宋体" w:cs="宋体"/>
                <w:sz w:val="21"/>
                <w:szCs w:val="21"/>
                <w:highlight w:val="none"/>
                <w:lang w:val="en-US"/>
              </w:rPr>
              <w:t>0.5</w:t>
            </w:r>
            <w:r>
              <w:rPr>
                <w:rFonts w:hint="eastAsia" w:ascii="宋体" w:hAnsi="宋体" w:eastAsia="宋体" w:cs="宋体"/>
                <w:sz w:val="21"/>
                <w:szCs w:val="21"/>
                <w:highlight w:val="none"/>
              </w:rPr>
              <w:t>分；无措施不得分。</w:t>
            </w:r>
          </w:p>
        </w:tc>
      </w:tr>
      <w:tr w14:paraId="2237A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31" w:type="dxa"/>
            <w:gridSpan w:val="2"/>
            <w:vMerge w:val="continue"/>
            <w:tcBorders>
              <w:left w:val="single" w:color="auto" w:sz="4" w:space="0"/>
              <w:right w:val="single" w:color="auto" w:sz="4" w:space="0"/>
              <w:tl2br w:val="nil"/>
              <w:tr2bl w:val="nil"/>
            </w:tcBorders>
            <w:noWrap w:val="0"/>
            <w:vAlign w:val="center"/>
          </w:tcPr>
          <w:p w14:paraId="691B8A46">
            <w:pPr>
              <w:pStyle w:val="34"/>
              <w:kinsoku w:val="0"/>
              <w:overflowPunct w:val="0"/>
              <w:spacing w:before="41"/>
              <w:jc w:val="center"/>
              <w:rPr>
                <w:rFonts w:hint="eastAsia" w:ascii="宋体" w:hAnsi="宋体" w:eastAsia="宋体" w:cs="宋体"/>
                <w:b/>
                <w:color w:val="auto"/>
                <w:sz w:val="21"/>
                <w:szCs w:val="21"/>
                <w:highlight w:val="none"/>
              </w:rPr>
            </w:pPr>
          </w:p>
        </w:tc>
        <w:tc>
          <w:tcPr>
            <w:tcW w:w="1132" w:type="dxa"/>
            <w:vMerge w:val="continue"/>
            <w:tcBorders>
              <w:left w:val="single" w:color="auto" w:sz="4" w:space="0"/>
              <w:right w:val="single" w:color="auto" w:sz="4" w:space="0"/>
              <w:tl2br w:val="nil"/>
              <w:tr2bl w:val="nil"/>
            </w:tcBorders>
            <w:noWrap w:val="0"/>
            <w:vAlign w:val="center"/>
          </w:tcPr>
          <w:p w14:paraId="016A403B">
            <w:pPr>
              <w:pStyle w:val="34"/>
              <w:kinsoku w:val="0"/>
              <w:overflowPunct w:val="0"/>
              <w:spacing w:before="41"/>
              <w:jc w:val="center"/>
              <w:rPr>
                <w:rFonts w:hint="eastAsia" w:ascii="宋体" w:hAnsi="宋体" w:eastAsia="宋体" w:cs="宋体"/>
                <w:b/>
                <w:color w:val="auto"/>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494FA2F">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重点难点监控措施</w:t>
            </w:r>
          </w:p>
          <w:p w14:paraId="7FCB5133">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sz w:val="21"/>
                <w:szCs w:val="21"/>
                <w:highlight w:val="none"/>
              </w:rPr>
              <w:t>（3分）</w:t>
            </w:r>
          </w:p>
        </w:tc>
        <w:tc>
          <w:tcPr>
            <w:tcW w:w="506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7441AB3">
            <w:pPr>
              <w:pStyle w:val="34"/>
              <w:kinsoku w:val="0"/>
              <w:overflowPunct w:val="0"/>
              <w:spacing w:line="360" w:lineRule="auto"/>
              <w:ind w:right="-57" w:rightChars="0"/>
              <w:rPr>
                <w:rFonts w:hint="eastAsia" w:ascii="宋体" w:hAnsi="宋体" w:eastAsia="宋体" w:cs="宋体"/>
                <w:b/>
                <w:color w:val="auto"/>
                <w:sz w:val="21"/>
                <w:szCs w:val="21"/>
                <w:highlight w:val="none"/>
              </w:rPr>
            </w:pPr>
            <w:r>
              <w:rPr>
                <w:rFonts w:hint="eastAsia" w:ascii="宋体" w:hAnsi="宋体" w:eastAsia="宋体" w:cs="宋体"/>
                <w:sz w:val="21"/>
                <w:szCs w:val="21"/>
                <w:highlight w:val="none"/>
              </w:rPr>
              <w:t>措施具体、合理可行、针对性强为优得3分；良得</w:t>
            </w:r>
            <w:r>
              <w:rPr>
                <w:rFonts w:hint="eastAsia" w:ascii="宋体" w:hAnsi="宋体" w:eastAsia="宋体" w:cs="宋体"/>
                <w:sz w:val="21"/>
                <w:szCs w:val="21"/>
                <w:highlight w:val="none"/>
                <w:lang w:val="en-US"/>
              </w:rPr>
              <w:t>2</w:t>
            </w:r>
            <w:r>
              <w:rPr>
                <w:rFonts w:hint="eastAsia" w:ascii="宋体" w:hAnsi="宋体" w:eastAsia="宋体" w:cs="宋体"/>
                <w:sz w:val="21"/>
                <w:szCs w:val="21"/>
                <w:highlight w:val="none"/>
              </w:rPr>
              <w:t>分；一般得</w:t>
            </w:r>
            <w:r>
              <w:rPr>
                <w:rFonts w:hint="eastAsia" w:ascii="宋体" w:hAnsi="宋体" w:eastAsia="宋体" w:cs="宋体"/>
                <w:sz w:val="21"/>
                <w:szCs w:val="21"/>
                <w:highlight w:val="none"/>
                <w:lang w:val="en-US"/>
              </w:rPr>
              <w:t>1</w:t>
            </w:r>
            <w:r>
              <w:rPr>
                <w:rFonts w:hint="eastAsia" w:ascii="宋体" w:hAnsi="宋体" w:eastAsia="宋体" w:cs="宋体"/>
                <w:sz w:val="21"/>
                <w:szCs w:val="21"/>
                <w:highlight w:val="none"/>
              </w:rPr>
              <w:t>分；无措施不得分。</w:t>
            </w:r>
          </w:p>
        </w:tc>
      </w:tr>
      <w:tr w14:paraId="2BD41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131" w:type="dxa"/>
            <w:gridSpan w:val="2"/>
            <w:vMerge w:val="continue"/>
            <w:tcBorders>
              <w:left w:val="single" w:color="auto" w:sz="4" w:space="0"/>
              <w:right w:val="single" w:color="auto" w:sz="4" w:space="0"/>
              <w:tl2br w:val="nil"/>
              <w:tr2bl w:val="nil"/>
            </w:tcBorders>
            <w:noWrap w:val="0"/>
            <w:vAlign w:val="center"/>
          </w:tcPr>
          <w:p w14:paraId="528EA704">
            <w:pPr>
              <w:pStyle w:val="34"/>
              <w:kinsoku w:val="0"/>
              <w:overflowPunct w:val="0"/>
              <w:spacing w:before="41"/>
              <w:jc w:val="center"/>
              <w:rPr>
                <w:rFonts w:hint="eastAsia" w:ascii="宋体" w:hAnsi="宋体" w:eastAsia="宋体" w:cs="宋体"/>
                <w:b/>
                <w:color w:val="auto"/>
                <w:sz w:val="21"/>
                <w:szCs w:val="21"/>
                <w:highlight w:val="none"/>
              </w:rPr>
            </w:pPr>
          </w:p>
        </w:tc>
        <w:tc>
          <w:tcPr>
            <w:tcW w:w="1132" w:type="dxa"/>
            <w:vMerge w:val="continue"/>
            <w:tcBorders>
              <w:left w:val="single" w:color="auto" w:sz="4" w:space="0"/>
              <w:right w:val="single" w:color="auto" w:sz="4" w:space="0"/>
              <w:tl2br w:val="nil"/>
              <w:tr2bl w:val="nil"/>
            </w:tcBorders>
            <w:noWrap w:val="0"/>
            <w:vAlign w:val="center"/>
          </w:tcPr>
          <w:p w14:paraId="7BB238E1">
            <w:pPr>
              <w:pStyle w:val="34"/>
              <w:kinsoku w:val="0"/>
              <w:overflowPunct w:val="0"/>
              <w:spacing w:before="41"/>
              <w:jc w:val="center"/>
              <w:rPr>
                <w:rFonts w:hint="eastAsia" w:ascii="宋体" w:hAnsi="宋体" w:eastAsia="宋体" w:cs="宋体"/>
                <w:b/>
                <w:color w:val="auto"/>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4090E7C">
            <w:pPr>
              <w:pStyle w:val="34"/>
              <w:kinsoku w:val="0"/>
              <w:overflowPunct w:val="0"/>
              <w:spacing w:before="14" w:line="360" w:lineRule="auto"/>
              <w:ind w:left="-117" w:leftChars="-49" w:hanging="1"/>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合理化建议</w:t>
            </w:r>
          </w:p>
          <w:p w14:paraId="3C0BF59B">
            <w:pPr>
              <w:pStyle w:val="34"/>
              <w:kinsoku w:val="0"/>
              <w:overflowPunct w:val="0"/>
              <w:spacing w:before="14" w:line="360" w:lineRule="auto"/>
              <w:ind w:left="-117" w:leftChars="-49" w:hanging="1" w:firstLineChars="0"/>
              <w:jc w:val="center"/>
              <w:rPr>
                <w:rFonts w:hint="eastAsia" w:ascii="宋体" w:hAnsi="宋体" w:eastAsia="宋体" w:cs="宋体"/>
                <w:color w:val="auto"/>
                <w:sz w:val="21"/>
                <w:szCs w:val="21"/>
                <w:highlight w:val="none"/>
              </w:rPr>
            </w:pPr>
            <w:r>
              <w:rPr>
                <w:rFonts w:hint="eastAsia" w:ascii="宋体" w:hAnsi="宋体" w:eastAsia="宋体" w:cs="宋体"/>
                <w:sz w:val="21"/>
                <w:szCs w:val="21"/>
                <w:highlight w:val="none"/>
              </w:rPr>
              <w:t>（3分）</w:t>
            </w:r>
          </w:p>
        </w:tc>
        <w:tc>
          <w:tcPr>
            <w:tcW w:w="506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F550653">
            <w:pPr>
              <w:pStyle w:val="34"/>
              <w:kinsoku w:val="0"/>
              <w:overflowPunct w:val="0"/>
              <w:spacing w:line="360" w:lineRule="auto"/>
              <w:ind w:right="-57" w:rightChars="0"/>
              <w:rPr>
                <w:rFonts w:hint="eastAsia" w:ascii="宋体" w:hAnsi="宋体" w:eastAsia="宋体" w:cs="宋体"/>
                <w:b/>
                <w:color w:val="auto"/>
                <w:sz w:val="21"/>
                <w:szCs w:val="21"/>
                <w:highlight w:val="none"/>
              </w:rPr>
            </w:pPr>
            <w:r>
              <w:rPr>
                <w:rFonts w:hint="eastAsia" w:ascii="宋体" w:hAnsi="宋体" w:eastAsia="宋体" w:cs="宋体"/>
                <w:sz w:val="21"/>
                <w:szCs w:val="21"/>
                <w:highlight w:val="none"/>
              </w:rPr>
              <w:t>建议具体、合理可行、针对性强为优得3分；良得</w:t>
            </w:r>
            <w:r>
              <w:rPr>
                <w:rFonts w:hint="eastAsia" w:ascii="宋体" w:hAnsi="宋体" w:eastAsia="宋体" w:cs="宋体"/>
                <w:sz w:val="21"/>
                <w:szCs w:val="21"/>
                <w:highlight w:val="none"/>
                <w:lang w:val="en-US"/>
              </w:rPr>
              <w:t>2</w:t>
            </w:r>
            <w:r>
              <w:rPr>
                <w:rFonts w:hint="eastAsia" w:ascii="宋体" w:hAnsi="宋体" w:eastAsia="宋体" w:cs="宋体"/>
                <w:sz w:val="21"/>
                <w:szCs w:val="21"/>
                <w:highlight w:val="none"/>
              </w:rPr>
              <w:t>分；一般得</w:t>
            </w:r>
            <w:r>
              <w:rPr>
                <w:rFonts w:hint="eastAsia" w:ascii="宋体" w:hAnsi="宋体" w:eastAsia="宋体" w:cs="宋体"/>
                <w:sz w:val="21"/>
                <w:szCs w:val="21"/>
                <w:highlight w:val="none"/>
                <w:lang w:val="en-US"/>
              </w:rPr>
              <w:t>1</w:t>
            </w:r>
            <w:r>
              <w:rPr>
                <w:rFonts w:hint="eastAsia" w:ascii="宋体" w:hAnsi="宋体" w:eastAsia="宋体" w:cs="宋体"/>
                <w:sz w:val="21"/>
                <w:szCs w:val="21"/>
                <w:highlight w:val="none"/>
              </w:rPr>
              <w:t>分；无建议不得分。</w:t>
            </w:r>
          </w:p>
        </w:tc>
      </w:tr>
      <w:tr w14:paraId="0755A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131" w:type="dxa"/>
            <w:gridSpan w:val="2"/>
            <w:vMerge w:val="continue"/>
            <w:tcBorders>
              <w:left w:val="single" w:color="auto" w:sz="4" w:space="0"/>
              <w:right w:val="single" w:color="auto" w:sz="4" w:space="0"/>
              <w:tl2br w:val="nil"/>
              <w:tr2bl w:val="nil"/>
            </w:tcBorders>
            <w:noWrap w:val="0"/>
            <w:vAlign w:val="center"/>
          </w:tcPr>
          <w:p w14:paraId="75373B69">
            <w:pPr>
              <w:pStyle w:val="34"/>
              <w:kinsoku w:val="0"/>
              <w:overflowPunct w:val="0"/>
              <w:spacing w:before="41"/>
              <w:jc w:val="center"/>
              <w:rPr>
                <w:rFonts w:hint="eastAsia" w:ascii="宋体" w:hAnsi="宋体" w:eastAsia="宋体" w:cs="宋体"/>
                <w:b/>
                <w:color w:val="auto"/>
                <w:sz w:val="21"/>
                <w:szCs w:val="21"/>
                <w:highlight w:val="none"/>
              </w:rPr>
            </w:pPr>
          </w:p>
        </w:tc>
        <w:tc>
          <w:tcPr>
            <w:tcW w:w="1132" w:type="dxa"/>
            <w:vMerge w:val="continue"/>
            <w:tcBorders>
              <w:left w:val="single" w:color="auto" w:sz="4" w:space="0"/>
              <w:right w:val="single" w:color="auto" w:sz="4" w:space="0"/>
              <w:tl2br w:val="nil"/>
              <w:tr2bl w:val="nil"/>
            </w:tcBorders>
            <w:noWrap w:val="0"/>
            <w:vAlign w:val="center"/>
          </w:tcPr>
          <w:p w14:paraId="125621F0">
            <w:pPr>
              <w:pStyle w:val="34"/>
              <w:kinsoku w:val="0"/>
              <w:overflowPunct w:val="0"/>
              <w:spacing w:before="41"/>
              <w:jc w:val="center"/>
              <w:rPr>
                <w:rFonts w:hint="eastAsia" w:ascii="宋体" w:hAnsi="宋体" w:eastAsia="宋体" w:cs="宋体"/>
                <w:b/>
                <w:color w:val="auto"/>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4473ADE">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配合行政主管部门开展监督检查及加快项目推进的措施</w:t>
            </w:r>
          </w:p>
          <w:p w14:paraId="55A6A6F5">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（3分）</w:t>
            </w:r>
          </w:p>
        </w:tc>
        <w:tc>
          <w:tcPr>
            <w:tcW w:w="506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51B1A87">
            <w:pPr>
              <w:spacing w:line="360" w:lineRule="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结合投标人以往配合主管部门监督检查或加快项目推进的经历（可例举如配合参与主管部门的监督检查、防疫防控、配合开展救急抢修工作经验，或配合完成各级政府的攻坚达标任务等相关经历），</w:t>
            </w:r>
            <w:r>
              <w:rPr>
                <w:rFonts w:hint="eastAsia" w:ascii="宋体" w:hAnsi="宋体" w:eastAsia="宋体" w:cs="宋体"/>
                <w:sz w:val="21"/>
                <w:szCs w:val="21"/>
                <w:highlight w:val="none"/>
              </w:rPr>
              <w:t>编制针对本项目具体特点的配合行政主管部门开展监督检查及加快项目推进的措施</w:t>
            </w:r>
            <w:r>
              <w:rPr>
                <w:rFonts w:hint="eastAsia" w:ascii="宋体" w:hAnsi="宋体" w:eastAsia="宋体" w:cs="宋体"/>
                <w:bCs/>
                <w:sz w:val="21"/>
                <w:szCs w:val="21"/>
                <w:highlight w:val="none"/>
              </w:rPr>
              <w:t>。</w:t>
            </w:r>
          </w:p>
          <w:p w14:paraId="423491A7">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措施为优得3分；良得2分；一般得1分；无措施不得分。</w:t>
            </w:r>
          </w:p>
        </w:tc>
      </w:tr>
      <w:tr w14:paraId="2F694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6" w:hRule="atLeast"/>
        </w:trPr>
        <w:tc>
          <w:tcPr>
            <w:tcW w:w="113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4B06CB0A">
            <w:pPr>
              <w:pStyle w:val="34"/>
              <w:kinsoku w:val="0"/>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2.2.4</w:t>
            </w:r>
          </w:p>
          <w:p w14:paraId="038FD9D3">
            <w:pPr>
              <w:pStyle w:val="34"/>
              <w:kinsoku w:val="0"/>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p w14:paraId="06BBDEEB">
            <w:pPr>
              <w:pStyle w:val="34"/>
              <w:kinsoku w:val="0"/>
              <w:overflowPunct w:val="0"/>
              <w:jc w:val="center"/>
              <w:rPr>
                <w:rFonts w:hint="eastAsia" w:ascii="宋体" w:hAnsi="宋体" w:eastAsia="宋体" w:cs="宋体"/>
                <w:color w:val="auto"/>
                <w:sz w:val="21"/>
                <w:szCs w:val="21"/>
                <w:highlight w:val="none"/>
              </w:rPr>
            </w:pPr>
          </w:p>
        </w:tc>
        <w:tc>
          <w:tcPr>
            <w:tcW w:w="113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943FCCD">
            <w:pPr>
              <w:pStyle w:val="34"/>
              <w:kinsoku w:val="0"/>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投标报价评分标准</w:t>
            </w:r>
            <w:r>
              <w:rPr>
                <w:rFonts w:hint="eastAsia" w:ascii="宋体" w:hAnsi="宋体" w:eastAsia="宋体" w:cs="宋体"/>
                <w:sz w:val="21"/>
                <w:szCs w:val="21"/>
                <w:highlight w:val="none"/>
              </w:rPr>
              <w:t>（10分</w:t>
            </w:r>
            <w:r>
              <w:rPr>
                <w:rFonts w:hint="eastAsia" w:ascii="宋体" w:hAnsi="宋体" w:eastAsia="宋体" w:cs="宋体"/>
                <w:spacing w:val="-7"/>
                <w:sz w:val="21"/>
                <w:szCs w:val="21"/>
                <w:highlight w:val="none"/>
              </w:rPr>
              <w:t>）</w:t>
            </w:r>
          </w:p>
        </w:tc>
        <w:tc>
          <w:tcPr>
            <w:tcW w:w="2013" w:type="dxa"/>
            <w:tcBorders>
              <w:top w:val="single" w:color="auto" w:sz="4" w:space="0"/>
              <w:left w:val="single" w:color="auto" w:sz="4" w:space="0"/>
              <w:right w:val="single" w:color="auto" w:sz="4" w:space="0"/>
              <w:tl2br w:val="nil"/>
              <w:tr2bl w:val="nil"/>
            </w:tcBorders>
            <w:noWrap w:val="0"/>
            <w:vAlign w:val="center"/>
          </w:tcPr>
          <w:p w14:paraId="376CB8B3">
            <w:pPr>
              <w:pStyle w:val="34"/>
              <w:kinsoku w:val="0"/>
              <w:overflowPunct w:val="0"/>
              <w:jc w:val="center"/>
              <w:rPr>
                <w:rFonts w:hint="eastAsia" w:ascii="宋体" w:hAnsi="宋体" w:eastAsia="宋体" w:cs="宋体"/>
                <w:color w:val="auto"/>
                <w:sz w:val="21"/>
                <w:szCs w:val="21"/>
                <w:highlight w:val="none"/>
              </w:rPr>
            </w:pPr>
          </w:p>
          <w:p w14:paraId="146D5BD6">
            <w:pPr>
              <w:pStyle w:val="34"/>
              <w:kinsoku w:val="0"/>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投标报价评审</w:t>
            </w:r>
            <w:r>
              <w:rPr>
                <w:rFonts w:hint="eastAsia" w:ascii="宋体" w:hAnsi="宋体" w:eastAsia="宋体" w:cs="宋体"/>
                <w:sz w:val="21"/>
                <w:szCs w:val="21"/>
                <w:highlight w:val="none"/>
              </w:rPr>
              <w:t>（10分</w:t>
            </w:r>
            <w:r>
              <w:rPr>
                <w:rFonts w:hint="eastAsia" w:ascii="宋体" w:hAnsi="宋体" w:eastAsia="宋体" w:cs="宋体"/>
                <w:spacing w:val="-7"/>
                <w:sz w:val="21"/>
                <w:szCs w:val="21"/>
                <w:highlight w:val="none"/>
              </w:rPr>
              <w:t>）</w:t>
            </w:r>
          </w:p>
        </w:tc>
        <w:tc>
          <w:tcPr>
            <w:tcW w:w="506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81E8E16">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监理报价以竞争性报价形式的，监理报价得分以评标基准价作为计算各有效投标报价得分的基础，当有效投标报价等于评标基准价时得10分；有效投标报价与评标基准价相比，每上偏1%扣0.6分，每下偏1%扣0.3分，最多扣10分。（评分如出现小数点，则保留小数点后两位，第三位四舍五入）。</w:t>
            </w:r>
          </w:p>
          <w:p w14:paraId="35335190">
            <w:pPr>
              <w:spacing w:line="360" w:lineRule="auto"/>
              <w:rPr>
                <w:rFonts w:hint="eastAsia" w:ascii="宋体" w:hAnsi="宋体" w:eastAsia="宋体" w:cs="宋体"/>
                <w:sz w:val="21"/>
                <w:szCs w:val="21"/>
                <w:highlight w:val="none"/>
              </w:rPr>
            </w:pPr>
            <w:r>
              <w:rPr>
                <w:rFonts w:hint="eastAsia" w:ascii="宋体" w:hAnsi="宋体" w:cs="宋体"/>
                <w:color w:val="000000" w:themeColor="text1"/>
                <w:sz w:val="21"/>
                <w:szCs w:val="21"/>
                <w:highlight w:val="none"/>
                <w:lang w:eastAsia="zh-CN"/>
                <w14:textFill>
                  <w14:solidFill>
                    <w14:schemeClr w14:val="tx1"/>
                  </w14:solidFill>
                </w14:textFill>
              </w:rPr>
              <w:t>（如有）计算价格得分时，对小微企业投标的，在采用原报价进行评分的基础上增加其价格得分的5%作为其价格得分，若原报价己满分，仍突破满分上限继续享受加分优惠，以实际计算结果作为最终价格分。</w:t>
            </w:r>
          </w:p>
        </w:tc>
      </w:tr>
    </w:tbl>
    <w:p w14:paraId="7136BE2C">
      <w:pPr>
        <w:numPr>
          <w:ilvl w:val="0"/>
          <w:numId w:val="1"/>
        </w:numPr>
        <w:snapToGrid w:val="0"/>
        <w:spacing w:before="240" w:beforeLines="100"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监理项目业绩需同时提供中标通知书（或免招标的相关证明）、监理合同、单位工程验收鉴定书或合同工程完工验收鉴定书或工程竣工验收证明扫描件，时间以工程验收时间为准。总投资以合同载明为准，若合同未能体现总投资，则需提供立项批复文件或其他有效的证明材料。</w:t>
      </w:r>
    </w:p>
    <w:p w14:paraId="6153C510">
      <w:pPr>
        <w:snapToGrid/>
        <w:spacing w:before="0" w:beforeLines="-2147483648" w:line="360" w:lineRule="auto"/>
        <w:ind w:firstLine="480" w:firstLineChars="200"/>
        <w:rPr>
          <w:rFonts w:hint="eastAsia" w:ascii="宋体" w:hAnsi="宋体" w:cs="宋体"/>
          <w:sz w:val="21"/>
          <w:szCs w:val="21"/>
          <w:highlight w:val="none"/>
        </w:rPr>
      </w:pPr>
      <w:r>
        <w:rPr>
          <w:rFonts w:hint="eastAsia" w:ascii="宋体" w:hAnsi="宋体" w:cs="宋体"/>
          <w:szCs w:val="21"/>
          <w:highlight w:val="none"/>
          <w:lang w:val="en-US" w:eastAsia="zh-CN"/>
        </w:rPr>
        <w:t>2、</w:t>
      </w:r>
      <w:r>
        <w:rPr>
          <w:rFonts w:hint="eastAsia" w:ascii="宋体" w:hAnsi="宋体" w:cs="宋体"/>
          <w:sz w:val="21"/>
          <w:szCs w:val="21"/>
          <w:highlight w:val="none"/>
          <w:lang w:val="en-US" w:eastAsia="zh-CN"/>
        </w:rPr>
        <w:t>项目获奖情况：需提供</w:t>
      </w:r>
      <w:r>
        <w:rPr>
          <w:rFonts w:hint="eastAsia" w:ascii="宋体" w:hAnsi="宋体" w:cs="宋体"/>
          <w:sz w:val="21"/>
          <w:szCs w:val="21"/>
          <w:highlight w:val="none"/>
        </w:rPr>
        <w:t>政府或社会组织机构颁发的获奖证书扫描件；若为社会组织机构颁发的证书，还需提供该机构已在民政管理部门登记备案的官网查询结果截图；获奖时间以获奖证书颁发日期为准，同一工程项目获得多个奖项的，按最高奖项计取，不重复计算</w:t>
      </w:r>
      <w:r>
        <w:rPr>
          <w:rFonts w:hint="eastAsia" w:ascii="宋体" w:hAnsi="宋体" w:cs="宋体"/>
          <w:sz w:val="21"/>
          <w:szCs w:val="21"/>
          <w:highlight w:val="none"/>
          <w:lang w:val="en-US" w:eastAsia="zh-CN"/>
        </w:rPr>
        <w:t>。如获奖证书无法体现投标人名称，则投标人</w:t>
      </w:r>
      <w:r>
        <w:rPr>
          <w:rFonts w:hint="eastAsia" w:ascii="宋体" w:hAnsi="宋体" w:cs="宋体"/>
          <w:sz w:val="21"/>
          <w:szCs w:val="21"/>
          <w:highlight w:val="none"/>
        </w:rPr>
        <w:t>需提供</w:t>
      </w:r>
      <w:r>
        <w:rPr>
          <w:rFonts w:hint="eastAsia" w:ascii="宋体" w:hAnsi="宋体" w:cs="宋体"/>
          <w:sz w:val="21"/>
          <w:szCs w:val="21"/>
          <w:highlight w:val="none"/>
          <w:lang w:val="en-US" w:eastAsia="zh-CN"/>
        </w:rPr>
        <w:t>相关佐证材料。</w:t>
      </w:r>
      <w:r>
        <w:rPr>
          <w:rFonts w:hint="eastAsia" w:ascii="宋体" w:hAnsi="宋体" w:cs="宋体"/>
          <w:sz w:val="21"/>
          <w:szCs w:val="21"/>
          <w:highlight w:val="none"/>
        </w:rPr>
        <w:t>未提供或提供资料不全的不得分。</w:t>
      </w:r>
    </w:p>
    <w:p w14:paraId="2A78A1C9">
      <w:pPr>
        <w:snapToGrid w:val="0"/>
        <w:spacing w:before="120" w:beforeLines="50" w:line="360" w:lineRule="auto"/>
        <w:ind w:firstLine="420" w:firstLineChars="200"/>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3、监理人员需提供有效的身份证、相关证书证明及投标人企业（不含子公司）购买的社保证明文件的扫描件。（社保证明文件详见第二章《投标人须知前附表》10.4项）</w:t>
      </w:r>
    </w:p>
    <w:p w14:paraId="5168EFC6">
      <w:pPr>
        <w:snapToGrid w:val="0"/>
        <w:spacing w:before="120" w:beforeLines="50"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lang w:val="en-US" w:eastAsia="zh-CN"/>
        </w:rPr>
        <w:t>4、</w:t>
      </w:r>
      <w:r>
        <w:rPr>
          <w:rFonts w:hint="eastAsia" w:ascii="宋体" w:hAnsi="宋体" w:cs="宋体"/>
          <w:sz w:val="21"/>
          <w:szCs w:val="21"/>
          <w:highlight w:val="none"/>
        </w:rPr>
        <w:t>企业管理体系需提供官方认可的</w:t>
      </w:r>
      <w:r>
        <w:rPr>
          <w:rFonts w:hint="eastAsia" w:ascii="宋体" w:hAnsi="宋体" w:cs="宋体"/>
          <w:kern w:val="0"/>
          <w:sz w:val="21"/>
          <w:szCs w:val="21"/>
          <w:highlight w:val="none"/>
        </w:rPr>
        <w:t>第三方机构出具的</w:t>
      </w:r>
      <w:r>
        <w:rPr>
          <w:rFonts w:hint="eastAsia" w:ascii="宋体" w:hAnsi="宋体" w:cs="宋体"/>
          <w:sz w:val="21"/>
          <w:szCs w:val="21"/>
          <w:highlight w:val="none"/>
        </w:rPr>
        <w:t>有效的“管理体系认证证书”扫描件</w:t>
      </w:r>
      <w:r>
        <w:rPr>
          <w:rFonts w:hint="eastAsia" w:ascii="宋体" w:hAnsi="宋体" w:cs="宋体"/>
          <w:kern w:val="0"/>
          <w:sz w:val="21"/>
          <w:szCs w:val="21"/>
          <w:highlight w:val="none"/>
        </w:rPr>
        <w:t>及在全国认证认可信息公共服务平台（</w:t>
      </w:r>
      <w:r>
        <w:rPr>
          <w:rFonts w:hint="eastAsia" w:ascii="宋体" w:hAnsi="宋体" w:cs="宋体"/>
          <w:kern w:val="0"/>
          <w:sz w:val="21"/>
          <w:szCs w:val="21"/>
          <w:highlight w:val="none"/>
        </w:rPr>
        <w:fldChar w:fldCharType="begin"/>
      </w:r>
      <w:r>
        <w:rPr>
          <w:rFonts w:hint="eastAsia" w:ascii="宋体" w:hAnsi="宋体" w:cs="宋体"/>
          <w:kern w:val="0"/>
          <w:sz w:val="21"/>
          <w:szCs w:val="21"/>
          <w:highlight w:val="none"/>
        </w:rPr>
        <w:instrText xml:space="preserve"> HYPERLINK "http://cx.cnca.cn/" </w:instrText>
      </w:r>
      <w:r>
        <w:rPr>
          <w:rFonts w:hint="eastAsia" w:ascii="宋体" w:hAnsi="宋体" w:cs="宋体"/>
          <w:kern w:val="0"/>
          <w:sz w:val="21"/>
          <w:szCs w:val="21"/>
          <w:highlight w:val="none"/>
        </w:rPr>
        <w:fldChar w:fldCharType="separate"/>
      </w:r>
      <w:r>
        <w:rPr>
          <w:rStyle w:val="30"/>
          <w:rFonts w:hint="eastAsia" w:ascii="宋体" w:hAnsi="宋体" w:eastAsia="宋体" w:cs="宋体"/>
          <w:color w:val="auto"/>
          <w:kern w:val="0"/>
          <w:sz w:val="21"/>
          <w:szCs w:val="21"/>
          <w:highlight w:val="none"/>
        </w:rPr>
        <w:t>http://cx.cnca.cn/</w:t>
      </w:r>
      <w:r>
        <w:rPr>
          <w:rFonts w:hint="eastAsia" w:ascii="宋体" w:hAnsi="宋体" w:cs="宋体"/>
          <w:kern w:val="0"/>
          <w:sz w:val="21"/>
          <w:szCs w:val="21"/>
          <w:highlight w:val="none"/>
        </w:rPr>
        <w:fldChar w:fldCharType="end"/>
      </w:r>
      <w:r>
        <w:rPr>
          <w:rFonts w:hint="eastAsia" w:ascii="宋体" w:hAnsi="宋体" w:cs="宋体"/>
          <w:kern w:val="0"/>
          <w:sz w:val="21"/>
          <w:szCs w:val="21"/>
          <w:highlight w:val="none"/>
        </w:rPr>
        <w:t>）查询到企业已认证的相关信息结果截图。</w:t>
      </w:r>
    </w:p>
    <w:p w14:paraId="3A5CF096">
      <w:pPr>
        <w:snapToGrid w:val="0"/>
        <w:spacing w:before="120" w:beforeLines="50"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lang w:val="en-US" w:eastAsia="zh-CN"/>
        </w:rPr>
        <w:t>5、</w:t>
      </w:r>
      <w:r>
        <w:rPr>
          <w:rFonts w:hint="eastAsia" w:ascii="宋体" w:hAnsi="宋体" w:cs="宋体"/>
          <w:sz w:val="21"/>
          <w:szCs w:val="21"/>
          <w:highlight w:val="none"/>
        </w:rPr>
        <w:t>履约能力评价需提供</w:t>
      </w:r>
      <w:r>
        <w:rPr>
          <w:rFonts w:hint="eastAsia" w:ascii="宋体" w:hAnsi="宋体" w:cs="宋体"/>
          <w:kern w:val="0"/>
          <w:sz w:val="21"/>
          <w:szCs w:val="21"/>
          <w:highlight w:val="none"/>
        </w:rPr>
        <w:t>第三方机构出具的</w:t>
      </w:r>
      <w:r>
        <w:rPr>
          <w:rFonts w:hint="eastAsia" w:ascii="宋体" w:hAnsi="宋体" w:cs="宋体"/>
          <w:sz w:val="21"/>
          <w:szCs w:val="21"/>
          <w:highlight w:val="none"/>
        </w:rPr>
        <w:t>有效的“履约能力评价认证证书”扫描件</w:t>
      </w:r>
      <w:r>
        <w:rPr>
          <w:rFonts w:hint="eastAsia" w:ascii="宋体" w:hAnsi="宋体" w:cs="宋体"/>
          <w:kern w:val="0"/>
          <w:sz w:val="21"/>
          <w:szCs w:val="21"/>
          <w:highlight w:val="none"/>
        </w:rPr>
        <w:t>及全国认证认可信息公共服务平台（</w:t>
      </w:r>
      <w:r>
        <w:rPr>
          <w:rFonts w:hint="eastAsia" w:ascii="宋体" w:hAnsi="宋体" w:cs="宋体"/>
          <w:kern w:val="0"/>
          <w:sz w:val="21"/>
          <w:szCs w:val="21"/>
          <w:highlight w:val="none"/>
        </w:rPr>
        <w:fldChar w:fldCharType="begin"/>
      </w:r>
      <w:r>
        <w:rPr>
          <w:rFonts w:hint="eastAsia" w:ascii="宋体" w:hAnsi="宋体" w:cs="宋体"/>
          <w:kern w:val="0"/>
          <w:sz w:val="21"/>
          <w:szCs w:val="21"/>
          <w:highlight w:val="none"/>
        </w:rPr>
        <w:instrText xml:space="preserve"> HYPERLINK "http://cx.cnca.cn/" </w:instrText>
      </w:r>
      <w:r>
        <w:rPr>
          <w:rFonts w:hint="eastAsia" w:ascii="宋体" w:hAnsi="宋体" w:cs="宋体"/>
          <w:kern w:val="0"/>
          <w:sz w:val="21"/>
          <w:szCs w:val="21"/>
          <w:highlight w:val="none"/>
        </w:rPr>
        <w:fldChar w:fldCharType="separate"/>
      </w:r>
      <w:r>
        <w:rPr>
          <w:rStyle w:val="30"/>
          <w:rFonts w:hint="eastAsia" w:ascii="宋体" w:hAnsi="宋体" w:eastAsia="宋体" w:cs="宋体"/>
          <w:color w:val="auto"/>
          <w:kern w:val="0"/>
          <w:sz w:val="21"/>
          <w:szCs w:val="21"/>
          <w:highlight w:val="none"/>
        </w:rPr>
        <w:t>http://cx.cnca.cn/</w:t>
      </w:r>
      <w:r>
        <w:rPr>
          <w:rFonts w:hint="eastAsia" w:ascii="宋体" w:hAnsi="宋体" w:cs="宋体"/>
          <w:kern w:val="0"/>
          <w:sz w:val="21"/>
          <w:szCs w:val="21"/>
          <w:highlight w:val="none"/>
        </w:rPr>
        <w:fldChar w:fldCharType="end"/>
      </w:r>
      <w:r>
        <w:rPr>
          <w:rFonts w:hint="eastAsia" w:ascii="宋体" w:hAnsi="宋体" w:cs="宋体"/>
          <w:kern w:val="0"/>
          <w:sz w:val="21"/>
          <w:szCs w:val="21"/>
          <w:highlight w:val="none"/>
        </w:rPr>
        <w:t>）查询到</w:t>
      </w:r>
      <w:r>
        <w:rPr>
          <w:rFonts w:hint="eastAsia" w:ascii="宋体" w:hAnsi="宋体" w:cs="宋体"/>
          <w:sz w:val="21"/>
          <w:szCs w:val="21"/>
          <w:highlight w:val="none"/>
        </w:rPr>
        <w:t>企业</w:t>
      </w:r>
      <w:r>
        <w:rPr>
          <w:rFonts w:hint="eastAsia" w:ascii="宋体" w:hAnsi="宋体" w:cs="宋体"/>
          <w:kern w:val="0"/>
          <w:sz w:val="21"/>
          <w:szCs w:val="21"/>
          <w:highlight w:val="none"/>
        </w:rPr>
        <w:t>已认证的相关信息结果截图。</w:t>
      </w:r>
    </w:p>
    <w:p w14:paraId="33D1E2E4">
      <w:pPr>
        <w:snapToGrid w:val="0"/>
        <w:spacing w:before="120" w:beforeLines="50"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lang w:val="en-US" w:eastAsia="zh-CN"/>
        </w:rPr>
        <w:t>6、</w:t>
      </w:r>
      <w:r>
        <w:rPr>
          <w:rFonts w:hint="eastAsia" w:ascii="宋体" w:hAnsi="宋体" w:cs="宋体"/>
          <w:sz w:val="21"/>
          <w:szCs w:val="21"/>
          <w:highlight w:val="none"/>
        </w:rPr>
        <w:t>评分如出现小数点，则保留小数点后两位，第三位四舍五入。</w:t>
      </w:r>
    </w:p>
    <w:p w14:paraId="569392A2">
      <w:pPr>
        <w:pStyle w:val="4"/>
        <w:kinsoku w:val="0"/>
        <w:overflowPunct w:val="0"/>
        <w:ind w:left="120"/>
        <w:outlineLvl w:val="9"/>
        <w:rPr>
          <w:rFonts w:hint="eastAsia" w:ascii="宋体" w:hAnsi="宋体" w:eastAsia="宋体" w:cs="宋体"/>
          <w:color w:val="auto"/>
          <w:sz w:val="21"/>
          <w:szCs w:val="21"/>
          <w:highlight w:val="none"/>
        </w:rPr>
        <w:sectPr>
          <w:headerReference r:id="rId6" w:type="default"/>
          <w:footerReference r:id="rId7" w:type="default"/>
          <w:pgSz w:w="11905" w:h="16838"/>
          <w:pgMar w:top="1417" w:right="1417" w:bottom="1417" w:left="1417" w:header="992" w:footer="992" w:gutter="0"/>
          <w:lnNumType w:countBy="0" w:distance="360"/>
          <w:cols w:space="720" w:num="1"/>
        </w:sectPr>
      </w:pPr>
    </w:p>
    <w:p w14:paraId="4763B5AA">
      <w:pPr>
        <w:spacing w:line="360" w:lineRule="auto"/>
        <w:ind w:firstLine="560" w:firstLineChars="200"/>
        <w:jc w:val="center"/>
        <w:rPr>
          <w:rFonts w:hint="eastAsia" w:ascii="宋体" w:hAnsi="宋体" w:eastAsia="宋体" w:cs="宋体"/>
          <w:color w:val="auto"/>
          <w:sz w:val="28"/>
          <w:szCs w:val="27"/>
          <w:highlight w:val="none"/>
        </w:rPr>
      </w:pPr>
      <w:bookmarkStart w:id="94" w:name="bookmark84"/>
      <w:bookmarkEnd w:id="94"/>
      <w:r>
        <w:rPr>
          <w:rFonts w:hint="eastAsia" w:ascii="宋体" w:hAnsi="宋体" w:eastAsia="宋体" w:cs="宋体"/>
          <w:color w:val="auto"/>
          <w:sz w:val="28"/>
          <w:szCs w:val="27"/>
          <w:highlight w:val="none"/>
        </w:rPr>
        <w:t>评标办法修改表</w:t>
      </w:r>
    </w:p>
    <w:p w14:paraId="73909B50">
      <w:pPr>
        <w:pStyle w:val="24"/>
        <w:pBdr>
          <w:bottom w:val="single" w:color="auto" w:sz="4" w:space="0"/>
        </w:pBdr>
        <w:spacing w:after="0" w:line="360" w:lineRule="auto"/>
        <w:rPr>
          <w:rFonts w:hint="eastAsia" w:ascii="宋体" w:hAnsi="宋体" w:eastAsia="宋体" w:cs="宋体"/>
          <w:b/>
          <w:color w:val="auto"/>
          <w:sz w:val="24"/>
          <w:szCs w:val="21"/>
          <w:highlight w:val="none"/>
        </w:rPr>
      </w:pPr>
      <w:r>
        <w:rPr>
          <w:rFonts w:hint="eastAsia" w:ascii="宋体" w:hAnsi="宋体" w:eastAsia="宋体" w:cs="宋体"/>
          <w:color w:val="auto"/>
          <w:sz w:val="24"/>
          <w:highlight w:val="none"/>
        </w:rPr>
        <w:t>声明：本评标办法使用</w:t>
      </w:r>
      <w:r>
        <w:rPr>
          <w:rFonts w:hint="eastAsia" w:ascii="宋体" w:hAnsi="宋体" w:eastAsia="宋体" w:cs="宋体"/>
          <w:color w:val="auto"/>
          <w:sz w:val="24"/>
          <w:szCs w:val="24"/>
          <w:highlight w:val="none"/>
          <w:lang w:eastAsia="zh-CN"/>
        </w:rPr>
        <w:t>SWZB2024-05</w:t>
      </w:r>
      <w:r>
        <w:rPr>
          <w:rFonts w:hint="eastAsia" w:ascii="宋体" w:hAnsi="宋体" w:eastAsia="宋体" w:cs="宋体"/>
          <w:color w:val="auto"/>
          <w:sz w:val="24"/>
          <w:szCs w:val="24"/>
          <w:highlight w:val="none"/>
        </w:rPr>
        <w:t>招标文件范本的评标办法条款，与该条款不同之处，均在本表中列明，并以现文为准，原文不再有效。</w:t>
      </w:r>
    </w:p>
    <w:p w14:paraId="568CCFF1">
      <w:pPr>
        <w:pStyle w:val="4"/>
        <w:kinsoku w:val="0"/>
        <w:overflowPunct w:val="0"/>
        <w:spacing w:line="360" w:lineRule="auto"/>
        <w:ind w:left="0" w:firstLine="482" w:firstLineChars="200"/>
        <w:jc w:val="both"/>
        <w:outlineLvl w:val="1"/>
        <w:rPr>
          <w:rFonts w:hint="eastAsia" w:ascii="宋体" w:hAnsi="宋体" w:eastAsia="宋体" w:cs="宋体"/>
          <w:b/>
          <w:bCs/>
          <w:color w:val="auto"/>
          <w:sz w:val="24"/>
          <w:szCs w:val="21"/>
          <w:highlight w:val="none"/>
        </w:rPr>
      </w:pPr>
      <w:r>
        <w:rPr>
          <w:rFonts w:hint="eastAsia" w:ascii="宋体" w:hAnsi="宋体" w:eastAsia="宋体" w:cs="宋体"/>
          <w:b/>
          <w:bCs/>
          <w:color w:val="auto"/>
          <w:sz w:val="24"/>
          <w:szCs w:val="21"/>
          <w:highlight w:val="none"/>
        </w:rPr>
        <w:t>条款号：</w:t>
      </w:r>
      <w:r>
        <w:rPr>
          <w:rFonts w:hint="eastAsia" w:ascii="宋体" w:hAnsi="宋体" w:eastAsia="宋体" w:cs="宋体"/>
          <w:color w:val="auto"/>
          <w:sz w:val="24"/>
          <w:szCs w:val="24"/>
          <w:highlight w:val="none"/>
        </w:rPr>
        <w:t>1.评标方法</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b/>
          <w:bCs/>
          <w:color w:val="auto"/>
          <w:sz w:val="24"/>
          <w:szCs w:val="24"/>
          <w:highlight w:val="none"/>
          <w:lang w:val="en-US" w:eastAsia="zh-CN"/>
        </w:rPr>
        <w:t xml:space="preserve">    </w:t>
      </w:r>
      <w:r>
        <w:rPr>
          <w:rFonts w:hint="eastAsia" w:cs="宋体"/>
          <w:b/>
          <w:bCs/>
          <w:color w:val="auto"/>
          <w:sz w:val="24"/>
          <w:szCs w:val="24"/>
          <w:highlight w:val="none"/>
          <w:lang w:val="en-US" w:eastAsia="zh-CN"/>
        </w:rPr>
        <w:t xml:space="preserve">   </w:t>
      </w:r>
      <w:r>
        <w:rPr>
          <w:rFonts w:hint="eastAsia" w:ascii="宋体" w:hAnsi="宋体" w:eastAsia="宋体" w:cs="宋体"/>
          <w:b/>
          <w:bCs/>
          <w:color w:val="auto"/>
          <w:sz w:val="24"/>
          <w:szCs w:val="21"/>
          <w:highlight w:val="none"/>
        </w:rPr>
        <w:t>修改类型：修改</w:t>
      </w:r>
    </w:p>
    <w:p w14:paraId="0B841488">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rFonts w:hint="eastAsia" w:cs="宋体"/>
          <w:color w:val="auto"/>
          <w:sz w:val="24"/>
          <w:szCs w:val="24"/>
          <w:highlight w:val="none"/>
        </w:rPr>
      </w:pPr>
      <w:r>
        <w:rPr>
          <w:rFonts w:hint="eastAsia" w:ascii="宋体" w:hAnsi="宋体" w:eastAsia="宋体" w:cs="宋体"/>
          <w:color w:val="auto"/>
          <w:sz w:val="24"/>
          <w:szCs w:val="21"/>
          <w:highlight w:val="none"/>
          <w:lang w:eastAsia="zh-CN"/>
        </w:rPr>
        <w:t>原文：</w:t>
      </w:r>
      <w:r>
        <w:rPr>
          <w:rFonts w:hint="eastAsia" w:cs="宋体"/>
          <w:color w:val="auto"/>
          <w:sz w:val="24"/>
          <w:szCs w:val="24"/>
          <w:highlight w:val="none"/>
        </w:rPr>
        <w:t>1.评标方法</w:t>
      </w:r>
    </w:p>
    <w:p w14:paraId="1A708F15">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本次评标采用综合评估法。评标委员会对满足招标文件实质性要求的投标文件，按照本章第2.2款规定的评分标准进行打分，并按得分由高到低顺序推荐中标候选人，或根据招标人授权直接确定中标人，但投标报价低于其成本的除外。综合评分相等时，以投标报价低的优先；投标报价也相等的，以监理大纲得分高的优先；如果监理大纲得分也相等</w:t>
      </w:r>
      <w:r>
        <w:rPr>
          <w:rFonts w:hint="eastAsia" w:cs="宋体"/>
          <w:color w:val="auto"/>
          <w:sz w:val="24"/>
          <w:szCs w:val="24"/>
          <w:highlight w:val="none"/>
          <w:lang w:eastAsia="zh-CN"/>
        </w:rPr>
        <w:t>，</w:t>
      </w:r>
      <w:r>
        <w:rPr>
          <w:rFonts w:hint="eastAsia" w:cs="宋体"/>
          <w:color w:val="auto"/>
          <w:sz w:val="24"/>
          <w:szCs w:val="24"/>
          <w:highlight w:val="none"/>
        </w:rPr>
        <w:t>按照评标办法前附表的规定确定中标候选人顺序。</w:t>
      </w:r>
    </w:p>
    <w:p w14:paraId="338DDF3E">
      <w:pPr>
        <w:pStyle w:val="12"/>
        <w:pBdr>
          <w:bottom w:val="single" w:color="auto" w:sz="4" w:space="0"/>
        </w:pBdr>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rFonts w:hint="eastAsia" w:cs="宋体"/>
          <w:color w:val="auto"/>
          <w:sz w:val="24"/>
          <w:szCs w:val="24"/>
          <w:highlight w:val="none"/>
          <w:u w:val="single"/>
        </w:rPr>
      </w:pPr>
      <w:r>
        <w:rPr>
          <w:rFonts w:hint="eastAsia" w:ascii="宋体" w:hAnsi="宋体" w:eastAsia="宋体" w:cs="宋体"/>
          <w:color w:val="auto"/>
          <w:sz w:val="24"/>
          <w:szCs w:val="21"/>
          <w:highlight w:val="none"/>
        </w:rPr>
        <w:t>现文：</w:t>
      </w:r>
      <w:r>
        <w:rPr>
          <w:rFonts w:hint="eastAsia" w:cs="宋体"/>
          <w:color w:val="auto"/>
          <w:sz w:val="24"/>
          <w:szCs w:val="24"/>
          <w:highlight w:val="none"/>
          <w:u w:val="single"/>
        </w:rPr>
        <w:t>1.评标、定标方法</w:t>
      </w:r>
    </w:p>
    <w:p w14:paraId="6D23213D">
      <w:pPr>
        <w:pStyle w:val="12"/>
        <w:pBdr>
          <w:bottom w:val="single" w:color="auto" w:sz="4" w:space="0"/>
        </w:pBdr>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rFonts w:hint="eastAsia" w:cs="宋体"/>
          <w:color w:val="auto"/>
          <w:sz w:val="24"/>
          <w:szCs w:val="24"/>
          <w:highlight w:val="none"/>
          <w:u w:val="single"/>
        </w:rPr>
      </w:pPr>
      <w:r>
        <w:rPr>
          <w:rFonts w:hint="eastAsia" w:cs="宋体"/>
          <w:color w:val="auto"/>
          <w:sz w:val="24"/>
          <w:szCs w:val="24"/>
          <w:highlight w:val="none"/>
          <w:u w:val="single"/>
        </w:rPr>
        <w:t>本标段采用评定分离方式（评标采用综合评估法，定标采用票决法</w:t>
      </w:r>
      <w:r>
        <w:rPr>
          <w:rFonts w:hint="eastAsia" w:ascii="宋体" w:hAnsi="宋体"/>
          <w:b w:val="0"/>
          <w:bCs/>
          <w:sz w:val="24"/>
          <w:highlight w:val="none"/>
          <w:u w:val="single"/>
        </w:rPr>
        <w:t>+撰写评语</w:t>
      </w:r>
      <w:r>
        <w:rPr>
          <w:rFonts w:hint="eastAsia" w:cs="宋体"/>
          <w:color w:val="auto"/>
          <w:sz w:val="24"/>
          <w:szCs w:val="24"/>
          <w:highlight w:val="none"/>
          <w:u w:val="single"/>
        </w:rPr>
        <w:t>）。评标委员会对满足招标文件实质性要求的投标文件（评标部分），按照本章第2.2款规定的评分标准进行打分，并按投标文件（评标部分）总得分由高到低顺序推荐合格中标候选人，但投标报价低于其成本的除外。投标文件（评标部分）总得分相同的，以报价较低的排前；投标文件（评标部分）总得分与报价均相同的，以监理大纲得分较高的排前；如仍存在相同情况，则对具有相同情况的投标人，由评委通过记名投票表决（不得弃权），以“少数服从多数”的原则确定排序。</w:t>
      </w:r>
    </w:p>
    <w:p w14:paraId="06FFA277">
      <w:pPr>
        <w:pStyle w:val="12"/>
        <w:pBdr>
          <w:bottom w:val="single" w:color="auto" w:sz="4" w:space="0"/>
        </w:pBdr>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rFonts w:hint="eastAsia" w:cs="宋体"/>
          <w:color w:val="auto"/>
          <w:sz w:val="24"/>
          <w:szCs w:val="24"/>
          <w:highlight w:val="none"/>
          <w:u w:val="single"/>
        </w:rPr>
      </w:pPr>
      <w:r>
        <w:rPr>
          <w:rFonts w:hint="eastAsia" w:cs="宋体"/>
          <w:color w:val="auto"/>
          <w:sz w:val="24"/>
          <w:szCs w:val="24"/>
          <w:highlight w:val="none"/>
          <w:u w:val="single"/>
        </w:rPr>
        <w:t>合格中标候选人按统一社会信用代码后4位（除校验码外）大小排位，如统一社会信用代码后4位出现字母情况的，字母以“0”进行代替大小排位；如出现后4位（除校验码外）大小一致的，则随机排位。</w:t>
      </w:r>
    </w:p>
    <w:p w14:paraId="41E5A36A">
      <w:pPr>
        <w:pStyle w:val="12"/>
        <w:pBdr>
          <w:bottom w:val="single" w:color="auto" w:sz="4" w:space="0"/>
        </w:pBdr>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u w:val="single"/>
        </w:rPr>
        <w:t>注：投标文件（评标部分）总得分及评标委员会票决得分排序仅作为推荐入围定标阶段的依据，不作为定标阶段确定中标人的依据。</w:t>
      </w:r>
    </w:p>
    <w:p w14:paraId="244AD945">
      <w:pPr>
        <w:pStyle w:val="12"/>
        <w:tabs>
          <w:tab w:val="left" w:pos="1343"/>
          <w:tab w:val="left" w:pos="2697"/>
          <w:tab w:val="left" w:pos="3264"/>
          <w:tab w:val="left" w:pos="4896"/>
          <w:tab w:val="left" w:pos="6005"/>
          <w:tab w:val="left" w:pos="7085"/>
          <w:tab w:val="left" w:pos="7498"/>
        </w:tabs>
        <w:kinsoku w:val="0"/>
        <w:overflowPunct w:val="0"/>
        <w:autoSpaceDE/>
        <w:autoSpaceDN/>
        <w:spacing w:line="360" w:lineRule="auto"/>
        <w:ind w:left="0" w:firstLine="482" w:firstLineChars="200"/>
        <w:jc w:val="both"/>
        <w:rPr>
          <w:rFonts w:hint="eastAsia" w:ascii="宋体" w:hAnsi="宋体" w:eastAsia="宋体" w:cs="宋体"/>
          <w:b/>
          <w:bCs/>
          <w:color w:val="auto"/>
          <w:sz w:val="24"/>
          <w:szCs w:val="21"/>
          <w:highlight w:val="none"/>
        </w:rPr>
      </w:pPr>
      <w:r>
        <w:rPr>
          <w:rFonts w:hint="eastAsia" w:ascii="宋体" w:hAnsi="宋体" w:eastAsia="宋体" w:cs="宋体"/>
          <w:b/>
          <w:bCs/>
          <w:color w:val="auto"/>
          <w:sz w:val="24"/>
          <w:szCs w:val="21"/>
          <w:highlight w:val="none"/>
        </w:rPr>
        <w:t>条款号：</w:t>
      </w:r>
      <w:bookmarkStart w:id="95" w:name="_Toc359263257"/>
      <w:bookmarkEnd w:id="95"/>
      <w:bookmarkStart w:id="96" w:name="_Toc262229169"/>
      <w:bookmarkEnd w:id="96"/>
      <w:bookmarkStart w:id="97" w:name="_Toc155150493"/>
      <w:bookmarkEnd w:id="97"/>
      <w:r>
        <w:rPr>
          <w:rFonts w:hint="eastAsia" w:ascii="宋体" w:hAnsi="宋体" w:eastAsia="宋体" w:cs="宋体"/>
          <w:b/>
          <w:bCs/>
          <w:color w:val="auto"/>
          <w:sz w:val="24"/>
          <w:szCs w:val="21"/>
          <w:highlight w:val="none"/>
          <w:lang w:val="en-US" w:eastAsia="zh-CN"/>
        </w:rPr>
        <w:t>2.2.1</w:t>
      </w:r>
      <w:r>
        <w:rPr>
          <w:rFonts w:hint="eastAsia" w:ascii="宋体" w:hAnsi="宋体" w:eastAsia="宋体" w:cs="宋体"/>
          <w:b/>
          <w:bCs/>
          <w:color w:val="auto"/>
          <w:sz w:val="24"/>
          <w:szCs w:val="24"/>
          <w:highlight w:val="none"/>
        </w:rPr>
        <w:t>分值构成</w:t>
      </w:r>
      <w:r>
        <w:rPr>
          <w:rFonts w:hint="eastAsia" w:ascii="宋体" w:hAnsi="宋体" w:eastAsia="宋体" w:cs="宋体"/>
          <w:b/>
          <w:bCs/>
          <w:color w:val="auto"/>
          <w:sz w:val="24"/>
          <w:szCs w:val="24"/>
          <w:highlight w:val="none"/>
          <w:lang w:val="en-US" w:eastAsia="zh-CN"/>
        </w:rPr>
        <w:t xml:space="preserve">    </w:t>
      </w:r>
      <w:r>
        <w:rPr>
          <w:rFonts w:hint="eastAsia" w:cs="宋体"/>
          <w:b/>
          <w:bCs/>
          <w:color w:val="auto"/>
          <w:sz w:val="24"/>
          <w:szCs w:val="24"/>
          <w:highlight w:val="none"/>
          <w:lang w:val="en-US" w:eastAsia="zh-CN"/>
        </w:rPr>
        <w:t xml:space="preserve">          </w:t>
      </w:r>
      <w:r>
        <w:rPr>
          <w:rFonts w:hint="eastAsia" w:ascii="宋体" w:hAnsi="宋体" w:eastAsia="宋体" w:cs="宋体"/>
          <w:b/>
          <w:bCs/>
          <w:color w:val="auto"/>
          <w:sz w:val="24"/>
          <w:szCs w:val="21"/>
          <w:highlight w:val="none"/>
        </w:rPr>
        <w:t>修改类型：修改</w:t>
      </w:r>
    </w:p>
    <w:p w14:paraId="33AB37D4">
      <w:pPr>
        <w:pStyle w:val="12"/>
        <w:tabs>
          <w:tab w:val="left" w:pos="1343"/>
          <w:tab w:val="left" w:pos="2697"/>
          <w:tab w:val="left" w:pos="3264"/>
          <w:tab w:val="left" w:pos="4896"/>
          <w:tab w:val="left" w:pos="6005"/>
          <w:tab w:val="left" w:pos="7085"/>
          <w:tab w:val="left" w:pos="7498"/>
        </w:tabs>
        <w:kinsoku w:val="0"/>
        <w:overflowPunct w:val="0"/>
        <w:autoSpaceDE/>
        <w:autoSpaceDN/>
        <w:spacing w:line="360"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1"/>
          <w:highlight w:val="none"/>
          <w:lang w:eastAsia="zh-CN"/>
        </w:rPr>
        <w:t>原文：</w:t>
      </w:r>
      <w:r>
        <w:rPr>
          <w:rFonts w:hint="eastAsia" w:ascii="宋体" w:hAnsi="宋体" w:eastAsia="宋体" w:cs="宋体"/>
          <w:color w:val="auto"/>
          <w:sz w:val="24"/>
          <w:szCs w:val="24"/>
          <w:highlight w:val="none"/>
        </w:rPr>
        <w:t>2.2.1  分值构成</w:t>
      </w:r>
    </w:p>
    <w:p w14:paraId="11411BD6">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（1）资信业绩部分：见评标办法前附表；</w:t>
      </w:r>
    </w:p>
    <w:p w14:paraId="437795FD">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（2）监理大纲部分：见评标办法前附表；</w:t>
      </w:r>
    </w:p>
    <w:p w14:paraId="7CCCA8DE">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（3）投标报价：见评标办法前附表；</w:t>
      </w:r>
    </w:p>
    <w:p w14:paraId="7BB5C24B">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rFonts w:hint="eastAsia" w:ascii="宋体" w:hAnsi="宋体" w:eastAsia="宋体" w:cs="宋体"/>
          <w:strike w:val="0"/>
          <w:color w:val="auto"/>
          <w:sz w:val="24"/>
          <w:szCs w:val="21"/>
          <w:highlight w:val="none"/>
          <w:lang w:eastAsia="zh-CN"/>
        </w:rPr>
      </w:pPr>
      <w:r>
        <w:rPr>
          <w:rFonts w:hint="eastAsia" w:ascii="宋体" w:hAnsi="宋体" w:eastAsia="宋体" w:cs="宋体"/>
          <w:strike w:val="0"/>
          <w:color w:val="auto"/>
          <w:sz w:val="24"/>
          <w:szCs w:val="24"/>
          <w:highlight w:val="none"/>
        </w:rPr>
        <w:t>（4）</w:t>
      </w:r>
      <w:r>
        <w:rPr>
          <w:rFonts w:hint="eastAsia" w:ascii="宋体" w:hAnsi="宋体" w:eastAsia="宋体" w:cs="宋体"/>
          <w:strike w:val="0"/>
          <w:color w:val="auto"/>
          <w:sz w:val="24"/>
          <w:szCs w:val="24"/>
          <w:highlight w:val="none"/>
          <w:lang w:eastAsia="zh-CN"/>
        </w:rPr>
        <w:t>诚信得分</w:t>
      </w:r>
      <w:r>
        <w:rPr>
          <w:rFonts w:hint="eastAsia" w:ascii="宋体" w:hAnsi="宋体" w:eastAsia="宋体" w:cs="宋体"/>
          <w:strike w:val="0"/>
          <w:color w:val="auto"/>
          <w:sz w:val="24"/>
          <w:szCs w:val="24"/>
          <w:highlight w:val="none"/>
        </w:rPr>
        <w:t xml:space="preserve">：见评标办法前附表。 </w:t>
      </w:r>
    </w:p>
    <w:p w14:paraId="35FAC396">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720" w:firstLineChars="3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1"/>
          <w:highlight w:val="none"/>
        </w:rPr>
        <w:t>现文：</w:t>
      </w:r>
      <w:r>
        <w:rPr>
          <w:rFonts w:hint="eastAsia" w:ascii="宋体" w:hAnsi="宋体" w:eastAsia="宋体" w:cs="宋体"/>
          <w:color w:val="auto"/>
          <w:sz w:val="24"/>
          <w:szCs w:val="24"/>
          <w:highlight w:val="none"/>
        </w:rPr>
        <w:t>2.2.1  分值构成</w:t>
      </w:r>
    </w:p>
    <w:p w14:paraId="56B7F50E">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（1）资信业绩部分：见评标办法前附表；</w:t>
      </w:r>
    </w:p>
    <w:p w14:paraId="5D9A7DF6">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（2）监理大纲部分：见评标办法前附表；</w:t>
      </w:r>
    </w:p>
    <w:p w14:paraId="30210D0E">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（3）投标报价：见评标办法前附表；</w:t>
      </w:r>
    </w:p>
    <w:p w14:paraId="68355183">
      <w:pPr>
        <w:pStyle w:val="12"/>
        <w:pBdr>
          <w:bottom w:val="single" w:color="auto" w:sz="4" w:space="0"/>
        </w:pBdr>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rFonts w:hint="eastAsia" w:ascii="宋体" w:hAnsi="宋体" w:eastAsia="宋体" w:cs="宋体"/>
          <w:color w:val="auto"/>
          <w:sz w:val="24"/>
          <w:szCs w:val="21"/>
          <w:highlight w:val="none"/>
        </w:rPr>
      </w:pPr>
      <w:r>
        <w:rPr>
          <w:rFonts w:hint="eastAsia" w:ascii="宋体" w:hAnsi="宋体" w:eastAsia="宋体" w:cs="宋体"/>
          <w:strike/>
          <w:color w:val="auto"/>
          <w:sz w:val="24"/>
          <w:szCs w:val="24"/>
          <w:highlight w:val="none"/>
        </w:rPr>
        <w:t>（4）</w:t>
      </w:r>
      <w:r>
        <w:rPr>
          <w:rFonts w:hint="eastAsia" w:ascii="宋体" w:hAnsi="宋体" w:eastAsia="宋体" w:cs="宋体"/>
          <w:strike/>
          <w:color w:val="auto"/>
          <w:sz w:val="24"/>
          <w:szCs w:val="24"/>
          <w:highlight w:val="none"/>
          <w:lang w:eastAsia="zh-CN"/>
        </w:rPr>
        <w:t>诚信得分</w:t>
      </w:r>
      <w:r>
        <w:rPr>
          <w:rFonts w:hint="eastAsia" w:ascii="宋体" w:hAnsi="宋体" w:eastAsia="宋体" w:cs="宋体"/>
          <w:strike/>
          <w:color w:val="auto"/>
          <w:sz w:val="24"/>
          <w:szCs w:val="24"/>
          <w:highlight w:val="none"/>
        </w:rPr>
        <w:t xml:space="preserve">：见评标办法前附表。 </w:t>
      </w:r>
    </w:p>
    <w:p w14:paraId="075D254D">
      <w:pPr>
        <w:spacing w:line="360" w:lineRule="auto"/>
        <w:ind w:firstLine="540" w:firstLineChars="224"/>
        <w:rPr>
          <w:rFonts w:hint="eastAsia" w:ascii="宋体" w:hAnsi="宋体" w:eastAsia="宋体" w:cs="宋体"/>
          <w:b/>
          <w:bCs/>
          <w:color w:val="auto"/>
          <w:sz w:val="24"/>
          <w:szCs w:val="21"/>
          <w:highlight w:val="none"/>
          <w:lang w:eastAsia="zh-CN"/>
        </w:rPr>
      </w:pPr>
      <w:r>
        <w:rPr>
          <w:rFonts w:hint="eastAsia" w:ascii="宋体" w:hAnsi="宋体" w:eastAsia="宋体" w:cs="宋体"/>
          <w:b/>
          <w:bCs/>
          <w:color w:val="auto"/>
          <w:sz w:val="24"/>
          <w:szCs w:val="21"/>
          <w:highlight w:val="none"/>
        </w:rPr>
        <w:t>条款号：</w:t>
      </w:r>
      <w:r>
        <w:rPr>
          <w:rFonts w:hint="eastAsia" w:ascii="宋体" w:hAnsi="宋体" w:eastAsia="宋体" w:cs="宋体"/>
          <w:b/>
          <w:bCs/>
          <w:color w:val="auto"/>
          <w:sz w:val="24"/>
          <w:szCs w:val="21"/>
          <w:highlight w:val="none"/>
          <w:lang w:val="en-US" w:eastAsia="zh-CN"/>
        </w:rPr>
        <w:t>2.2.4</w:t>
      </w:r>
      <w:r>
        <w:rPr>
          <w:rFonts w:hint="eastAsia" w:ascii="宋体" w:hAnsi="宋体" w:eastAsia="宋体" w:cs="宋体"/>
          <w:b/>
          <w:bCs/>
          <w:color w:val="auto"/>
          <w:sz w:val="24"/>
          <w:szCs w:val="24"/>
          <w:highlight w:val="none"/>
        </w:rPr>
        <w:t xml:space="preserve"> 评分标准</w:t>
      </w:r>
      <w:r>
        <w:rPr>
          <w:rFonts w:hint="eastAsia" w:ascii="宋体" w:hAnsi="宋体" w:eastAsia="宋体" w:cs="宋体"/>
          <w:b/>
          <w:bCs/>
          <w:color w:val="auto"/>
          <w:sz w:val="24"/>
          <w:szCs w:val="21"/>
          <w:highlight w:val="none"/>
        </w:rPr>
        <w:t xml:space="preserve">             修改类型：</w:t>
      </w:r>
      <w:r>
        <w:rPr>
          <w:rFonts w:hint="eastAsia" w:ascii="宋体" w:hAnsi="宋体" w:eastAsia="宋体" w:cs="宋体"/>
          <w:b/>
          <w:bCs/>
          <w:color w:val="auto"/>
          <w:sz w:val="24"/>
          <w:szCs w:val="21"/>
          <w:highlight w:val="none"/>
          <w:lang w:eastAsia="zh-CN"/>
        </w:rPr>
        <w:t>修改</w:t>
      </w:r>
    </w:p>
    <w:p w14:paraId="5959134E">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原文：</w:t>
      </w:r>
      <w:r>
        <w:rPr>
          <w:rFonts w:hint="eastAsia" w:ascii="宋体" w:hAnsi="宋体" w:eastAsia="宋体" w:cs="宋体"/>
          <w:color w:val="auto"/>
          <w:sz w:val="24"/>
          <w:szCs w:val="21"/>
          <w:highlight w:val="none"/>
          <w:lang w:val="en-US" w:eastAsia="zh-CN"/>
        </w:rPr>
        <w:t>2.2.4</w:t>
      </w:r>
      <w:r>
        <w:rPr>
          <w:rFonts w:hint="eastAsia" w:ascii="宋体" w:hAnsi="宋体" w:eastAsia="宋体" w:cs="宋体"/>
          <w:color w:val="auto"/>
          <w:sz w:val="24"/>
          <w:szCs w:val="24"/>
          <w:highlight w:val="none"/>
        </w:rPr>
        <w:t xml:space="preserve"> 评分标准</w:t>
      </w:r>
      <w:r>
        <w:rPr>
          <w:rFonts w:hint="eastAsia" w:ascii="宋体" w:hAnsi="宋体" w:eastAsia="宋体" w:cs="宋体"/>
          <w:color w:val="auto"/>
          <w:sz w:val="24"/>
          <w:szCs w:val="21"/>
          <w:highlight w:val="none"/>
        </w:rPr>
        <w:t xml:space="preserve"> </w:t>
      </w:r>
    </w:p>
    <w:p w14:paraId="75E499CD">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（1）资信业绩评分标准：见评标办法前附表；</w:t>
      </w:r>
    </w:p>
    <w:p w14:paraId="6F480657">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（2）监理大纲评分标准：见评标办法前附表；</w:t>
      </w:r>
    </w:p>
    <w:p w14:paraId="6973E54B">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（3）投标报价评分标准：见评标办法前附表；</w:t>
      </w:r>
    </w:p>
    <w:p w14:paraId="25AF774F">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rFonts w:hint="eastAsia" w:ascii="宋体" w:hAnsi="宋体" w:eastAsia="宋体" w:cs="宋体"/>
          <w:strike w:val="0"/>
          <w:color w:val="auto"/>
          <w:sz w:val="24"/>
          <w:szCs w:val="24"/>
          <w:highlight w:val="none"/>
        </w:rPr>
      </w:pPr>
      <w:r>
        <w:rPr>
          <w:rFonts w:hint="eastAsia" w:ascii="宋体" w:hAnsi="宋体" w:eastAsia="宋体" w:cs="宋体"/>
          <w:strike w:val="0"/>
          <w:color w:val="auto"/>
          <w:sz w:val="24"/>
          <w:szCs w:val="24"/>
          <w:highlight w:val="none"/>
        </w:rPr>
        <w:t>（4）</w:t>
      </w:r>
      <w:r>
        <w:rPr>
          <w:rFonts w:hint="eastAsia" w:ascii="宋体" w:hAnsi="宋体" w:eastAsia="宋体" w:cs="宋体"/>
          <w:strike w:val="0"/>
          <w:color w:val="auto"/>
          <w:sz w:val="24"/>
          <w:szCs w:val="24"/>
          <w:highlight w:val="none"/>
          <w:lang w:eastAsia="zh-CN"/>
        </w:rPr>
        <w:t>诚信得分</w:t>
      </w:r>
      <w:r>
        <w:rPr>
          <w:rFonts w:hint="eastAsia" w:ascii="宋体" w:hAnsi="宋体" w:eastAsia="宋体" w:cs="宋体"/>
          <w:strike w:val="0"/>
          <w:color w:val="auto"/>
          <w:sz w:val="24"/>
          <w:szCs w:val="24"/>
          <w:highlight w:val="none"/>
        </w:rPr>
        <w:t>评分标准：见评标办法前附表。</w:t>
      </w:r>
    </w:p>
    <w:p w14:paraId="5FA9A803">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420" w:firstLineChars="200"/>
        <w:jc w:val="both"/>
        <w:rPr>
          <w:rFonts w:hint="eastAsia" w:ascii="宋体" w:hAnsi="宋体" w:eastAsia="宋体" w:cs="宋体"/>
          <w:color w:val="auto"/>
          <w:sz w:val="24"/>
          <w:szCs w:val="21"/>
          <w:highlight w:val="none"/>
        </w:rPr>
      </w:pPr>
      <w:r>
        <w:rPr>
          <w:rFonts w:hint="eastAsia" w:ascii="宋体" w:hAnsi="宋体" w:eastAsia="宋体" w:cs="宋体"/>
          <w:strike w:val="0"/>
          <w:color w:val="auto"/>
          <w:sz w:val="21"/>
          <w:szCs w:val="21"/>
          <w:highlight w:val="none"/>
        </w:rPr>
        <w:t>注：投标人的诚信评价总分取自本项目招标公告发布第1天所在季度的上一季度的诚信综合评价分。</w:t>
      </w:r>
    </w:p>
    <w:p w14:paraId="43CEFD62">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rFonts w:hint="eastAsia" w:ascii="宋体" w:hAnsi="宋体" w:eastAsia="宋体" w:cs="宋体"/>
          <w:color w:val="auto"/>
          <w:sz w:val="24"/>
          <w:szCs w:val="21"/>
          <w:highlight w:val="none"/>
          <w:lang w:eastAsia="zh-CN"/>
        </w:rPr>
      </w:pPr>
      <w:r>
        <w:rPr>
          <w:rFonts w:hint="eastAsia" w:ascii="宋体" w:hAnsi="宋体" w:eastAsia="宋体" w:cs="宋体"/>
          <w:color w:val="auto"/>
          <w:sz w:val="24"/>
          <w:szCs w:val="21"/>
          <w:highlight w:val="none"/>
          <w:lang w:eastAsia="zh-CN"/>
        </w:rPr>
        <w:t>现文：</w:t>
      </w:r>
      <w:r>
        <w:rPr>
          <w:rFonts w:hint="eastAsia" w:ascii="宋体" w:hAnsi="宋体" w:eastAsia="宋体" w:cs="宋体"/>
          <w:color w:val="auto"/>
          <w:sz w:val="24"/>
          <w:szCs w:val="21"/>
          <w:highlight w:val="none"/>
          <w:lang w:val="en-US" w:eastAsia="zh-CN"/>
        </w:rPr>
        <w:t>2.2.4</w:t>
      </w:r>
      <w:r>
        <w:rPr>
          <w:rFonts w:hint="eastAsia" w:ascii="宋体" w:hAnsi="宋体" w:eastAsia="宋体" w:cs="宋体"/>
          <w:color w:val="auto"/>
          <w:sz w:val="24"/>
          <w:szCs w:val="24"/>
          <w:highlight w:val="none"/>
        </w:rPr>
        <w:t xml:space="preserve"> 评分标准</w:t>
      </w:r>
      <w:r>
        <w:rPr>
          <w:rFonts w:hint="eastAsia" w:ascii="宋体" w:hAnsi="宋体" w:eastAsia="宋体" w:cs="宋体"/>
          <w:color w:val="auto"/>
          <w:sz w:val="24"/>
          <w:szCs w:val="21"/>
          <w:highlight w:val="none"/>
        </w:rPr>
        <w:t xml:space="preserve"> </w:t>
      </w:r>
    </w:p>
    <w:p w14:paraId="29B9C7E2">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（1）资信业绩评分标准：见评标办法前附表；</w:t>
      </w:r>
    </w:p>
    <w:p w14:paraId="59289410">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（2）监理大纲评分标准：见评标办法前附表；</w:t>
      </w:r>
    </w:p>
    <w:p w14:paraId="640BF0B2">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（3）投标报价评分标准：见评标办法前附表；</w:t>
      </w:r>
    </w:p>
    <w:p w14:paraId="0B1DC873">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rFonts w:hint="eastAsia" w:ascii="宋体" w:hAnsi="宋体" w:eastAsia="宋体" w:cs="宋体"/>
          <w:strike/>
          <w:color w:val="auto"/>
          <w:sz w:val="24"/>
          <w:szCs w:val="24"/>
          <w:highlight w:val="none"/>
        </w:rPr>
      </w:pPr>
      <w:r>
        <w:rPr>
          <w:rFonts w:hint="eastAsia" w:ascii="宋体" w:hAnsi="宋体" w:eastAsia="宋体" w:cs="宋体"/>
          <w:strike/>
          <w:color w:val="auto"/>
          <w:sz w:val="24"/>
          <w:szCs w:val="24"/>
          <w:highlight w:val="none"/>
        </w:rPr>
        <w:t>（4）</w:t>
      </w:r>
      <w:r>
        <w:rPr>
          <w:rFonts w:hint="eastAsia" w:ascii="宋体" w:hAnsi="宋体" w:eastAsia="宋体" w:cs="宋体"/>
          <w:strike/>
          <w:color w:val="auto"/>
          <w:sz w:val="24"/>
          <w:szCs w:val="24"/>
          <w:highlight w:val="none"/>
          <w:lang w:eastAsia="zh-CN"/>
        </w:rPr>
        <w:t>诚信得分</w:t>
      </w:r>
      <w:r>
        <w:rPr>
          <w:rFonts w:hint="eastAsia" w:ascii="宋体" w:hAnsi="宋体" w:eastAsia="宋体" w:cs="宋体"/>
          <w:strike/>
          <w:color w:val="auto"/>
          <w:sz w:val="24"/>
          <w:szCs w:val="24"/>
          <w:highlight w:val="none"/>
        </w:rPr>
        <w:t>评分标准：见评标办法前附表。</w:t>
      </w:r>
    </w:p>
    <w:p w14:paraId="795AEF13">
      <w:pPr>
        <w:pStyle w:val="12"/>
        <w:pBdr>
          <w:bottom w:val="single" w:color="auto" w:sz="4" w:space="0"/>
        </w:pBdr>
        <w:tabs>
          <w:tab w:val="left" w:pos="1343"/>
          <w:tab w:val="left" w:pos="2697"/>
          <w:tab w:val="left" w:pos="3264"/>
          <w:tab w:val="left" w:pos="4896"/>
          <w:tab w:val="left" w:pos="6005"/>
          <w:tab w:val="left" w:pos="7085"/>
          <w:tab w:val="left" w:pos="7498"/>
        </w:tabs>
        <w:kinsoku w:val="0"/>
        <w:overflowPunct w:val="0"/>
        <w:spacing w:line="360" w:lineRule="auto"/>
        <w:ind w:left="0" w:firstLine="420" w:firstLineChars="200"/>
        <w:jc w:val="both"/>
        <w:rPr>
          <w:rFonts w:hint="eastAsia" w:ascii="宋体" w:hAnsi="宋体" w:eastAsia="宋体" w:cs="宋体"/>
          <w:color w:val="auto"/>
          <w:sz w:val="24"/>
          <w:szCs w:val="21"/>
          <w:highlight w:val="none"/>
          <w:lang w:eastAsia="zh-CN"/>
        </w:rPr>
      </w:pPr>
      <w:r>
        <w:rPr>
          <w:rFonts w:hint="eastAsia" w:ascii="宋体" w:hAnsi="宋体" w:eastAsia="宋体" w:cs="宋体"/>
          <w:strike/>
          <w:color w:val="auto"/>
          <w:sz w:val="21"/>
          <w:szCs w:val="21"/>
          <w:highlight w:val="none"/>
        </w:rPr>
        <w:t>注：投标人的诚信评价总分取自本项目招标公告发布</w:t>
      </w:r>
      <w:r>
        <w:rPr>
          <w:rFonts w:hint="eastAsia" w:cs="宋体"/>
          <w:strike/>
          <w:color w:val="auto"/>
          <w:sz w:val="21"/>
          <w:szCs w:val="21"/>
          <w:highlight w:val="none"/>
        </w:rPr>
        <w:t>第1天所在季度的上一季度的诚信综合评价分。</w:t>
      </w:r>
    </w:p>
    <w:p w14:paraId="4E75DBE8">
      <w:pPr>
        <w:keepNext w:val="0"/>
        <w:keepLines w:val="0"/>
        <w:pageBreakBefore w:val="0"/>
        <w:widowControl w:val="0"/>
        <w:kinsoku/>
        <w:wordWrap/>
        <w:overflowPunct/>
        <w:topLinePunct w:val="0"/>
        <w:autoSpaceDE w:val="0"/>
        <w:autoSpaceDN w:val="0"/>
        <w:bidi w:val="0"/>
        <w:adjustRightInd w:val="0"/>
        <w:snapToGrid/>
        <w:spacing w:line="360" w:lineRule="auto"/>
        <w:ind w:firstLine="482" w:firstLineChars="200"/>
        <w:textAlignment w:val="auto"/>
        <w:rPr>
          <w:rFonts w:hint="eastAsia" w:ascii="宋体" w:hAnsi="宋体" w:eastAsia="宋体" w:cs="宋体"/>
          <w:color w:val="auto"/>
          <w:sz w:val="24"/>
          <w:szCs w:val="21"/>
          <w:highlight w:val="none"/>
        </w:rPr>
      </w:pPr>
      <w:r>
        <w:rPr>
          <w:rFonts w:hint="eastAsia" w:ascii="宋体" w:hAnsi="宋体" w:eastAsia="宋体" w:cs="宋体"/>
          <w:b/>
          <w:bCs/>
          <w:color w:val="auto"/>
          <w:sz w:val="24"/>
          <w:szCs w:val="21"/>
          <w:highlight w:val="none"/>
        </w:rPr>
        <w:t>条款号：</w:t>
      </w:r>
      <w:r>
        <w:rPr>
          <w:rFonts w:hint="eastAsia" w:ascii="宋体" w:hAnsi="宋体" w:eastAsia="宋体" w:cs="宋体"/>
          <w:b/>
          <w:bCs/>
          <w:highlight w:val="none"/>
        </w:rPr>
        <w:t>3.1</w:t>
      </w:r>
      <w:r>
        <w:rPr>
          <w:rFonts w:hint="eastAsia" w:ascii="宋体" w:hAnsi="宋体" w:eastAsia="宋体" w:cs="宋体"/>
          <w:b/>
          <w:bCs/>
          <w:highlight w:val="none"/>
          <w:lang w:val="en-US" w:eastAsia="zh-CN"/>
        </w:rPr>
        <w:t>.1</w:t>
      </w:r>
      <w:r>
        <w:rPr>
          <w:rFonts w:hint="eastAsia" w:ascii="宋体" w:hAnsi="宋体" w:eastAsia="宋体" w:cs="宋体"/>
          <w:b/>
          <w:bCs/>
          <w:color w:val="auto"/>
          <w:sz w:val="24"/>
          <w:szCs w:val="21"/>
          <w:highlight w:val="none"/>
        </w:rPr>
        <w:t xml:space="preserve">    </w:t>
      </w:r>
      <w:r>
        <w:rPr>
          <w:rFonts w:hint="eastAsia" w:ascii="宋体" w:hAnsi="宋体" w:eastAsia="宋体" w:cs="宋体"/>
          <w:b/>
          <w:bCs/>
          <w:color w:val="auto"/>
          <w:sz w:val="24"/>
          <w:szCs w:val="21"/>
          <w:highlight w:val="none"/>
          <w:lang w:val="en-US" w:eastAsia="zh-CN"/>
        </w:rPr>
        <w:t xml:space="preserve">              </w:t>
      </w:r>
      <w:r>
        <w:rPr>
          <w:rFonts w:hint="eastAsia" w:ascii="宋体" w:hAnsi="宋体" w:eastAsia="宋体" w:cs="宋体"/>
          <w:b/>
          <w:bCs/>
          <w:color w:val="auto"/>
          <w:sz w:val="24"/>
          <w:szCs w:val="21"/>
          <w:highlight w:val="none"/>
        </w:rPr>
        <w:t xml:space="preserve">    修改类型：修改</w:t>
      </w:r>
    </w:p>
    <w:p w14:paraId="6D5A6244">
      <w:pPr>
        <w:spacing w:line="360" w:lineRule="auto"/>
        <w:ind w:firstLine="537" w:firstLineChars="224"/>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原文：</w:t>
      </w:r>
      <w:r>
        <w:rPr>
          <w:rFonts w:hint="eastAsia" w:ascii="宋体" w:hAnsi="宋体" w:eastAsia="宋体" w:cs="宋体"/>
          <w:color w:val="auto"/>
          <w:sz w:val="24"/>
          <w:szCs w:val="24"/>
          <w:highlight w:val="none"/>
        </w:rPr>
        <w:t>3.1.1  评标委员会可以要求投标人提交第二章“投标人须知”规定的有关证明和证件的原件，以便核验。评标委员会依据本章第2.1款规定的标准对投标文件进行初步评审。有一项不符合评审标准的，评标委员会应当否决其投标。</w:t>
      </w:r>
    </w:p>
    <w:p w14:paraId="4002B85B">
      <w:pPr>
        <w:pBdr>
          <w:bottom w:val="single" w:color="auto" w:sz="4" w:space="0"/>
        </w:pBdr>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rFonts w:hint="eastAsia" w:ascii="宋体" w:hAnsi="宋体" w:eastAsia="宋体" w:cs="宋体"/>
          <w:b w:val="0"/>
          <w:bCs/>
          <w:color w:val="auto"/>
          <w:sz w:val="24"/>
          <w:szCs w:val="24"/>
          <w:highlight w:val="none"/>
        </w:rPr>
      </w:pPr>
      <w:r>
        <w:rPr>
          <w:rFonts w:hint="eastAsia" w:ascii="宋体" w:hAnsi="宋体" w:eastAsia="宋体" w:cs="宋体"/>
          <w:color w:val="auto"/>
          <w:sz w:val="24"/>
          <w:szCs w:val="21"/>
          <w:highlight w:val="none"/>
        </w:rPr>
        <w:t>现文：</w:t>
      </w:r>
      <w:r>
        <w:rPr>
          <w:rFonts w:hint="eastAsia" w:ascii="宋体" w:hAnsi="宋体" w:eastAsia="宋体" w:cs="宋体"/>
          <w:color w:val="auto"/>
          <w:sz w:val="24"/>
          <w:szCs w:val="24"/>
          <w:highlight w:val="none"/>
        </w:rPr>
        <w:t>3.1.1  评标委员会可以要求投标人提交第二章“投标人须知”规定的有关证明和证件的原件，以便核验。评标委员会依据本章第2.1款规定的标准对投标文件</w:t>
      </w:r>
      <w:r>
        <w:rPr>
          <w:rFonts w:hint="eastAsia" w:ascii="宋体" w:hAnsi="宋体" w:cs="宋体"/>
          <w:color w:val="auto"/>
          <w:sz w:val="24"/>
          <w:szCs w:val="24"/>
          <w:highlight w:val="none"/>
          <w:u w:val="single"/>
          <w:lang w:eastAsia="zh-CN"/>
        </w:rPr>
        <w:t>（评标部分）</w:t>
      </w:r>
      <w:r>
        <w:rPr>
          <w:rFonts w:hint="eastAsia" w:ascii="宋体" w:hAnsi="宋体" w:eastAsia="宋体" w:cs="宋体"/>
          <w:color w:val="auto"/>
          <w:sz w:val="24"/>
          <w:szCs w:val="24"/>
          <w:highlight w:val="none"/>
        </w:rPr>
        <w:t>进行初步评审。有一项不符合评审标准的，评标委员会应当否决其投标。</w:t>
      </w:r>
      <w:r>
        <w:rPr>
          <w:rFonts w:hint="eastAsia" w:ascii="宋体" w:hAnsi="宋体" w:eastAsia="宋体" w:cs="宋体"/>
          <w:b w:val="0"/>
          <w:bCs/>
          <w:sz w:val="24"/>
          <w:szCs w:val="24"/>
          <w:highlight w:val="none"/>
          <w:u w:val="single"/>
        </w:rPr>
        <w:t>评委发现投标文件</w:t>
      </w:r>
      <w:r>
        <w:rPr>
          <w:rFonts w:hint="eastAsia" w:ascii="宋体" w:hAnsi="宋体" w:cs="宋体"/>
          <w:color w:val="auto"/>
          <w:sz w:val="24"/>
          <w:szCs w:val="24"/>
          <w:highlight w:val="none"/>
          <w:u w:val="single"/>
          <w:lang w:eastAsia="zh-CN"/>
        </w:rPr>
        <w:t>（评标部分）</w:t>
      </w:r>
      <w:r>
        <w:rPr>
          <w:rFonts w:hint="eastAsia" w:ascii="宋体" w:hAnsi="宋体" w:eastAsia="宋体" w:cs="宋体"/>
          <w:b w:val="0"/>
          <w:bCs/>
          <w:sz w:val="24"/>
          <w:szCs w:val="24"/>
          <w:highlight w:val="none"/>
          <w:u w:val="single"/>
        </w:rPr>
        <w:t>中含义不明确、对同类问题表述不一致、有明显文字和计算错误的，应当要求投标人作必要的澄清、说明后再判定投标人是否通过初步评审，不得直接认定其不通过初步评审。</w:t>
      </w:r>
    </w:p>
    <w:p w14:paraId="2E818C71">
      <w:pPr>
        <w:pBdr>
          <w:top w:val="none" w:color="auto" w:sz="0" w:space="0"/>
          <w:left w:val="none" w:color="auto" w:sz="0" w:space="0"/>
          <w:bottom w:val="none" w:color="auto" w:sz="0" w:space="1"/>
          <w:right w:val="none" w:color="auto" w:sz="0" w:space="0"/>
          <w:between w:val="none" w:color="auto" w:sz="0" w:space="0"/>
        </w:pBdr>
        <w:spacing w:line="360" w:lineRule="auto"/>
        <w:ind w:firstLine="540" w:firstLineChars="224"/>
        <w:rPr>
          <w:rFonts w:hint="eastAsia" w:ascii="宋体" w:hAnsi="宋体" w:eastAsia="宋体" w:cs="宋体"/>
          <w:b/>
          <w:bCs/>
          <w:color w:val="auto"/>
          <w:sz w:val="24"/>
          <w:szCs w:val="21"/>
          <w:highlight w:val="none"/>
        </w:rPr>
      </w:pPr>
      <w:r>
        <w:rPr>
          <w:rFonts w:hint="eastAsia" w:ascii="宋体" w:hAnsi="宋体" w:eastAsia="宋体" w:cs="宋体"/>
          <w:b/>
          <w:bCs/>
          <w:color w:val="auto"/>
          <w:sz w:val="24"/>
          <w:szCs w:val="21"/>
          <w:highlight w:val="none"/>
        </w:rPr>
        <w:t>条款号：</w:t>
      </w:r>
      <w:r>
        <w:rPr>
          <w:rFonts w:hint="eastAsia" w:ascii="宋体" w:hAnsi="宋体" w:eastAsia="宋体" w:cs="宋体"/>
          <w:b/>
          <w:bCs/>
          <w:highlight w:val="none"/>
        </w:rPr>
        <w:t>3.1</w:t>
      </w:r>
      <w:r>
        <w:rPr>
          <w:rFonts w:hint="eastAsia" w:ascii="宋体" w:hAnsi="宋体" w:eastAsia="宋体" w:cs="宋体"/>
          <w:b/>
          <w:bCs/>
          <w:highlight w:val="none"/>
          <w:lang w:val="en-US" w:eastAsia="zh-CN"/>
        </w:rPr>
        <w:t>.2</w:t>
      </w:r>
      <w:r>
        <w:rPr>
          <w:rFonts w:hint="eastAsia" w:ascii="宋体" w:hAnsi="宋体" w:eastAsia="宋体" w:cs="宋体"/>
          <w:b/>
          <w:bCs/>
          <w:color w:val="auto"/>
          <w:sz w:val="24"/>
          <w:szCs w:val="21"/>
          <w:highlight w:val="none"/>
        </w:rPr>
        <w:t xml:space="preserve">    </w:t>
      </w:r>
      <w:r>
        <w:rPr>
          <w:rFonts w:hint="eastAsia" w:ascii="宋体" w:hAnsi="宋体" w:eastAsia="宋体" w:cs="宋体"/>
          <w:b/>
          <w:bCs/>
          <w:color w:val="auto"/>
          <w:sz w:val="24"/>
          <w:szCs w:val="21"/>
          <w:highlight w:val="none"/>
          <w:lang w:val="en-US" w:eastAsia="zh-CN"/>
        </w:rPr>
        <w:t xml:space="preserve">              </w:t>
      </w:r>
      <w:r>
        <w:rPr>
          <w:rFonts w:hint="eastAsia" w:ascii="宋体" w:hAnsi="宋体" w:eastAsia="宋体" w:cs="宋体"/>
          <w:b/>
          <w:bCs/>
          <w:color w:val="auto"/>
          <w:sz w:val="24"/>
          <w:szCs w:val="21"/>
          <w:highlight w:val="none"/>
        </w:rPr>
        <w:t xml:space="preserve">    修改类型：修改</w:t>
      </w:r>
    </w:p>
    <w:p w14:paraId="5AC0C0D1">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1"/>
          <w:highlight w:val="none"/>
          <w:lang w:eastAsia="zh-CN"/>
        </w:rPr>
        <w:t>原文：</w:t>
      </w:r>
      <w:r>
        <w:rPr>
          <w:rFonts w:hint="eastAsia" w:ascii="宋体" w:hAnsi="宋体" w:eastAsia="宋体" w:cs="宋体"/>
          <w:color w:val="auto"/>
          <w:sz w:val="24"/>
          <w:szCs w:val="24"/>
          <w:highlight w:val="none"/>
        </w:rPr>
        <w:t>3.1.2 投标人有以下情形之一的，评标委员会应当否决其投标：</w:t>
      </w:r>
    </w:p>
    <w:p w14:paraId="7C49E94E">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（1）投标文件没有对招标文件的实质性要求和条件作出响应，或者对招标文件的偏差超出招标文件规定的偏差范围或最高项数；</w:t>
      </w:r>
    </w:p>
    <w:p w14:paraId="3D6D6B4A">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（2）有串通投标、弄虚作假、行贿等违法行为。</w:t>
      </w:r>
    </w:p>
    <w:p w14:paraId="3164C326">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rFonts w:hint="eastAsia" w:ascii="宋体" w:hAnsi="宋体" w:eastAsia="宋体" w:cs="宋体"/>
          <w:strike w:val="0"/>
          <w:color w:val="auto"/>
          <w:sz w:val="24"/>
          <w:szCs w:val="21"/>
          <w:highlight w:val="none"/>
          <w:lang w:eastAsia="zh-CN"/>
        </w:rPr>
      </w:pPr>
      <w:r>
        <w:rPr>
          <w:rFonts w:hint="eastAsia" w:ascii="宋体" w:hAnsi="宋体" w:eastAsia="宋体" w:cs="宋体"/>
          <w:strike w:val="0"/>
          <w:color w:val="auto"/>
          <w:sz w:val="24"/>
          <w:szCs w:val="24"/>
          <w:highlight w:val="none"/>
          <w:lang w:eastAsia="zh-CN"/>
        </w:rPr>
        <w:t>（</w:t>
      </w:r>
      <w:r>
        <w:rPr>
          <w:rFonts w:hint="eastAsia" w:ascii="宋体" w:hAnsi="宋体" w:eastAsia="宋体" w:cs="宋体"/>
          <w:strike w:val="0"/>
          <w:color w:val="auto"/>
          <w:sz w:val="24"/>
          <w:szCs w:val="24"/>
          <w:highlight w:val="none"/>
          <w:lang w:val="en-US" w:eastAsia="zh-CN"/>
        </w:rPr>
        <w:t>3</w:t>
      </w:r>
      <w:r>
        <w:rPr>
          <w:rFonts w:hint="eastAsia" w:ascii="宋体" w:hAnsi="宋体" w:eastAsia="宋体" w:cs="宋体"/>
          <w:strike w:val="0"/>
          <w:color w:val="auto"/>
          <w:sz w:val="24"/>
          <w:szCs w:val="24"/>
          <w:highlight w:val="none"/>
          <w:lang w:eastAsia="zh-CN"/>
        </w:rPr>
        <w:t>）两个（含两个）以上</w:t>
      </w:r>
      <w:r>
        <w:rPr>
          <w:rFonts w:hint="eastAsia" w:ascii="宋体" w:hAnsi="宋体" w:eastAsia="宋体" w:cs="宋体"/>
          <w:strike w:val="0"/>
          <w:color w:val="auto"/>
          <w:sz w:val="24"/>
          <w:szCs w:val="24"/>
          <w:highlight w:val="none"/>
        </w:rPr>
        <w:t>投标人加密打包投标文件</w:t>
      </w:r>
      <w:r>
        <w:rPr>
          <w:rFonts w:hint="eastAsia" w:ascii="宋体" w:hAnsi="宋体" w:eastAsia="宋体" w:cs="宋体"/>
          <w:strike w:val="0"/>
          <w:color w:val="auto"/>
          <w:sz w:val="24"/>
          <w:szCs w:val="24"/>
          <w:highlight w:val="none"/>
          <w:lang w:eastAsia="zh-CN"/>
        </w:rPr>
        <w:t>工程量清单编制</w:t>
      </w:r>
      <w:r>
        <w:rPr>
          <w:rFonts w:hint="eastAsia" w:ascii="宋体" w:hAnsi="宋体" w:eastAsia="宋体" w:cs="宋体"/>
          <w:strike w:val="0"/>
          <w:color w:val="auto"/>
          <w:sz w:val="24"/>
          <w:szCs w:val="24"/>
          <w:highlight w:val="none"/>
        </w:rPr>
        <w:t>机器</w:t>
      </w:r>
      <w:r>
        <w:rPr>
          <w:rFonts w:hint="eastAsia" w:ascii="宋体" w:hAnsi="宋体" w:eastAsia="宋体" w:cs="宋体"/>
          <w:strike w:val="0"/>
          <w:color w:val="auto"/>
          <w:sz w:val="24"/>
          <w:szCs w:val="24"/>
          <w:highlight w:val="none"/>
          <w:lang w:eastAsia="zh-CN"/>
        </w:rPr>
        <w:t>硬件信息</w:t>
      </w:r>
      <w:r>
        <w:rPr>
          <w:rFonts w:hint="eastAsia" w:ascii="宋体" w:hAnsi="宋体" w:eastAsia="宋体" w:cs="宋体"/>
          <w:strike w:val="0"/>
          <w:color w:val="auto"/>
          <w:sz w:val="24"/>
          <w:szCs w:val="24"/>
          <w:highlight w:val="none"/>
        </w:rPr>
        <w:t>一致的</w:t>
      </w:r>
      <w:r>
        <w:rPr>
          <w:rFonts w:hint="eastAsia" w:ascii="宋体" w:hAnsi="宋体" w:eastAsia="宋体" w:cs="宋体"/>
          <w:strike w:val="0"/>
          <w:color w:val="auto"/>
          <w:sz w:val="24"/>
          <w:szCs w:val="24"/>
          <w:highlight w:val="none"/>
          <w:lang w:eastAsia="zh-CN"/>
        </w:rPr>
        <w:t>。</w:t>
      </w:r>
    </w:p>
    <w:p w14:paraId="7FE615A2">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1"/>
          <w:highlight w:val="none"/>
          <w:lang w:eastAsia="zh-CN"/>
        </w:rPr>
        <w:t>现文：</w:t>
      </w:r>
      <w:r>
        <w:rPr>
          <w:rFonts w:hint="eastAsia" w:ascii="宋体" w:hAnsi="宋体" w:eastAsia="宋体" w:cs="宋体"/>
          <w:color w:val="auto"/>
          <w:sz w:val="24"/>
          <w:szCs w:val="24"/>
          <w:highlight w:val="none"/>
        </w:rPr>
        <w:t>3.1.2 投标人有以下情形之一的，评标委员会应当否决其投标：</w:t>
      </w:r>
    </w:p>
    <w:p w14:paraId="1169DF93">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（1）投标文件</w:t>
      </w:r>
      <w:r>
        <w:rPr>
          <w:rFonts w:hint="eastAsia" w:ascii="宋体" w:hAnsi="宋体" w:cs="宋体"/>
          <w:color w:val="auto"/>
          <w:sz w:val="24"/>
          <w:szCs w:val="24"/>
          <w:highlight w:val="none"/>
          <w:u w:val="single"/>
          <w:lang w:eastAsia="zh-CN"/>
        </w:rPr>
        <w:t>（评标部分）</w:t>
      </w:r>
      <w:r>
        <w:rPr>
          <w:rFonts w:hint="eastAsia" w:ascii="宋体" w:hAnsi="宋体" w:eastAsia="宋体" w:cs="宋体"/>
          <w:color w:val="auto"/>
          <w:sz w:val="24"/>
          <w:szCs w:val="24"/>
          <w:highlight w:val="none"/>
        </w:rPr>
        <w:t>没有对招标文件的实质性要求和条件作出响应，或者对招标文件的偏差超出招标文件规定的偏差范围或最高项数；</w:t>
      </w:r>
    </w:p>
    <w:p w14:paraId="4E93AC45">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（2）有串通投标、弄虚作假、行贿等违法行为。</w:t>
      </w:r>
    </w:p>
    <w:p w14:paraId="14F76EA5">
      <w:pPr>
        <w:pStyle w:val="12"/>
        <w:pBdr>
          <w:bottom w:val="single" w:color="auto" w:sz="4" w:space="0"/>
        </w:pBdr>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rFonts w:hint="eastAsia" w:ascii="宋体" w:hAnsi="宋体" w:eastAsia="宋体" w:cs="宋体"/>
          <w:strike/>
          <w:color w:val="auto"/>
          <w:sz w:val="24"/>
          <w:szCs w:val="24"/>
          <w:highlight w:val="none"/>
          <w:lang w:eastAsia="zh-CN"/>
        </w:rPr>
      </w:pPr>
      <w:r>
        <w:rPr>
          <w:rFonts w:hint="eastAsia" w:ascii="宋体" w:hAnsi="宋体" w:eastAsia="宋体" w:cs="宋体"/>
          <w:strike/>
          <w:color w:val="auto"/>
          <w:sz w:val="24"/>
          <w:szCs w:val="24"/>
          <w:highlight w:val="none"/>
          <w:lang w:eastAsia="zh-CN"/>
        </w:rPr>
        <w:t>（</w:t>
      </w:r>
      <w:r>
        <w:rPr>
          <w:rFonts w:hint="eastAsia" w:ascii="宋体" w:hAnsi="宋体" w:eastAsia="宋体" w:cs="宋体"/>
          <w:strike/>
          <w:color w:val="auto"/>
          <w:sz w:val="24"/>
          <w:szCs w:val="24"/>
          <w:highlight w:val="none"/>
          <w:lang w:val="en-US" w:eastAsia="zh-CN"/>
        </w:rPr>
        <w:t>3</w:t>
      </w:r>
      <w:r>
        <w:rPr>
          <w:rFonts w:hint="eastAsia" w:ascii="宋体" w:hAnsi="宋体" w:eastAsia="宋体" w:cs="宋体"/>
          <w:strike/>
          <w:color w:val="auto"/>
          <w:sz w:val="24"/>
          <w:szCs w:val="24"/>
          <w:highlight w:val="none"/>
          <w:lang w:eastAsia="zh-CN"/>
        </w:rPr>
        <w:t>）两个（含两个）以上</w:t>
      </w:r>
      <w:r>
        <w:rPr>
          <w:rFonts w:hint="eastAsia" w:ascii="宋体" w:hAnsi="宋体" w:eastAsia="宋体" w:cs="宋体"/>
          <w:strike/>
          <w:color w:val="auto"/>
          <w:sz w:val="24"/>
          <w:szCs w:val="24"/>
          <w:highlight w:val="none"/>
        </w:rPr>
        <w:t>投标人加密打包投标文件</w:t>
      </w:r>
      <w:r>
        <w:rPr>
          <w:rFonts w:hint="eastAsia" w:ascii="宋体" w:hAnsi="宋体" w:eastAsia="宋体" w:cs="宋体"/>
          <w:strike/>
          <w:color w:val="auto"/>
          <w:sz w:val="24"/>
          <w:szCs w:val="24"/>
          <w:highlight w:val="none"/>
          <w:lang w:eastAsia="zh-CN"/>
        </w:rPr>
        <w:t>工程量清单编制</w:t>
      </w:r>
      <w:r>
        <w:rPr>
          <w:rFonts w:hint="eastAsia" w:ascii="宋体" w:hAnsi="宋体" w:eastAsia="宋体" w:cs="宋体"/>
          <w:strike/>
          <w:color w:val="auto"/>
          <w:sz w:val="24"/>
          <w:szCs w:val="24"/>
          <w:highlight w:val="none"/>
        </w:rPr>
        <w:t>机器</w:t>
      </w:r>
      <w:r>
        <w:rPr>
          <w:rFonts w:hint="eastAsia" w:ascii="宋体" w:hAnsi="宋体" w:eastAsia="宋体" w:cs="宋体"/>
          <w:strike/>
          <w:color w:val="auto"/>
          <w:sz w:val="24"/>
          <w:szCs w:val="24"/>
          <w:highlight w:val="none"/>
          <w:lang w:eastAsia="zh-CN"/>
        </w:rPr>
        <w:t>硬件信息</w:t>
      </w:r>
      <w:r>
        <w:rPr>
          <w:rFonts w:hint="eastAsia" w:ascii="宋体" w:hAnsi="宋体" w:eastAsia="宋体" w:cs="宋体"/>
          <w:strike/>
          <w:color w:val="auto"/>
          <w:sz w:val="24"/>
          <w:szCs w:val="24"/>
          <w:highlight w:val="none"/>
        </w:rPr>
        <w:t>一致的</w:t>
      </w:r>
      <w:r>
        <w:rPr>
          <w:rFonts w:hint="eastAsia" w:ascii="宋体" w:hAnsi="宋体" w:eastAsia="宋体" w:cs="宋体"/>
          <w:strike/>
          <w:color w:val="auto"/>
          <w:sz w:val="24"/>
          <w:szCs w:val="24"/>
          <w:highlight w:val="none"/>
          <w:lang w:eastAsia="zh-CN"/>
        </w:rPr>
        <w:t>。</w:t>
      </w:r>
    </w:p>
    <w:p w14:paraId="5C990876">
      <w:pPr>
        <w:pStyle w:val="12"/>
        <w:pBdr>
          <w:bottom w:val="none" w:color="auto" w:sz="0" w:space="0"/>
        </w:pBdr>
        <w:tabs>
          <w:tab w:val="left" w:pos="1343"/>
          <w:tab w:val="left" w:pos="2697"/>
          <w:tab w:val="left" w:pos="3264"/>
          <w:tab w:val="left" w:pos="4896"/>
          <w:tab w:val="left" w:pos="6005"/>
          <w:tab w:val="left" w:pos="7085"/>
          <w:tab w:val="left" w:pos="7498"/>
        </w:tabs>
        <w:kinsoku w:val="0"/>
        <w:overflowPunct w:val="0"/>
        <w:spacing w:line="360" w:lineRule="auto"/>
        <w:ind w:left="0" w:firstLine="482" w:firstLineChars="200"/>
        <w:jc w:val="both"/>
        <w:rPr>
          <w:rFonts w:hint="eastAsia" w:cs="宋体"/>
          <w:b/>
          <w:bCs/>
          <w:color w:val="auto"/>
          <w:sz w:val="24"/>
          <w:szCs w:val="21"/>
          <w:highlight w:val="none"/>
          <w:lang w:val="en-US" w:eastAsia="zh-CN"/>
        </w:rPr>
      </w:pPr>
      <w:r>
        <w:rPr>
          <w:rFonts w:hint="eastAsia" w:ascii="宋体" w:hAnsi="宋体" w:eastAsia="宋体" w:cs="宋体"/>
          <w:b/>
          <w:bCs/>
          <w:color w:val="auto"/>
          <w:sz w:val="24"/>
          <w:szCs w:val="21"/>
          <w:highlight w:val="none"/>
        </w:rPr>
        <w:t>条款号：3.1</w:t>
      </w:r>
      <w:r>
        <w:rPr>
          <w:rFonts w:hint="eastAsia" w:ascii="宋体" w:hAnsi="宋体" w:eastAsia="宋体" w:cs="宋体"/>
          <w:b/>
          <w:bCs/>
          <w:color w:val="auto"/>
          <w:sz w:val="24"/>
          <w:szCs w:val="21"/>
          <w:highlight w:val="none"/>
          <w:lang w:val="en-US" w:eastAsia="zh-CN"/>
        </w:rPr>
        <w:t>.</w:t>
      </w:r>
      <w:r>
        <w:rPr>
          <w:rFonts w:hint="eastAsia" w:cs="宋体"/>
          <w:b/>
          <w:bCs/>
          <w:color w:val="auto"/>
          <w:sz w:val="24"/>
          <w:szCs w:val="21"/>
          <w:highlight w:val="none"/>
          <w:lang w:val="en-US" w:eastAsia="zh-CN"/>
        </w:rPr>
        <w:t>3</w:t>
      </w:r>
      <w:r>
        <w:rPr>
          <w:rFonts w:hint="eastAsia" w:ascii="宋体" w:hAnsi="宋体" w:eastAsia="宋体" w:cs="宋体"/>
          <w:b/>
          <w:bCs/>
          <w:color w:val="auto"/>
          <w:sz w:val="24"/>
          <w:szCs w:val="21"/>
          <w:highlight w:val="none"/>
        </w:rPr>
        <w:t xml:space="preserve">    </w:t>
      </w:r>
      <w:r>
        <w:rPr>
          <w:rFonts w:hint="eastAsia" w:ascii="宋体" w:hAnsi="宋体" w:eastAsia="宋体" w:cs="宋体"/>
          <w:b/>
          <w:bCs/>
          <w:color w:val="auto"/>
          <w:sz w:val="24"/>
          <w:szCs w:val="21"/>
          <w:highlight w:val="none"/>
          <w:lang w:val="en-US" w:eastAsia="zh-CN"/>
        </w:rPr>
        <w:t xml:space="preserve">              </w:t>
      </w:r>
      <w:r>
        <w:rPr>
          <w:rFonts w:hint="eastAsia" w:ascii="宋体" w:hAnsi="宋体" w:eastAsia="宋体" w:cs="宋体"/>
          <w:b/>
          <w:bCs/>
          <w:color w:val="auto"/>
          <w:sz w:val="24"/>
          <w:szCs w:val="21"/>
          <w:highlight w:val="none"/>
        </w:rPr>
        <w:t xml:space="preserve">    修改类型：</w:t>
      </w:r>
      <w:r>
        <w:rPr>
          <w:rFonts w:hint="eastAsia" w:cs="宋体"/>
          <w:b/>
          <w:bCs/>
          <w:color w:val="auto"/>
          <w:sz w:val="24"/>
          <w:szCs w:val="21"/>
          <w:highlight w:val="none"/>
          <w:lang w:val="en-US" w:eastAsia="zh-CN"/>
        </w:rPr>
        <w:t>修改</w:t>
      </w:r>
    </w:p>
    <w:p w14:paraId="3673D7C2">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2" w:firstLineChars="200"/>
        <w:jc w:val="both"/>
        <w:rPr>
          <w:rFonts w:hint="eastAsia" w:cs="宋体"/>
          <w:color w:val="auto"/>
          <w:sz w:val="24"/>
          <w:szCs w:val="24"/>
          <w:highlight w:val="none"/>
        </w:rPr>
      </w:pPr>
      <w:r>
        <w:rPr>
          <w:rFonts w:hint="eastAsia" w:cs="宋体"/>
          <w:b/>
          <w:bCs/>
          <w:color w:val="auto"/>
          <w:sz w:val="24"/>
          <w:szCs w:val="21"/>
          <w:highlight w:val="none"/>
          <w:lang w:val="en-US" w:eastAsia="zh-CN"/>
        </w:rPr>
        <w:t>原文：</w:t>
      </w:r>
      <w:r>
        <w:rPr>
          <w:rFonts w:hint="eastAsia" w:cs="宋体"/>
          <w:color w:val="auto"/>
          <w:sz w:val="24"/>
          <w:szCs w:val="24"/>
          <w:highlight w:val="none"/>
        </w:rPr>
        <w:t>3.1.3 投标报价有算术错误及其他错误的，评标委员会按以下原则要求投标人对投标报价进行修正，并要求投标人书面澄清确认。投标人拒不澄清确认的，评标委员会应当否决其投标：</w:t>
      </w:r>
    </w:p>
    <w:p w14:paraId="1D8A670B">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（1）投标文件中的大写金额与小写金额不一致的，以大写金额为准；</w:t>
      </w:r>
    </w:p>
    <w:p w14:paraId="0342E42B">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（2）总价金额与单价金额不一致的，以单价金额为准，但单价金额小数点有明显错误的除外。</w:t>
      </w:r>
    </w:p>
    <w:p w14:paraId="70B4FBB0">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2" w:firstLineChars="200"/>
        <w:jc w:val="both"/>
        <w:rPr>
          <w:rFonts w:hint="eastAsia" w:cs="宋体"/>
          <w:color w:val="auto"/>
          <w:sz w:val="24"/>
          <w:szCs w:val="24"/>
          <w:highlight w:val="none"/>
        </w:rPr>
      </w:pPr>
      <w:r>
        <w:rPr>
          <w:rFonts w:hint="eastAsia" w:cs="宋体"/>
          <w:b/>
          <w:bCs/>
          <w:color w:val="auto"/>
          <w:sz w:val="24"/>
          <w:szCs w:val="21"/>
          <w:highlight w:val="none"/>
          <w:lang w:val="en-US" w:eastAsia="zh-CN"/>
        </w:rPr>
        <w:t>现文：</w:t>
      </w:r>
      <w:r>
        <w:rPr>
          <w:rFonts w:hint="eastAsia" w:cs="宋体"/>
          <w:color w:val="auto"/>
          <w:sz w:val="24"/>
          <w:szCs w:val="24"/>
          <w:highlight w:val="none"/>
        </w:rPr>
        <w:t>3.1.3 投标报价有算术错误及其他错误的，评标委员会按以下原则要求投标人对投标报价进行修正，并要求投标人书面澄清确认。投标人拒不澄清确认的，评标委员会应当否决其投标：</w:t>
      </w:r>
    </w:p>
    <w:p w14:paraId="5B4EBFDC">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（1）投标文件中的大写金额与小写金额不一致的，以大写金额为准；</w:t>
      </w:r>
    </w:p>
    <w:p w14:paraId="6E6BF00F">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（2）总价金额与单价金额不一致的，以单价金额为准，但单价金额小数点有明显错误的除外。</w:t>
      </w:r>
    </w:p>
    <w:p w14:paraId="7DB463FA">
      <w:pPr>
        <w:pStyle w:val="12"/>
        <w:pBdr>
          <w:bottom w:val="single" w:color="auto" w:sz="4" w:space="0"/>
        </w:pBdr>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rFonts w:hint="eastAsia" w:ascii="宋体" w:hAnsi="宋体" w:eastAsia="宋体" w:cs="宋体"/>
          <w:strike/>
          <w:color w:val="auto"/>
          <w:sz w:val="24"/>
          <w:szCs w:val="24"/>
          <w:highlight w:val="none"/>
          <w:u w:val="single"/>
          <w:lang w:eastAsia="zh-CN"/>
        </w:rPr>
      </w:pPr>
      <w:r>
        <w:rPr>
          <w:rFonts w:hint="eastAsia" w:cs="宋体"/>
          <w:color w:val="auto"/>
          <w:sz w:val="24"/>
          <w:szCs w:val="24"/>
          <w:highlight w:val="none"/>
          <w:u w:val="single"/>
          <w:lang w:eastAsia="zh-CN"/>
        </w:rPr>
        <w:t>（</w:t>
      </w:r>
      <w:r>
        <w:rPr>
          <w:rFonts w:hint="eastAsia" w:cs="宋体"/>
          <w:color w:val="auto"/>
          <w:sz w:val="24"/>
          <w:szCs w:val="24"/>
          <w:highlight w:val="none"/>
          <w:u w:val="single"/>
          <w:lang w:val="en-US" w:eastAsia="zh-CN"/>
        </w:rPr>
        <w:t>3</w:t>
      </w:r>
      <w:r>
        <w:rPr>
          <w:rFonts w:hint="eastAsia" w:cs="宋体"/>
          <w:color w:val="auto"/>
          <w:sz w:val="24"/>
          <w:szCs w:val="24"/>
          <w:highlight w:val="none"/>
          <w:u w:val="single"/>
          <w:lang w:eastAsia="zh-CN"/>
        </w:rPr>
        <w:t>）</w:t>
      </w:r>
      <w:r>
        <w:rPr>
          <w:rFonts w:hint="eastAsia" w:ascii="宋体" w:hAnsi="宋体" w:cs="宋体"/>
          <w:strike w:val="0"/>
          <w:color w:val="auto"/>
          <w:sz w:val="24"/>
          <w:szCs w:val="24"/>
          <w:highlight w:val="none"/>
          <w:u w:val="single"/>
        </w:rPr>
        <w:t>投标报价与投标下浮率不符时，以投标下浮率为准</w:t>
      </w:r>
      <w:r>
        <w:rPr>
          <w:rFonts w:hint="eastAsia" w:ascii="宋体" w:hAnsi="宋体" w:cs="宋体"/>
          <w:strike w:val="0"/>
          <w:color w:val="auto"/>
          <w:sz w:val="24"/>
          <w:szCs w:val="24"/>
          <w:highlight w:val="none"/>
          <w:u w:val="single"/>
          <w:lang w:eastAsia="zh-CN"/>
        </w:rPr>
        <w:t>修正总价</w:t>
      </w:r>
      <w:r>
        <w:rPr>
          <w:rFonts w:hint="eastAsia" w:ascii="宋体" w:hAnsi="宋体" w:cs="宋体"/>
          <w:strike w:val="0"/>
          <w:color w:val="auto"/>
          <w:sz w:val="24"/>
          <w:szCs w:val="24"/>
          <w:highlight w:val="none"/>
          <w:u w:val="single"/>
        </w:rPr>
        <w:t>。</w:t>
      </w:r>
    </w:p>
    <w:p w14:paraId="13020878">
      <w:pPr>
        <w:pBdr>
          <w:top w:val="none" w:color="auto" w:sz="0" w:space="0"/>
          <w:left w:val="none" w:color="auto" w:sz="0" w:space="0"/>
          <w:bottom w:val="none" w:color="auto" w:sz="0" w:space="1"/>
          <w:right w:val="none" w:color="auto" w:sz="0" w:space="0"/>
          <w:between w:val="none" w:color="auto" w:sz="0" w:space="0"/>
        </w:pBdr>
        <w:spacing w:line="360" w:lineRule="auto"/>
        <w:ind w:firstLine="540" w:firstLineChars="224"/>
        <w:rPr>
          <w:rFonts w:hint="eastAsia" w:ascii="宋体" w:hAnsi="宋体" w:eastAsia="宋体" w:cs="宋体"/>
          <w:color w:val="auto"/>
          <w:sz w:val="24"/>
          <w:szCs w:val="21"/>
          <w:highlight w:val="none"/>
          <w:lang w:eastAsia="zh-CN"/>
        </w:rPr>
      </w:pPr>
      <w:r>
        <w:rPr>
          <w:rFonts w:hint="eastAsia" w:ascii="宋体" w:hAnsi="宋体" w:eastAsia="宋体" w:cs="宋体"/>
          <w:b/>
          <w:bCs/>
          <w:color w:val="auto"/>
          <w:sz w:val="24"/>
          <w:szCs w:val="21"/>
          <w:highlight w:val="none"/>
        </w:rPr>
        <w:t>条款号：</w:t>
      </w:r>
      <w:r>
        <w:rPr>
          <w:rFonts w:hint="eastAsia" w:ascii="宋体" w:hAnsi="宋体" w:eastAsia="宋体" w:cs="宋体"/>
          <w:b/>
          <w:bCs/>
          <w:highlight w:val="none"/>
        </w:rPr>
        <w:t>3.1</w:t>
      </w:r>
      <w:r>
        <w:rPr>
          <w:rFonts w:hint="eastAsia" w:ascii="宋体" w:hAnsi="宋体" w:eastAsia="宋体" w:cs="宋体"/>
          <w:b/>
          <w:bCs/>
          <w:highlight w:val="none"/>
          <w:lang w:val="en-US" w:eastAsia="zh-CN"/>
        </w:rPr>
        <w:t>.4</w:t>
      </w:r>
      <w:r>
        <w:rPr>
          <w:rFonts w:hint="eastAsia" w:ascii="宋体" w:hAnsi="宋体" w:eastAsia="宋体" w:cs="宋体"/>
          <w:b/>
          <w:bCs/>
          <w:color w:val="auto"/>
          <w:sz w:val="24"/>
          <w:szCs w:val="21"/>
          <w:highlight w:val="none"/>
        </w:rPr>
        <w:t xml:space="preserve">    </w:t>
      </w:r>
      <w:r>
        <w:rPr>
          <w:rFonts w:hint="eastAsia" w:ascii="宋体" w:hAnsi="宋体" w:eastAsia="宋体" w:cs="宋体"/>
          <w:b/>
          <w:bCs/>
          <w:color w:val="auto"/>
          <w:sz w:val="24"/>
          <w:szCs w:val="21"/>
          <w:highlight w:val="none"/>
          <w:lang w:val="en-US" w:eastAsia="zh-CN"/>
        </w:rPr>
        <w:t xml:space="preserve">              </w:t>
      </w:r>
      <w:r>
        <w:rPr>
          <w:rFonts w:hint="eastAsia" w:ascii="宋体" w:hAnsi="宋体" w:eastAsia="宋体" w:cs="宋体"/>
          <w:b/>
          <w:bCs/>
          <w:color w:val="auto"/>
          <w:sz w:val="24"/>
          <w:szCs w:val="21"/>
          <w:highlight w:val="none"/>
        </w:rPr>
        <w:t xml:space="preserve">    修改类型：</w:t>
      </w:r>
      <w:r>
        <w:rPr>
          <w:rFonts w:hint="eastAsia" w:ascii="宋体" w:hAnsi="宋体" w:eastAsia="宋体" w:cs="宋体"/>
          <w:b/>
          <w:bCs/>
          <w:color w:val="auto"/>
          <w:sz w:val="24"/>
          <w:szCs w:val="21"/>
          <w:highlight w:val="none"/>
          <w:lang w:eastAsia="zh-CN"/>
        </w:rPr>
        <w:t>增加</w:t>
      </w:r>
    </w:p>
    <w:p w14:paraId="4A7E6541">
      <w:pPr>
        <w:pBdr>
          <w:bottom w:val="single" w:color="auto" w:sz="4" w:space="0"/>
        </w:pBdr>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1"/>
          <w:highlight w:val="none"/>
          <w:lang w:eastAsia="zh-CN"/>
        </w:rPr>
        <w:t>现文：</w:t>
      </w:r>
      <w:r>
        <w:rPr>
          <w:rFonts w:hint="eastAsia" w:ascii="宋体" w:hAnsi="宋体" w:eastAsia="宋体" w:cs="宋体"/>
          <w:sz w:val="24"/>
          <w:szCs w:val="24"/>
          <w:highlight w:val="none"/>
          <w:u w:val="single"/>
        </w:rPr>
        <w:t>3.1.4 只有通过初步评审的投标人才能进入下一阶段详细评审。当通过初步评审的有效投标人不足</w:t>
      </w:r>
      <w:r>
        <w:rPr>
          <w:rFonts w:hint="eastAsia" w:ascii="宋体" w:hAnsi="宋体" w:cs="宋体"/>
          <w:sz w:val="24"/>
          <w:szCs w:val="24"/>
          <w:highlight w:val="none"/>
          <w:u w:val="single"/>
          <w:lang w:val="en-US" w:eastAsia="zh-CN"/>
        </w:rPr>
        <w:t>五</w:t>
      </w:r>
      <w:r>
        <w:rPr>
          <w:rFonts w:hint="eastAsia" w:ascii="宋体" w:hAnsi="宋体" w:eastAsia="宋体" w:cs="宋体"/>
          <w:sz w:val="24"/>
          <w:szCs w:val="24"/>
          <w:highlight w:val="none"/>
          <w:u w:val="single"/>
        </w:rPr>
        <w:t>名时，招标人应当依法重新组织招标。在进行资格评审、形式评审、响应性评审过程中，若评委意见不一致时，则按少数服从多数的原则，决定该投标人是否通过相应阶段的评审，进入下一阶段评审。</w:t>
      </w:r>
    </w:p>
    <w:p w14:paraId="3B60B154">
      <w:pPr>
        <w:pBdr>
          <w:top w:val="none" w:color="auto" w:sz="0" w:space="0"/>
          <w:left w:val="none" w:color="auto" w:sz="0" w:space="0"/>
          <w:bottom w:val="none" w:color="auto" w:sz="0" w:space="1"/>
          <w:right w:val="none" w:color="auto" w:sz="0" w:space="0"/>
          <w:between w:val="none" w:color="auto" w:sz="0" w:space="0"/>
        </w:pBdr>
        <w:spacing w:line="360" w:lineRule="auto"/>
        <w:ind w:firstLine="540" w:firstLineChars="224"/>
        <w:rPr>
          <w:rFonts w:hint="eastAsia" w:ascii="宋体" w:hAnsi="宋体" w:eastAsia="宋体" w:cs="宋体"/>
          <w:b/>
          <w:bCs/>
          <w:color w:val="auto"/>
          <w:sz w:val="24"/>
          <w:szCs w:val="21"/>
          <w:highlight w:val="none"/>
          <w:lang w:eastAsia="zh-CN"/>
        </w:rPr>
      </w:pPr>
      <w:r>
        <w:rPr>
          <w:rFonts w:hint="eastAsia" w:ascii="宋体" w:hAnsi="宋体" w:eastAsia="宋体" w:cs="宋体"/>
          <w:b/>
          <w:bCs/>
          <w:color w:val="auto"/>
          <w:sz w:val="24"/>
          <w:szCs w:val="21"/>
          <w:highlight w:val="none"/>
        </w:rPr>
        <w:t>条款号：3.</w:t>
      </w:r>
      <w:r>
        <w:rPr>
          <w:rFonts w:hint="eastAsia" w:ascii="宋体" w:hAnsi="宋体" w:eastAsia="宋体" w:cs="宋体"/>
          <w:b/>
          <w:bCs/>
          <w:color w:val="auto"/>
          <w:sz w:val="24"/>
          <w:szCs w:val="21"/>
          <w:highlight w:val="none"/>
          <w:lang w:val="en-US" w:eastAsia="zh-CN"/>
        </w:rPr>
        <w:t>2</w:t>
      </w:r>
      <w:r>
        <w:rPr>
          <w:rFonts w:hint="eastAsia" w:ascii="宋体" w:hAnsi="宋体" w:eastAsia="宋体" w:cs="宋体"/>
          <w:highlight w:val="none"/>
        </w:rPr>
        <w:t xml:space="preserve"> </w:t>
      </w:r>
      <w:r>
        <w:rPr>
          <w:rFonts w:hint="eastAsia" w:ascii="宋体" w:hAnsi="宋体" w:eastAsia="宋体" w:cs="宋体"/>
          <w:b/>
          <w:bCs/>
          <w:highlight w:val="none"/>
        </w:rPr>
        <w:t>详细评审</w:t>
      </w:r>
      <w:r>
        <w:rPr>
          <w:rFonts w:hint="eastAsia" w:ascii="宋体" w:hAnsi="宋体" w:eastAsia="宋体" w:cs="宋体"/>
          <w:b/>
          <w:bCs/>
          <w:color w:val="auto"/>
          <w:sz w:val="24"/>
          <w:szCs w:val="21"/>
          <w:highlight w:val="none"/>
        </w:rPr>
        <w:t xml:space="preserve">    </w:t>
      </w:r>
      <w:r>
        <w:rPr>
          <w:rFonts w:hint="eastAsia" w:ascii="宋体" w:hAnsi="宋体" w:eastAsia="宋体" w:cs="宋体"/>
          <w:b/>
          <w:bCs/>
          <w:color w:val="auto"/>
          <w:sz w:val="24"/>
          <w:szCs w:val="21"/>
          <w:highlight w:val="none"/>
          <w:lang w:val="en-US" w:eastAsia="zh-CN"/>
        </w:rPr>
        <w:t xml:space="preserve">              </w:t>
      </w:r>
      <w:r>
        <w:rPr>
          <w:rFonts w:hint="eastAsia" w:ascii="宋体" w:hAnsi="宋体" w:eastAsia="宋体" w:cs="宋体"/>
          <w:b/>
          <w:bCs/>
          <w:color w:val="auto"/>
          <w:sz w:val="24"/>
          <w:szCs w:val="21"/>
          <w:highlight w:val="none"/>
        </w:rPr>
        <w:t xml:space="preserve">    修改类型：</w:t>
      </w:r>
      <w:r>
        <w:rPr>
          <w:rFonts w:hint="eastAsia" w:ascii="宋体" w:hAnsi="宋体" w:eastAsia="宋体" w:cs="宋体"/>
          <w:b/>
          <w:bCs/>
          <w:color w:val="auto"/>
          <w:sz w:val="24"/>
          <w:szCs w:val="21"/>
          <w:highlight w:val="none"/>
          <w:lang w:eastAsia="zh-CN"/>
        </w:rPr>
        <w:t>修改</w:t>
      </w:r>
    </w:p>
    <w:p w14:paraId="45303BD3">
      <w:pPr>
        <w:keepNext w:val="0"/>
        <w:keepLines w:val="0"/>
        <w:pageBreakBefore w:val="0"/>
        <w:widowControl w:val="0"/>
        <w:kinsoku/>
        <w:wordWrap/>
        <w:overflowPunct/>
        <w:topLinePunct w:val="0"/>
        <w:autoSpaceDE w:val="0"/>
        <w:autoSpaceDN w:val="0"/>
        <w:bidi w:val="0"/>
        <w:adjustRightInd w:val="0"/>
        <w:snapToGrid/>
        <w:spacing w:line="360" w:lineRule="auto"/>
        <w:ind w:firstLine="241" w:firstLineChars="100"/>
        <w:textAlignment w:val="auto"/>
        <w:rPr>
          <w:rFonts w:hint="eastAsia" w:ascii="宋体" w:hAnsi="宋体" w:eastAsia="宋体" w:cs="宋体"/>
          <w:highlight w:val="none"/>
        </w:rPr>
      </w:pPr>
      <w:r>
        <w:rPr>
          <w:rFonts w:hint="eastAsia" w:ascii="宋体" w:hAnsi="宋体" w:eastAsia="宋体" w:cs="宋体"/>
          <w:b/>
          <w:bCs/>
          <w:color w:val="auto"/>
          <w:sz w:val="24"/>
          <w:szCs w:val="21"/>
          <w:highlight w:val="none"/>
          <w:lang w:eastAsia="zh-CN"/>
        </w:rPr>
        <w:t>原文：</w:t>
      </w:r>
      <w:r>
        <w:rPr>
          <w:rFonts w:hint="eastAsia" w:ascii="宋体" w:hAnsi="宋体" w:eastAsia="宋体" w:cs="宋体"/>
          <w:highlight w:val="none"/>
        </w:rPr>
        <w:t>3.2  详细评审</w:t>
      </w:r>
    </w:p>
    <w:p w14:paraId="4F8E4248">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3.2.1 评标委员会按本章第 2.2 款规定的量化因素和分值进行打分，并计算出综合评估得分。</w:t>
      </w:r>
    </w:p>
    <w:p w14:paraId="2DFE0D27">
      <w:pPr>
        <w:pStyle w:val="12"/>
        <w:tabs>
          <w:tab w:val="left" w:pos="1343"/>
          <w:tab w:val="left" w:pos="2697"/>
          <w:tab w:val="left" w:pos="3264"/>
          <w:tab w:val="left" w:pos="4896"/>
          <w:tab w:val="left" w:pos="6005"/>
          <w:tab w:val="left" w:pos="7085"/>
          <w:tab w:val="left" w:pos="7498"/>
        </w:tabs>
        <w:kinsoku w:val="0"/>
        <w:overflowPunct w:val="0"/>
        <w:spacing w:line="351" w:lineRule="auto"/>
        <w:ind w:left="0" w:right="-240" w:rightChars="-100" w:firstLine="480" w:firstLineChars="200"/>
        <w:jc w:val="both"/>
        <w:rPr>
          <w:rFonts w:hint="eastAsia" w:cs="宋体"/>
          <w:color w:val="auto"/>
          <w:sz w:val="24"/>
          <w:szCs w:val="24"/>
          <w:highlight w:val="none"/>
          <w:u w:val="none"/>
        </w:rPr>
      </w:pPr>
      <w:r>
        <w:rPr>
          <w:rFonts w:hint="eastAsia" w:cs="宋体"/>
          <w:color w:val="auto"/>
          <w:sz w:val="24"/>
          <w:szCs w:val="24"/>
          <w:highlight w:val="none"/>
        </w:rPr>
        <w:t>（1）按本章第2.2.4（1）目规定的评审因素和分值对资信业绩部分计算出得分</w:t>
      </w:r>
      <w:r>
        <w:rPr>
          <w:rFonts w:hint="eastAsia" w:cs="宋体"/>
          <w:color w:val="auto"/>
          <w:sz w:val="24"/>
          <w:szCs w:val="24"/>
          <w:highlight w:val="none"/>
          <w:lang w:val="en-US" w:eastAsia="zh-CN"/>
        </w:rPr>
        <w:t>A，</w:t>
      </w:r>
      <w:r>
        <w:rPr>
          <w:rFonts w:hint="eastAsia" w:cs="宋体"/>
          <w:color w:val="auto"/>
          <w:sz w:val="24"/>
          <w:szCs w:val="24"/>
          <w:highlight w:val="none"/>
          <w:u w:val="none"/>
        </w:rPr>
        <w:t>资信业绩</w:t>
      </w:r>
      <w:r>
        <w:rPr>
          <w:rFonts w:hint="eastAsia" w:cs="宋体"/>
          <w:color w:val="auto"/>
          <w:sz w:val="24"/>
          <w:szCs w:val="24"/>
          <w:highlight w:val="none"/>
          <w:u w:val="none"/>
          <w:lang w:eastAsia="zh-CN"/>
        </w:rPr>
        <w:t>部分</w:t>
      </w:r>
      <w:r>
        <w:rPr>
          <w:rFonts w:hint="eastAsia" w:cs="宋体"/>
          <w:color w:val="auto"/>
          <w:sz w:val="24"/>
          <w:szCs w:val="24"/>
          <w:highlight w:val="none"/>
          <w:u w:val="none"/>
        </w:rPr>
        <w:t>评审得分A为各评标专家打分的算术平均值；</w:t>
      </w:r>
    </w:p>
    <w:p w14:paraId="1A69F360">
      <w:pPr>
        <w:pStyle w:val="12"/>
        <w:tabs>
          <w:tab w:val="left" w:pos="1343"/>
          <w:tab w:val="left" w:pos="2697"/>
          <w:tab w:val="left" w:pos="3264"/>
          <w:tab w:val="left" w:pos="4896"/>
          <w:tab w:val="left" w:pos="6005"/>
          <w:tab w:val="left" w:pos="7085"/>
          <w:tab w:val="left" w:pos="7498"/>
        </w:tabs>
        <w:kinsoku w:val="0"/>
        <w:overflowPunct w:val="0"/>
        <w:spacing w:line="351" w:lineRule="auto"/>
        <w:ind w:left="0" w:right="-240" w:rightChars="-100" w:firstLine="480" w:firstLineChars="200"/>
        <w:jc w:val="both"/>
        <w:rPr>
          <w:rFonts w:hint="eastAsia" w:cs="宋体"/>
          <w:color w:val="auto"/>
          <w:sz w:val="24"/>
          <w:szCs w:val="24"/>
          <w:highlight w:val="none"/>
          <w:u w:val="none"/>
        </w:rPr>
      </w:pPr>
      <w:r>
        <w:rPr>
          <w:rFonts w:hint="eastAsia" w:cs="宋体"/>
          <w:color w:val="auto"/>
          <w:sz w:val="24"/>
          <w:szCs w:val="24"/>
          <w:highlight w:val="none"/>
          <w:u w:val="none"/>
        </w:rPr>
        <w:t>（2）按本章第2.2.4（2）目规定的评审因素和分值对监理大纲部分计算出得分B</w:t>
      </w:r>
      <w:r>
        <w:rPr>
          <w:rFonts w:hint="eastAsia" w:cs="宋体"/>
          <w:color w:val="auto"/>
          <w:sz w:val="24"/>
          <w:szCs w:val="24"/>
          <w:highlight w:val="none"/>
          <w:u w:val="none"/>
          <w:lang w:val="en-US" w:eastAsia="zh-CN"/>
        </w:rPr>
        <w:t>，</w:t>
      </w:r>
      <w:r>
        <w:rPr>
          <w:rFonts w:hint="eastAsia" w:cs="宋体"/>
          <w:color w:val="auto"/>
          <w:sz w:val="24"/>
          <w:szCs w:val="24"/>
          <w:highlight w:val="none"/>
          <w:u w:val="none"/>
          <w:lang w:eastAsia="zh-CN"/>
        </w:rPr>
        <w:fldChar w:fldCharType="begin"/>
      </w:r>
      <w:r>
        <w:rPr>
          <w:rFonts w:hint="eastAsia" w:cs="宋体"/>
          <w:color w:val="auto"/>
          <w:sz w:val="24"/>
          <w:szCs w:val="24"/>
          <w:highlight w:val="none"/>
          <w:u w:val="none"/>
          <w:lang w:eastAsia="zh-CN"/>
        </w:rPr>
        <w:instrText xml:space="preserve"> = 1 \* GB3 \* MERGEFORMAT </w:instrText>
      </w:r>
      <w:r>
        <w:rPr>
          <w:rFonts w:hint="eastAsia" w:cs="宋体"/>
          <w:color w:val="auto"/>
          <w:sz w:val="24"/>
          <w:szCs w:val="24"/>
          <w:highlight w:val="none"/>
          <w:u w:val="none"/>
          <w:lang w:eastAsia="zh-CN"/>
        </w:rPr>
        <w:fldChar w:fldCharType="separate"/>
      </w:r>
      <w:r>
        <w:rPr>
          <w:rFonts w:hint="eastAsia" w:cs="宋体"/>
          <w:color w:val="auto"/>
          <w:sz w:val="21"/>
          <w:szCs w:val="24"/>
          <w:highlight w:val="none"/>
          <w:u w:val="none"/>
        </w:rPr>
        <w:t>①</w:t>
      </w:r>
      <w:r>
        <w:rPr>
          <w:rFonts w:hint="eastAsia" w:cs="宋体"/>
          <w:color w:val="auto"/>
          <w:sz w:val="21"/>
          <w:szCs w:val="24"/>
          <w:highlight w:val="none"/>
          <w:u w:val="none"/>
        </w:rPr>
        <w:fldChar w:fldCharType="end"/>
      </w:r>
      <w:r>
        <w:rPr>
          <w:rFonts w:hint="eastAsia" w:cs="宋体"/>
          <w:color w:val="auto"/>
          <w:sz w:val="24"/>
          <w:szCs w:val="24"/>
          <w:highlight w:val="none"/>
          <w:u w:val="none"/>
          <w:lang w:eastAsia="zh-CN"/>
        </w:rPr>
        <w:t>监理大纲</w:t>
      </w:r>
      <w:r>
        <w:rPr>
          <w:rFonts w:hint="eastAsia" w:cs="宋体"/>
          <w:color w:val="auto"/>
          <w:sz w:val="24"/>
          <w:szCs w:val="24"/>
          <w:highlight w:val="none"/>
          <w:u w:val="none"/>
        </w:rPr>
        <w:t>部分评审得分B为从各评标专家打分中去掉一个最高分和去掉一个最低分后的剩余评标专家打分的算术平均值</w:t>
      </w:r>
      <w:r>
        <w:rPr>
          <w:rFonts w:hint="eastAsia" w:cs="宋体"/>
          <w:color w:val="auto"/>
          <w:sz w:val="24"/>
          <w:szCs w:val="24"/>
          <w:highlight w:val="none"/>
          <w:u w:val="none"/>
          <w:lang w:eastAsia="zh-CN"/>
        </w:rPr>
        <w:t>或</w:t>
      </w:r>
      <w:r>
        <w:rPr>
          <w:rFonts w:hint="eastAsia" w:cs="宋体"/>
          <w:color w:val="auto"/>
          <w:sz w:val="24"/>
          <w:szCs w:val="24"/>
          <w:highlight w:val="none"/>
          <w:u w:val="none"/>
          <w:lang w:eastAsia="zh-CN"/>
        </w:rPr>
        <w:fldChar w:fldCharType="begin"/>
      </w:r>
      <w:r>
        <w:rPr>
          <w:rFonts w:hint="eastAsia" w:cs="宋体"/>
          <w:color w:val="auto"/>
          <w:sz w:val="24"/>
          <w:szCs w:val="24"/>
          <w:highlight w:val="none"/>
          <w:u w:val="none"/>
          <w:lang w:eastAsia="zh-CN"/>
        </w:rPr>
        <w:instrText xml:space="preserve"> = 2 \* GB3 \* MERGEFORMAT </w:instrText>
      </w:r>
      <w:r>
        <w:rPr>
          <w:rFonts w:hint="eastAsia" w:cs="宋体"/>
          <w:color w:val="auto"/>
          <w:sz w:val="24"/>
          <w:szCs w:val="24"/>
          <w:highlight w:val="none"/>
          <w:u w:val="none"/>
          <w:lang w:eastAsia="zh-CN"/>
        </w:rPr>
        <w:fldChar w:fldCharType="separate"/>
      </w:r>
      <w:r>
        <w:rPr>
          <w:rFonts w:hint="eastAsia" w:cs="宋体"/>
          <w:color w:val="auto"/>
          <w:sz w:val="21"/>
          <w:szCs w:val="24"/>
          <w:highlight w:val="none"/>
          <w:u w:val="none"/>
        </w:rPr>
        <w:t>②</w:t>
      </w:r>
      <w:r>
        <w:rPr>
          <w:rFonts w:hint="eastAsia" w:cs="宋体"/>
          <w:color w:val="auto"/>
          <w:sz w:val="21"/>
          <w:szCs w:val="24"/>
          <w:highlight w:val="none"/>
          <w:u w:val="none"/>
        </w:rPr>
        <w:fldChar w:fldCharType="end"/>
      </w:r>
      <w:r>
        <w:rPr>
          <w:rFonts w:hint="eastAsia" w:cs="宋体"/>
          <w:color w:val="auto"/>
          <w:sz w:val="24"/>
          <w:szCs w:val="24"/>
          <w:highlight w:val="none"/>
          <w:u w:val="none"/>
          <w:lang w:eastAsia="zh-CN"/>
        </w:rPr>
        <w:t>监理大纲部分</w:t>
      </w:r>
      <w:r>
        <w:rPr>
          <w:rFonts w:hint="eastAsia" w:cs="宋体"/>
          <w:color w:val="auto"/>
          <w:sz w:val="24"/>
          <w:szCs w:val="24"/>
          <w:highlight w:val="none"/>
          <w:u w:val="none"/>
        </w:rPr>
        <w:t>评审得分B为各评标专家打分的算术平均值</w:t>
      </w:r>
      <w:r>
        <w:rPr>
          <w:rFonts w:hint="eastAsia" w:cs="宋体"/>
          <w:i/>
          <w:iCs/>
          <w:color w:val="auto"/>
          <w:sz w:val="24"/>
          <w:szCs w:val="24"/>
          <w:highlight w:val="none"/>
          <w:u w:val="none"/>
          <w:lang w:eastAsia="zh-CN"/>
        </w:rPr>
        <w:t>（二选一，招标人自行选择）</w:t>
      </w:r>
      <w:r>
        <w:rPr>
          <w:rFonts w:hint="eastAsia" w:cs="宋体"/>
          <w:color w:val="auto"/>
          <w:sz w:val="24"/>
          <w:szCs w:val="24"/>
          <w:highlight w:val="none"/>
          <w:u w:val="none"/>
        </w:rPr>
        <w:t>；</w:t>
      </w:r>
    </w:p>
    <w:p w14:paraId="37F0FC2D">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（3）按本章第2.2.4（3）目规定的评审因素和分值对投标报价计算出得分C；</w:t>
      </w:r>
    </w:p>
    <w:p w14:paraId="479012A0">
      <w:pPr>
        <w:pStyle w:val="12"/>
        <w:tabs>
          <w:tab w:val="left" w:pos="1343"/>
          <w:tab w:val="left" w:pos="2697"/>
          <w:tab w:val="left" w:pos="3264"/>
          <w:tab w:val="left" w:pos="4896"/>
          <w:tab w:val="left" w:pos="6005"/>
          <w:tab w:val="left" w:pos="7085"/>
          <w:tab w:val="left" w:pos="7498"/>
        </w:tabs>
        <w:kinsoku w:val="0"/>
        <w:overflowPunct w:val="0"/>
        <w:spacing w:line="351" w:lineRule="auto"/>
        <w:ind w:left="480" w:leftChars="200"/>
        <w:jc w:val="both"/>
        <w:rPr>
          <w:rFonts w:hint="eastAsia" w:cs="宋体"/>
          <w:color w:val="auto"/>
          <w:sz w:val="24"/>
          <w:szCs w:val="24"/>
          <w:highlight w:val="none"/>
          <w:lang w:eastAsia="zh-CN"/>
        </w:rPr>
      </w:pPr>
      <w:r>
        <w:rPr>
          <w:rFonts w:hint="eastAsia" w:cs="宋体"/>
          <w:color w:val="auto"/>
          <w:sz w:val="24"/>
          <w:szCs w:val="24"/>
          <w:highlight w:val="none"/>
        </w:rPr>
        <w:t>（4）按本章第2.2.4（4）目规定的评审因素和分值对</w:t>
      </w:r>
      <w:r>
        <w:rPr>
          <w:rFonts w:hint="eastAsia" w:cs="宋体"/>
          <w:color w:val="auto"/>
          <w:sz w:val="24"/>
          <w:szCs w:val="24"/>
          <w:highlight w:val="none"/>
          <w:lang w:eastAsia="zh-CN"/>
        </w:rPr>
        <w:t>诚信评价</w:t>
      </w:r>
      <w:r>
        <w:rPr>
          <w:rFonts w:hint="eastAsia" w:cs="宋体"/>
          <w:color w:val="auto"/>
          <w:sz w:val="24"/>
          <w:szCs w:val="24"/>
          <w:highlight w:val="none"/>
        </w:rPr>
        <w:t>计算出得分D</w:t>
      </w:r>
      <w:r>
        <w:rPr>
          <w:rFonts w:hint="eastAsia" w:cs="宋体"/>
          <w:color w:val="auto"/>
          <w:sz w:val="24"/>
          <w:szCs w:val="24"/>
          <w:highlight w:val="none"/>
          <w:lang w:eastAsia="zh-CN"/>
        </w:rPr>
        <w:t>。</w:t>
      </w:r>
    </w:p>
    <w:p w14:paraId="095C3146">
      <w:pPr>
        <w:pStyle w:val="12"/>
        <w:tabs>
          <w:tab w:val="left" w:pos="1343"/>
          <w:tab w:val="left" w:pos="2697"/>
          <w:tab w:val="left" w:pos="3264"/>
          <w:tab w:val="left" w:pos="4896"/>
          <w:tab w:val="left" w:pos="6005"/>
          <w:tab w:val="left" w:pos="7085"/>
          <w:tab w:val="left" w:pos="7498"/>
        </w:tabs>
        <w:kinsoku w:val="0"/>
        <w:overflowPunct w:val="0"/>
        <w:spacing w:line="351" w:lineRule="auto"/>
        <w:ind w:left="480" w:leftChars="200"/>
        <w:jc w:val="both"/>
        <w:rPr>
          <w:rFonts w:hint="eastAsia" w:cs="宋体"/>
          <w:color w:val="auto"/>
          <w:sz w:val="24"/>
          <w:szCs w:val="24"/>
          <w:highlight w:val="none"/>
        </w:rPr>
      </w:pPr>
      <w:r>
        <w:rPr>
          <w:rFonts w:hint="eastAsia" w:cs="宋体"/>
          <w:color w:val="auto"/>
          <w:sz w:val="24"/>
          <w:szCs w:val="24"/>
          <w:highlight w:val="none"/>
        </w:rPr>
        <w:t>3.2.2 评分分值计算保留小数点后两位，小数点后第三位“四舍五入”。</w:t>
      </w:r>
    </w:p>
    <w:p w14:paraId="18DB070F">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3.2.3 投标人得分=A+B+C+D。</w:t>
      </w:r>
    </w:p>
    <w:p w14:paraId="369C5528">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3.2.4 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14:paraId="52E5B8B6">
      <w:pPr>
        <w:keepNext w:val="0"/>
        <w:keepLines w:val="0"/>
        <w:pageBreakBefore w:val="0"/>
        <w:widowControl w:val="0"/>
        <w:kinsoku/>
        <w:wordWrap/>
        <w:overflowPunct/>
        <w:topLinePunct w:val="0"/>
        <w:autoSpaceDE w:val="0"/>
        <w:autoSpaceDN w:val="0"/>
        <w:bidi w:val="0"/>
        <w:adjustRightInd w:val="0"/>
        <w:snapToGrid/>
        <w:spacing w:line="360" w:lineRule="auto"/>
        <w:ind w:firstLine="241" w:firstLineChars="100"/>
        <w:textAlignment w:val="auto"/>
        <w:rPr>
          <w:rFonts w:hint="eastAsia" w:ascii="宋体" w:hAnsi="宋体" w:eastAsia="宋体" w:cs="宋体"/>
          <w:highlight w:val="none"/>
        </w:rPr>
      </w:pPr>
      <w:r>
        <w:rPr>
          <w:rFonts w:hint="eastAsia" w:ascii="宋体" w:hAnsi="宋体" w:cs="宋体"/>
          <w:b/>
          <w:bCs/>
          <w:strike w:val="0"/>
          <w:color w:val="auto"/>
          <w:sz w:val="24"/>
          <w:szCs w:val="24"/>
          <w:highlight w:val="none"/>
          <w:lang w:eastAsia="zh-CN"/>
        </w:rPr>
        <w:t>现文：</w:t>
      </w:r>
      <w:r>
        <w:rPr>
          <w:rFonts w:hint="eastAsia" w:ascii="宋体" w:hAnsi="宋体" w:eastAsia="宋体" w:cs="宋体"/>
          <w:highlight w:val="none"/>
        </w:rPr>
        <w:t>3.2  详细评审</w:t>
      </w:r>
    </w:p>
    <w:p w14:paraId="53B92174">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3.2.1 评标委员会按本章第 2.2 款规定的量化因素和分值进行打分，并计算出</w:t>
      </w:r>
      <w:r>
        <w:rPr>
          <w:rFonts w:hint="eastAsia" w:cs="宋体"/>
          <w:color w:val="auto"/>
          <w:sz w:val="24"/>
          <w:szCs w:val="24"/>
          <w:highlight w:val="none"/>
          <w:u w:val="single"/>
        </w:rPr>
        <w:t>投标文件（评标部分）</w:t>
      </w:r>
      <w:r>
        <w:rPr>
          <w:rFonts w:hint="eastAsia" w:ascii="宋体" w:hAnsi="宋体" w:cs="宋体"/>
          <w:sz w:val="24"/>
          <w:szCs w:val="24"/>
          <w:highlight w:val="none"/>
          <w:u w:val="single"/>
          <w:lang w:val="en-US" w:eastAsia="zh-CN"/>
        </w:rPr>
        <w:t>总</w:t>
      </w:r>
      <w:r>
        <w:rPr>
          <w:rFonts w:hint="eastAsia" w:ascii="宋体" w:hAnsi="宋体" w:eastAsia="宋体" w:cs="宋体"/>
          <w:sz w:val="24"/>
          <w:szCs w:val="24"/>
          <w:highlight w:val="none"/>
          <w:u w:val="single"/>
        </w:rPr>
        <w:t>得分</w:t>
      </w:r>
      <w:r>
        <w:rPr>
          <w:rFonts w:hint="eastAsia" w:cs="宋体"/>
          <w:color w:val="auto"/>
          <w:sz w:val="24"/>
          <w:szCs w:val="24"/>
          <w:highlight w:val="none"/>
        </w:rPr>
        <w:t>。</w:t>
      </w:r>
    </w:p>
    <w:p w14:paraId="29D7B7FB">
      <w:pPr>
        <w:pStyle w:val="12"/>
        <w:tabs>
          <w:tab w:val="left" w:pos="1343"/>
          <w:tab w:val="left" w:pos="2697"/>
          <w:tab w:val="left" w:pos="3264"/>
          <w:tab w:val="left" w:pos="4896"/>
          <w:tab w:val="left" w:pos="6005"/>
          <w:tab w:val="left" w:pos="7085"/>
          <w:tab w:val="left" w:pos="7498"/>
        </w:tabs>
        <w:kinsoku w:val="0"/>
        <w:overflowPunct w:val="0"/>
        <w:spacing w:line="351" w:lineRule="auto"/>
        <w:ind w:left="0" w:right="-240" w:rightChars="-100" w:firstLine="480" w:firstLineChars="200"/>
        <w:jc w:val="both"/>
        <w:rPr>
          <w:rFonts w:hint="eastAsia" w:cs="宋体"/>
          <w:color w:val="auto"/>
          <w:sz w:val="24"/>
          <w:szCs w:val="24"/>
          <w:highlight w:val="none"/>
        </w:rPr>
      </w:pPr>
      <w:r>
        <w:rPr>
          <w:rFonts w:hint="eastAsia" w:cs="宋体"/>
          <w:color w:val="auto"/>
          <w:sz w:val="24"/>
          <w:szCs w:val="24"/>
          <w:highlight w:val="none"/>
        </w:rPr>
        <w:t>（1）按本章第2.2.4（1）目规定的评审因素和分值对资信业绩部分计算出得分</w:t>
      </w:r>
      <w:r>
        <w:rPr>
          <w:rFonts w:hint="eastAsia" w:cs="宋体"/>
          <w:color w:val="auto"/>
          <w:sz w:val="24"/>
          <w:szCs w:val="24"/>
          <w:highlight w:val="none"/>
          <w:lang w:val="en-US" w:eastAsia="zh-CN"/>
        </w:rPr>
        <w:t>A，</w:t>
      </w:r>
      <w:r>
        <w:rPr>
          <w:rFonts w:hint="eastAsia" w:cs="宋体"/>
          <w:color w:val="auto"/>
          <w:sz w:val="24"/>
          <w:szCs w:val="24"/>
          <w:highlight w:val="none"/>
          <w:u w:val="single"/>
        </w:rPr>
        <w:t>资信业绩</w:t>
      </w:r>
      <w:r>
        <w:rPr>
          <w:rFonts w:hint="eastAsia" w:cs="宋体"/>
          <w:color w:val="auto"/>
          <w:sz w:val="24"/>
          <w:szCs w:val="24"/>
          <w:highlight w:val="none"/>
          <w:u w:val="single"/>
          <w:lang w:eastAsia="zh-CN"/>
        </w:rPr>
        <w:t>部分</w:t>
      </w:r>
      <w:r>
        <w:rPr>
          <w:rFonts w:hint="eastAsia" w:cs="宋体"/>
          <w:color w:val="auto"/>
          <w:sz w:val="24"/>
          <w:szCs w:val="24"/>
          <w:highlight w:val="none"/>
          <w:u w:val="single"/>
        </w:rPr>
        <w:t>评审得分A为各评标专家打分的算术平均值</w:t>
      </w:r>
      <w:r>
        <w:rPr>
          <w:rFonts w:hint="eastAsia" w:cs="宋体"/>
          <w:color w:val="auto"/>
          <w:sz w:val="24"/>
          <w:szCs w:val="24"/>
          <w:highlight w:val="none"/>
        </w:rPr>
        <w:t>；</w:t>
      </w:r>
    </w:p>
    <w:p w14:paraId="29CF8F13">
      <w:pPr>
        <w:pStyle w:val="12"/>
        <w:tabs>
          <w:tab w:val="left" w:pos="1343"/>
          <w:tab w:val="left" w:pos="2697"/>
          <w:tab w:val="left" w:pos="3264"/>
          <w:tab w:val="left" w:pos="4896"/>
          <w:tab w:val="left" w:pos="6005"/>
          <w:tab w:val="left" w:pos="7085"/>
          <w:tab w:val="left" w:pos="7498"/>
        </w:tabs>
        <w:kinsoku w:val="0"/>
        <w:overflowPunct w:val="0"/>
        <w:spacing w:line="351" w:lineRule="auto"/>
        <w:ind w:left="0" w:right="-240" w:rightChars="-100" w:firstLine="480" w:firstLineChars="200"/>
        <w:jc w:val="both"/>
        <w:rPr>
          <w:rFonts w:hint="eastAsia" w:cs="宋体"/>
          <w:strike/>
          <w:color w:val="auto"/>
          <w:sz w:val="24"/>
          <w:szCs w:val="24"/>
          <w:highlight w:val="none"/>
        </w:rPr>
      </w:pPr>
      <w:r>
        <w:rPr>
          <w:rFonts w:hint="eastAsia" w:cs="宋体"/>
          <w:color w:val="auto"/>
          <w:sz w:val="24"/>
          <w:szCs w:val="24"/>
          <w:highlight w:val="none"/>
        </w:rPr>
        <w:t>（2）按本章第2.2.4（2）目规定的评审因素和分值对监理大纲部分计算出得分B</w:t>
      </w:r>
      <w:r>
        <w:rPr>
          <w:rFonts w:hint="eastAsia" w:cs="宋体"/>
          <w:color w:val="auto"/>
          <w:sz w:val="24"/>
          <w:szCs w:val="24"/>
          <w:highlight w:val="none"/>
          <w:lang w:val="en-US" w:eastAsia="zh-CN"/>
        </w:rPr>
        <w:t>，</w:t>
      </w:r>
      <w:r>
        <w:rPr>
          <w:rFonts w:hint="eastAsia" w:cs="宋体"/>
          <w:strike/>
          <w:color w:val="auto"/>
          <w:sz w:val="24"/>
          <w:szCs w:val="24"/>
          <w:highlight w:val="none"/>
          <w:u w:val="single"/>
          <w:lang w:eastAsia="zh-CN"/>
        </w:rPr>
        <w:fldChar w:fldCharType="begin"/>
      </w:r>
      <w:r>
        <w:rPr>
          <w:rFonts w:hint="eastAsia" w:cs="宋体"/>
          <w:strike/>
          <w:color w:val="auto"/>
          <w:sz w:val="24"/>
          <w:szCs w:val="24"/>
          <w:highlight w:val="none"/>
          <w:u w:val="single"/>
          <w:lang w:eastAsia="zh-CN"/>
        </w:rPr>
        <w:instrText xml:space="preserve"> = 1 \* GB3 \* MERGEFORMAT </w:instrText>
      </w:r>
      <w:r>
        <w:rPr>
          <w:rFonts w:hint="eastAsia" w:cs="宋体"/>
          <w:strike/>
          <w:color w:val="auto"/>
          <w:sz w:val="24"/>
          <w:szCs w:val="24"/>
          <w:highlight w:val="none"/>
          <w:u w:val="single"/>
          <w:lang w:eastAsia="zh-CN"/>
        </w:rPr>
        <w:fldChar w:fldCharType="separate"/>
      </w:r>
      <w:r>
        <w:rPr>
          <w:rFonts w:hint="eastAsia" w:cs="宋体"/>
          <w:strike/>
          <w:color w:val="auto"/>
          <w:sz w:val="21"/>
          <w:szCs w:val="24"/>
          <w:highlight w:val="none"/>
          <w:u w:val="single"/>
        </w:rPr>
        <w:t>①</w:t>
      </w:r>
      <w:r>
        <w:rPr>
          <w:rFonts w:hint="eastAsia" w:cs="宋体"/>
          <w:strike/>
          <w:color w:val="auto"/>
          <w:sz w:val="21"/>
          <w:szCs w:val="24"/>
          <w:highlight w:val="none"/>
          <w:u w:val="single"/>
        </w:rPr>
        <w:fldChar w:fldCharType="end"/>
      </w:r>
      <w:r>
        <w:rPr>
          <w:rFonts w:hint="eastAsia" w:cs="宋体"/>
          <w:strike/>
          <w:color w:val="auto"/>
          <w:sz w:val="24"/>
          <w:szCs w:val="24"/>
          <w:highlight w:val="none"/>
          <w:u w:val="single"/>
          <w:lang w:eastAsia="zh-CN"/>
        </w:rPr>
        <w:t>监理大纲</w:t>
      </w:r>
      <w:r>
        <w:rPr>
          <w:rFonts w:hint="eastAsia" w:cs="宋体"/>
          <w:strike/>
          <w:color w:val="auto"/>
          <w:sz w:val="24"/>
          <w:szCs w:val="24"/>
          <w:highlight w:val="none"/>
          <w:u w:val="single"/>
        </w:rPr>
        <w:t>部分评审得分</w:t>
      </w:r>
      <w:r>
        <w:rPr>
          <w:rFonts w:hint="eastAsia" w:cs="宋体"/>
          <w:strike/>
          <w:color w:val="auto"/>
          <w:sz w:val="24"/>
          <w:szCs w:val="24"/>
          <w:highlight w:val="none"/>
        </w:rPr>
        <w:t>B</w:t>
      </w:r>
      <w:r>
        <w:rPr>
          <w:rFonts w:hint="eastAsia" w:cs="宋体"/>
          <w:strike/>
          <w:color w:val="auto"/>
          <w:sz w:val="24"/>
          <w:szCs w:val="24"/>
          <w:highlight w:val="none"/>
          <w:u w:val="single"/>
        </w:rPr>
        <w:t>为从各评标专家打分中去掉一个最高分和去掉一个最低分后的剩余评标专家打分的算术平均值</w:t>
      </w:r>
      <w:r>
        <w:rPr>
          <w:rFonts w:hint="eastAsia" w:cs="宋体"/>
          <w:strike/>
          <w:dstrike w:val="0"/>
          <w:color w:val="auto"/>
          <w:sz w:val="24"/>
          <w:szCs w:val="24"/>
          <w:highlight w:val="none"/>
          <w:u w:val="single"/>
          <w:lang w:eastAsia="zh-CN"/>
        </w:rPr>
        <w:t>或</w:t>
      </w:r>
      <w:r>
        <w:rPr>
          <w:rFonts w:hint="eastAsia" w:cs="宋体"/>
          <w:strike/>
          <w:color w:val="auto"/>
          <w:sz w:val="24"/>
          <w:szCs w:val="24"/>
          <w:highlight w:val="none"/>
          <w:u w:val="single"/>
          <w:lang w:eastAsia="zh-CN"/>
        </w:rPr>
        <w:fldChar w:fldCharType="begin"/>
      </w:r>
      <w:r>
        <w:rPr>
          <w:rFonts w:hint="eastAsia" w:cs="宋体"/>
          <w:strike/>
          <w:color w:val="auto"/>
          <w:sz w:val="24"/>
          <w:szCs w:val="24"/>
          <w:highlight w:val="none"/>
          <w:u w:val="single"/>
          <w:lang w:eastAsia="zh-CN"/>
        </w:rPr>
        <w:instrText xml:space="preserve"> = 2 \* GB3 \* MERGEFORMAT </w:instrText>
      </w:r>
      <w:r>
        <w:rPr>
          <w:rFonts w:hint="eastAsia" w:cs="宋体"/>
          <w:strike/>
          <w:color w:val="auto"/>
          <w:sz w:val="24"/>
          <w:szCs w:val="24"/>
          <w:highlight w:val="none"/>
          <w:u w:val="single"/>
          <w:lang w:eastAsia="zh-CN"/>
        </w:rPr>
        <w:fldChar w:fldCharType="separate"/>
      </w:r>
      <w:r>
        <w:rPr>
          <w:rFonts w:hint="eastAsia" w:cs="宋体"/>
          <w:strike/>
          <w:color w:val="auto"/>
          <w:sz w:val="21"/>
          <w:szCs w:val="24"/>
          <w:highlight w:val="none"/>
          <w:u w:val="single"/>
        </w:rPr>
        <w:t>②</w:t>
      </w:r>
      <w:r>
        <w:rPr>
          <w:rFonts w:hint="eastAsia" w:cs="宋体"/>
          <w:strike/>
          <w:color w:val="auto"/>
          <w:sz w:val="21"/>
          <w:szCs w:val="24"/>
          <w:highlight w:val="none"/>
          <w:u w:val="single"/>
        </w:rPr>
        <w:fldChar w:fldCharType="end"/>
      </w:r>
      <w:r>
        <w:rPr>
          <w:rFonts w:hint="eastAsia" w:cs="宋体"/>
          <w:strike w:val="0"/>
          <w:color w:val="auto"/>
          <w:sz w:val="24"/>
          <w:szCs w:val="24"/>
          <w:highlight w:val="none"/>
          <w:u w:val="single"/>
          <w:lang w:eastAsia="zh-CN"/>
        </w:rPr>
        <w:t>监理大纲部分</w:t>
      </w:r>
      <w:r>
        <w:rPr>
          <w:rFonts w:hint="eastAsia" w:cs="宋体"/>
          <w:strike w:val="0"/>
          <w:color w:val="auto"/>
          <w:sz w:val="24"/>
          <w:szCs w:val="24"/>
          <w:highlight w:val="none"/>
          <w:u w:val="single"/>
        </w:rPr>
        <w:t>评审得分</w:t>
      </w:r>
      <w:r>
        <w:rPr>
          <w:rFonts w:hint="eastAsia" w:cs="宋体"/>
          <w:strike w:val="0"/>
          <w:color w:val="auto"/>
          <w:sz w:val="24"/>
          <w:szCs w:val="24"/>
          <w:highlight w:val="none"/>
        </w:rPr>
        <w:t>B</w:t>
      </w:r>
      <w:r>
        <w:rPr>
          <w:rFonts w:hint="eastAsia" w:cs="宋体"/>
          <w:strike w:val="0"/>
          <w:color w:val="auto"/>
          <w:sz w:val="24"/>
          <w:szCs w:val="24"/>
          <w:highlight w:val="none"/>
          <w:u w:val="single"/>
        </w:rPr>
        <w:t>为各评标专家打分的算术平均值</w:t>
      </w:r>
      <w:r>
        <w:rPr>
          <w:rFonts w:hint="eastAsia" w:cs="宋体"/>
          <w:i/>
          <w:iCs/>
          <w:strike/>
          <w:color w:val="auto"/>
          <w:sz w:val="24"/>
          <w:szCs w:val="24"/>
          <w:highlight w:val="none"/>
          <w:u w:val="single"/>
          <w:lang w:eastAsia="zh-CN"/>
        </w:rPr>
        <w:t>（二选一，招标人自行选择）</w:t>
      </w:r>
      <w:r>
        <w:rPr>
          <w:rFonts w:hint="eastAsia" w:cs="宋体"/>
          <w:strike/>
          <w:color w:val="auto"/>
          <w:sz w:val="24"/>
          <w:szCs w:val="24"/>
          <w:highlight w:val="none"/>
        </w:rPr>
        <w:t>；</w:t>
      </w:r>
    </w:p>
    <w:p w14:paraId="58297C82">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（3）按本章第2.2.4（3）目规定的评审因素和分值对投标报价计算出得分C；</w:t>
      </w:r>
    </w:p>
    <w:p w14:paraId="3C3418F7">
      <w:pPr>
        <w:pStyle w:val="12"/>
        <w:tabs>
          <w:tab w:val="left" w:pos="1343"/>
          <w:tab w:val="left" w:pos="2697"/>
          <w:tab w:val="left" w:pos="3264"/>
          <w:tab w:val="left" w:pos="4896"/>
          <w:tab w:val="left" w:pos="6005"/>
          <w:tab w:val="left" w:pos="7085"/>
          <w:tab w:val="left" w:pos="7498"/>
        </w:tabs>
        <w:kinsoku w:val="0"/>
        <w:overflowPunct w:val="0"/>
        <w:spacing w:line="351" w:lineRule="auto"/>
        <w:ind w:left="480" w:leftChars="200"/>
        <w:jc w:val="both"/>
        <w:rPr>
          <w:rFonts w:hint="eastAsia" w:cs="宋体"/>
          <w:strike/>
          <w:color w:val="auto"/>
          <w:sz w:val="24"/>
          <w:szCs w:val="24"/>
          <w:highlight w:val="none"/>
          <w:lang w:eastAsia="zh-CN"/>
        </w:rPr>
      </w:pPr>
      <w:r>
        <w:rPr>
          <w:rFonts w:hint="eastAsia" w:cs="宋体"/>
          <w:strike/>
          <w:color w:val="auto"/>
          <w:sz w:val="24"/>
          <w:szCs w:val="24"/>
          <w:highlight w:val="none"/>
        </w:rPr>
        <w:t>（4）按本章第2.2.4（4）目规定的评审因素和分值对</w:t>
      </w:r>
      <w:r>
        <w:rPr>
          <w:rFonts w:hint="eastAsia" w:cs="宋体"/>
          <w:strike/>
          <w:color w:val="auto"/>
          <w:sz w:val="24"/>
          <w:szCs w:val="24"/>
          <w:highlight w:val="none"/>
          <w:lang w:eastAsia="zh-CN"/>
        </w:rPr>
        <w:t>诚信评价</w:t>
      </w:r>
      <w:r>
        <w:rPr>
          <w:rFonts w:hint="eastAsia" w:cs="宋体"/>
          <w:strike/>
          <w:color w:val="auto"/>
          <w:sz w:val="24"/>
          <w:szCs w:val="24"/>
          <w:highlight w:val="none"/>
        </w:rPr>
        <w:t>计算出得分D</w:t>
      </w:r>
      <w:r>
        <w:rPr>
          <w:rFonts w:hint="eastAsia" w:cs="宋体"/>
          <w:strike/>
          <w:color w:val="auto"/>
          <w:sz w:val="24"/>
          <w:szCs w:val="24"/>
          <w:highlight w:val="none"/>
          <w:lang w:eastAsia="zh-CN"/>
        </w:rPr>
        <w:t>。</w:t>
      </w:r>
    </w:p>
    <w:p w14:paraId="07A5E2DC">
      <w:pPr>
        <w:pStyle w:val="12"/>
        <w:tabs>
          <w:tab w:val="left" w:pos="1343"/>
          <w:tab w:val="left" w:pos="2697"/>
          <w:tab w:val="left" w:pos="3264"/>
          <w:tab w:val="left" w:pos="4896"/>
          <w:tab w:val="left" w:pos="6005"/>
          <w:tab w:val="left" w:pos="7085"/>
          <w:tab w:val="left" w:pos="7498"/>
        </w:tabs>
        <w:kinsoku w:val="0"/>
        <w:overflowPunct w:val="0"/>
        <w:spacing w:line="351" w:lineRule="auto"/>
        <w:ind w:left="480" w:leftChars="200"/>
        <w:jc w:val="both"/>
        <w:rPr>
          <w:rFonts w:hint="eastAsia" w:cs="宋体"/>
          <w:color w:val="auto"/>
          <w:sz w:val="24"/>
          <w:szCs w:val="24"/>
          <w:highlight w:val="none"/>
        </w:rPr>
      </w:pPr>
      <w:r>
        <w:rPr>
          <w:rFonts w:hint="eastAsia" w:cs="宋体"/>
          <w:color w:val="auto"/>
          <w:sz w:val="24"/>
          <w:szCs w:val="24"/>
          <w:highlight w:val="none"/>
        </w:rPr>
        <w:t>3.2.2 评分分值计算保留小数点后两位，小数点后第三位“四舍五入”。</w:t>
      </w:r>
    </w:p>
    <w:p w14:paraId="1122D6C4">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3.2.3</w:t>
      </w:r>
      <w:r>
        <w:rPr>
          <w:rFonts w:hint="eastAsia" w:cs="宋体"/>
          <w:color w:val="auto"/>
          <w:sz w:val="24"/>
          <w:szCs w:val="24"/>
          <w:highlight w:val="none"/>
          <w:u w:val="single"/>
        </w:rPr>
        <w:t xml:space="preserve"> 投标人</w:t>
      </w:r>
      <w:r>
        <w:rPr>
          <w:rFonts w:hint="eastAsia" w:cs="宋体"/>
          <w:color w:val="auto"/>
          <w:sz w:val="24"/>
          <w:szCs w:val="24"/>
          <w:highlight w:val="none"/>
          <w:u w:val="single"/>
          <w:lang w:eastAsia="zh-CN"/>
        </w:rPr>
        <w:t>的</w:t>
      </w:r>
      <w:r>
        <w:rPr>
          <w:rFonts w:hint="eastAsia" w:cs="宋体"/>
          <w:color w:val="auto"/>
          <w:sz w:val="24"/>
          <w:szCs w:val="24"/>
          <w:highlight w:val="none"/>
          <w:u w:val="single"/>
        </w:rPr>
        <w:t>投标文件（评标部分）</w:t>
      </w:r>
      <w:r>
        <w:rPr>
          <w:rFonts w:hint="eastAsia" w:ascii="宋体" w:hAnsi="宋体" w:cs="宋体"/>
          <w:sz w:val="24"/>
          <w:szCs w:val="24"/>
          <w:highlight w:val="none"/>
          <w:u w:val="single"/>
          <w:lang w:val="en-US" w:eastAsia="zh-CN"/>
        </w:rPr>
        <w:t>总</w:t>
      </w:r>
      <w:r>
        <w:rPr>
          <w:rFonts w:hint="eastAsia" w:ascii="宋体" w:hAnsi="宋体" w:eastAsia="宋体" w:cs="宋体"/>
          <w:sz w:val="24"/>
          <w:szCs w:val="24"/>
          <w:highlight w:val="none"/>
          <w:u w:val="single"/>
        </w:rPr>
        <w:t>得分</w:t>
      </w:r>
      <w:r>
        <w:rPr>
          <w:rFonts w:hint="eastAsia" w:cs="宋体"/>
          <w:color w:val="auto"/>
          <w:sz w:val="24"/>
          <w:szCs w:val="24"/>
          <w:highlight w:val="none"/>
          <w:u w:val="single"/>
        </w:rPr>
        <w:t>=A+B+C</w:t>
      </w:r>
      <w:r>
        <w:rPr>
          <w:rFonts w:hint="eastAsia" w:cs="宋体"/>
          <w:color w:val="auto"/>
          <w:sz w:val="24"/>
          <w:szCs w:val="24"/>
          <w:highlight w:val="none"/>
        </w:rPr>
        <w:t>。</w:t>
      </w:r>
      <w:r>
        <w:rPr>
          <w:rFonts w:hint="eastAsia" w:cs="宋体"/>
          <w:color w:val="auto"/>
          <w:sz w:val="24"/>
          <w:szCs w:val="24"/>
          <w:highlight w:val="none"/>
          <w:u w:val="single"/>
        </w:rPr>
        <w:t>评标委员会应按照投标文件（评标部分）总得分从高至低的顺序推荐排序位于前</w:t>
      </w:r>
      <w:r>
        <w:rPr>
          <w:rFonts w:hint="eastAsia" w:cs="宋体"/>
          <w:color w:val="auto"/>
          <w:sz w:val="24"/>
          <w:szCs w:val="24"/>
          <w:highlight w:val="none"/>
          <w:u w:val="single"/>
          <w:lang w:val="en-US" w:eastAsia="zh-CN"/>
        </w:rPr>
        <w:t>20</w:t>
      </w:r>
      <w:r>
        <w:rPr>
          <w:rFonts w:hint="eastAsia" w:cs="宋体"/>
          <w:color w:val="auto"/>
          <w:sz w:val="24"/>
          <w:szCs w:val="24"/>
          <w:highlight w:val="none"/>
          <w:u w:val="single"/>
        </w:rPr>
        <w:t>名次的合格投标人不排序进入定标阶段，若通过初步评审的合格投标人大于等于5家，小于等于</w:t>
      </w:r>
      <w:r>
        <w:rPr>
          <w:rFonts w:hint="eastAsia" w:cs="宋体"/>
          <w:color w:val="auto"/>
          <w:sz w:val="24"/>
          <w:szCs w:val="24"/>
          <w:highlight w:val="none"/>
          <w:u w:val="single"/>
          <w:lang w:val="en-US" w:eastAsia="zh-CN"/>
        </w:rPr>
        <w:t>20</w:t>
      </w:r>
      <w:r>
        <w:rPr>
          <w:rFonts w:hint="eastAsia" w:cs="宋体"/>
          <w:color w:val="auto"/>
          <w:sz w:val="24"/>
          <w:szCs w:val="24"/>
          <w:highlight w:val="none"/>
          <w:u w:val="single"/>
        </w:rPr>
        <w:t>家的，则全部通过初步评审的合格投标人不排序进入定标阶段；若通过初步评审的合格投标人大于</w:t>
      </w:r>
      <w:r>
        <w:rPr>
          <w:rFonts w:hint="eastAsia" w:cs="宋体"/>
          <w:color w:val="auto"/>
          <w:sz w:val="24"/>
          <w:szCs w:val="24"/>
          <w:highlight w:val="none"/>
          <w:u w:val="single"/>
          <w:lang w:val="en-US" w:eastAsia="zh-CN"/>
        </w:rPr>
        <w:t>20</w:t>
      </w:r>
      <w:r>
        <w:rPr>
          <w:rFonts w:hint="eastAsia" w:cs="宋体"/>
          <w:color w:val="auto"/>
          <w:sz w:val="24"/>
          <w:szCs w:val="24"/>
          <w:highlight w:val="none"/>
          <w:u w:val="single"/>
        </w:rPr>
        <w:t>家的，按投标文件（评标部分）总得分从高到低进行排序，推荐排序位于前</w:t>
      </w:r>
      <w:r>
        <w:rPr>
          <w:rFonts w:hint="eastAsia" w:cs="宋体"/>
          <w:color w:val="auto"/>
          <w:sz w:val="24"/>
          <w:szCs w:val="24"/>
          <w:highlight w:val="none"/>
          <w:u w:val="single"/>
          <w:lang w:val="en-US" w:eastAsia="zh-CN"/>
        </w:rPr>
        <w:t>20</w:t>
      </w:r>
      <w:r>
        <w:rPr>
          <w:rFonts w:hint="eastAsia" w:cs="宋体"/>
          <w:color w:val="auto"/>
          <w:sz w:val="24"/>
          <w:szCs w:val="24"/>
          <w:highlight w:val="none"/>
          <w:u w:val="single"/>
        </w:rPr>
        <w:t>名次的合格投标人不排序进入定标阶段（若前</w:t>
      </w:r>
      <w:r>
        <w:rPr>
          <w:rFonts w:hint="eastAsia" w:cs="宋体"/>
          <w:color w:val="auto"/>
          <w:sz w:val="24"/>
          <w:szCs w:val="24"/>
          <w:highlight w:val="none"/>
          <w:u w:val="single"/>
          <w:lang w:val="en-US" w:eastAsia="zh-CN"/>
        </w:rPr>
        <w:t>20</w:t>
      </w:r>
      <w:r>
        <w:rPr>
          <w:rFonts w:hint="eastAsia" w:cs="宋体"/>
          <w:color w:val="auto"/>
          <w:sz w:val="24"/>
          <w:szCs w:val="24"/>
          <w:highlight w:val="none"/>
          <w:u w:val="single"/>
        </w:rPr>
        <w:t>名次的合格投标人中存在投标文件（评标部分）总得分相同的，则按第三章“评标、定标办法”第1款的原则确定排序。）。</w:t>
      </w:r>
    </w:p>
    <w:p w14:paraId="219DEB1C">
      <w:pPr>
        <w:pStyle w:val="12"/>
        <w:pBdr>
          <w:bottom w:val="single" w:color="auto" w:sz="4" w:space="0"/>
        </w:pBdr>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eastAsia="宋体" w:cs="宋体"/>
          <w:strike/>
          <w:color w:val="auto"/>
          <w:sz w:val="24"/>
          <w:szCs w:val="24"/>
          <w:highlight w:val="none"/>
          <w:lang w:eastAsia="zh-CN"/>
        </w:rPr>
      </w:pPr>
      <w:r>
        <w:rPr>
          <w:rFonts w:hint="eastAsia" w:cs="宋体"/>
          <w:color w:val="auto"/>
          <w:sz w:val="24"/>
          <w:szCs w:val="24"/>
          <w:highlight w:val="none"/>
        </w:rPr>
        <w:t>3.2.4 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14:paraId="32C6D890">
      <w:pPr>
        <w:pBdr>
          <w:top w:val="none" w:color="auto" w:sz="0" w:space="0"/>
          <w:left w:val="none" w:color="auto" w:sz="0" w:space="0"/>
          <w:bottom w:val="none" w:color="auto" w:sz="0" w:space="1"/>
          <w:right w:val="none" w:color="auto" w:sz="0" w:space="0"/>
          <w:between w:val="none" w:color="auto" w:sz="0" w:space="0"/>
        </w:pBdr>
        <w:tabs>
          <w:tab w:val="left" w:pos="402"/>
        </w:tabs>
        <w:spacing w:line="360" w:lineRule="auto"/>
        <w:ind w:firstLine="540" w:firstLineChars="224"/>
        <w:rPr>
          <w:rFonts w:hint="eastAsia" w:ascii="宋体" w:hAnsi="宋体" w:eastAsia="宋体" w:cs="宋体"/>
          <w:b/>
          <w:bCs/>
          <w:color w:val="auto"/>
          <w:sz w:val="24"/>
          <w:szCs w:val="21"/>
          <w:highlight w:val="none"/>
          <w:lang w:eastAsia="zh-CN"/>
        </w:rPr>
      </w:pPr>
      <w:r>
        <w:rPr>
          <w:rFonts w:hint="eastAsia" w:ascii="宋体" w:hAnsi="宋体" w:eastAsia="宋体" w:cs="宋体"/>
          <w:b/>
          <w:bCs/>
          <w:color w:val="auto"/>
          <w:sz w:val="24"/>
          <w:szCs w:val="21"/>
          <w:highlight w:val="none"/>
        </w:rPr>
        <w:t>条款号：3.</w:t>
      </w:r>
      <w:r>
        <w:rPr>
          <w:rFonts w:hint="eastAsia" w:ascii="宋体" w:hAnsi="宋体" w:eastAsia="宋体" w:cs="宋体"/>
          <w:b/>
          <w:bCs/>
          <w:color w:val="auto"/>
          <w:sz w:val="24"/>
          <w:szCs w:val="21"/>
          <w:highlight w:val="none"/>
          <w:lang w:val="en-US" w:eastAsia="zh-CN"/>
        </w:rPr>
        <w:t xml:space="preserve">4 </w:t>
      </w:r>
      <w:r>
        <w:rPr>
          <w:rFonts w:hint="eastAsia" w:ascii="宋体" w:hAnsi="宋体" w:eastAsia="宋体" w:cs="宋体"/>
          <w:b/>
          <w:bCs/>
          <w:color w:val="auto"/>
          <w:sz w:val="24"/>
          <w:szCs w:val="21"/>
          <w:highlight w:val="none"/>
        </w:rPr>
        <w:t xml:space="preserve">评标结果     </w:t>
      </w:r>
      <w:r>
        <w:rPr>
          <w:rFonts w:hint="eastAsia" w:ascii="宋体" w:hAnsi="宋体" w:eastAsia="宋体" w:cs="宋体"/>
          <w:b/>
          <w:bCs/>
          <w:color w:val="auto"/>
          <w:sz w:val="24"/>
          <w:szCs w:val="21"/>
          <w:highlight w:val="none"/>
          <w:lang w:val="en-US" w:eastAsia="zh-CN"/>
        </w:rPr>
        <w:t xml:space="preserve">              </w:t>
      </w:r>
      <w:r>
        <w:rPr>
          <w:rFonts w:hint="eastAsia" w:ascii="宋体" w:hAnsi="宋体" w:eastAsia="宋体" w:cs="宋体"/>
          <w:b/>
          <w:bCs/>
          <w:color w:val="auto"/>
          <w:sz w:val="24"/>
          <w:szCs w:val="21"/>
          <w:highlight w:val="none"/>
        </w:rPr>
        <w:t xml:space="preserve">  修改类型：</w:t>
      </w:r>
      <w:r>
        <w:rPr>
          <w:rFonts w:hint="eastAsia" w:ascii="宋体" w:hAnsi="宋体" w:eastAsia="宋体" w:cs="宋体"/>
          <w:b/>
          <w:bCs/>
          <w:color w:val="auto"/>
          <w:sz w:val="24"/>
          <w:szCs w:val="21"/>
          <w:highlight w:val="none"/>
          <w:lang w:eastAsia="zh-CN"/>
        </w:rPr>
        <w:t>修改</w:t>
      </w:r>
    </w:p>
    <w:p w14:paraId="0E52B423">
      <w:pPr>
        <w:pStyle w:val="12"/>
        <w:tabs>
          <w:tab w:val="left" w:pos="1343"/>
          <w:tab w:val="left" w:pos="2697"/>
          <w:tab w:val="left" w:pos="3264"/>
          <w:tab w:val="left" w:pos="4896"/>
          <w:tab w:val="left" w:pos="6005"/>
          <w:tab w:val="left" w:pos="7085"/>
          <w:tab w:val="left" w:pos="7498"/>
        </w:tabs>
        <w:kinsoku w:val="0"/>
        <w:overflowPunct w:val="0"/>
        <w:spacing w:line="360" w:lineRule="auto"/>
        <w:ind w:left="100" w:right="211" w:firstLine="419"/>
        <w:jc w:val="both"/>
        <w:rPr>
          <w:rFonts w:hint="eastAsia" w:ascii="宋体" w:hAnsi="宋体" w:eastAsia="宋体" w:cs="宋体"/>
          <w:b/>
          <w:bCs/>
          <w:color w:val="auto"/>
          <w:sz w:val="24"/>
          <w:szCs w:val="21"/>
          <w:highlight w:val="none"/>
          <w:lang w:eastAsia="zh-CN"/>
        </w:rPr>
      </w:pPr>
      <w:r>
        <w:rPr>
          <w:rFonts w:hint="eastAsia" w:ascii="宋体" w:hAnsi="宋体" w:eastAsia="宋体" w:cs="宋体"/>
          <w:b/>
          <w:bCs/>
          <w:color w:val="auto"/>
          <w:sz w:val="24"/>
          <w:szCs w:val="21"/>
          <w:highlight w:val="none"/>
          <w:lang w:eastAsia="zh-CN"/>
        </w:rPr>
        <w:t>原文：</w:t>
      </w:r>
      <w:r>
        <w:rPr>
          <w:rFonts w:hint="eastAsia" w:ascii="宋体" w:hAnsi="宋体" w:eastAsia="宋体" w:cs="宋体"/>
          <w:b/>
          <w:bCs/>
          <w:color w:val="auto"/>
          <w:sz w:val="24"/>
          <w:szCs w:val="21"/>
          <w:highlight w:val="none"/>
        </w:rPr>
        <w:t>3.</w:t>
      </w:r>
      <w:r>
        <w:rPr>
          <w:rFonts w:hint="eastAsia" w:ascii="宋体" w:hAnsi="宋体" w:eastAsia="宋体" w:cs="宋体"/>
          <w:b/>
          <w:bCs/>
          <w:color w:val="auto"/>
          <w:sz w:val="24"/>
          <w:szCs w:val="21"/>
          <w:highlight w:val="none"/>
          <w:lang w:val="en-US" w:eastAsia="zh-CN"/>
        </w:rPr>
        <w:t xml:space="preserve">4 </w:t>
      </w:r>
      <w:r>
        <w:rPr>
          <w:rFonts w:hint="eastAsia" w:ascii="宋体" w:hAnsi="宋体" w:eastAsia="宋体" w:cs="宋体"/>
          <w:b/>
          <w:bCs/>
          <w:color w:val="auto"/>
          <w:sz w:val="24"/>
          <w:szCs w:val="21"/>
          <w:highlight w:val="none"/>
        </w:rPr>
        <w:t>评标结果</w:t>
      </w:r>
    </w:p>
    <w:p w14:paraId="4D0DB53A">
      <w:pPr>
        <w:pStyle w:val="12"/>
        <w:tabs>
          <w:tab w:val="left" w:pos="1343"/>
          <w:tab w:val="left" w:pos="2697"/>
          <w:tab w:val="left" w:pos="3264"/>
          <w:tab w:val="left" w:pos="4896"/>
          <w:tab w:val="left" w:pos="6005"/>
          <w:tab w:val="left" w:pos="7085"/>
          <w:tab w:val="left" w:pos="7498"/>
        </w:tabs>
        <w:kinsoku w:val="0"/>
        <w:overflowPunct w:val="0"/>
        <w:spacing w:line="360" w:lineRule="auto"/>
        <w:ind w:left="100" w:right="211" w:firstLine="41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3.4.1 除第二章“投标人须知”前附表授权直接确定中标人外，评标委员会按照得分由高到低 的顺序推荐中标候选人，并标明排序。</w:t>
      </w:r>
    </w:p>
    <w:p w14:paraId="443FABC2">
      <w:pPr>
        <w:pStyle w:val="12"/>
        <w:tabs>
          <w:tab w:val="left" w:pos="1343"/>
          <w:tab w:val="left" w:pos="2697"/>
          <w:tab w:val="left" w:pos="3264"/>
          <w:tab w:val="left" w:pos="4896"/>
          <w:tab w:val="left" w:pos="6005"/>
          <w:tab w:val="left" w:pos="7085"/>
          <w:tab w:val="left" w:pos="7498"/>
        </w:tabs>
        <w:kinsoku w:val="0"/>
        <w:overflowPunct w:val="0"/>
        <w:spacing w:line="360" w:lineRule="auto"/>
        <w:ind w:left="100" w:right="211" w:firstLine="419"/>
        <w:jc w:val="both"/>
        <w:rPr>
          <w:rFonts w:hint="eastAsia" w:ascii="宋体" w:hAnsi="宋体" w:eastAsia="宋体" w:cs="宋体"/>
          <w:color w:val="auto"/>
          <w:sz w:val="24"/>
          <w:szCs w:val="24"/>
          <w:highlight w:val="none"/>
          <w:lang w:eastAsia="zh-CN"/>
        </w:rPr>
      </w:pPr>
      <w:r>
        <w:rPr>
          <w:rFonts w:hint="eastAsia" w:cs="宋体"/>
          <w:color w:val="auto"/>
          <w:sz w:val="24"/>
          <w:szCs w:val="24"/>
          <w:highlight w:val="none"/>
        </w:rPr>
        <w:t>3.4.2 评标委员会完成评标后，应当向招标人提交书面评标报告和中标候选人名单。</w:t>
      </w:r>
    </w:p>
    <w:p w14:paraId="465C4272">
      <w:pPr>
        <w:pBdr>
          <w:top w:val="none" w:color="auto" w:sz="0" w:space="0"/>
          <w:left w:val="none" w:color="auto" w:sz="0" w:space="0"/>
          <w:bottom w:val="none" w:color="auto" w:sz="0" w:space="0"/>
          <w:right w:val="none" w:color="auto" w:sz="0" w:space="0"/>
          <w:between w:val="none" w:color="auto" w:sz="0" w:space="0"/>
        </w:pBdr>
        <w:spacing w:line="360" w:lineRule="auto"/>
        <w:ind w:firstLine="482" w:firstLineChars="200"/>
        <w:rPr>
          <w:rFonts w:hint="eastAsia" w:ascii="宋体" w:hAnsi="宋体" w:cs="宋体"/>
          <w:color w:val="000000"/>
          <w:sz w:val="24"/>
          <w:highlight w:val="none"/>
          <w:u w:val="single"/>
        </w:rPr>
      </w:pPr>
      <w:r>
        <w:rPr>
          <w:rFonts w:hint="eastAsia" w:ascii="宋体" w:hAnsi="宋体" w:eastAsia="宋体" w:cs="宋体"/>
          <w:b/>
          <w:bCs/>
          <w:color w:val="auto"/>
          <w:sz w:val="24"/>
          <w:szCs w:val="21"/>
          <w:highlight w:val="none"/>
          <w:lang w:eastAsia="zh-CN"/>
        </w:rPr>
        <w:t>现文：</w:t>
      </w:r>
      <w:r>
        <w:rPr>
          <w:rFonts w:hint="eastAsia" w:ascii="宋体" w:hAnsi="宋体" w:cs="宋体"/>
          <w:color w:val="auto"/>
          <w:sz w:val="24"/>
          <w:highlight w:val="none"/>
          <w:u w:val="single"/>
        </w:rPr>
        <w:t xml:space="preserve">3.4.1 </w:t>
      </w:r>
      <w:r>
        <w:rPr>
          <w:rFonts w:hint="eastAsia" w:ascii="宋体" w:hAnsi="宋体" w:eastAsia="宋体" w:cs="宋体"/>
          <w:color w:val="000000"/>
          <w:sz w:val="24"/>
          <w:highlight w:val="none"/>
          <w:u w:val="single"/>
        </w:rPr>
        <w:t>评标</w:t>
      </w:r>
      <w:r>
        <w:rPr>
          <w:rFonts w:hint="eastAsia" w:ascii="宋体" w:hAnsi="宋体" w:cs="宋体"/>
          <w:color w:val="auto"/>
          <w:sz w:val="24"/>
          <w:highlight w:val="none"/>
          <w:u w:val="single"/>
        </w:rPr>
        <w:t>委员会依据本章第2.2条评分标准进行评分，按评标办法前附表的约定计算投标人</w:t>
      </w:r>
      <w:r>
        <w:rPr>
          <w:rFonts w:hint="eastAsia" w:ascii="宋体" w:hAnsi="宋体" w:cs="宋体"/>
          <w:color w:val="000000"/>
          <w:sz w:val="24"/>
          <w:highlight w:val="none"/>
          <w:u w:val="single"/>
          <w:lang w:eastAsia="zh-CN"/>
        </w:rPr>
        <w:t>投标文件（评标部分）</w:t>
      </w:r>
      <w:r>
        <w:rPr>
          <w:rFonts w:hint="eastAsia" w:ascii="宋体" w:hAnsi="宋体" w:cs="宋体"/>
          <w:color w:val="auto"/>
          <w:sz w:val="24"/>
          <w:highlight w:val="none"/>
          <w:u w:val="single"/>
          <w:lang w:eastAsia="zh-CN"/>
        </w:rPr>
        <w:t>总</w:t>
      </w:r>
      <w:r>
        <w:rPr>
          <w:rFonts w:hint="eastAsia" w:ascii="宋体" w:hAnsi="宋体" w:cs="宋体"/>
          <w:color w:val="auto"/>
          <w:sz w:val="24"/>
          <w:highlight w:val="none"/>
          <w:u w:val="single"/>
        </w:rPr>
        <w:t>得分，评标委员会应按照</w:t>
      </w:r>
      <w:r>
        <w:rPr>
          <w:rFonts w:hint="eastAsia" w:ascii="宋体" w:hAnsi="宋体" w:cs="宋体"/>
          <w:color w:val="000000"/>
          <w:sz w:val="24"/>
          <w:highlight w:val="none"/>
          <w:u w:val="single"/>
          <w:lang w:eastAsia="zh-CN"/>
        </w:rPr>
        <w:t>投标文件（评标部分）</w:t>
      </w:r>
      <w:r>
        <w:rPr>
          <w:rFonts w:hint="eastAsia" w:ascii="宋体" w:hAnsi="宋体" w:cs="宋体"/>
          <w:color w:val="auto"/>
          <w:sz w:val="24"/>
          <w:highlight w:val="none"/>
          <w:u w:val="single"/>
          <w:lang w:eastAsia="zh-CN"/>
        </w:rPr>
        <w:t>总</w:t>
      </w:r>
      <w:r>
        <w:rPr>
          <w:rFonts w:hint="eastAsia" w:ascii="宋体" w:hAnsi="宋体" w:cs="宋体"/>
          <w:color w:val="auto"/>
          <w:sz w:val="24"/>
          <w:highlight w:val="none"/>
          <w:u w:val="single"/>
        </w:rPr>
        <w:t>得分从高至低的顺序</w:t>
      </w:r>
      <w:r>
        <w:rPr>
          <w:rFonts w:hint="eastAsia" w:ascii="宋体" w:hAnsi="宋体" w:eastAsia="宋体" w:cs="宋体"/>
          <w:color w:val="000000"/>
          <w:kern w:val="2"/>
          <w:sz w:val="24"/>
          <w:szCs w:val="22"/>
          <w:highlight w:val="none"/>
          <w:u w:val="single"/>
        </w:rPr>
        <w:t>推荐排序位于前</w:t>
      </w:r>
      <w:r>
        <w:rPr>
          <w:rFonts w:hint="eastAsia" w:ascii="宋体" w:hAnsi="宋体" w:cs="宋体"/>
          <w:color w:val="000000"/>
          <w:kern w:val="2"/>
          <w:sz w:val="24"/>
          <w:szCs w:val="22"/>
          <w:highlight w:val="none"/>
          <w:u w:val="single"/>
          <w:lang w:val="en-US" w:eastAsia="zh-CN"/>
        </w:rPr>
        <w:t>20</w:t>
      </w:r>
      <w:r>
        <w:rPr>
          <w:rFonts w:hint="eastAsia" w:ascii="宋体" w:hAnsi="宋体" w:eastAsia="宋体" w:cs="宋体"/>
          <w:color w:val="000000"/>
          <w:kern w:val="2"/>
          <w:sz w:val="24"/>
          <w:szCs w:val="22"/>
          <w:highlight w:val="none"/>
          <w:u w:val="single"/>
        </w:rPr>
        <w:t>名次</w:t>
      </w:r>
      <w:r>
        <w:rPr>
          <w:rFonts w:hint="eastAsia" w:ascii="宋体" w:hAnsi="宋体" w:eastAsia="宋体" w:cs="宋体"/>
          <w:color w:val="000000"/>
          <w:kern w:val="2"/>
          <w:sz w:val="24"/>
          <w:szCs w:val="22"/>
          <w:highlight w:val="none"/>
          <w:u w:val="single"/>
          <w:lang w:val="en-US" w:eastAsia="zh-CN"/>
        </w:rPr>
        <w:t>的合格投标人</w:t>
      </w:r>
      <w:r>
        <w:rPr>
          <w:rFonts w:hint="eastAsia" w:ascii="宋体" w:hAnsi="宋体" w:eastAsia="宋体" w:cs="宋体"/>
          <w:color w:val="000000"/>
          <w:kern w:val="2"/>
          <w:sz w:val="24"/>
          <w:szCs w:val="22"/>
          <w:highlight w:val="none"/>
          <w:u w:val="single"/>
        </w:rPr>
        <w:t>不排序进入定标阶段</w:t>
      </w:r>
      <w:r>
        <w:rPr>
          <w:rFonts w:hint="eastAsia" w:ascii="宋体" w:hAnsi="宋体" w:eastAsia="宋体" w:cs="宋体"/>
          <w:color w:val="000000"/>
          <w:kern w:val="2"/>
          <w:sz w:val="24"/>
          <w:szCs w:val="22"/>
          <w:highlight w:val="none"/>
          <w:u w:val="single"/>
          <w:lang w:eastAsia="zh-CN"/>
        </w:rPr>
        <w:t>，若通过初步评审的合格投标人大于等于5家，小于等于</w:t>
      </w:r>
      <w:r>
        <w:rPr>
          <w:rFonts w:hint="eastAsia" w:ascii="宋体" w:hAnsi="宋体" w:cs="宋体"/>
          <w:color w:val="000000"/>
          <w:kern w:val="2"/>
          <w:sz w:val="24"/>
          <w:szCs w:val="22"/>
          <w:highlight w:val="none"/>
          <w:u w:val="single"/>
          <w:lang w:val="en-US" w:eastAsia="zh-CN"/>
        </w:rPr>
        <w:t>20</w:t>
      </w:r>
      <w:r>
        <w:rPr>
          <w:rFonts w:hint="eastAsia" w:ascii="宋体" w:hAnsi="宋体" w:eastAsia="宋体" w:cs="宋体"/>
          <w:color w:val="000000"/>
          <w:kern w:val="2"/>
          <w:sz w:val="24"/>
          <w:szCs w:val="22"/>
          <w:highlight w:val="none"/>
          <w:u w:val="single"/>
          <w:lang w:eastAsia="zh-CN"/>
        </w:rPr>
        <w:t>家的，则全部通过初步评审的合格投标人不排序进入定标阶段；若通过初步评审的合格投标人大于</w:t>
      </w:r>
      <w:r>
        <w:rPr>
          <w:rFonts w:hint="eastAsia" w:ascii="宋体" w:hAnsi="宋体" w:cs="宋体"/>
          <w:color w:val="000000"/>
          <w:kern w:val="2"/>
          <w:sz w:val="24"/>
          <w:szCs w:val="22"/>
          <w:highlight w:val="none"/>
          <w:u w:val="single"/>
          <w:lang w:val="en-US" w:eastAsia="zh-CN"/>
        </w:rPr>
        <w:t>20</w:t>
      </w:r>
      <w:r>
        <w:rPr>
          <w:rFonts w:hint="eastAsia" w:ascii="宋体" w:hAnsi="宋体" w:eastAsia="宋体" w:cs="宋体"/>
          <w:color w:val="000000"/>
          <w:kern w:val="2"/>
          <w:sz w:val="24"/>
          <w:szCs w:val="22"/>
          <w:highlight w:val="none"/>
          <w:u w:val="single"/>
          <w:lang w:eastAsia="zh-CN"/>
        </w:rPr>
        <w:t>家的，按投标文件（评标部分）总得分从高到低进行排序，推荐排序位于前</w:t>
      </w:r>
      <w:r>
        <w:rPr>
          <w:rFonts w:hint="eastAsia" w:ascii="宋体" w:hAnsi="宋体" w:cs="宋体"/>
          <w:color w:val="000000"/>
          <w:kern w:val="2"/>
          <w:sz w:val="24"/>
          <w:szCs w:val="22"/>
          <w:highlight w:val="none"/>
          <w:u w:val="single"/>
          <w:lang w:val="en-US" w:eastAsia="zh-CN"/>
        </w:rPr>
        <w:t>20</w:t>
      </w:r>
      <w:r>
        <w:rPr>
          <w:rFonts w:hint="eastAsia" w:ascii="宋体" w:hAnsi="宋体" w:eastAsia="宋体" w:cs="宋体"/>
          <w:color w:val="000000"/>
          <w:kern w:val="2"/>
          <w:sz w:val="24"/>
          <w:szCs w:val="22"/>
          <w:highlight w:val="none"/>
          <w:u w:val="single"/>
          <w:lang w:eastAsia="zh-CN"/>
        </w:rPr>
        <w:t>名次的合格投标人不排序进入定标阶段（若前</w:t>
      </w:r>
      <w:r>
        <w:rPr>
          <w:rFonts w:hint="eastAsia" w:ascii="宋体" w:hAnsi="宋体" w:cs="宋体"/>
          <w:color w:val="000000"/>
          <w:kern w:val="2"/>
          <w:sz w:val="24"/>
          <w:szCs w:val="22"/>
          <w:highlight w:val="none"/>
          <w:u w:val="single"/>
          <w:lang w:val="en-US" w:eastAsia="zh-CN"/>
        </w:rPr>
        <w:t>20</w:t>
      </w:r>
      <w:r>
        <w:rPr>
          <w:rFonts w:hint="eastAsia" w:ascii="宋体" w:hAnsi="宋体" w:eastAsia="宋体" w:cs="宋体"/>
          <w:color w:val="000000"/>
          <w:kern w:val="2"/>
          <w:sz w:val="24"/>
          <w:szCs w:val="22"/>
          <w:highlight w:val="none"/>
          <w:u w:val="single"/>
          <w:lang w:eastAsia="zh-CN"/>
        </w:rPr>
        <w:t>名次的</w:t>
      </w:r>
      <w:r>
        <w:rPr>
          <w:rFonts w:hint="eastAsia" w:cs="宋体"/>
          <w:color w:val="auto"/>
          <w:sz w:val="24"/>
          <w:szCs w:val="24"/>
          <w:highlight w:val="none"/>
          <w:u w:val="single"/>
        </w:rPr>
        <w:t>合格投标人</w:t>
      </w:r>
      <w:r>
        <w:rPr>
          <w:rFonts w:hint="eastAsia" w:ascii="宋体" w:hAnsi="宋体" w:eastAsia="宋体" w:cs="宋体"/>
          <w:color w:val="000000"/>
          <w:kern w:val="2"/>
          <w:sz w:val="24"/>
          <w:szCs w:val="22"/>
          <w:highlight w:val="none"/>
          <w:u w:val="single"/>
          <w:lang w:eastAsia="zh-CN"/>
        </w:rPr>
        <w:t>中存在投标文件（评标部分）总得分相同的，则按第三章“评标、定标办法”第1款的原则确定排序。）</w:t>
      </w:r>
      <w:r>
        <w:rPr>
          <w:rFonts w:hint="eastAsia" w:ascii="宋体" w:hAnsi="宋体" w:eastAsia="宋体" w:cs="宋体"/>
          <w:color w:val="000000"/>
          <w:kern w:val="2"/>
          <w:sz w:val="24"/>
          <w:szCs w:val="22"/>
          <w:highlight w:val="none"/>
          <w:u w:val="single"/>
          <w:lang w:val="en-US" w:eastAsia="zh-CN"/>
        </w:rPr>
        <w:t>。</w:t>
      </w:r>
    </w:p>
    <w:p w14:paraId="3CF25DBB">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rPr>
          <w:rFonts w:hint="eastAsia" w:ascii="宋体" w:hAnsi="宋体" w:cs="宋体"/>
          <w:color w:val="000000"/>
          <w:sz w:val="24"/>
          <w:highlight w:val="none"/>
          <w:u w:val="single"/>
          <w:lang w:val="en-US" w:eastAsia="zh-CN"/>
        </w:rPr>
      </w:pPr>
      <w:r>
        <w:rPr>
          <w:rFonts w:hint="eastAsia" w:ascii="宋体" w:hAnsi="宋体" w:cs="宋体"/>
          <w:color w:val="000000"/>
          <w:sz w:val="24"/>
          <w:highlight w:val="none"/>
          <w:u w:val="single"/>
          <w:lang w:val="en-US" w:eastAsia="zh-CN"/>
        </w:rPr>
        <w:t>3.4.2评标结束后，由评标委员会向招标人提交书面评标报告及合格中标候选人名单。</w:t>
      </w:r>
    </w:p>
    <w:p w14:paraId="595B129A">
      <w:pPr>
        <w:keepNext w:val="0"/>
        <w:keepLines w:val="0"/>
        <w:pageBreakBefore w:val="0"/>
        <w:widowControl w:val="0"/>
        <w:pBdr>
          <w:bottom w:val="single" w:color="auto" w:sz="4" w:space="0"/>
        </w:pBdr>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b/>
          <w:bCs/>
          <w:sz w:val="24"/>
          <w:szCs w:val="24"/>
          <w:highlight w:val="none"/>
          <w:u w:val="single"/>
        </w:rPr>
      </w:pPr>
      <w:r>
        <w:rPr>
          <w:rFonts w:hint="eastAsia" w:ascii="宋体" w:hAnsi="宋体" w:cs="宋体"/>
          <w:sz w:val="24"/>
          <w:szCs w:val="24"/>
          <w:highlight w:val="none"/>
          <w:u w:val="single"/>
        </w:rPr>
        <w:t>注：</w:t>
      </w:r>
      <w:r>
        <w:rPr>
          <w:rFonts w:hint="eastAsia" w:cs="宋体"/>
          <w:b w:val="0"/>
          <w:bCs w:val="0"/>
          <w:sz w:val="24"/>
          <w:szCs w:val="24"/>
          <w:highlight w:val="none"/>
          <w:u w:val="single"/>
          <w:lang w:val="en-US" w:eastAsia="zh-CN"/>
        </w:rPr>
        <w:t>投标文件（评标部分）总得分</w:t>
      </w:r>
      <w:r>
        <w:rPr>
          <w:rFonts w:hint="eastAsia" w:ascii="宋体" w:hAnsi="宋体" w:eastAsia="宋体" w:cs="宋体"/>
          <w:b w:val="0"/>
          <w:bCs w:val="0"/>
          <w:sz w:val="24"/>
          <w:szCs w:val="24"/>
          <w:highlight w:val="none"/>
          <w:u w:val="single"/>
        </w:rPr>
        <w:t>及评标委员会票决得分排序仅作为推荐入围定标阶段的依据，不作为定标阶段确定中标人的依据。</w:t>
      </w:r>
    </w:p>
    <w:p w14:paraId="7333CB28">
      <w:pPr>
        <w:pBdr>
          <w:top w:val="none" w:color="auto" w:sz="0" w:space="0"/>
          <w:left w:val="none" w:color="auto" w:sz="0" w:space="0"/>
          <w:bottom w:val="none" w:color="auto" w:sz="0" w:space="1"/>
          <w:right w:val="none" w:color="auto" w:sz="0" w:space="0"/>
          <w:between w:val="none" w:color="auto" w:sz="0" w:space="0"/>
        </w:pBdr>
        <w:tabs>
          <w:tab w:val="left" w:pos="402"/>
        </w:tabs>
        <w:spacing w:line="360" w:lineRule="auto"/>
        <w:ind w:firstLine="540" w:firstLineChars="224"/>
        <w:rPr>
          <w:rFonts w:hint="eastAsia" w:ascii="宋体" w:hAnsi="宋体" w:eastAsia="宋体" w:cs="宋体"/>
          <w:b/>
          <w:bCs/>
          <w:color w:val="auto"/>
          <w:sz w:val="24"/>
          <w:szCs w:val="21"/>
          <w:highlight w:val="none"/>
          <w:lang w:eastAsia="zh-CN"/>
        </w:rPr>
      </w:pPr>
      <w:r>
        <w:rPr>
          <w:rFonts w:hint="eastAsia" w:ascii="宋体" w:hAnsi="宋体" w:eastAsia="宋体" w:cs="宋体"/>
          <w:b/>
          <w:bCs/>
          <w:color w:val="auto"/>
          <w:sz w:val="24"/>
          <w:szCs w:val="21"/>
          <w:highlight w:val="none"/>
        </w:rPr>
        <w:t>条款号：</w:t>
      </w:r>
      <w:r>
        <w:rPr>
          <w:rFonts w:hint="eastAsia" w:ascii="宋体" w:hAnsi="宋体" w:cs="宋体"/>
          <w:b/>
          <w:bCs/>
          <w:color w:val="auto"/>
          <w:sz w:val="24"/>
          <w:szCs w:val="21"/>
          <w:highlight w:val="none"/>
          <w:lang w:val="en-US" w:eastAsia="zh-CN"/>
        </w:rPr>
        <w:t>3</w:t>
      </w:r>
      <w:r>
        <w:rPr>
          <w:rFonts w:hint="eastAsia" w:ascii="宋体" w:hAnsi="宋体" w:eastAsia="宋体" w:cs="宋体"/>
          <w:b/>
          <w:bCs/>
          <w:color w:val="auto"/>
          <w:sz w:val="24"/>
          <w:szCs w:val="21"/>
          <w:highlight w:val="none"/>
          <w:lang w:val="en-US" w:eastAsia="zh-CN"/>
        </w:rPr>
        <w:t>.</w:t>
      </w:r>
      <w:r>
        <w:rPr>
          <w:rFonts w:hint="eastAsia" w:ascii="宋体" w:hAnsi="宋体" w:cs="宋体"/>
          <w:b/>
          <w:bCs/>
          <w:color w:val="auto"/>
          <w:sz w:val="24"/>
          <w:szCs w:val="21"/>
          <w:highlight w:val="none"/>
          <w:lang w:val="en-US" w:eastAsia="zh-CN"/>
        </w:rPr>
        <w:t>5</w:t>
      </w:r>
      <w:r>
        <w:rPr>
          <w:rFonts w:hint="eastAsia" w:ascii="宋体" w:hAnsi="宋体" w:eastAsia="宋体" w:cs="宋体"/>
          <w:b/>
          <w:bCs/>
          <w:color w:val="auto"/>
          <w:sz w:val="24"/>
          <w:szCs w:val="21"/>
          <w:highlight w:val="none"/>
          <w:lang w:val="en-US" w:eastAsia="zh-CN"/>
        </w:rPr>
        <w:t>定标</w:t>
      </w:r>
      <w:r>
        <w:rPr>
          <w:rFonts w:hint="eastAsia" w:ascii="宋体" w:hAnsi="宋体" w:eastAsia="宋体" w:cs="宋体"/>
          <w:highlight w:val="none"/>
        </w:rPr>
        <w:t xml:space="preserve"> </w:t>
      </w:r>
      <w:r>
        <w:rPr>
          <w:rFonts w:hint="eastAsia" w:ascii="宋体" w:hAnsi="宋体" w:eastAsia="宋体" w:cs="宋体"/>
          <w:b/>
          <w:bCs/>
          <w:color w:val="auto"/>
          <w:sz w:val="24"/>
          <w:szCs w:val="21"/>
          <w:highlight w:val="none"/>
        </w:rPr>
        <w:t xml:space="preserve">    </w:t>
      </w:r>
      <w:r>
        <w:rPr>
          <w:rFonts w:hint="eastAsia" w:ascii="宋体" w:hAnsi="宋体" w:eastAsia="宋体" w:cs="宋体"/>
          <w:b/>
          <w:bCs/>
          <w:color w:val="auto"/>
          <w:sz w:val="24"/>
          <w:szCs w:val="21"/>
          <w:highlight w:val="none"/>
          <w:lang w:val="en-US" w:eastAsia="zh-CN"/>
        </w:rPr>
        <w:t xml:space="preserve">              </w:t>
      </w:r>
      <w:r>
        <w:rPr>
          <w:rFonts w:hint="eastAsia" w:ascii="宋体" w:hAnsi="宋体" w:eastAsia="宋体" w:cs="宋体"/>
          <w:b/>
          <w:bCs/>
          <w:color w:val="auto"/>
          <w:sz w:val="24"/>
          <w:szCs w:val="21"/>
          <w:highlight w:val="none"/>
        </w:rPr>
        <w:t xml:space="preserve">    修改类型：</w:t>
      </w:r>
      <w:r>
        <w:rPr>
          <w:rFonts w:hint="eastAsia" w:ascii="宋体" w:hAnsi="宋体" w:eastAsia="宋体" w:cs="宋体"/>
          <w:b/>
          <w:bCs/>
          <w:color w:val="auto"/>
          <w:sz w:val="24"/>
          <w:szCs w:val="21"/>
          <w:highlight w:val="none"/>
          <w:lang w:eastAsia="zh-CN"/>
        </w:rPr>
        <w:t>增加</w:t>
      </w:r>
    </w:p>
    <w:p w14:paraId="19BBFCA8">
      <w:pPr>
        <w:pBdr>
          <w:top w:val="none" w:color="auto" w:sz="0" w:space="0"/>
          <w:left w:val="none" w:color="auto" w:sz="0" w:space="0"/>
          <w:bottom w:val="none" w:color="auto" w:sz="0" w:space="0"/>
          <w:right w:val="none" w:color="auto" w:sz="0" w:space="0"/>
          <w:between w:val="none" w:color="auto" w:sz="0" w:space="0"/>
        </w:pBdr>
        <w:spacing w:line="360" w:lineRule="auto"/>
        <w:ind w:firstLine="482" w:firstLineChars="200"/>
        <w:rPr>
          <w:rFonts w:hint="eastAsia" w:ascii="宋体" w:hAnsi="宋体" w:cs="宋体"/>
          <w:color w:val="auto"/>
          <w:sz w:val="24"/>
          <w:highlight w:val="none"/>
          <w:u w:val="single"/>
          <w:lang w:val="en-US" w:eastAsia="zh-CN"/>
        </w:rPr>
      </w:pPr>
      <w:r>
        <w:rPr>
          <w:rFonts w:hint="eastAsia" w:ascii="宋体" w:hAnsi="宋体" w:eastAsia="宋体" w:cs="宋体"/>
          <w:b/>
          <w:bCs/>
          <w:color w:val="auto"/>
          <w:sz w:val="24"/>
          <w:szCs w:val="21"/>
          <w:highlight w:val="none"/>
          <w:lang w:eastAsia="zh-CN"/>
        </w:rPr>
        <w:t>现文：</w:t>
      </w:r>
      <w:r>
        <w:rPr>
          <w:rFonts w:hint="eastAsia" w:ascii="宋体" w:hAnsi="宋体" w:cs="宋体"/>
          <w:color w:val="auto"/>
          <w:sz w:val="24"/>
          <w:highlight w:val="none"/>
          <w:u w:val="single"/>
          <w:lang w:val="en-US" w:eastAsia="zh-CN"/>
        </w:rPr>
        <w:t>3.5定标（定标办法采用票决法</w:t>
      </w:r>
      <w:r>
        <w:rPr>
          <w:rFonts w:hint="eastAsia" w:ascii="宋体" w:hAnsi="宋体"/>
          <w:b w:val="0"/>
          <w:bCs/>
          <w:highlight w:val="none"/>
          <w:u w:val="single"/>
        </w:rPr>
        <w:t>+撰写评语</w:t>
      </w:r>
      <w:r>
        <w:rPr>
          <w:rFonts w:hint="eastAsia" w:ascii="宋体" w:hAnsi="宋体" w:cs="宋体"/>
          <w:color w:val="auto"/>
          <w:sz w:val="24"/>
          <w:highlight w:val="none"/>
          <w:u w:val="single"/>
          <w:lang w:val="en-US" w:eastAsia="zh-CN"/>
        </w:rPr>
        <w:t>）</w:t>
      </w:r>
    </w:p>
    <w:p w14:paraId="47AD726F">
      <w:pPr>
        <w:spacing w:line="360" w:lineRule="auto"/>
        <w:ind w:firstLine="480" w:firstLineChars="200"/>
        <w:rPr>
          <w:rFonts w:hint="eastAsia" w:ascii="宋体" w:hAnsi="宋体" w:eastAsia="宋体" w:cs="宋体"/>
          <w:bCs/>
          <w:sz w:val="24"/>
          <w:highlight w:val="none"/>
          <w:u w:val="single"/>
          <w:lang w:eastAsia="zh-CN"/>
        </w:rPr>
      </w:pPr>
      <w:r>
        <w:rPr>
          <w:rFonts w:hint="eastAsia" w:ascii="宋体" w:hAnsi="宋体" w:eastAsia="宋体" w:cs="宋体"/>
          <w:bCs/>
          <w:sz w:val="24"/>
          <w:highlight w:val="none"/>
          <w:u w:val="single"/>
          <w:lang w:eastAsia="zh-CN"/>
        </w:rPr>
        <w:t>3.</w:t>
      </w:r>
      <w:r>
        <w:rPr>
          <w:rFonts w:hint="eastAsia" w:ascii="宋体" w:hAnsi="宋体" w:eastAsia="宋体" w:cs="宋体"/>
          <w:bCs/>
          <w:sz w:val="24"/>
          <w:highlight w:val="none"/>
          <w:u w:val="single"/>
          <w:lang w:val="en-US" w:eastAsia="zh-CN"/>
        </w:rPr>
        <w:t>5</w:t>
      </w:r>
      <w:r>
        <w:rPr>
          <w:rFonts w:hint="eastAsia" w:ascii="宋体" w:hAnsi="宋体" w:eastAsia="宋体" w:cs="宋体"/>
          <w:bCs/>
          <w:sz w:val="24"/>
          <w:highlight w:val="none"/>
          <w:u w:val="single"/>
          <w:lang w:eastAsia="zh-CN"/>
        </w:rPr>
        <w:t>.1定标委员会由招标人组建。</w:t>
      </w:r>
    </w:p>
    <w:p w14:paraId="55A7DF73">
      <w:pPr>
        <w:spacing w:line="360" w:lineRule="auto"/>
        <w:ind w:firstLine="480" w:firstLineChars="200"/>
        <w:rPr>
          <w:rFonts w:hint="eastAsia" w:ascii="宋体" w:hAnsi="宋体" w:eastAsia="宋体" w:cs="宋体"/>
          <w:bCs/>
          <w:sz w:val="24"/>
          <w:highlight w:val="none"/>
          <w:u w:val="single"/>
          <w:lang w:eastAsia="zh-CN"/>
        </w:rPr>
      </w:pPr>
      <w:r>
        <w:rPr>
          <w:rFonts w:hint="eastAsia" w:ascii="宋体" w:hAnsi="宋体" w:eastAsia="宋体" w:cs="宋体"/>
          <w:bCs/>
          <w:sz w:val="24"/>
          <w:highlight w:val="none"/>
          <w:u w:val="single"/>
          <w:lang w:eastAsia="zh-CN"/>
        </w:rPr>
        <w:t>3.</w:t>
      </w:r>
      <w:r>
        <w:rPr>
          <w:rFonts w:hint="eastAsia" w:ascii="宋体" w:hAnsi="宋体" w:eastAsia="宋体" w:cs="宋体"/>
          <w:bCs/>
          <w:sz w:val="24"/>
          <w:highlight w:val="none"/>
          <w:u w:val="single"/>
          <w:lang w:val="en-US" w:eastAsia="zh-CN"/>
        </w:rPr>
        <w:t>5</w:t>
      </w:r>
      <w:r>
        <w:rPr>
          <w:rFonts w:hint="eastAsia" w:ascii="宋体" w:hAnsi="宋体" w:eastAsia="宋体" w:cs="宋体"/>
          <w:bCs/>
          <w:sz w:val="24"/>
          <w:highlight w:val="none"/>
          <w:u w:val="single"/>
          <w:lang w:eastAsia="zh-CN"/>
        </w:rPr>
        <w:t>.2招标人在合格中标候选人公示完成后10个工作日内完成定标工作。</w:t>
      </w:r>
    </w:p>
    <w:p w14:paraId="32221C46">
      <w:pPr>
        <w:spacing w:line="360" w:lineRule="auto"/>
        <w:ind w:firstLine="480" w:firstLineChars="200"/>
        <w:rPr>
          <w:rFonts w:hint="eastAsia" w:ascii="宋体" w:hAnsi="宋体"/>
          <w:b w:val="0"/>
          <w:bCs/>
          <w:highlight w:val="none"/>
          <w:u w:val="single"/>
        </w:rPr>
      </w:pPr>
      <w:r>
        <w:rPr>
          <w:rFonts w:hint="eastAsia" w:ascii="宋体" w:hAnsi="宋体" w:eastAsia="宋体" w:cs="宋体"/>
          <w:b w:val="0"/>
          <w:bCs/>
          <w:sz w:val="24"/>
          <w:highlight w:val="none"/>
          <w:u w:val="single"/>
          <w:lang w:eastAsia="zh-CN"/>
        </w:rPr>
        <w:t>3.</w:t>
      </w:r>
      <w:r>
        <w:rPr>
          <w:rFonts w:hint="eastAsia" w:ascii="宋体" w:hAnsi="宋体" w:eastAsia="宋体" w:cs="宋体"/>
          <w:b w:val="0"/>
          <w:bCs/>
          <w:sz w:val="24"/>
          <w:highlight w:val="none"/>
          <w:u w:val="single"/>
          <w:lang w:val="en-US" w:eastAsia="zh-CN"/>
        </w:rPr>
        <w:t>5</w:t>
      </w:r>
      <w:r>
        <w:rPr>
          <w:rFonts w:hint="eastAsia" w:ascii="宋体" w:hAnsi="宋体" w:eastAsia="宋体" w:cs="宋体"/>
          <w:b w:val="0"/>
          <w:bCs/>
          <w:sz w:val="24"/>
          <w:highlight w:val="none"/>
          <w:u w:val="single"/>
          <w:lang w:eastAsia="zh-CN"/>
        </w:rPr>
        <w:t>.3</w:t>
      </w:r>
      <w:r>
        <w:rPr>
          <w:rFonts w:hint="eastAsia" w:ascii="宋体" w:hAnsi="宋体"/>
          <w:b w:val="0"/>
          <w:bCs/>
          <w:highlight w:val="none"/>
          <w:u w:val="single"/>
        </w:rPr>
        <w:t>定标工作开始后，发放选票，由定标委员会参考定标因素及定标辅助资料进行投票排名。</w:t>
      </w:r>
    </w:p>
    <w:p w14:paraId="4FC810A8">
      <w:pPr>
        <w:adjustRightInd/>
        <w:snapToGrid/>
        <w:spacing w:line="360" w:lineRule="auto"/>
        <w:ind w:firstLine="480" w:firstLineChars="200"/>
        <w:rPr>
          <w:rFonts w:hint="eastAsia" w:ascii="宋体" w:hAnsi="宋体"/>
          <w:b w:val="0"/>
          <w:bCs/>
          <w:highlight w:val="none"/>
          <w:u w:val="single"/>
        </w:rPr>
      </w:pPr>
      <w:r>
        <w:rPr>
          <w:rFonts w:hint="eastAsia" w:ascii="宋体" w:hAnsi="宋体" w:eastAsia="宋体" w:cs="宋体"/>
          <w:b w:val="0"/>
          <w:bCs/>
          <w:sz w:val="24"/>
          <w:highlight w:val="none"/>
          <w:u w:val="single"/>
          <w:lang w:eastAsia="zh-CN"/>
        </w:rPr>
        <w:t>3.</w:t>
      </w:r>
      <w:r>
        <w:rPr>
          <w:rFonts w:hint="eastAsia" w:ascii="宋体" w:hAnsi="宋体" w:eastAsia="宋体" w:cs="宋体"/>
          <w:b w:val="0"/>
          <w:bCs/>
          <w:sz w:val="24"/>
          <w:highlight w:val="none"/>
          <w:u w:val="single"/>
          <w:lang w:val="en-US" w:eastAsia="zh-CN"/>
        </w:rPr>
        <w:t>5</w:t>
      </w:r>
      <w:r>
        <w:rPr>
          <w:rFonts w:hint="eastAsia" w:ascii="宋体" w:hAnsi="宋体" w:eastAsia="宋体" w:cs="宋体"/>
          <w:b w:val="0"/>
          <w:bCs/>
          <w:sz w:val="24"/>
          <w:highlight w:val="none"/>
          <w:u w:val="single"/>
          <w:lang w:eastAsia="zh-CN"/>
        </w:rPr>
        <w:t>.</w:t>
      </w:r>
      <w:r>
        <w:rPr>
          <w:rFonts w:hint="eastAsia" w:ascii="宋体" w:hAnsi="宋体" w:cs="宋体"/>
          <w:b w:val="0"/>
          <w:bCs/>
          <w:sz w:val="24"/>
          <w:highlight w:val="none"/>
          <w:u w:val="single"/>
          <w:lang w:val="en-US" w:eastAsia="zh-CN"/>
        </w:rPr>
        <w:t>4</w:t>
      </w:r>
      <w:r>
        <w:rPr>
          <w:rFonts w:hint="eastAsia" w:ascii="宋体" w:hAnsi="宋体"/>
          <w:b w:val="0"/>
          <w:bCs/>
          <w:szCs w:val="22"/>
          <w:highlight w:val="none"/>
          <w:u w:val="single"/>
        </w:rPr>
        <w:t>定标辅助资料为评标阶段的评标报告、投标人提交的投标与定标文件。</w:t>
      </w:r>
    </w:p>
    <w:p w14:paraId="670CFDCF">
      <w:pPr>
        <w:spacing w:line="360" w:lineRule="auto"/>
        <w:ind w:firstLine="480" w:firstLineChars="200"/>
        <w:rPr>
          <w:rFonts w:hint="eastAsia" w:ascii="宋体" w:hAnsi="宋体"/>
          <w:b w:val="0"/>
          <w:bCs/>
          <w:szCs w:val="22"/>
          <w:highlight w:val="none"/>
          <w:u w:val="single"/>
        </w:rPr>
      </w:pPr>
      <w:r>
        <w:rPr>
          <w:rFonts w:hint="eastAsia" w:ascii="宋体" w:hAnsi="宋体" w:eastAsia="宋体" w:cs="宋体"/>
          <w:b w:val="0"/>
          <w:bCs/>
          <w:sz w:val="24"/>
          <w:highlight w:val="none"/>
          <w:u w:val="single"/>
          <w:lang w:eastAsia="zh-CN"/>
        </w:rPr>
        <w:t>3.</w:t>
      </w:r>
      <w:r>
        <w:rPr>
          <w:rFonts w:hint="eastAsia" w:ascii="宋体" w:hAnsi="宋体" w:eastAsia="宋体" w:cs="宋体"/>
          <w:b w:val="0"/>
          <w:bCs/>
          <w:sz w:val="24"/>
          <w:highlight w:val="none"/>
          <w:u w:val="single"/>
          <w:lang w:val="en-US" w:eastAsia="zh-CN"/>
        </w:rPr>
        <w:t>5</w:t>
      </w:r>
      <w:r>
        <w:rPr>
          <w:rFonts w:hint="eastAsia" w:ascii="宋体" w:hAnsi="宋体" w:eastAsia="宋体" w:cs="宋体"/>
          <w:b w:val="0"/>
          <w:bCs/>
          <w:sz w:val="24"/>
          <w:highlight w:val="none"/>
          <w:u w:val="single"/>
          <w:lang w:eastAsia="zh-CN"/>
        </w:rPr>
        <w:t>.</w:t>
      </w:r>
      <w:r>
        <w:rPr>
          <w:rFonts w:hint="eastAsia" w:ascii="宋体" w:hAnsi="宋体" w:cs="宋体"/>
          <w:b w:val="0"/>
          <w:bCs/>
          <w:sz w:val="24"/>
          <w:highlight w:val="none"/>
          <w:u w:val="single"/>
          <w:lang w:val="en-US" w:eastAsia="zh-CN"/>
        </w:rPr>
        <w:t>5</w:t>
      </w:r>
      <w:r>
        <w:rPr>
          <w:rFonts w:hint="eastAsia" w:ascii="宋体" w:hAnsi="宋体"/>
          <w:b w:val="0"/>
          <w:bCs/>
          <w:szCs w:val="22"/>
          <w:highlight w:val="none"/>
          <w:u w:val="single"/>
        </w:rPr>
        <w:t>定标委员会根据定标辅助资料，在同等条件下，定标因素的相对标准按以下几个方面进行：</w:t>
      </w:r>
    </w:p>
    <w:p w14:paraId="422D2404">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rFonts w:hint="eastAsia" w:ascii="宋体" w:hAnsi="宋体" w:eastAsia="宋体" w:cs="宋体"/>
          <w:color w:val="000000"/>
          <w:sz w:val="24"/>
          <w:highlight w:val="none"/>
          <w:u w:val="single"/>
          <w:lang w:val="en-US" w:eastAsia="zh-CN"/>
        </w:rPr>
      </w:pPr>
      <w:r>
        <w:rPr>
          <w:rFonts w:hint="eastAsia" w:ascii="宋体" w:hAnsi="宋体" w:eastAsia="宋体" w:cs="宋体"/>
          <w:b w:val="0"/>
          <w:bCs/>
          <w:color w:val="000000"/>
          <w:sz w:val="24"/>
          <w:highlight w:val="none"/>
          <w:u w:val="single"/>
        </w:rPr>
        <w:t>（1）</w:t>
      </w:r>
      <w:r>
        <w:rPr>
          <w:rFonts w:hint="eastAsia" w:cs="宋体"/>
          <w:b w:val="0"/>
          <w:bCs/>
          <w:color w:val="000000"/>
          <w:sz w:val="24"/>
          <w:highlight w:val="none"/>
          <w:u w:val="single"/>
          <w:lang w:val="en-US" w:eastAsia="zh-CN"/>
        </w:rPr>
        <w:t>价格因素</w:t>
      </w:r>
      <w:r>
        <w:rPr>
          <w:rFonts w:hint="eastAsia" w:cs="宋体"/>
          <w:color w:val="000000"/>
          <w:sz w:val="24"/>
          <w:highlight w:val="none"/>
          <w:u w:val="single"/>
          <w:lang w:val="en-US" w:eastAsia="zh-CN"/>
        </w:rPr>
        <w:t>；</w:t>
      </w:r>
    </w:p>
    <w:p w14:paraId="70C04936">
      <w:pPr>
        <w:spacing w:line="360" w:lineRule="auto"/>
        <w:ind w:firstLine="480" w:firstLineChars="200"/>
        <w:rPr>
          <w:rFonts w:hint="eastAsia" w:ascii="宋体" w:hAnsi="宋体" w:cs="宋体"/>
          <w:color w:val="auto"/>
          <w:sz w:val="24"/>
          <w:highlight w:val="none"/>
          <w:u w:val="single"/>
          <w:lang w:val="en-US" w:eastAsia="zh-CN"/>
        </w:rPr>
      </w:pPr>
      <w:r>
        <w:rPr>
          <w:rFonts w:hint="eastAsia" w:ascii="宋体" w:hAnsi="宋体" w:eastAsia="宋体" w:cs="宋体"/>
          <w:color w:val="000000"/>
          <w:sz w:val="24"/>
          <w:highlight w:val="none"/>
          <w:u w:val="single"/>
        </w:rPr>
        <w:t>（2）</w:t>
      </w:r>
      <w:r>
        <w:rPr>
          <w:rFonts w:hint="eastAsia" w:ascii="宋体" w:hAnsi="宋体" w:cs="宋体"/>
          <w:color w:val="auto"/>
          <w:sz w:val="24"/>
          <w:highlight w:val="none"/>
          <w:u w:val="single"/>
          <w:lang w:val="en-US" w:eastAsia="zh-CN"/>
        </w:rPr>
        <w:t>方案因素</w:t>
      </w:r>
    </w:p>
    <w:p w14:paraId="6B4F7CEE">
      <w:pPr>
        <w:spacing w:line="360" w:lineRule="auto"/>
        <w:ind w:firstLine="480" w:firstLineChars="200"/>
        <w:rPr>
          <w:rFonts w:hint="eastAsia" w:ascii="宋体" w:hAnsi="宋体" w:cs="宋体"/>
          <w:color w:val="auto"/>
          <w:sz w:val="24"/>
          <w:highlight w:val="none"/>
          <w:u w:val="single"/>
          <w:lang w:val="en-US" w:eastAsia="zh-CN"/>
        </w:rPr>
      </w:pPr>
      <w:r>
        <w:rPr>
          <w:rFonts w:hint="eastAsia" w:ascii="宋体" w:hAnsi="宋体" w:cs="宋体"/>
          <w:color w:val="auto"/>
          <w:sz w:val="24"/>
          <w:highlight w:val="none"/>
          <w:u w:val="single"/>
          <w:lang w:val="en-US" w:eastAsia="zh-CN"/>
        </w:rPr>
        <w:t>（3）团队因素</w:t>
      </w:r>
    </w:p>
    <w:p w14:paraId="5A94B76F">
      <w:pPr>
        <w:spacing w:line="360" w:lineRule="auto"/>
        <w:ind w:firstLine="480" w:firstLineChars="200"/>
        <w:rPr>
          <w:rFonts w:hint="eastAsia" w:cs="宋体"/>
          <w:color w:val="000000"/>
          <w:sz w:val="24"/>
          <w:highlight w:val="none"/>
          <w:u w:val="single"/>
          <w:lang w:eastAsia="zh-CN"/>
        </w:rPr>
      </w:pPr>
      <w:r>
        <w:rPr>
          <w:rFonts w:hint="eastAsia" w:ascii="宋体" w:hAnsi="宋体" w:cs="宋体"/>
          <w:color w:val="auto"/>
          <w:sz w:val="24"/>
          <w:highlight w:val="none"/>
          <w:u w:val="single"/>
          <w:lang w:val="en-US" w:eastAsia="zh-CN"/>
        </w:rPr>
        <w:t>（4）资信因素</w:t>
      </w:r>
      <w:r>
        <w:rPr>
          <w:rFonts w:hint="eastAsia" w:cs="宋体"/>
          <w:color w:val="000000"/>
          <w:sz w:val="24"/>
          <w:highlight w:val="none"/>
          <w:u w:val="single"/>
          <w:lang w:eastAsia="zh-CN"/>
        </w:rPr>
        <w:t>。</w:t>
      </w:r>
    </w:p>
    <w:p w14:paraId="7EFEF044">
      <w:pPr>
        <w:spacing w:line="360" w:lineRule="auto"/>
        <w:ind w:firstLine="480" w:firstLineChars="200"/>
        <w:rPr>
          <w:rFonts w:hint="eastAsia" w:ascii="宋体" w:hAnsi="宋体" w:eastAsia="宋体" w:cs="宋体"/>
          <w:color w:val="auto"/>
          <w:sz w:val="24"/>
          <w:highlight w:val="none"/>
          <w:u w:val="single"/>
          <w:lang w:val="en-US" w:eastAsia="zh-CN"/>
        </w:rPr>
      </w:pPr>
      <w:r>
        <w:rPr>
          <w:rFonts w:hint="eastAsia" w:ascii="宋体" w:hAnsi="宋体" w:eastAsia="宋体" w:cs="宋体"/>
          <w:bCs/>
          <w:sz w:val="24"/>
          <w:highlight w:val="none"/>
          <w:u w:val="single"/>
          <w:lang w:eastAsia="zh-CN"/>
        </w:rPr>
        <w:t>3.</w:t>
      </w:r>
      <w:r>
        <w:rPr>
          <w:rFonts w:hint="eastAsia" w:ascii="宋体" w:hAnsi="宋体" w:eastAsia="宋体" w:cs="宋体"/>
          <w:bCs/>
          <w:sz w:val="24"/>
          <w:highlight w:val="none"/>
          <w:u w:val="single"/>
          <w:lang w:val="en-US" w:eastAsia="zh-CN"/>
        </w:rPr>
        <w:t>5</w:t>
      </w:r>
      <w:r>
        <w:rPr>
          <w:rFonts w:hint="eastAsia" w:ascii="宋体" w:hAnsi="宋体" w:eastAsia="宋体" w:cs="宋体"/>
          <w:bCs/>
          <w:sz w:val="24"/>
          <w:highlight w:val="none"/>
          <w:u w:val="single"/>
          <w:lang w:eastAsia="zh-CN"/>
        </w:rPr>
        <w:t>.</w:t>
      </w:r>
      <w:r>
        <w:rPr>
          <w:rFonts w:hint="eastAsia" w:ascii="宋体" w:hAnsi="宋体" w:cs="宋体"/>
          <w:bCs/>
          <w:sz w:val="24"/>
          <w:highlight w:val="none"/>
          <w:u w:val="single"/>
          <w:lang w:val="en-US" w:eastAsia="zh-CN"/>
        </w:rPr>
        <w:t>6</w:t>
      </w:r>
      <w:r>
        <w:rPr>
          <w:rFonts w:hint="eastAsia" w:ascii="宋体" w:hAnsi="宋体" w:eastAsia="宋体" w:cs="宋体"/>
          <w:color w:val="auto"/>
          <w:sz w:val="24"/>
          <w:highlight w:val="none"/>
          <w:u w:val="single"/>
          <w:lang w:val="en-US" w:eastAsia="zh-CN"/>
        </w:rPr>
        <w:t>投票规则：</w:t>
      </w:r>
      <w:r>
        <w:rPr>
          <w:rFonts w:hint="eastAsia" w:ascii="宋体" w:hAnsi="宋体" w:cs="宋体"/>
          <w:color w:val="auto"/>
          <w:sz w:val="24"/>
          <w:highlight w:val="none"/>
          <w:u w:val="single"/>
          <w:lang w:val="en-US" w:eastAsia="zh-CN"/>
        </w:rPr>
        <w:t>定标阶段由</w:t>
      </w:r>
      <w:r>
        <w:rPr>
          <w:rFonts w:hint="eastAsia" w:ascii="宋体" w:hAnsi="宋体" w:eastAsia="宋体" w:cs="宋体"/>
          <w:color w:val="auto"/>
          <w:sz w:val="24"/>
          <w:highlight w:val="none"/>
          <w:u w:val="single"/>
          <w:lang w:val="en-US" w:eastAsia="zh-CN"/>
        </w:rPr>
        <w:t>定标委员会根据定标因素对各合格中标候选人进行综合</w:t>
      </w:r>
      <w:r>
        <w:rPr>
          <w:rFonts w:hint="eastAsia" w:ascii="宋体" w:hAnsi="宋体" w:cs="宋体"/>
          <w:color w:val="auto"/>
          <w:sz w:val="24"/>
          <w:highlight w:val="none"/>
          <w:u w:val="single"/>
          <w:lang w:val="en-US" w:eastAsia="zh-CN"/>
        </w:rPr>
        <w:t>比较后，</w:t>
      </w:r>
      <w:r>
        <w:rPr>
          <w:rFonts w:hint="eastAsia" w:ascii="宋体" w:hAnsi="宋体" w:eastAsia="宋体" w:cs="宋体"/>
          <w:color w:val="auto"/>
          <w:sz w:val="24"/>
          <w:highlight w:val="none"/>
          <w:u w:val="single"/>
          <w:lang w:val="en-US" w:eastAsia="zh-CN"/>
        </w:rPr>
        <w:t>进行一次性票决，每位定标委员会成员只有1票表决权（即只能对其中</w:t>
      </w:r>
      <w:r>
        <w:rPr>
          <w:rFonts w:hint="eastAsia" w:ascii="宋体" w:hAnsi="宋体" w:cs="宋体"/>
          <w:color w:val="auto"/>
          <w:sz w:val="24"/>
          <w:highlight w:val="none"/>
          <w:u w:val="single"/>
          <w:lang w:val="en-US" w:eastAsia="zh-CN"/>
        </w:rPr>
        <w:t>一</w:t>
      </w:r>
      <w:r>
        <w:rPr>
          <w:rFonts w:hint="eastAsia" w:ascii="宋体" w:hAnsi="宋体" w:eastAsia="宋体" w:cs="宋体"/>
          <w:color w:val="auto"/>
          <w:sz w:val="24"/>
          <w:highlight w:val="none"/>
          <w:u w:val="single"/>
          <w:lang w:val="en-US" w:eastAsia="zh-CN"/>
        </w:rPr>
        <w:t>家</w:t>
      </w:r>
      <w:r>
        <w:rPr>
          <w:rFonts w:hint="eastAsia" w:ascii="宋体" w:hAnsi="宋体" w:cs="宋体"/>
          <w:color w:val="auto"/>
          <w:sz w:val="24"/>
          <w:highlight w:val="none"/>
          <w:u w:val="single"/>
          <w:lang w:val="en-US" w:eastAsia="zh-CN"/>
        </w:rPr>
        <w:t>合格</w:t>
      </w:r>
      <w:r>
        <w:rPr>
          <w:rFonts w:hint="eastAsia" w:ascii="宋体" w:hAnsi="宋体" w:eastAsia="宋体" w:cs="宋体"/>
          <w:color w:val="auto"/>
          <w:sz w:val="24"/>
          <w:highlight w:val="none"/>
          <w:u w:val="single"/>
          <w:lang w:val="en-US" w:eastAsia="zh-CN"/>
        </w:rPr>
        <w:t>中标候选人投票），得票数最多的合格中标候选人确定为中标人，若出现</w:t>
      </w:r>
      <w:r>
        <w:rPr>
          <w:rFonts w:hint="eastAsia" w:ascii="宋体" w:hAnsi="宋体" w:cs="宋体"/>
          <w:color w:val="auto"/>
          <w:sz w:val="24"/>
          <w:highlight w:val="none"/>
          <w:u w:val="single"/>
          <w:lang w:val="en-US" w:eastAsia="zh-CN"/>
        </w:rPr>
        <w:t>最高</w:t>
      </w:r>
      <w:r>
        <w:rPr>
          <w:rFonts w:hint="eastAsia" w:ascii="宋体" w:hAnsi="宋体" w:eastAsia="宋体" w:cs="宋体"/>
          <w:color w:val="auto"/>
          <w:sz w:val="24"/>
          <w:highlight w:val="none"/>
          <w:u w:val="single"/>
          <w:lang w:val="en-US" w:eastAsia="zh-CN"/>
        </w:rPr>
        <w:t>票数相同且无法决出中标人时，对</w:t>
      </w:r>
      <w:r>
        <w:rPr>
          <w:rFonts w:hint="eastAsia" w:ascii="宋体" w:hAnsi="宋体" w:cs="宋体"/>
          <w:color w:val="auto"/>
          <w:sz w:val="24"/>
          <w:highlight w:val="none"/>
          <w:u w:val="single"/>
          <w:lang w:val="en-US" w:eastAsia="zh-CN"/>
        </w:rPr>
        <w:t>最高</w:t>
      </w:r>
      <w:r>
        <w:rPr>
          <w:rFonts w:hint="eastAsia" w:ascii="宋体" w:hAnsi="宋体" w:eastAsia="宋体" w:cs="宋体"/>
          <w:color w:val="auto"/>
          <w:sz w:val="24"/>
          <w:highlight w:val="none"/>
          <w:u w:val="single"/>
          <w:lang w:val="en-US" w:eastAsia="zh-CN"/>
        </w:rPr>
        <w:t>票数相同的</w:t>
      </w:r>
      <w:r>
        <w:rPr>
          <w:rFonts w:hint="eastAsia" w:ascii="宋体" w:hAnsi="宋体" w:cs="宋体"/>
          <w:color w:val="auto"/>
          <w:sz w:val="24"/>
          <w:highlight w:val="none"/>
          <w:u w:val="single"/>
          <w:lang w:val="en-US" w:eastAsia="zh-CN"/>
        </w:rPr>
        <w:t>合格</w:t>
      </w:r>
      <w:r>
        <w:rPr>
          <w:rFonts w:hint="eastAsia" w:ascii="宋体" w:hAnsi="宋体" w:eastAsia="宋体" w:cs="宋体"/>
          <w:color w:val="auto"/>
          <w:sz w:val="24"/>
          <w:highlight w:val="none"/>
          <w:u w:val="single"/>
          <w:lang w:val="en-US" w:eastAsia="zh-CN"/>
        </w:rPr>
        <w:t>中标候选人再进行</w:t>
      </w:r>
      <w:r>
        <w:rPr>
          <w:rFonts w:hint="eastAsia" w:ascii="宋体" w:hAnsi="宋体" w:cs="宋体"/>
          <w:color w:val="auto"/>
          <w:sz w:val="24"/>
          <w:highlight w:val="none"/>
          <w:u w:val="single"/>
          <w:lang w:val="en-US" w:eastAsia="zh-CN"/>
        </w:rPr>
        <w:t>附加的</w:t>
      </w:r>
      <w:r>
        <w:rPr>
          <w:rFonts w:hint="eastAsia" w:ascii="宋体" w:hAnsi="宋体" w:eastAsia="宋体" w:cs="宋体"/>
          <w:color w:val="auto"/>
          <w:sz w:val="24"/>
          <w:highlight w:val="none"/>
          <w:u w:val="single"/>
          <w:lang w:val="en-US" w:eastAsia="zh-CN"/>
        </w:rPr>
        <w:t>一次性票决，直至决出中标人。</w:t>
      </w:r>
      <w:r>
        <w:rPr>
          <w:rFonts w:hint="eastAsia" w:ascii="宋体" w:hAnsi="宋体" w:eastAsia="宋体" w:cs="宋体"/>
          <w:bCs/>
          <w:sz w:val="24"/>
          <w:highlight w:val="none"/>
          <w:u w:val="single"/>
          <w:lang w:val="en-US" w:eastAsia="zh-CN"/>
        </w:rPr>
        <w:t>若</w:t>
      </w:r>
      <w:r>
        <w:rPr>
          <w:rFonts w:hint="eastAsia" w:ascii="宋体" w:hAnsi="宋体" w:cs="宋体"/>
          <w:color w:val="auto"/>
          <w:sz w:val="24"/>
          <w:highlight w:val="none"/>
          <w:u w:val="single"/>
          <w:lang w:val="en-US" w:eastAsia="zh-CN"/>
        </w:rPr>
        <w:t>最高</w:t>
      </w:r>
      <w:r>
        <w:rPr>
          <w:rFonts w:hint="eastAsia" w:ascii="宋体" w:hAnsi="宋体" w:eastAsia="宋体" w:cs="宋体"/>
          <w:bCs/>
          <w:sz w:val="24"/>
          <w:highlight w:val="none"/>
          <w:u w:val="single"/>
          <w:lang w:val="en-US" w:eastAsia="zh-CN"/>
        </w:rPr>
        <w:t>票数相同的合格中标候选人经三轮票决票数仍相同且无法决出中标人时，以投标报价低者为中标人。</w:t>
      </w:r>
      <w:r>
        <w:rPr>
          <w:rFonts w:hint="eastAsia" w:ascii="宋体" w:hAnsi="宋体" w:eastAsia="宋体" w:cs="宋体"/>
          <w:color w:val="auto"/>
          <w:sz w:val="24"/>
          <w:highlight w:val="none"/>
          <w:u w:val="single"/>
          <w:lang w:val="en-US" w:eastAsia="zh-CN"/>
        </w:rPr>
        <w:t>定标委员会成员投票时，应按照招标文件规定的投票规则独立行使投票权，不得弃权或产生废票。</w:t>
      </w:r>
    </w:p>
    <w:p w14:paraId="47CE4646">
      <w:pPr>
        <w:spacing w:line="360" w:lineRule="auto"/>
        <w:ind w:firstLine="480" w:firstLineChars="200"/>
        <w:rPr>
          <w:rFonts w:hint="default" w:ascii="宋体" w:hAnsi="宋体" w:eastAsia="宋体" w:cs="宋体"/>
          <w:color w:val="auto"/>
          <w:sz w:val="24"/>
          <w:highlight w:val="none"/>
          <w:u w:val="single"/>
          <w:lang w:val="en-US" w:eastAsia="zh-CN"/>
        </w:rPr>
      </w:pPr>
      <w:r>
        <w:rPr>
          <w:rFonts w:hint="eastAsia" w:ascii="宋体" w:hAnsi="宋体" w:eastAsia="宋体" w:cs="宋体"/>
          <w:bCs/>
          <w:sz w:val="24"/>
          <w:highlight w:val="none"/>
          <w:u w:val="single"/>
          <w:lang w:eastAsia="zh-CN"/>
        </w:rPr>
        <w:t>3.</w:t>
      </w:r>
      <w:r>
        <w:rPr>
          <w:rFonts w:hint="eastAsia" w:ascii="宋体" w:hAnsi="宋体" w:eastAsia="宋体" w:cs="宋体"/>
          <w:bCs/>
          <w:sz w:val="24"/>
          <w:highlight w:val="none"/>
          <w:u w:val="single"/>
          <w:lang w:val="en-US" w:eastAsia="zh-CN"/>
        </w:rPr>
        <w:t>5</w:t>
      </w:r>
      <w:r>
        <w:rPr>
          <w:rFonts w:hint="eastAsia" w:ascii="宋体" w:hAnsi="宋体" w:eastAsia="宋体" w:cs="宋体"/>
          <w:bCs/>
          <w:sz w:val="24"/>
          <w:highlight w:val="none"/>
          <w:u w:val="single"/>
          <w:lang w:eastAsia="zh-CN"/>
        </w:rPr>
        <w:t>.</w:t>
      </w:r>
      <w:r>
        <w:rPr>
          <w:rFonts w:hint="eastAsia" w:ascii="宋体" w:hAnsi="宋体" w:cs="宋体"/>
          <w:bCs/>
          <w:sz w:val="24"/>
          <w:highlight w:val="none"/>
          <w:u w:val="single"/>
          <w:lang w:val="en-US" w:eastAsia="zh-CN"/>
        </w:rPr>
        <w:t>7</w:t>
      </w:r>
      <w:r>
        <w:rPr>
          <w:rFonts w:hint="eastAsia" w:ascii="宋体" w:hAnsi="宋体" w:cs="宋体"/>
          <w:color w:val="auto"/>
          <w:sz w:val="24"/>
          <w:highlight w:val="none"/>
          <w:u w:val="single"/>
          <w:lang w:val="en-US" w:eastAsia="zh-CN"/>
        </w:rPr>
        <w:t>经票决，定标委员会推荐</w:t>
      </w:r>
      <w:r>
        <w:rPr>
          <w:rFonts w:hint="eastAsia" w:ascii="宋体" w:hAnsi="宋体" w:eastAsia="宋体" w:cs="宋体"/>
          <w:color w:val="auto"/>
          <w:sz w:val="24"/>
          <w:highlight w:val="none"/>
          <w:u w:val="single"/>
          <w:lang w:val="en-US" w:eastAsia="zh-CN"/>
        </w:rPr>
        <w:t>合格中标候选人</w:t>
      </w:r>
      <w:r>
        <w:rPr>
          <w:rFonts w:hint="eastAsia" w:ascii="宋体" w:hAnsi="宋体" w:cs="宋体"/>
          <w:color w:val="auto"/>
          <w:sz w:val="24"/>
          <w:highlight w:val="none"/>
          <w:u w:val="single"/>
          <w:lang w:val="en-US" w:eastAsia="zh-CN"/>
        </w:rPr>
        <w:t>名单中定标得票数最高为中标人，并提交定标报告。</w:t>
      </w:r>
    </w:p>
    <w:p w14:paraId="737D840C">
      <w:pPr>
        <w:spacing w:line="360" w:lineRule="auto"/>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注：本项目分三个标段，应遵循以下推荐原则：</w:t>
      </w:r>
    </w:p>
    <w:p w14:paraId="5438EEF2">
      <w:pPr>
        <w:spacing w:line="360" w:lineRule="auto"/>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1）本项目采用评定分离方式确定中标人，投标人可以自行选择参加本次招标项目的一个或多个标段的投标，若投标人同时参加多个标段的投标，需分别单独办理各标段投标登记手续，分别编制投标文件并按标段单独提交，但不可以兼中，只能中其中一个标段；各标段投入人员可以</w:t>
      </w:r>
      <w:r>
        <w:rPr>
          <w:rFonts w:hint="eastAsia" w:ascii="宋体" w:hAnsi="宋体" w:eastAsia="宋体" w:cs="宋体"/>
          <w:sz w:val="24"/>
          <w:szCs w:val="24"/>
          <w:highlight w:val="none"/>
          <w:u w:val="single"/>
          <w:lang w:eastAsia="zh-CN"/>
        </w:rPr>
        <w:t>重复</w:t>
      </w:r>
      <w:r>
        <w:rPr>
          <w:rFonts w:hint="eastAsia" w:ascii="宋体" w:hAnsi="宋体" w:eastAsia="宋体" w:cs="宋体"/>
          <w:sz w:val="24"/>
          <w:szCs w:val="24"/>
          <w:highlight w:val="none"/>
          <w:u w:val="single"/>
        </w:rPr>
        <w:t>；</w:t>
      </w:r>
    </w:p>
    <w:p w14:paraId="5C7453DE">
      <w:pPr>
        <w:spacing w:line="360" w:lineRule="auto"/>
        <w:ind w:firstLine="480" w:firstLineChars="200"/>
        <w:rPr>
          <w:rFonts w:hint="default" w:ascii="宋体" w:hAnsi="宋体" w:eastAsia="宋体" w:cs="宋体"/>
          <w:color w:val="auto"/>
          <w:sz w:val="24"/>
          <w:highlight w:val="none"/>
          <w:u w:val="single"/>
          <w:lang w:val="en-US" w:eastAsia="zh-CN"/>
        </w:rPr>
      </w:pPr>
      <w:r>
        <w:rPr>
          <w:rFonts w:hint="eastAsia" w:ascii="宋体" w:hAnsi="宋体" w:eastAsia="宋体" w:cs="宋体"/>
          <w:sz w:val="24"/>
          <w:szCs w:val="24"/>
          <w:highlight w:val="none"/>
          <w:u w:val="single"/>
        </w:rPr>
        <w:t>（2）三个标段按照招标人最终公布的最高投标限价金额由大到小的先后顺序，依次先后开标、评标、定标</w:t>
      </w:r>
      <w:r>
        <w:rPr>
          <w:rFonts w:hint="eastAsia" w:ascii="宋体" w:hAnsi="宋体" w:cs="宋体"/>
          <w:sz w:val="24"/>
          <w:szCs w:val="24"/>
          <w:highlight w:val="none"/>
          <w:u w:val="single"/>
          <w:lang w:eastAsia="zh-CN"/>
        </w:rPr>
        <w:t>。</w:t>
      </w:r>
      <w:r>
        <w:rPr>
          <w:rFonts w:hint="eastAsia" w:ascii="宋体" w:hAnsi="宋体" w:eastAsia="宋体" w:cs="宋体"/>
          <w:color w:val="auto"/>
          <w:sz w:val="24"/>
          <w:highlight w:val="none"/>
          <w:u w:val="single"/>
          <w:lang w:val="en-US" w:eastAsia="zh-CN"/>
        </w:rPr>
        <w:t>定标委员会按照</w:t>
      </w:r>
      <w:r>
        <w:rPr>
          <w:rFonts w:hint="eastAsia" w:ascii="宋体" w:hAnsi="宋体" w:eastAsia="宋体" w:cs="宋体"/>
          <w:sz w:val="24"/>
          <w:szCs w:val="24"/>
          <w:highlight w:val="none"/>
          <w:u w:val="single"/>
        </w:rPr>
        <w:t>招标人最终公布最高投标限价金额由大到小的先后顺序的标段</w:t>
      </w:r>
      <w:r>
        <w:rPr>
          <w:rFonts w:hint="eastAsia" w:ascii="宋体" w:hAnsi="宋体" w:eastAsia="宋体" w:cs="宋体"/>
          <w:sz w:val="24"/>
          <w:szCs w:val="24"/>
          <w:highlight w:val="none"/>
          <w:u w:val="single"/>
          <w:lang w:eastAsia="zh-CN"/>
        </w:rPr>
        <w:t>进行</w:t>
      </w:r>
      <w:r>
        <w:rPr>
          <w:rFonts w:hint="eastAsia" w:ascii="宋体" w:hAnsi="宋体" w:eastAsia="宋体" w:cs="宋体"/>
          <w:color w:val="auto"/>
          <w:sz w:val="24"/>
          <w:highlight w:val="none"/>
          <w:u w:val="single"/>
          <w:lang w:val="en-US" w:eastAsia="zh-CN"/>
        </w:rPr>
        <w:t>一次性票决，每位定标委员会成员只有 1 票表决权（即只能对其中一家合格中标候选人投票），得票数最多的合格中标候选人为该标段的中标人，同时自动放弃参与其他标段投票</w:t>
      </w:r>
      <w:r>
        <w:rPr>
          <w:rFonts w:hint="eastAsia" w:ascii="宋体" w:hAnsi="宋体" w:cs="宋体"/>
          <w:color w:val="auto"/>
          <w:sz w:val="24"/>
          <w:highlight w:val="none"/>
          <w:u w:val="single"/>
          <w:lang w:val="en-US" w:eastAsia="zh-CN"/>
        </w:rPr>
        <w:t>环节</w:t>
      </w:r>
      <w:r>
        <w:rPr>
          <w:rFonts w:hint="eastAsia" w:ascii="宋体" w:hAnsi="宋体" w:eastAsia="宋体" w:cs="宋体"/>
          <w:color w:val="auto"/>
          <w:sz w:val="24"/>
          <w:highlight w:val="none"/>
          <w:u w:val="single"/>
          <w:lang w:val="en-US" w:eastAsia="zh-CN"/>
        </w:rPr>
        <w:t>。但仍参与其他标段</w:t>
      </w:r>
      <w:r>
        <w:rPr>
          <w:rFonts w:hint="eastAsia" w:ascii="宋体" w:hAnsi="宋体"/>
          <w:b w:val="0"/>
          <w:bCs/>
          <w:highlight w:val="none"/>
          <w:u w:val="single"/>
        </w:rPr>
        <w:t>撰写评语</w:t>
      </w:r>
      <w:r>
        <w:rPr>
          <w:rFonts w:hint="eastAsia" w:ascii="宋体" w:hAnsi="宋体"/>
          <w:b w:val="0"/>
          <w:bCs/>
          <w:highlight w:val="none"/>
          <w:u w:val="single"/>
          <w:lang w:eastAsia="zh-CN"/>
        </w:rPr>
        <w:t>环节</w:t>
      </w:r>
      <w:r>
        <w:rPr>
          <w:rFonts w:hint="eastAsia" w:ascii="宋体" w:hAnsi="宋体" w:eastAsia="宋体" w:cs="宋体"/>
          <w:color w:val="auto"/>
          <w:sz w:val="24"/>
          <w:highlight w:val="none"/>
          <w:u w:val="single"/>
          <w:lang w:val="en-US" w:eastAsia="zh-CN"/>
        </w:rPr>
        <w:t>。</w:t>
      </w:r>
    </w:p>
    <w:p w14:paraId="7E854AF3">
      <w:pPr>
        <w:spacing w:line="360" w:lineRule="auto"/>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（3）如果出现某标段(为清晰表述，本段以下代称“A标段”）的中标人放弃中标或因其他原因被取消中标资格的：招标人可以从A标段其他合格中标候选人中采用</w:t>
      </w:r>
      <w:r>
        <w:rPr>
          <w:rFonts w:hint="eastAsia" w:ascii="宋体" w:hAnsi="宋体" w:cs="宋体"/>
          <w:spacing w:val="-6"/>
          <w:highlight w:val="none"/>
          <w:u w:val="single"/>
          <w:lang w:val="en-US" w:eastAsia="zh-CN"/>
        </w:rPr>
        <w:t>原</w:t>
      </w:r>
      <w:r>
        <w:rPr>
          <w:rFonts w:hint="eastAsia" w:ascii="宋体" w:hAnsi="宋体" w:cs="宋体"/>
          <w:spacing w:val="-6"/>
          <w:highlight w:val="none"/>
          <w:u w:val="single"/>
          <w:lang w:val="en-US" w:eastAsia="zh-CN"/>
        </w:rPr>
        <w:t>定标</w:t>
      </w:r>
      <w:r>
        <w:rPr>
          <w:rFonts w:hint="eastAsia" w:ascii="宋体" w:hAnsi="宋体" w:cs="宋体"/>
          <w:spacing w:val="-6"/>
          <w:highlight w:val="none"/>
          <w:u w:val="single"/>
          <w:lang w:val="en-US" w:eastAsia="zh-CN"/>
        </w:rPr>
        <w:t>办法</w:t>
      </w:r>
      <w:r>
        <w:rPr>
          <w:rFonts w:hint="eastAsia" w:ascii="宋体" w:hAnsi="宋体" w:eastAsia="宋体" w:cs="宋体"/>
          <w:spacing w:val="-6"/>
          <w:sz w:val="24"/>
          <w:szCs w:val="24"/>
          <w:highlight w:val="none"/>
          <w:u w:val="single"/>
        </w:rPr>
        <w:t>，由原定标委员会重新确定A标段的中标人，</w:t>
      </w:r>
      <w:r>
        <w:rPr>
          <w:rFonts w:hint="eastAsia" w:ascii="宋体" w:hAnsi="宋体" w:eastAsia="宋体" w:cs="宋体"/>
          <w:sz w:val="24"/>
          <w:szCs w:val="24"/>
          <w:highlight w:val="none"/>
          <w:u w:val="single"/>
        </w:rPr>
        <w:t>也可以重新组织招标。</w:t>
      </w:r>
      <w:r>
        <w:rPr>
          <w:rFonts w:hint="eastAsia" w:ascii="宋体" w:hAnsi="宋体" w:eastAsia="宋体" w:cs="宋体"/>
          <w:strike w:val="0"/>
          <w:dstrike w:val="0"/>
          <w:sz w:val="24"/>
          <w:szCs w:val="24"/>
          <w:highlight w:val="none"/>
          <w:u w:val="single"/>
        </w:rPr>
        <w:t>不影响其他标段</w:t>
      </w:r>
      <w:r>
        <w:rPr>
          <w:rFonts w:hint="eastAsia" w:ascii="宋体" w:hAnsi="宋体" w:eastAsia="宋体" w:cs="宋体"/>
          <w:strike w:val="0"/>
          <w:dstrike w:val="0"/>
          <w:sz w:val="24"/>
          <w:szCs w:val="24"/>
          <w:highlight w:val="none"/>
          <w:u w:val="single"/>
          <w:lang w:val="en-US" w:eastAsia="zh-CN"/>
        </w:rPr>
        <w:t>的定标工作及</w:t>
      </w:r>
      <w:r>
        <w:rPr>
          <w:rFonts w:hint="eastAsia" w:ascii="宋体" w:hAnsi="宋体" w:eastAsia="宋体" w:cs="宋体"/>
          <w:strike w:val="0"/>
          <w:dstrike w:val="0"/>
          <w:sz w:val="24"/>
          <w:szCs w:val="24"/>
          <w:highlight w:val="none"/>
          <w:u w:val="single"/>
        </w:rPr>
        <w:t>中标人的确定；</w:t>
      </w:r>
      <w:r>
        <w:rPr>
          <w:rFonts w:hint="eastAsia" w:ascii="宋体" w:hAnsi="宋体" w:eastAsia="宋体" w:cs="宋体"/>
          <w:sz w:val="24"/>
          <w:szCs w:val="24"/>
          <w:highlight w:val="none"/>
          <w:u w:val="single"/>
        </w:rPr>
        <w:t>若A标段所有合格中标候选人都不能成为中标人，则A标段招标失败，不影响其他标段中标人的确</w:t>
      </w:r>
      <w:r>
        <w:rPr>
          <w:rFonts w:hint="eastAsia" w:ascii="宋体" w:hAnsi="宋体" w:eastAsia="宋体" w:cs="宋体"/>
          <w:sz w:val="24"/>
          <w:szCs w:val="24"/>
          <w:highlight w:val="none"/>
          <w:u w:val="single"/>
          <w:lang w:val="en-US" w:eastAsia="zh-CN"/>
        </w:rPr>
        <w:t>定</w:t>
      </w:r>
      <w:r>
        <w:rPr>
          <w:rFonts w:hint="eastAsia" w:ascii="宋体" w:hAnsi="宋体" w:eastAsia="宋体" w:cs="宋体"/>
          <w:sz w:val="24"/>
          <w:szCs w:val="24"/>
          <w:highlight w:val="none"/>
          <w:u w:val="single"/>
        </w:rPr>
        <w:t>；（4）若某标段在确定中标人后，因其他原因导致该标段重新招标或中标通知书不能发出，将不影响其他标段中标人的确定；</w:t>
      </w:r>
    </w:p>
    <w:p w14:paraId="70F35C86">
      <w:pPr>
        <w:pStyle w:val="12"/>
        <w:pBdr>
          <w:bottom w:val="single" w:color="auto" w:sz="4" w:space="0"/>
        </w:pBdr>
        <w:tabs>
          <w:tab w:val="left" w:pos="1343"/>
          <w:tab w:val="left" w:pos="2697"/>
          <w:tab w:val="left" w:pos="3264"/>
          <w:tab w:val="left" w:pos="4896"/>
          <w:tab w:val="left" w:pos="6005"/>
          <w:tab w:val="left" w:pos="7085"/>
          <w:tab w:val="left" w:pos="7498"/>
        </w:tabs>
        <w:kinsoku w:val="0"/>
        <w:overflowPunct w:val="0"/>
        <w:spacing w:line="360" w:lineRule="auto"/>
        <w:ind w:left="0" w:right="211" w:firstLine="480" w:firstLineChars="200"/>
        <w:jc w:val="both"/>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（5）若某标段招标失败而重新招标的，其他标段的中标人不能再成为该重新招标标段的中标人。</w:t>
      </w:r>
    </w:p>
    <w:p w14:paraId="05195D35">
      <w:pPr>
        <w:spacing w:line="360" w:lineRule="auto"/>
        <w:ind w:firstLine="480" w:firstLineChars="200"/>
        <w:jc w:val="left"/>
        <w:rPr>
          <w:rFonts w:hint="eastAsia" w:ascii="宋体" w:hAnsi="宋体" w:cs="宋体"/>
          <w:color w:val="auto"/>
          <w:sz w:val="24"/>
          <w:szCs w:val="21"/>
          <w:highlight w:val="none"/>
        </w:rPr>
      </w:pPr>
      <w:r>
        <w:rPr>
          <w:rFonts w:hint="eastAsia" w:ascii="宋体" w:hAnsi="宋体" w:cs="宋体"/>
          <w:color w:val="auto"/>
          <w:sz w:val="24"/>
          <w:szCs w:val="21"/>
          <w:highlight w:val="none"/>
        </w:rPr>
        <w:t>注：以上修改，仅限于本范本中有可供选择条</w:t>
      </w:r>
      <w:r>
        <w:rPr>
          <w:rFonts w:hint="eastAsia" w:ascii="宋体" w:hAnsi="宋体" w:eastAsia="宋体" w:cs="宋体"/>
          <w:color w:val="auto"/>
          <w:sz w:val="24"/>
          <w:szCs w:val="24"/>
          <w:highlight w:val="none"/>
        </w:rPr>
        <w:t>款的情形。</w:t>
      </w:r>
    </w:p>
    <w:p w14:paraId="747F4AA9">
      <w:pPr>
        <w:pStyle w:val="31"/>
        <w:ind w:left="0" w:leftChars="0" w:firstLine="0" w:firstLineChars="0"/>
        <w:rPr>
          <w:rFonts w:ascii="宋体" w:hAnsi="宋体" w:eastAsia="宋体" w:cs="宋体"/>
          <w:color w:val="auto"/>
          <w:highlight w:val="none"/>
        </w:rPr>
        <w:sectPr>
          <w:pgSz w:w="11906" w:h="16838"/>
          <w:pgMar w:top="1417" w:right="1417" w:bottom="1417" w:left="1417" w:header="0" w:footer="940" w:gutter="0"/>
          <w:pgNumType w:fmt="decimal"/>
          <w:cols w:space="720" w:num="1"/>
        </w:sectPr>
      </w:pPr>
      <w:r>
        <w:rPr>
          <w:rFonts w:ascii="宋体" w:hAnsi="宋体" w:eastAsia="宋体" w:cs="宋体"/>
          <w:color w:val="auto"/>
          <w:sz w:val="24"/>
          <w:szCs w:val="21"/>
          <w:highlight w:val="none"/>
        </w:rPr>
        <w:br w:type="page"/>
      </w:r>
    </w:p>
    <w:p w14:paraId="21C32A31">
      <w:pPr>
        <w:keepNext w:val="0"/>
        <w:keepLines w:val="0"/>
        <w:pageBreakBefore w:val="0"/>
        <w:widowControl w:val="0"/>
        <w:kinsoku/>
        <w:wordWrap/>
        <w:overflowPunct/>
        <w:topLinePunct w:val="0"/>
        <w:autoSpaceDE w:val="0"/>
        <w:autoSpaceDN w:val="0"/>
        <w:bidi w:val="0"/>
        <w:adjustRightInd w:val="0"/>
        <w:snapToGrid/>
        <w:spacing w:line="360" w:lineRule="auto"/>
        <w:textAlignment w:val="auto"/>
        <w:outlineLvl w:val="1"/>
        <w:rPr>
          <w:rFonts w:hint="eastAsia" w:ascii="宋体" w:hAnsi="宋体" w:eastAsia="宋体" w:cs="宋体"/>
          <w:b/>
          <w:bCs/>
          <w:color w:val="auto"/>
          <w:sz w:val="24"/>
          <w:szCs w:val="24"/>
          <w:highlight w:val="none"/>
        </w:rPr>
      </w:pPr>
      <w:bookmarkStart w:id="98" w:name="_Toc10219"/>
      <w:r>
        <w:rPr>
          <w:rFonts w:hint="eastAsia" w:cs="宋体"/>
          <w:b/>
          <w:bCs/>
          <w:color w:val="auto"/>
          <w:sz w:val="24"/>
          <w:szCs w:val="24"/>
          <w:highlight w:val="none"/>
        </w:rPr>
        <w:t>1.评标</w:t>
      </w:r>
      <w:bookmarkEnd w:id="98"/>
      <w:r>
        <w:rPr>
          <w:rFonts w:hint="eastAsia" w:ascii="宋体" w:hAnsi="宋体" w:eastAsia="宋体" w:cs="宋体"/>
          <w:b/>
          <w:bCs/>
          <w:color w:val="auto"/>
          <w:sz w:val="24"/>
          <w:szCs w:val="24"/>
          <w:highlight w:val="none"/>
          <w:u w:val="single"/>
          <w:lang w:eastAsia="zh-CN"/>
        </w:rPr>
        <w:t>、</w:t>
      </w:r>
      <w:r>
        <w:rPr>
          <w:rFonts w:hint="eastAsia" w:ascii="宋体" w:hAnsi="宋体" w:eastAsia="宋体" w:cs="宋体"/>
          <w:b/>
          <w:bCs/>
          <w:color w:val="auto"/>
          <w:sz w:val="24"/>
          <w:szCs w:val="24"/>
          <w:highlight w:val="none"/>
          <w:u w:val="single"/>
          <w:lang w:val="en-US" w:eastAsia="zh-CN"/>
        </w:rPr>
        <w:t>定标</w:t>
      </w:r>
      <w:r>
        <w:rPr>
          <w:rFonts w:hint="eastAsia" w:ascii="宋体" w:hAnsi="宋体" w:eastAsia="宋体" w:cs="宋体"/>
          <w:b/>
          <w:bCs/>
          <w:color w:val="auto"/>
          <w:sz w:val="24"/>
          <w:szCs w:val="24"/>
          <w:highlight w:val="none"/>
        </w:rPr>
        <w:t>方法</w:t>
      </w:r>
    </w:p>
    <w:p w14:paraId="5D17D936">
      <w:pPr>
        <w:pStyle w:val="4"/>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outlineLvl w:val="1"/>
        <w:rPr>
          <w:rFonts w:hint="eastAsia" w:ascii="宋体" w:hAnsi="宋体" w:eastAsia="宋体" w:cs="宋体"/>
          <w:b w:val="0"/>
          <w:bCs w:val="0"/>
          <w:sz w:val="24"/>
          <w:szCs w:val="24"/>
          <w:highlight w:val="none"/>
          <w:u w:val="single"/>
        </w:rPr>
      </w:pPr>
      <w:r>
        <w:rPr>
          <w:rFonts w:hint="eastAsia" w:ascii="宋体" w:hAnsi="宋体" w:eastAsia="宋体" w:cs="宋体"/>
          <w:b w:val="0"/>
          <w:bCs w:val="0"/>
          <w:sz w:val="24"/>
          <w:szCs w:val="24"/>
          <w:highlight w:val="none"/>
          <w:u w:val="single"/>
        </w:rPr>
        <w:t>本标段采用评定分离方式（评标采用综合评估法，定标采用票决法</w:t>
      </w:r>
      <w:r>
        <w:rPr>
          <w:rFonts w:hint="eastAsia" w:ascii="宋体" w:hAnsi="宋体"/>
          <w:b w:val="0"/>
          <w:bCs/>
          <w:highlight w:val="none"/>
          <w:u w:val="single"/>
        </w:rPr>
        <w:t>+撰写评语</w:t>
      </w:r>
      <w:r>
        <w:rPr>
          <w:rFonts w:hint="eastAsia" w:ascii="宋体" w:hAnsi="宋体" w:eastAsia="宋体" w:cs="宋体"/>
          <w:b w:val="0"/>
          <w:bCs w:val="0"/>
          <w:sz w:val="24"/>
          <w:szCs w:val="24"/>
          <w:highlight w:val="none"/>
          <w:u w:val="single"/>
        </w:rPr>
        <w:t>）。评标委员会对满足招标文件实质性要求的投标文件（评标部分），按照本章第2.2款规定的评分标准进行打分，并按投标文件（评标部分）总得分由高到低顺序推荐合格中标候选人，但投标报价低于其成本的除外。投标文件（评标部分）总得分相同的，以报价较低的排前；投标文件（评标部分）总得分与报价均相同的，以</w:t>
      </w:r>
      <w:r>
        <w:rPr>
          <w:rFonts w:hint="eastAsia" w:ascii="宋体" w:hAnsi="宋体" w:eastAsia="宋体" w:cs="宋体"/>
          <w:b w:val="0"/>
          <w:bCs w:val="0"/>
          <w:sz w:val="24"/>
          <w:szCs w:val="24"/>
          <w:highlight w:val="none"/>
          <w:u w:val="single"/>
          <w:lang w:val="en-US" w:eastAsia="zh-CN"/>
        </w:rPr>
        <w:t>监理大纲</w:t>
      </w:r>
      <w:r>
        <w:rPr>
          <w:rFonts w:hint="eastAsia" w:ascii="宋体" w:hAnsi="宋体" w:eastAsia="宋体" w:cs="宋体"/>
          <w:b w:val="0"/>
          <w:bCs w:val="0"/>
          <w:sz w:val="24"/>
          <w:szCs w:val="24"/>
          <w:highlight w:val="none"/>
          <w:u w:val="single"/>
        </w:rPr>
        <w:t>得分较高的排前；如仍存在相同情况，则对具有相同情况的投标人，由评委通过记名投票表决（不得弃权），以“少数服从多数”的原则确定排序。</w:t>
      </w:r>
    </w:p>
    <w:p w14:paraId="1AEF69D1">
      <w:pPr>
        <w:pStyle w:val="4"/>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outlineLvl w:val="1"/>
        <w:rPr>
          <w:rFonts w:hint="eastAsia" w:ascii="宋体" w:hAnsi="宋体" w:eastAsia="宋体" w:cs="宋体"/>
          <w:b w:val="0"/>
          <w:bCs w:val="0"/>
          <w:sz w:val="24"/>
          <w:szCs w:val="24"/>
          <w:highlight w:val="none"/>
          <w:u w:val="single"/>
        </w:rPr>
      </w:pPr>
      <w:r>
        <w:rPr>
          <w:rFonts w:hint="eastAsia" w:ascii="宋体" w:hAnsi="宋体" w:eastAsia="宋体" w:cs="宋体"/>
          <w:b w:val="0"/>
          <w:bCs w:val="0"/>
          <w:sz w:val="24"/>
          <w:szCs w:val="24"/>
          <w:highlight w:val="none"/>
          <w:u w:val="single"/>
        </w:rPr>
        <w:t>合格中标候选人按统一社会信用代码后4位（除校验码外）大小排位，如统一社会信用代码后4位出现字母情况的，字母以“0”进行代替大小排位；如出现后4位（除校验码外）大小一致的，则随机排位。</w:t>
      </w:r>
    </w:p>
    <w:p w14:paraId="71F5A0C9">
      <w:pPr>
        <w:pStyle w:val="4"/>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outlineLvl w:val="1"/>
        <w:rPr>
          <w:rFonts w:hint="eastAsia" w:cs="宋体"/>
          <w:color w:val="auto"/>
          <w:sz w:val="24"/>
          <w:szCs w:val="24"/>
          <w:highlight w:val="none"/>
          <w:u w:val="single"/>
        </w:rPr>
      </w:pPr>
      <w:r>
        <w:rPr>
          <w:rFonts w:hint="eastAsia" w:ascii="宋体" w:hAnsi="宋体" w:eastAsia="宋体" w:cs="宋体"/>
          <w:b w:val="0"/>
          <w:bCs w:val="0"/>
          <w:sz w:val="24"/>
          <w:szCs w:val="24"/>
          <w:highlight w:val="none"/>
          <w:u w:val="single"/>
        </w:rPr>
        <w:t>注：投标文件（评标部分）</w:t>
      </w:r>
      <w:r>
        <w:rPr>
          <w:rFonts w:hint="eastAsia" w:ascii="宋体" w:hAnsi="宋体" w:eastAsia="宋体" w:cs="宋体"/>
          <w:b w:val="0"/>
          <w:bCs w:val="0"/>
          <w:sz w:val="24"/>
          <w:szCs w:val="24"/>
          <w:highlight w:val="none"/>
          <w:u w:val="single"/>
          <w:lang w:val="en-US" w:eastAsia="zh-CN"/>
        </w:rPr>
        <w:t>总</w:t>
      </w:r>
      <w:r>
        <w:rPr>
          <w:rFonts w:hint="eastAsia" w:ascii="宋体" w:hAnsi="宋体" w:eastAsia="宋体" w:cs="宋体"/>
          <w:b w:val="0"/>
          <w:bCs w:val="0"/>
          <w:sz w:val="24"/>
          <w:szCs w:val="24"/>
          <w:highlight w:val="none"/>
          <w:u w:val="single"/>
        </w:rPr>
        <w:t>得分及评标委员会票决得分排序仅作为推荐入围定标阶段的依据，不作为定标阶段确定中标人的依据。</w:t>
      </w:r>
    </w:p>
    <w:p w14:paraId="540FB0A8">
      <w:pPr>
        <w:pStyle w:val="4"/>
        <w:outlineLvl w:val="1"/>
        <w:rPr>
          <w:rFonts w:hint="eastAsia" w:ascii="宋体" w:hAnsi="宋体" w:eastAsia="宋体" w:cs="宋体"/>
          <w:b w:val="0"/>
          <w:color w:val="auto"/>
          <w:sz w:val="30"/>
          <w:szCs w:val="24"/>
          <w:highlight w:val="none"/>
        </w:rPr>
      </w:pPr>
      <w:bookmarkStart w:id="99" w:name="bookmark85"/>
      <w:bookmarkEnd w:id="99"/>
      <w:bookmarkStart w:id="100" w:name="_Toc17929"/>
      <w:r>
        <w:rPr>
          <w:rFonts w:hint="eastAsia" w:cs="宋体"/>
          <w:color w:val="auto"/>
          <w:sz w:val="24"/>
          <w:szCs w:val="24"/>
          <w:highlight w:val="none"/>
        </w:rPr>
        <w:t>2.评审标准</w:t>
      </w:r>
      <w:bookmarkEnd w:id="100"/>
    </w:p>
    <w:p w14:paraId="79717410">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highlight w:val="none"/>
        </w:rPr>
      </w:pPr>
      <w:bookmarkStart w:id="101" w:name="bookmark86"/>
      <w:bookmarkEnd w:id="101"/>
      <w:r>
        <w:rPr>
          <w:rFonts w:hint="eastAsia" w:ascii="宋体" w:hAnsi="宋体" w:eastAsia="宋体" w:cs="宋体"/>
          <w:highlight w:val="none"/>
        </w:rPr>
        <w:t>2.1 初步评审标准</w:t>
      </w:r>
    </w:p>
    <w:p w14:paraId="5C3B4E07">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2.1.</w:t>
      </w:r>
      <w:r>
        <w:rPr>
          <w:rFonts w:hint="eastAsia" w:cs="宋体"/>
          <w:color w:val="auto"/>
          <w:sz w:val="24"/>
          <w:szCs w:val="24"/>
          <w:highlight w:val="none"/>
          <w:lang w:val="en-US" w:eastAsia="zh-CN"/>
        </w:rPr>
        <w:t>1</w:t>
      </w:r>
      <w:r>
        <w:rPr>
          <w:rFonts w:hint="eastAsia" w:cs="宋体"/>
          <w:color w:val="auto"/>
          <w:sz w:val="24"/>
          <w:szCs w:val="24"/>
          <w:highlight w:val="none"/>
        </w:rPr>
        <w:t xml:space="preserve"> 资格评审标准：见评标办法前附表。</w:t>
      </w:r>
    </w:p>
    <w:p w14:paraId="54A6473D">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2.1.</w:t>
      </w:r>
      <w:r>
        <w:rPr>
          <w:rFonts w:hint="eastAsia" w:cs="宋体"/>
          <w:color w:val="auto"/>
          <w:sz w:val="24"/>
          <w:szCs w:val="24"/>
          <w:highlight w:val="none"/>
          <w:lang w:val="en-US" w:eastAsia="zh-CN"/>
        </w:rPr>
        <w:t>2</w:t>
      </w:r>
      <w:r>
        <w:rPr>
          <w:rFonts w:hint="eastAsia" w:cs="宋体"/>
          <w:color w:val="auto"/>
          <w:sz w:val="24"/>
          <w:szCs w:val="24"/>
          <w:highlight w:val="none"/>
        </w:rPr>
        <w:t xml:space="preserve"> 形式评审标准：见评标办法前附表。</w:t>
      </w:r>
    </w:p>
    <w:p w14:paraId="3BD87032">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2.1.3 响应性评审标准：见评标办法前附表。</w:t>
      </w:r>
    </w:p>
    <w:p w14:paraId="5F47FCF0">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highlight w:val="none"/>
        </w:rPr>
      </w:pPr>
      <w:bookmarkStart w:id="102" w:name="bookmark87"/>
      <w:bookmarkEnd w:id="102"/>
      <w:r>
        <w:rPr>
          <w:rFonts w:hint="eastAsia" w:ascii="宋体" w:hAnsi="宋体" w:eastAsia="宋体" w:cs="宋体"/>
          <w:highlight w:val="none"/>
        </w:rPr>
        <w:t>2.2 分值构成与评分标准</w:t>
      </w:r>
    </w:p>
    <w:p w14:paraId="251E9934">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2.2.1  分值构成</w:t>
      </w:r>
    </w:p>
    <w:p w14:paraId="191838B8">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（1）资信业绩部分：见评标办法前附表；</w:t>
      </w:r>
    </w:p>
    <w:p w14:paraId="5ADB2C81">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（2）监理大纲部分：见评标办法前附表；</w:t>
      </w:r>
    </w:p>
    <w:p w14:paraId="7F1AD8FA">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（3）投标报价：见评标办法前附表；</w:t>
      </w:r>
    </w:p>
    <w:p w14:paraId="663CEBE7">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strike/>
          <w:color w:val="auto"/>
          <w:sz w:val="24"/>
          <w:szCs w:val="24"/>
          <w:highlight w:val="none"/>
        </w:rPr>
      </w:pPr>
      <w:r>
        <w:rPr>
          <w:rFonts w:hint="eastAsia" w:cs="宋体"/>
          <w:strike/>
          <w:color w:val="auto"/>
          <w:sz w:val="24"/>
          <w:szCs w:val="24"/>
          <w:highlight w:val="none"/>
        </w:rPr>
        <w:t>（4）</w:t>
      </w:r>
      <w:r>
        <w:rPr>
          <w:rFonts w:hint="eastAsia" w:cs="宋体"/>
          <w:strike/>
          <w:color w:val="auto"/>
          <w:sz w:val="24"/>
          <w:szCs w:val="24"/>
          <w:highlight w:val="none"/>
          <w:lang w:eastAsia="zh-CN"/>
        </w:rPr>
        <w:t>诚信得分</w:t>
      </w:r>
      <w:r>
        <w:rPr>
          <w:rFonts w:hint="eastAsia" w:cs="宋体"/>
          <w:strike/>
          <w:color w:val="auto"/>
          <w:sz w:val="24"/>
          <w:szCs w:val="24"/>
          <w:highlight w:val="none"/>
        </w:rPr>
        <w:t xml:space="preserve">：见评标办法前附表。 </w:t>
      </w:r>
    </w:p>
    <w:p w14:paraId="6A05A5F6">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2.2.2 评标基准价计算评标基准价计算方法：见评标办法前附表。</w:t>
      </w:r>
    </w:p>
    <w:p w14:paraId="3E7C8318">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2.2.3 投标报价的偏差率计算</w:t>
      </w:r>
    </w:p>
    <w:p w14:paraId="1989E30F">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投标报价的偏差率计算公式：见评标办法前附表。</w:t>
      </w:r>
    </w:p>
    <w:p w14:paraId="08E8ABAC">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2.2.4  评分标准</w:t>
      </w:r>
    </w:p>
    <w:p w14:paraId="783D0C9A">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（1）资信业绩评分标准：见评标办法前附表；</w:t>
      </w:r>
    </w:p>
    <w:p w14:paraId="2E1021FE">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（2）监理大纲评分标准：见评标办法前附表；</w:t>
      </w:r>
    </w:p>
    <w:p w14:paraId="5D73F6A8">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（3）投标报价评分标准：见评标办法前附表；</w:t>
      </w:r>
    </w:p>
    <w:p w14:paraId="21FDA1FB">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strike/>
          <w:color w:val="auto"/>
          <w:sz w:val="24"/>
          <w:szCs w:val="24"/>
          <w:highlight w:val="none"/>
        </w:rPr>
      </w:pPr>
      <w:r>
        <w:rPr>
          <w:rFonts w:hint="eastAsia" w:cs="宋体"/>
          <w:strike/>
          <w:color w:val="auto"/>
          <w:sz w:val="24"/>
          <w:szCs w:val="24"/>
          <w:highlight w:val="none"/>
        </w:rPr>
        <w:t>（4）</w:t>
      </w:r>
      <w:r>
        <w:rPr>
          <w:rFonts w:hint="eastAsia" w:cs="宋体"/>
          <w:strike/>
          <w:color w:val="auto"/>
          <w:sz w:val="24"/>
          <w:szCs w:val="24"/>
          <w:highlight w:val="none"/>
          <w:lang w:eastAsia="zh-CN"/>
        </w:rPr>
        <w:t>诚信得分</w:t>
      </w:r>
      <w:r>
        <w:rPr>
          <w:rFonts w:hint="eastAsia" w:cs="宋体"/>
          <w:strike/>
          <w:color w:val="auto"/>
          <w:sz w:val="24"/>
          <w:szCs w:val="24"/>
          <w:highlight w:val="none"/>
        </w:rPr>
        <w:t>评分标准：见评标办法前附表。</w:t>
      </w:r>
    </w:p>
    <w:p w14:paraId="69DAF2E7">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20" w:firstLineChars="200"/>
        <w:jc w:val="both"/>
        <w:rPr>
          <w:rFonts w:hint="eastAsia" w:cs="宋体"/>
          <w:strike/>
          <w:color w:val="auto"/>
          <w:sz w:val="21"/>
          <w:szCs w:val="21"/>
          <w:highlight w:val="none"/>
        </w:rPr>
      </w:pPr>
      <w:r>
        <w:rPr>
          <w:rFonts w:hint="eastAsia" w:cs="宋体"/>
          <w:strike/>
          <w:color w:val="auto"/>
          <w:sz w:val="21"/>
          <w:szCs w:val="21"/>
          <w:highlight w:val="none"/>
        </w:rPr>
        <w:t>注：投标人的诚信评价总分取自本项目招标公告发布第1天所在季度的上一季度的诚信综合评价分。</w:t>
      </w:r>
    </w:p>
    <w:p w14:paraId="2AF6A606">
      <w:pPr>
        <w:pStyle w:val="4"/>
        <w:outlineLvl w:val="1"/>
        <w:rPr>
          <w:rFonts w:hint="eastAsia" w:cs="宋体"/>
          <w:color w:val="auto"/>
          <w:sz w:val="24"/>
          <w:szCs w:val="24"/>
          <w:highlight w:val="none"/>
        </w:rPr>
      </w:pPr>
      <w:bookmarkStart w:id="103" w:name="bookmark88"/>
      <w:bookmarkEnd w:id="103"/>
      <w:bookmarkStart w:id="104" w:name="_Toc15176"/>
      <w:r>
        <w:rPr>
          <w:rFonts w:hint="eastAsia" w:cs="宋体"/>
          <w:color w:val="auto"/>
          <w:sz w:val="24"/>
          <w:szCs w:val="24"/>
          <w:highlight w:val="none"/>
        </w:rPr>
        <w:t>3.评标程序</w:t>
      </w:r>
      <w:bookmarkEnd w:id="104"/>
    </w:p>
    <w:p w14:paraId="2A46EDA7">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highlight w:val="none"/>
        </w:rPr>
      </w:pPr>
      <w:bookmarkStart w:id="105" w:name="bookmark89"/>
      <w:bookmarkEnd w:id="105"/>
      <w:r>
        <w:rPr>
          <w:rFonts w:hint="eastAsia" w:ascii="宋体" w:hAnsi="宋体" w:eastAsia="宋体" w:cs="宋体"/>
          <w:highlight w:val="none"/>
        </w:rPr>
        <w:t>3.1  初步评审</w:t>
      </w:r>
    </w:p>
    <w:p w14:paraId="0368A6C2">
      <w:pPr>
        <w:kinsoku w:val="0"/>
        <w:overflowPunct w:val="0"/>
        <w:spacing w:line="360" w:lineRule="auto"/>
        <w:ind w:left="0" w:firstLine="480" w:firstLineChars="200"/>
        <w:jc w:val="both"/>
        <w:rPr>
          <w:rFonts w:hint="eastAsia" w:ascii="宋体" w:hAnsi="宋体" w:cs="宋体"/>
          <w:b w:val="0"/>
          <w:bCs/>
          <w:color w:val="auto"/>
          <w:sz w:val="24"/>
          <w:szCs w:val="24"/>
          <w:highlight w:val="none"/>
          <w:u w:val="single"/>
        </w:rPr>
      </w:pPr>
      <w:r>
        <w:rPr>
          <w:rFonts w:hint="eastAsia" w:ascii="宋体" w:hAnsi="宋体" w:cs="宋体"/>
          <w:color w:val="auto"/>
          <w:sz w:val="24"/>
          <w:szCs w:val="24"/>
          <w:highlight w:val="none"/>
        </w:rPr>
        <w:t>3.1.1  评标委员会可以要求投标人提交第二章“投标人须知”规定的有关证明和证件的原件，以便核验。评标委员会依据本章第2.1款规定的标准对投标文件</w:t>
      </w:r>
      <w:r>
        <w:rPr>
          <w:rFonts w:hint="eastAsia" w:ascii="宋体" w:hAnsi="宋体" w:cs="宋体"/>
          <w:color w:val="auto"/>
          <w:sz w:val="24"/>
          <w:szCs w:val="24"/>
          <w:highlight w:val="none"/>
          <w:u w:val="single"/>
          <w:lang w:eastAsia="zh-CN"/>
        </w:rPr>
        <w:t>（评标部分）</w:t>
      </w:r>
      <w:r>
        <w:rPr>
          <w:rFonts w:hint="eastAsia" w:ascii="宋体" w:hAnsi="宋体" w:cs="宋体"/>
          <w:color w:val="auto"/>
          <w:sz w:val="24"/>
          <w:szCs w:val="24"/>
          <w:highlight w:val="none"/>
        </w:rPr>
        <w:t>进行初步评审。有一项不符合评审标准的，评标委员会应当否决其投标。</w:t>
      </w:r>
      <w:r>
        <w:rPr>
          <w:rFonts w:hint="eastAsia" w:ascii="宋体" w:hAnsi="宋体" w:cs="宋体"/>
          <w:b w:val="0"/>
          <w:bCs/>
          <w:sz w:val="24"/>
          <w:szCs w:val="24"/>
          <w:highlight w:val="none"/>
          <w:u w:val="single"/>
        </w:rPr>
        <w:t>评委发现投标文件</w:t>
      </w:r>
      <w:r>
        <w:rPr>
          <w:rFonts w:hint="eastAsia" w:ascii="宋体" w:hAnsi="宋体" w:cs="宋体"/>
          <w:color w:val="auto"/>
          <w:sz w:val="24"/>
          <w:szCs w:val="24"/>
          <w:highlight w:val="none"/>
          <w:u w:val="single"/>
          <w:lang w:eastAsia="zh-CN"/>
        </w:rPr>
        <w:t>（评标部分）</w:t>
      </w:r>
      <w:r>
        <w:rPr>
          <w:rFonts w:hint="eastAsia" w:ascii="宋体" w:hAnsi="宋体" w:cs="宋体"/>
          <w:b w:val="0"/>
          <w:bCs/>
          <w:sz w:val="24"/>
          <w:szCs w:val="24"/>
          <w:highlight w:val="none"/>
          <w:u w:val="single"/>
        </w:rPr>
        <w:t>中含义不明确、对同类问题表述不一致、有明显文字和计算错误的，应当要求投标人作必要的澄清、说明后再判定投标人是否通过初步评审，不得直接认定其不通过初步评审。</w:t>
      </w:r>
    </w:p>
    <w:p w14:paraId="0915E201">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3.1.2 投标人有以下情形之一的，评标委员会应当否决其投标：</w:t>
      </w:r>
    </w:p>
    <w:p w14:paraId="2DFFD4F5">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（1）投标文件</w:t>
      </w:r>
      <w:r>
        <w:rPr>
          <w:rFonts w:hint="eastAsia" w:ascii="宋体" w:hAnsi="宋体" w:cs="宋体"/>
          <w:color w:val="auto"/>
          <w:sz w:val="24"/>
          <w:szCs w:val="24"/>
          <w:highlight w:val="none"/>
          <w:u w:val="single"/>
          <w:lang w:eastAsia="zh-CN"/>
        </w:rPr>
        <w:t>（评标部分）</w:t>
      </w:r>
      <w:r>
        <w:rPr>
          <w:rFonts w:hint="eastAsia" w:cs="宋体"/>
          <w:color w:val="auto"/>
          <w:sz w:val="24"/>
          <w:szCs w:val="24"/>
          <w:highlight w:val="none"/>
        </w:rPr>
        <w:t>没有对招标文件的实质性要求和条件作出响应，或者对招标文件的偏差超出招标文件规定的偏差范围或最高项数；</w:t>
      </w:r>
    </w:p>
    <w:p w14:paraId="06D44E72">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（2）有串通投标、弄虚作假、行贿等违法行为。</w:t>
      </w:r>
    </w:p>
    <w:p w14:paraId="527291D1">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strike/>
          <w:color w:val="auto"/>
          <w:sz w:val="24"/>
          <w:szCs w:val="24"/>
          <w:highlight w:val="none"/>
          <w:lang w:eastAsia="zh-CN"/>
        </w:rPr>
      </w:pPr>
      <w:r>
        <w:rPr>
          <w:rFonts w:hint="eastAsia" w:cs="宋体"/>
          <w:strike/>
          <w:color w:val="auto"/>
          <w:sz w:val="24"/>
          <w:szCs w:val="24"/>
          <w:highlight w:val="none"/>
          <w:lang w:eastAsia="zh-CN"/>
        </w:rPr>
        <w:t>（</w:t>
      </w:r>
      <w:r>
        <w:rPr>
          <w:rFonts w:hint="eastAsia" w:cs="宋体"/>
          <w:strike/>
          <w:color w:val="auto"/>
          <w:sz w:val="24"/>
          <w:szCs w:val="24"/>
          <w:highlight w:val="none"/>
          <w:lang w:val="en-US" w:eastAsia="zh-CN"/>
        </w:rPr>
        <w:t>3</w:t>
      </w:r>
      <w:r>
        <w:rPr>
          <w:rFonts w:hint="eastAsia" w:cs="宋体"/>
          <w:strike/>
          <w:color w:val="auto"/>
          <w:sz w:val="24"/>
          <w:szCs w:val="24"/>
          <w:highlight w:val="none"/>
          <w:lang w:eastAsia="zh-CN"/>
        </w:rPr>
        <w:t>）两个（含两个）以上</w:t>
      </w:r>
      <w:r>
        <w:rPr>
          <w:rFonts w:hint="eastAsia" w:eastAsia="宋体" w:cs="宋体"/>
          <w:strike/>
          <w:color w:val="auto"/>
          <w:sz w:val="24"/>
          <w:szCs w:val="24"/>
          <w:highlight w:val="none"/>
        </w:rPr>
        <w:t>投标人加密打包投标文件</w:t>
      </w:r>
      <w:r>
        <w:rPr>
          <w:rFonts w:hint="eastAsia" w:cs="宋体"/>
          <w:strike/>
          <w:color w:val="auto"/>
          <w:sz w:val="24"/>
          <w:szCs w:val="24"/>
          <w:highlight w:val="none"/>
          <w:lang w:eastAsia="zh-CN"/>
        </w:rPr>
        <w:t>工程量清单编制</w:t>
      </w:r>
      <w:r>
        <w:rPr>
          <w:rFonts w:hint="eastAsia" w:eastAsia="宋体" w:cs="宋体"/>
          <w:strike/>
          <w:color w:val="auto"/>
          <w:sz w:val="24"/>
          <w:szCs w:val="24"/>
          <w:highlight w:val="none"/>
        </w:rPr>
        <w:t>机器</w:t>
      </w:r>
      <w:r>
        <w:rPr>
          <w:rFonts w:hint="eastAsia" w:cs="宋体"/>
          <w:strike/>
          <w:color w:val="auto"/>
          <w:sz w:val="24"/>
          <w:szCs w:val="24"/>
          <w:highlight w:val="none"/>
          <w:lang w:eastAsia="zh-CN"/>
        </w:rPr>
        <w:t>硬件信息</w:t>
      </w:r>
      <w:r>
        <w:rPr>
          <w:rFonts w:hint="eastAsia" w:eastAsia="宋体" w:cs="宋体"/>
          <w:strike/>
          <w:color w:val="auto"/>
          <w:sz w:val="24"/>
          <w:szCs w:val="24"/>
          <w:highlight w:val="none"/>
        </w:rPr>
        <w:t>一致的</w:t>
      </w:r>
      <w:r>
        <w:rPr>
          <w:rFonts w:hint="eastAsia" w:cs="宋体"/>
          <w:strike/>
          <w:color w:val="auto"/>
          <w:sz w:val="24"/>
          <w:szCs w:val="24"/>
          <w:highlight w:val="none"/>
          <w:lang w:eastAsia="zh-CN"/>
        </w:rPr>
        <w:t>。</w:t>
      </w:r>
    </w:p>
    <w:p w14:paraId="75D14529">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3.1.3 投标报价有算术错误及其他错误的，评标委员会按以下原则要求投标人对投标报价进行修正，并要求投标人书面澄清确认。投标人拒不澄清确认的，评标委员会应当否决其投标：</w:t>
      </w:r>
    </w:p>
    <w:p w14:paraId="190D04B8">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（1）投标文件中的大写金额与小写金额不一致的，以大写金额为准；</w:t>
      </w:r>
    </w:p>
    <w:p w14:paraId="03683E44">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（2）总价金额与单价金额不一致的，以单价金额为准，但单价金额小数点有明显错误的除外。</w:t>
      </w:r>
    </w:p>
    <w:p w14:paraId="1B6B7ACD">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eastAsia="宋体" w:cs="宋体"/>
          <w:color w:val="auto"/>
          <w:sz w:val="24"/>
          <w:szCs w:val="24"/>
          <w:highlight w:val="none"/>
          <w:u w:val="single"/>
          <w:lang w:eastAsia="zh-CN"/>
        </w:rPr>
      </w:pPr>
      <w:r>
        <w:rPr>
          <w:rFonts w:hint="eastAsia" w:cs="宋体"/>
          <w:color w:val="auto"/>
          <w:sz w:val="24"/>
          <w:szCs w:val="24"/>
          <w:highlight w:val="none"/>
          <w:u w:val="single"/>
          <w:lang w:eastAsia="zh-CN"/>
        </w:rPr>
        <w:t>（</w:t>
      </w:r>
      <w:r>
        <w:rPr>
          <w:rFonts w:hint="eastAsia" w:cs="宋体"/>
          <w:color w:val="auto"/>
          <w:sz w:val="24"/>
          <w:szCs w:val="24"/>
          <w:highlight w:val="none"/>
          <w:u w:val="single"/>
          <w:lang w:val="en-US" w:eastAsia="zh-CN"/>
        </w:rPr>
        <w:t>3</w:t>
      </w:r>
      <w:r>
        <w:rPr>
          <w:rFonts w:hint="eastAsia" w:cs="宋体"/>
          <w:color w:val="auto"/>
          <w:sz w:val="24"/>
          <w:szCs w:val="24"/>
          <w:highlight w:val="none"/>
          <w:u w:val="single"/>
          <w:lang w:eastAsia="zh-CN"/>
        </w:rPr>
        <w:t>）</w:t>
      </w:r>
      <w:r>
        <w:rPr>
          <w:rFonts w:hint="eastAsia" w:ascii="宋体" w:hAnsi="宋体" w:cs="宋体"/>
          <w:strike w:val="0"/>
          <w:color w:val="auto"/>
          <w:sz w:val="24"/>
          <w:szCs w:val="24"/>
          <w:highlight w:val="none"/>
          <w:u w:val="single"/>
        </w:rPr>
        <w:t>投标报价与投标下浮率不符时，以投标下浮率为准</w:t>
      </w:r>
      <w:r>
        <w:rPr>
          <w:rFonts w:hint="eastAsia" w:ascii="宋体" w:hAnsi="宋体" w:cs="宋体"/>
          <w:strike w:val="0"/>
          <w:color w:val="auto"/>
          <w:sz w:val="24"/>
          <w:szCs w:val="24"/>
          <w:highlight w:val="none"/>
          <w:u w:val="single"/>
          <w:lang w:eastAsia="zh-CN"/>
        </w:rPr>
        <w:t>修正总价</w:t>
      </w:r>
      <w:r>
        <w:rPr>
          <w:rFonts w:hint="eastAsia" w:ascii="宋体" w:hAnsi="宋体" w:cs="宋体"/>
          <w:strike w:val="0"/>
          <w:color w:val="auto"/>
          <w:sz w:val="24"/>
          <w:szCs w:val="24"/>
          <w:highlight w:val="none"/>
          <w:u w:val="single"/>
        </w:rPr>
        <w:t>。</w:t>
      </w:r>
    </w:p>
    <w:p w14:paraId="2F48274D">
      <w:pPr>
        <w:kinsoku w:val="0"/>
        <w:overflowPunct w:val="0"/>
        <w:spacing w:line="360" w:lineRule="auto"/>
        <w:ind w:left="0" w:firstLine="480" w:firstLineChars="200"/>
        <w:jc w:val="both"/>
        <w:rPr>
          <w:rFonts w:hint="eastAsia" w:ascii="宋体" w:hAnsi="宋体" w:cs="宋体"/>
          <w:color w:val="auto"/>
          <w:sz w:val="24"/>
          <w:szCs w:val="24"/>
          <w:highlight w:val="none"/>
        </w:rPr>
      </w:pPr>
      <w:r>
        <w:rPr>
          <w:rFonts w:hint="eastAsia" w:ascii="宋体" w:hAnsi="宋体" w:cs="宋体"/>
          <w:sz w:val="24"/>
          <w:szCs w:val="24"/>
          <w:highlight w:val="none"/>
          <w:u w:val="single"/>
        </w:rPr>
        <w:t>3.1.4 只有通过初步评审的投标人才能进入下一阶段详细评审。当通过初步评审的有效投标人不足</w:t>
      </w:r>
      <w:r>
        <w:rPr>
          <w:rFonts w:hint="eastAsia" w:ascii="宋体" w:hAnsi="宋体" w:cs="宋体"/>
          <w:sz w:val="24"/>
          <w:szCs w:val="24"/>
          <w:highlight w:val="none"/>
          <w:u w:val="single"/>
          <w:lang w:val="en-US" w:eastAsia="zh-CN"/>
        </w:rPr>
        <w:t>五</w:t>
      </w:r>
      <w:r>
        <w:rPr>
          <w:rFonts w:hint="eastAsia" w:ascii="宋体" w:hAnsi="宋体" w:cs="宋体"/>
          <w:sz w:val="24"/>
          <w:szCs w:val="24"/>
          <w:highlight w:val="none"/>
          <w:u w:val="single"/>
        </w:rPr>
        <w:t>名时，招标人应当依法重新组织招标。在进行资格评审</w:t>
      </w:r>
      <w:r>
        <w:rPr>
          <w:rFonts w:hint="eastAsia" w:ascii="宋体" w:hAnsi="宋体" w:cs="宋体"/>
          <w:sz w:val="24"/>
          <w:szCs w:val="24"/>
          <w:highlight w:val="none"/>
          <w:u w:val="single"/>
          <w:lang w:eastAsia="zh-CN"/>
        </w:rPr>
        <w:t>、</w:t>
      </w:r>
      <w:r>
        <w:rPr>
          <w:rFonts w:hint="eastAsia" w:ascii="宋体" w:hAnsi="宋体" w:cs="宋体"/>
          <w:sz w:val="24"/>
          <w:szCs w:val="24"/>
          <w:highlight w:val="none"/>
          <w:u w:val="single"/>
        </w:rPr>
        <w:t>形式评审、响应性评审过程中，若评委意见不一致时，则按少数服从多数的原则，决定该投标人是否通过相应阶段的评审，进入下一阶段评审。</w:t>
      </w:r>
    </w:p>
    <w:p w14:paraId="2527F7F2">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highlight w:val="none"/>
        </w:rPr>
      </w:pPr>
      <w:bookmarkStart w:id="106" w:name="bookmark90"/>
      <w:bookmarkEnd w:id="106"/>
      <w:r>
        <w:rPr>
          <w:rFonts w:hint="eastAsia" w:ascii="宋体" w:hAnsi="宋体" w:eastAsia="宋体" w:cs="宋体"/>
          <w:highlight w:val="none"/>
        </w:rPr>
        <w:t>3.2  详细评审</w:t>
      </w:r>
    </w:p>
    <w:p w14:paraId="6D589DA4">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3.2.1 评标委员会按本章第 2.2 款规定的量化因素和分值进行打分，并计算出</w:t>
      </w:r>
      <w:r>
        <w:rPr>
          <w:rFonts w:hint="eastAsia" w:cs="宋体"/>
          <w:color w:val="auto"/>
          <w:sz w:val="24"/>
          <w:szCs w:val="24"/>
          <w:highlight w:val="none"/>
          <w:u w:val="single"/>
        </w:rPr>
        <w:t>投标文件（评标部分）</w:t>
      </w:r>
      <w:r>
        <w:rPr>
          <w:rFonts w:hint="eastAsia" w:ascii="宋体" w:hAnsi="宋体" w:cs="宋体"/>
          <w:sz w:val="24"/>
          <w:szCs w:val="24"/>
          <w:highlight w:val="none"/>
          <w:u w:val="single"/>
          <w:lang w:val="en-US" w:eastAsia="zh-CN"/>
        </w:rPr>
        <w:t>总</w:t>
      </w:r>
      <w:r>
        <w:rPr>
          <w:rFonts w:hint="eastAsia" w:ascii="宋体" w:hAnsi="宋体" w:eastAsia="宋体" w:cs="宋体"/>
          <w:sz w:val="24"/>
          <w:szCs w:val="24"/>
          <w:highlight w:val="none"/>
          <w:u w:val="single"/>
        </w:rPr>
        <w:t>得分</w:t>
      </w:r>
      <w:r>
        <w:rPr>
          <w:rFonts w:hint="eastAsia" w:cs="宋体"/>
          <w:color w:val="auto"/>
          <w:sz w:val="24"/>
          <w:szCs w:val="24"/>
          <w:highlight w:val="none"/>
        </w:rPr>
        <w:t>。</w:t>
      </w:r>
    </w:p>
    <w:p w14:paraId="0AC4796B">
      <w:pPr>
        <w:pStyle w:val="12"/>
        <w:tabs>
          <w:tab w:val="left" w:pos="1343"/>
          <w:tab w:val="left" w:pos="2697"/>
          <w:tab w:val="left" w:pos="3264"/>
          <w:tab w:val="left" w:pos="4896"/>
          <w:tab w:val="left" w:pos="6005"/>
          <w:tab w:val="left" w:pos="7085"/>
          <w:tab w:val="left" w:pos="7498"/>
        </w:tabs>
        <w:kinsoku w:val="0"/>
        <w:overflowPunct w:val="0"/>
        <w:spacing w:line="351" w:lineRule="auto"/>
        <w:ind w:left="0" w:right="-240" w:rightChars="-100" w:firstLine="480" w:firstLineChars="200"/>
        <w:jc w:val="both"/>
        <w:rPr>
          <w:rFonts w:hint="eastAsia" w:cs="宋体"/>
          <w:color w:val="auto"/>
          <w:sz w:val="24"/>
          <w:szCs w:val="24"/>
          <w:highlight w:val="none"/>
        </w:rPr>
      </w:pPr>
      <w:r>
        <w:rPr>
          <w:rFonts w:hint="eastAsia" w:cs="宋体"/>
          <w:color w:val="auto"/>
          <w:sz w:val="24"/>
          <w:szCs w:val="24"/>
          <w:highlight w:val="none"/>
        </w:rPr>
        <w:t>（1）按本章第2.2.4（1）目规定的评审因素和分值对资信业绩部分计算出得分</w:t>
      </w:r>
      <w:r>
        <w:rPr>
          <w:rFonts w:hint="eastAsia" w:cs="宋体"/>
          <w:color w:val="auto"/>
          <w:sz w:val="24"/>
          <w:szCs w:val="24"/>
          <w:highlight w:val="none"/>
          <w:lang w:val="en-US" w:eastAsia="zh-CN"/>
        </w:rPr>
        <w:t>A，</w:t>
      </w:r>
      <w:r>
        <w:rPr>
          <w:rFonts w:hint="eastAsia" w:cs="宋体"/>
          <w:color w:val="auto"/>
          <w:sz w:val="24"/>
          <w:szCs w:val="24"/>
          <w:highlight w:val="none"/>
          <w:u w:val="single"/>
        </w:rPr>
        <w:t>资信业绩</w:t>
      </w:r>
      <w:r>
        <w:rPr>
          <w:rFonts w:hint="eastAsia" w:cs="宋体"/>
          <w:color w:val="auto"/>
          <w:sz w:val="24"/>
          <w:szCs w:val="24"/>
          <w:highlight w:val="none"/>
          <w:u w:val="single"/>
          <w:lang w:eastAsia="zh-CN"/>
        </w:rPr>
        <w:t>部分</w:t>
      </w:r>
      <w:r>
        <w:rPr>
          <w:rFonts w:hint="eastAsia" w:cs="宋体"/>
          <w:color w:val="auto"/>
          <w:sz w:val="24"/>
          <w:szCs w:val="24"/>
          <w:highlight w:val="none"/>
          <w:u w:val="single"/>
        </w:rPr>
        <w:t>评审得分A为各评标专家打分的算术平均值</w:t>
      </w:r>
      <w:r>
        <w:rPr>
          <w:rFonts w:hint="eastAsia" w:cs="宋体"/>
          <w:color w:val="auto"/>
          <w:sz w:val="24"/>
          <w:szCs w:val="24"/>
          <w:highlight w:val="none"/>
        </w:rPr>
        <w:t>；</w:t>
      </w:r>
    </w:p>
    <w:p w14:paraId="68269FC5">
      <w:pPr>
        <w:pStyle w:val="12"/>
        <w:tabs>
          <w:tab w:val="left" w:pos="1343"/>
          <w:tab w:val="left" w:pos="2697"/>
          <w:tab w:val="left" w:pos="3264"/>
          <w:tab w:val="left" w:pos="4896"/>
          <w:tab w:val="left" w:pos="6005"/>
          <w:tab w:val="left" w:pos="7085"/>
          <w:tab w:val="left" w:pos="7498"/>
        </w:tabs>
        <w:kinsoku w:val="0"/>
        <w:overflowPunct w:val="0"/>
        <w:spacing w:line="351" w:lineRule="auto"/>
        <w:ind w:left="0" w:right="-240" w:rightChars="-100" w:firstLine="480" w:firstLineChars="200"/>
        <w:jc w:val="both"/>
        <w:rPr>
          <w:rFonts w:hint="eastAsia" w:cs="宋体"/>
          <w:strike/>
          <w:color w:val="auto"/>
          <w:sz w:val="24"/>
          <w:szCs w:val="24"/>
          <w:highlight w:val="none"/>
        </w:rPr>
      </w:pPr>
      <w:r>
        <w:rPr>
          <w:rFonts w:hint="eastAsia" w:cs="宋体"/>
          <w:color w:val="auto"/>
          <w:sz w:val="24"/>
          <w:szCs w:val="24"/>
          <w:highlight w:val="none"/>
        </w:rPr>
        <w:t>（2）按本章第2.2.4（2）目规定的评审因素和分值对监理大纲部分计算出得分B</w:t>
      </w:r>
      <w:r>
        <w:rPr>
          <w:rFonts w:hint="eastAsia" w:cs="宋体"/>
          <w:color w:val="auto"/>
          <w:sz w:val="24"/>
          <w:szCs w:val="24"/>
          <w:highlight w:val="none"/>
          <w:lang w:val="en-US" w:eastAsia="zh-CN"/>
        </w:rPr>
        <w:t>，</w:t>
      </w:r>
      <w:r>
        <w:rPr>
          <w:rFonts w:hint="eastAsia" w:cs="宋体"/>
          <w:strike/>
          <w:color w:val="auto"/>
          <w:sz w:val="24"/>
          <w:szCs w:val="24"/>
          <w:highlight w:val="none"/>
          <w:u w:val="single"/>
          <w:lang w:eastAsia="zh-CN"/>
        </w:rPr>
        <w:fldChar w:fldCharType="begin"/>
      </w:r>
      <w:r>
        <w:rPr>
          <w:rFonts w:hint="eastAsia" w:cs="宋体"/>
          <w:strike/>
          <w:color w:val="auto"/>
          <w:sz w:val="24"/>
          <w:szCs w:val="24"/>
          <w:highlight w:val="none"/>
          <w:u w:val="single"/>
          <w:lang w:eastAsia="zh-CN"/>
        </w:rPr>
        <w:instrText xml:space="preserve"> = 1 \* GB3 \* MERGEFORMAT </w:instrText>
      </w:r>
      <w:r>
        <w:rPr>
          <w:rFonts w:hint="eastAsia" w:cs="宋体"/>
          <w:strike/>
          <w:color w:val="auto"/>
          <w:sz w:val="24"/>
          <w:szCs w:val="24"/>
          <w:highlight w:val="none"/>
          <w:u w:val="single"/>
          <w:lang w:eastAsia="zh-CN"/>
        </w:rPr>
        <w:fldChar w:fldCharType="separate"/>
      </w:r>
      <w:r>
        <w:rPr>
          <w:rFonts w:hint="eastAsia" w:cs="宋体"/>
          <w:strike/>
          <w:color w:val="auto"/>
          <w:sz w:val="21"/>
          <w:szCs w:val="24"/>
          <w:highlight w:val="none"/>
          <w:u w:val="single"/>
        </w:rPr>
        <w:t>①</w:t>
      </w:r>
      <w:r>
        <w:rPr>
          <w:rFonts w:hint="eastAsia" w:cs="宋体"/>
          <w:strike/>
          <w:color w:val="auto"/>
          <w:sz w:val="21"/>
          <w:szCs w:val="24"/>
          <w:highlight w:val="none"/>
          <w:u w:val="single"/>
        </w:rPr>
        <w:fldChar w:fldCharType="end"/>
      </w:r>
      <w:r>
        <w:rPr>
          <w:rFonts w:hint="eastAsia" w:cs="宋体"/>
          <w:strike/>
          <w:color w:val="auto"/>
          <w:sz w:val="24"/>
          <w:szCs w:val="24"/>
          <w:highlight w:val="none"/>
          <w:u w:val="single"/>
          <w:lang w:eastAsia="zh-CN"/>
        </w:rPr>
        <w:t>监理大纲</w:t>
      </w:r>
      <w:r>
        <w:rPr>
          <w:rFonts w:hint="eastAsia" w:cs="宋体"/>
          <w:strike/>
          <w:color w:val="auto"/>
          <w:sz w:val="24"/>
          <w:szCs w:val="24"/>
          <w:highlight w:val="none"/>
          <w:u w:val="single"/>
        </w:rPr>
        <w:t>部分评审得分</w:t>
      </w:r>
      <w:r>
        <w:rPr>
          <w:rFonts w:hint="eastAsia" w:cs="宋体"/>
          <w:strike/>
          <w:color w:val="auto"/>
          <w:sz w:val="24"/>
          <w:szCs w:val="24"/>
          <w:highlight w:val="none"/>
        </w:rPr>
        <w:t>B</w:t>
      </w:r>
      <w:r>
        <w:rPr>
          <w:rFonts w:hint="eastAsia" w:cs="宋体"/>
          <w:strike/>
          <w:color w:val="auto"/>
          <w:sz w:val="24"/>
          <w:szCs w:val="24"/>
          <w:highlight w:val="none"/>
          <w:u w:val="single"/>
        </w:rPr>
        <w:t>为从各评标专家打分中去掉一个最高分和去掉一个最低分后的剩余评标专家打分的算术平均值</w:t>
      </w:r>
      <w:r>
        <w:rPr>
          <w:rFonts w:hint="eastAsia" w:cs="宋体"/>
          <w:strike/>
          <w:color w:val="auto"/>
          <w:sz w:val="24"/>
          <w:szCs w:val="24"/>
          <w:highlight w:val="none"/>
          <w:u w:val="single"/>
          <w:lang w:eastAsia="zh-CN"/>
        </w:rPr>
        <w:t>或</w:t>
      </w:r>
      <w:r>
        <w:rPr>
          <w:rFonts w:hint="eastAsia" w:cs="宋体"/>
          <w:strike/>
          <w:color w:val="auto"/>
          <w:sz w:val="24"/>
          <w:szCs w:val="24"/>
          <w:highlight w:val="none"/>
          <w:u w:val="single"/>
          <w:lang w:eastAsia="zh-CN"/>
        </w:rPr>
        <w:fldChar w:fldCharType="begin"/>
      </w:r>
      <w:r>
        <w:rPr>
          <w:rFonts w:hint="eastAsia" w:cs="宋体"/>
          <w:strike/>
          <w:color w:val="auto"/>
          <w:sz w:val="24"/>
          <w:szCs w:val="24"/>
          <w:highlight w:val="none"/>
          <w:u w:val="single"/>
          <w:lang w:eastAsia="zh-CN"/>
        </w:rPr>
        <w:instrText xml:space="preserve"> = 2 \* GB3 \* MERGEFORMAT </w:instrText>
      </w:r>
      <w:r>
        <w:rPr>
          <w:rFonts w:hint="eastAsia" w:cs="宋体"/>
          <w:strike/>
          <w:color w:val="auto"/>
          <w:sz w:val="24"/>
          <w:szCs w:val="24"/>
          <w:highlight w:val="none"/>
          <w:u w:val="single"/>
          <w:lang w:eastAsia="zh-CN"/>
        </w:rPr>
        <w:fldChar w:fldCharType="separate"/>
      </w:r>
      <w:r>
        <w:rPr>
          <w:rFonts w:hint="eastAsia" w:cs="宋体"/>
          <w:strike/>
          <w:color w:val="auto"/>
          <w:sz w:val="21"/>
          <w:szCs w:val="24"/>
          <w:highlight w:val="none"/>
          <w:u w:val="single"/>
        </w:rPr>
        <w:t>②</w:t>
      </w:r>
      <w:r>
        <w:rPr>
          <w:rFonts w:hint="eastAsia" w:cs="宋体"/>
          <w:strike/>
          <w:color w:val="auto"/>
          <w:sz w:val="21"/>
          <w:szCs w:val="24"/>
          <w:highlight w:val="none"/>
          <w:u w:val="single"/>
        </w:rPr>
        <w:fldChar w:fldCharType="end"/>
      </w:r>
      <w:r>
        <w:rPr>
          <w:rFonts w:hint="eastAsia" w:cs="宋体"/>
          <w:strike w:val="0"/>
          <w:color w:val="auto"/>
          <w:sz w:val="24"/>
          <w:szCs w:val="24"/>
          <w:highlight w:val="none"/>
          <w:u w:val="single"/>
          <w:lang w:eastAsia="zh-CN"/>
        </w:rPr>
        <w:t>监理大纲部分</w:t>
      </w:r>
      <w:r>
        <w:rPr>
          <w:rFonts w:hint="eastAsia" w:cs="宋体"/>
          <w:strike w:val="0"/>
          <w:color w:val="auto"/>
          <w:sz w:val="24"/>
          <w:szCs w:val="24"/>
          <w:highlight w:val="none"/>
          <w:u w:val="single"/>
        </w:rPr>
        <w:t>评审得分</w:t>
      </w:r>
      <w:r>
        <w:rPr>
          <w:rFonts w:hint="eastAsia" w:cs="宋体"/>
          <w:strike w:val="0"/>
          <w:color w:val="auto"/>
          <w:sz w:val="24"/>
          <w:szCs w:val="24"/>
          <w:highlight w:val="none"/>
        </w:rPr>
        <w:t>B</w:t>
      </w:r>
      <w:r>
        <w:rPr>
          <w:rFonts w:hint="eastAsia" w:cs="宋体"/>
          <w:strike w:val="0"/>
          <w:color w:val="auto"/>
          <w:sz w:val="24"/>
          <w:szCs w:val="24"/>
          <w:highlight w:val="none"/>
          <w:u w:val="single"/>
        </w:rPr>
        <w:t>为各评标专家打分的算术平均值</w:t>
      </w:r>
      <w:r>
        <w:rPr>
          <w:rFonts w:hint="eastAsia" w:cs="宋体"/>
          <w:i/>
          <w:iCs/>
          <w:strike/>
          <w:color w:val="auto"/>
          <w:sz w:val="24"/>
          <w:szCs w:val="24"/>
          <w:highlight w:val="none"/>
          <w:u w:val="single"/>
          <w:lang w:eastAsia="zh-CN"/>
        </w:rPr>
        <w:t>（二选一，招标人自行选择）</w:t>
      </w:r>
      <w:r>
        <w:rPr>
          <w:rFonts w:hint="eastAsia" w:cs="宋体"/>
          <w:strike/>
          <w:color w:val="auto"/>
          <w:sz w:val="24"/>
          <w:szCs w:val="24"/>
          <w:highlight w:val="none"/>
        </w:rPr>
        <w:t>；</w:t>
      </w:r>
    </w:p>
    <w:p w14:paraId="1F828B5B">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（3）按本章第2.2.4（3）目规定的评审因素和分值对投标报价计算出得分C；</w:t>
      </w:r>
    </w:p>
    <w:p w14:paraId="674B5FAE">
      <w:pPr>
        <w:pStyle w:val="12"/>
        <w:tabs>
          <w:tab w:val="left" w:pos="1343"/>
          <w:tab w:val="left" w:pos="2697"/>
          <w:tab w:val="left" w:pos="3264"/>
          <w:tab w:val="left" w:pos="4896"/>
          <w:tab w:val="left" w:pos="6005"/>
          <w:tab w:val="left" w:pos="7085"/>
          <w:tab w:val="left" w:pos="7498"/>
        </w:tabs>
        <w:kinsoku w:val="0"/>
        <w:overflowPunct w:val="0"/>
        <w:spacing w:line="351" w:lineRule="auto"/>
        <w:ind w:left="480" w:leftChars="200"/>
        <w:jc w:val="both"/>
        <w:rPr>
          <w:rFonts w:hint="eastAsia" w:cs="宋体"/>
          <w:strike/>
          <w:color w:val="auto"/>
          <w:sz w:val="24"/>
          <w:szCs w:val="24"/>
          <w:highlight w:val="none"/>
          <w:lang w:eastAsia="zh-CN"/>
        </w:rPr>
      </w:pPr>
      <w:r>
        <w:rPr>
          <w:rFonts w:hint="eastAsia" w:cs="宋体"/>
          <w:strike/>
          <w:color w:val="auto"/>
          <w:sz w:val="24"/>
          <w:szCs w:val="24"/>
          <w:highlight w:val="none"/>
        </w:rPr>
        <w:t>（4）按本章第2.2.4（4）目规定的评审因素和分值对</w:t>
      </w:r>
      <w:r>
        <w:rPr>
          <w:rFonts w:hint="eastAsia" w:cs="宋体"/>
          <w:strike/>
          <w:color w:val="auto"/>
          <w:sz w:val="24"/>
          <w:szCs w:val="24"/>
          <w:highlight w:val="none"/>
          <w:lang w:eastAsia="zh-CN"/>
        </w:rPr>
        <w:t>诚信评价</w:t>
      </w:r>
      <w:r>
        <w:rPr>
          <w:rFonts w:hint="eastAsia" w:cs="宋体"/>
          <w:strike/>
          <w:color w:val="auto"/>
          <w:sz w:val="24"/>
          <w:szCs w:val="24"/>
          <w:highlight w:val="none"/>
        </w:rPr>
        <w:t>计算出得分D</w:t>
      </w:r>
      <w:r>
        <w:rPr>
          <w:rFonts w:hint="eastAsia" w:cs="宋体"/>
          <w:strike/>
          <w:color w:val="auto"/>
          <w:sz w:val="24"/>
          <w:szCs w:val="24"/>
          <w:highlight w:val="none"/>
          <w:lang w:eastAsia="zh-CN"/>
        </w:rPr>
        <w:t>。</w:t>
      </w:r>
    </w:p>
    <w:p w14:paraId="13266BD4">
      <w:pPr>
        <w:pStyle w:val="12"/>
        <w:tabs>
          <w:tab w:val="left" w:pos="1343"/>
          <w:tab w:val="left" w:pos="2697"/>
          <w:tab w:val="left" w:pos="3264"/>
          <w:tab w:val="left" w:pos="4896"/>
          <w:tab w:val="left" w:pos="6005"/>
          <w:tab w:val="left" w:pos="7085"/>
          <w:tab w:val="left" w:pos="7498"/>
        </w:tabs>
        <w:kinsoku w:val="0"/>
        <w:overflowPunct w:val="0"/>
        <w:spacing w:line="351" w:lineRule="auto"/>
        <w:ind w:left="480" w:leftChars="200"/>
        <w:jc w:val="both"/>
        <w:rPr>
          <w:rFonts w:hint="eastAsia" w:cs="宋体"/>
          <w:color w:val="auto"/>
          <w:sz w:val="24"/>
          <w:szCs w:val="24"/>
          <w:highlight w:val="none"/>
        </w:rPr>
      </w:pPr>
      <w:r>
        <w:rPr>
          <w:rFonts w:hint="eastAsia" w:cs="宋体"/>
          <w:color w:val="auto"/>
          <w:sz w:val="24"/>
          <w:szCs w:val="24"/>
          <w:highlight w:val="none"/>
        </w:rPr>
        <w:t>3.2.2 评分分值计算保留小数点后两位，小数点后第三位“四舍五入”。</w:t>
      </w:r>
    </w:p>
    <w:p w14:paraId="3F8E490B">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 xml:space="preserve">3.2.3 </w:t>
      </w:r>
      <w:r>
        <w:rPr>
          <w:rFonts w:hint="eastAsia" w:cs="宋体"/>
          <w:color w:val="auto"/>
          <w:sz w:val="24"/>
          <w:szCs w:val="24"/>
          <w:highlight w:val="none"/>
          <w:u w:val="single"/>
        </w:rPr>
        <w:t>投标人</w:t>
      </w:r>
      <w:r>
        <w:rPr>
          <w:rFonts w:hint="eastAsia" w:cs="宋体"/>
          <w:color w:val="auto"/>
          <w:sz w:val="24"/>
          <w:szCs w:val="24"/>
          <w:highlight w:val="none"/>
          <w:u w:val="single"/>
          <w:lang w:eastAsia="zh-CN"/>
        </w:rPr>
        <w:t>的</w:t>
      </w:r>
      <w:r>
        <w:rPr>
          <w:rFonts w:hint="eastAsia" w:cs="宋体"/>
          <w:color w:val="auto"/>
          <w:sz w:val="24"/>
          <w:szCs w:val="24"/>
          <w:highlight w:val="none"/>
          <w:u w:val="single"/>
        </w:rPr>
        <w:t>投标文件（评标部分）</w:t>
      </w:r>
      <w:r>
        <w:rPr>
          <w:rFonts w:hint="eastAsia" w:ascii="宋体" w:hAnsi="宋体" w:cs="宋体"/>
          <w:sz w:val="24"/>
          <w:szCs w:val="24"/>
          <w:highlight w:val="none"/>
          <w:u w:val="single"/>
          <w:lang w:val="en-US" w:eastAsia="zh-CN"/>
        </w:rPr>
        <w:t>总</w:t>
      </w:r>
      <w:r>
        <w:rPr>
          <w:rFonts w:hint="eastAsia" w:ascii="宋体" w:hAnsi="宋体" w:eastAsia="宋体" w:cs="宋体"/>
          <w:sz w:val="24"/>
          <w:szCs w:val="24"/>
          <w:highlight w:val="none"/>
          <w:u w:val="single"/>
        </w:rPr>
        <w:t>得分</w:t>
      </w:r>
      <w:r>
        <w:rPr>
          <w:rFonts w:hint="eastAsia" w:cs="宋体"/>
          <w:color w:val="auto"/>
          <w:sz w:val="24"/>
          <w:szCs w:val="24"/>
          <w:highlight w:val="none"/>
          <w:u w:val="single"/>
        </w:rPr>
        <w:t>=A+B+C</w:t>
      </w:r>
      <w:r>
        <w:rPr>
          <w:rFonts w:hint="eastAsia" w:cs="宋体"/>
          <w:color w:val="auto"/>
          <w:sz w:val="24"/>
          <w:szCs w:val="24"/>
          <w:highlight w:val="none"/>
        </w:rPr>
        <w:t>。</w:t>
      </w:r>
      <w:r>
        <w:rPr>
          <w:rFonts w:hint="eastAsia" w:cs="宋体"/>
          <w:color w:val="auto"/>
          <w:sz w:val="24"/>
          <w:szCs w:val="24"/>
          <w:highlight w:val="none"/>
          <w:u w:val="single"/>
        </w:rPr>
        <w:t>评标委员会应按照投标文件（评标部分）总得分从高至低的顺序推荐排序位于前</w:t>
      </w:r>
      <w:r>
        <w:rPr>
          <w:rFonts w:hint="eastAsia" w:cs="宋体"/>
          <w:color w:val="auto"/>
          <w:sz w:val="24"/>
          <w:szCs w:val="24"/>
          <w:highlight w:val="none"/>
          <w:u w:val="single"/>
          <w:lang w:val="en-US" w:eastAsia="zh-CN"/>
        </w:rPr>
        <w:t>20</w:t>
      </w:r>
      <w:r>
        <w:rPr>
          <w:rFonts w:hint="eastAsia" w:cs="宋体"/>
          <w:color w:val="auto"/>
          <w:sz w:val="24"/>
          <w:szCs w:val="24"/>
          <w:highlight w:val="none"/>
          <w:u w:val="single"/>
        </w:rPr>
        <w:t>名次的合格投标人不排序进入定标阶段，若通过初步评审的合格投标人大于等于5家，小于等于</w:t>
      </w:r>
      <w:r>
        <w:rPr>
          <w:rFonts w:hint="eastAsia" w:cs="宋体"/>
          <w:color w:val="auto"/>
          <w:sz w:val="24"/>
          <w:szCs w:val="24"/>
          <w:highlight w:val="none"/>
          <w:u w:val="single"/>
          <w:lang w:val="en-US" w:eastAsia="zh-CN"/>
        </w:rPr>
        <w:t>20</w:t>
      </w:r>
      <w:r>
        <w:rPr>
          <w:rFonts w:hint="eastAsia" w:cs="宋体"/>
          <w:color w:val="auto"/>
          <w:sz w:val="24"/>
          <w:szCs w:val="24"/>
          <w:highlight w:val="none"/>
          <w:u w:val="single"/>
        </w:rPr>
        <w:t>家的，则全部通过初步评审的合格投标人不排序进入定标阶段；若通过初步评审的合格投标人大于</w:t>
      </w:r>
      <w:r>
        <w:rPr>
          <w:rFonts w:hint="eastAsia" w:cs="宋体"/>
          <w:color w:val="auto"/>
          <w:sz w:val="24"/>
          <w:szCs w:val="24"/>
          <w:highlight w:val="none"/>
          <w:u w:val="single"/>
          <w:lang w:val="en-US" w:eastAsia="zh-CN"/>
        </w:rPr>
        <w:t>20</w:t>
      </w:r>
      <w:r>
        <w:rPr>
          <w:rFonts w:hint="eastAsia" w:cs="宋体"/>
          <w:color w:val="auto"/>
          <w:sz w:val="24"/>
          <w:szCs w:val="24"/>
          <w:highlight w:val="none"/>
          <w:u w:val="single"/>
        </w:rPr>
        <w:t>家的，按投标文件（评标部分）总得分从高到低进行排序，推荐排序位于前</w:t>
      </w:r>
      <w:r>
        <w:rPr>
          <w:rFonts w:hint="eastAsia" w:cs="宋体"/>
          <w:color w:val="auto"/>
          <w:sz w:val="24"/>
          <w:szCs w:val="24"/>
          <w:highlight w:val="none"/>
          <w:u w:val="single"/>
          <w:lang w:val="en-US" w:eastAsia="zh-CN"/>
        </w:rPr>
        <w:t>20</w:t>
      </w:r>
      <w:r>
        <w:rPr>
          <w:rFonts w:hint="eastAsia" w:cs="宋体"/>
          <w:color w:val="auto"/>
          <w:sz w:val="24"/>
          <w:szCs w:val="24"/>
          <w:highlight w:val="none"/>
          <w:u w:val="single"/>
        </w:rPr>
        <w:t>名次的合格投标人不排序进入定标阶段（若前</w:t>
      </w:r>
      <w:r>
        <w:rPr>
          <w:rFonts w:hint="eastAsia" w:cs="宋体"/>
          <w:color w:val="auto"/>
          <w:sz w:val="24"/>
          <w:szCs w:val="24"/>
          <w:highlight w:val="none"/>
          <w:u w:val="single"/>
          <w:lang w:val="en-US" w:eastAsia="zh-CN"/>
        </w:rPr>
        <w:t>20</w:t>
      </w:r>
      <w:r>
        <w:rPr>
          <w:rFonts w:hint="eastAsia" w:cs="宋体"/>
          <w:color w:val="auto"/>
          <w:sz w:val="24"/>
          <w:szCs w:val="24"/>
          <w:highlight w:val="none"/>
          <w:u w:val="single"/>
        </w:rPr>
        <w:t>名次的合格投标人中存在投标文件（评标部分）总得分相同的，则按第三章“评标、定标办法”第1款的原则确定排序。）</w:t>
      </w:r>
      <w:r>
        <w:rPr>
          <w:rFonts w:hint="eastAsia" w:cs="宋体"/>
          <w:color w:val="auto"/>
          <w:sz w:val="24"/>
          <w:szCs w:val="24"/>
          <w:highlight w:val="none"/>
        </w:rPr>
        <w:t>。</w:t>
      </w:r>
    </w:p>
    <w:p w14:paraId="5BC388DA">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3.2.4 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14:paraId="389BDF30">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highlight w:val="none"/>
        </w:rPr>
      </w:pPr>
      <w:bookmarkStart w:id="107" w:name="bookmark91"/>
      <w:bookmarkEnd w:id="107"/>
      <w:r>
        <w:rPr>
          <w:rFonts w:hint="eastAsia" w:ascii="宋体" w:hAnsi="宋体" w:eastAsia="宋体" w:cs="宋体"/>
          <w:highlight w:val="none"/>
        </w:rPr>
        <w:t>3.3  投标文件的澄清</w:t>
      </w:r>
    </w:p>
    <w:p w14:paraId="5957E827">
      <w:pPr>
        <w:pStyle w:val="1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eastAsia" w:cs="宋体"/>
          <w:color w:val="auto"/>
          <w:sz w:val="24"/>
          <w:szCs w:val="24"/>
          <w:highlight w:val="none"/>
        </w:rPr>
      </w:pPr>
      <w:r>
        <w:rPr>
          <w:rFonts w:hint="eastAsia" w:cs="宋体"/>
          <w:color w:val="auto"/>
          <w:sz w:val="24"/>
          <w:szCs w:val="24"/>
          <w:highlight w:val="none"/>
        </w:rPr>
        <w:t>3.3.1 在评标过程中，</w:t>
      </w:r>
      <w:r>
        <w:rPr>
          <w:rFonts w:hint="eastAsia" w:ascii="宋体" w:hAnsi="宋体" w:cs="宋体"/>
          <w:color w:val="auto"/>
          <w:sz w:val="24"/>
          <w:highlight w:val="none"/>
        </w:rPr>
        <w:t>经评标委员会中两人以上（含两人）以书面形式提出动议，评标委员会</w:t>
      </w:r>
      <w:r>
        <w:rPr>
          <w:rFonts w:hint="eastAsia" w:cs="宋体"/>
          <w:color w:val="auto"/>
          <w:sz w:val="24"/>
          <w:szCs w:val="24"/>
          <w:highlight w:val="none"/>
        </w:rPr>
        <w:t>可以书面形式要求投标人对投标文件中含义不明确、对同类问题表述不一致或者有明显文字和计算错误的内容作必要的澄清、说明或补正。澄清、说明 或补正应以书面方式进行。评标委员会不接受投标人主动提出的澄清、说明或补正。</w:t>
      </w:r>
    </w:p>
    <w:p w14:paraId="37B9116C">
      <w:pPr>
        <w:pStyle w:val="1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eastAsia" w:cs="宋体"/>
          <w:color w:val="auto"/>
          <w:sz w:val="24"/>
          <w:szCs w:val="24"/>
          <w:highlight w:val="none"/>
        </w:rPr>
      </w:pPr>
      <w:r>
        <w:rPr>
          <w:rFonts w:hint="eastAsia" w:cs="宋体"/>
          <w:color w:val="auto"/>
          <w:sz w:val="24"/>
          <w:szCs w:val="24"/>
          <w:highlight w:val="none"/>
        </w:rPr>
        <w:t>3.3.2 澄清、说明或补正不得超出投标文件的范围且不得改变投标文件的实质性内容，并构成投标文件的组成部分。</w:t>
      </w:r>
    </w:p>
    <w:p w14:paraId="63F5BDC4">
      <w:pPr>
        <w:pStyle w:val="12"/>
        <w:tabs>
          <w:tab w:val="left" w:pos="1343"/>
          <w:tab w:val="left" w:pos="2697"/>
          <w:tab w:val="left" w:pos="3264"/>
          <w:tab w:val="left" w:pos="4896"/>
          <w:tab w:val="left" w:pos="6005"/>
          <w:tab w:val="left" w:pos="7085"/>
          <w:tab w:val="left" w:pos="7498"/>
        </w:tabs>
        <w:kinsoku w:val="0"/>
        <w:overflowPunct w:val="0"/>
        <w:spacing w:line="351" w:lineRule="auto"/>
        <w:ind w:left="100" w:right="211" w:firstLine="419"/>
        <w:jc w:val="both"/>
        <w:rPr>
          <w:rFonts w:hint="eastAsia" w:cs="宋体"/>
          <w:color w:val="auto"/>
          <w:sz w:val="24"/>
          <w:szCs w:val="24"/>
          <w:highlight w:val="none"/>
        </w:rPr>
      </w:pPr>
      <w:r>
        <w:rPr>
          <w:rFonts w:hint="eastAsia" w:cs="宋体"/>
          <w:color w:val="auto"/>
          <w:sz w:val="24"/>
          <w:szCs w:val="24"/>
          <w:highlight w:val="none"/>
        </w:rPr>
        <w:t>3.3.3 评标委员会对投标人提交的澄清、说明或补正有疑问的，可以要求投标人进一步澄清、 说明或补正，直至满足评标委员会的要求。</w:t>
      </w:r>
    </w:p>
    <w:p w14:paraId="7C3D4052">
      <w:pPr>
        <w:keepNext w:val="0"/>
        <w:keepLines w:val="0"/>
        <w:pageBreakBefore w:val="0"/>
        <w:widowControl w:val="0"/>
        <w:kinsoku/>
        <w:wordWrap/>
        <w:overflowPunct/>
        <w:topLinePunct w:val="0"/>
        <w:autoSpaceDE w:val="0"/>
        <w:autoSpaceDN w:val="0"/>
        <w:bidi w:val="0"/>
        <w:adjustRightInd w:val="0"/>
        <w:snapToGrid/>
        <w:spacing w:line="351" w:lineRule="auto"/>
        <w:ind w:firstLine="240" w:firstLineChars="100"/>
        <w:textAlignment w:val="auto"/>
        <w:rPr>
          <w:rFonts w:hint="eastAsia" w:ascii="宋体" w:hAnsi="宋体" w:eastAsia="宋体" w:cs="宋体"/>
          <w:highlight w:val="none"/>
        </w:rPr>
      </w:pPr>
      <w:bookmarkStart w:id="108" w:name="bookmark92"/>
      <w:bookmarkEnd w:id="108"/>
      <w:r>
        <w:rPr>
          <w:rFonts w:hint="eastAsia" w:ascii="宋体" w:hAnsi="宋体" w:eastAsia="宋体" w:cs="宋体"/>
          <w:highlight w:val="none"/>
        </w:rPr>
        <w:t>3.4  评标结果</w:t>
      </w:r>
    </w:p>
    <w:p w14:paraId="434DABCF">
      <w:pPr>
        <w:pBdr>
          <w:top w:val="none" w:color="auto" w:sz="0" w:space="0"/>
          <w:left w:val="none" w:color="auto" w:sz="0" w:space="0"/>
          <w:bottom w:val="none" w:color="auto" w:sz="0" w:space="0"/>
          <w:right w:val="none" w:color="auto" w:sz="0" w:space="0"/>
          <w:between w:val="none" w:color="auto" w:sz="0" w:space="0"/>
        </w:pBdr>
        <w:spacing w:line="351" w:lineRule="auto"/>
        <w:ind w:firstLine="480" w:firstLineChars="200"/>
        <w:rPr>
          <w:rFonts w:hint="eastAsia" w:ascii="宋体" w:hAnsi="宋体" w:cs="宋体"/>
          <w:color w:val="000000"/>
          <w:sz w:val="24"/>
          <w:highlight w:val="none"/>
          <w:u w:val="single"/>
        </w:rPr>
      </w:pPr>
      <w:r>
        <w:rPr>
          <w:rFonts w:hint="eastAsia" w:ascii="宋体" w:hAnsi="宋体" w:cs="宋体"/>
          <w:color w:val="auto"/>
          <w:sz w:val="24"/>
          <w:highlight w:val="none"/>
          <w:u w:val="single"/>
        </w:rPr>
        <w:t xml:space="preserve">3.4.1 </w:t>
      </w:r>
      <w:r>
        <w:rPr>
          <w:rFonts w:hint="eastAsia" w:ascii="宋体" w:hAnsi="宋体" w:eastAsia="宋体" w:cs="宋体"/>
          <w:color w:val="000000"/>
          <w:sz w:val="24"/>
          <w:highlight w:val="none"/>
          <w:u w:val="single"/>
        </w:rPr>
        <w:t>评标</w:t>
      </w:r>
      <w:r>
        <w:rPr>
          <w:rFonts w:hint="eastAsia" w:ascii="宋体" w:hAnsi="宋体" w:cs="宋体"/>
          <w:color w:val="auto"/>
          <w:sz w:val="24"/>
          <w:highlight w:val="none"/>
          <w:u w:val="single"/>
        </w:rPr>
        <w:t>委员会依据本章第2.2条评分标准进行评分，按评标办法前附表的约定计算投标人</w:t>
      </w:r>
      <w:r>
        <w:rPr>
          <w:rFonts w:hint="eastAsia" w:ascii="宋体" w:hAnsi="宋体" w:cs="宋体"/>
          <w:color w:val="000000"/>
          <w:sz w:val="24"/>
          <w:highlight w:val="none"/>
          <w:u w:val="single"/>
          <w:lang w:eastAsia="zh-CN"/>
        </w:rPr>
        <w:t>投标文件（评标部分）</w:t>
      </w:r>
      <w:r>
        <w:rPr>
          <w:rFonts w:hint="eastAsia" w:ascii="宋体" w:hAnsi="宋体" w:cs="宋体"/>
          <w:color w:val="auto"/>
          <w:sz w:val="24"/>
          <w:highlight w:val="none"/>
          <w:u w:val="single"/>
          <w:lang w:eastAsia="zh-CN"/>
        </w:rPr>
        <w:t>总</w:t>
      </w:r>
      <w:r>
        <w:rPr>
          <w:rFonts w:hint="eastAsia" w:ascii="宋体" w:hAnsi="宋体" w:cs="宋体"/>
          <w:color w:val="auto"/>
          <w:sz w:val="24"/>
          <w:highlight w:val="none"/>
          <w:u w:val="single"/>
        </w:rPr>
        <w:t>得分，评标委员会应按照</w:t>
      </w:r>
      <w:r>
        <w:rPr>
          <w:rFonts w:hint="eastAsia" w:ascii="宋体" w:hAnsi="宋体" w:cs="宋体"/>
          <w:color w:val="000000"/>
          <w:sz w:val="24"/>
          <w:highlight w:val="none"/>
          <w:u w:val="single"/>
          <w:lang w:eastAsia="zh-CN"/>
        </w:rPr>
        <w:t>投标文件（评标部分）</w:t>
      </w:r>
      <w:r>
        <w:rPr>
          <w:rFonts w:hint="eastAsia" w:ascii="宋体" w:hAnsi="宋体" w:cs="宋体"/>
          <w:color w:val="auto"/>
          <w:sz w:val="24"/>
          <w:highlight w:val="none"/>
          <w:u w:val="single"/>
          <w:lang w:eastAsia="zh-CN"/>
        </w:rPr>
        <w:t>总</w:t>
      </w:r>
      <w:r>
        <w:rPr>
          <w:rFonts w:hint="eastAsia" w:ascii="宋体" w:hAnsi="宋体" w:cs="宋体"/>
          <w:color w:val="auto"/>
          <w:sz w:val="24"/>
          <w:highlight w:val="none"/>
          <w:u w:val="single"/>
        </w:rPr>
        <w:t>得分从高至低的顺序</w:t>
      </w:r>
      <w:r>
        <w:rPr>
          <w:rFonts w:hint="eastAsia" w:ascii="宋体" w:hAnsi="宋体" w:eastAsia="宋体" w:cs="宋体"/>
          <w:color w:val="000000"/>
          <w:kern w:val="2"/>
          <w:sz w:val="24"/>
          <w:szCs w:val="22"/>
          <w:highlight w:val="none"/>
          <w:u w:val="single"/>
        </w:rPr>
        <w:t>推荐排序位于前</w:t>
      </w:r>
      <w:r>
        <w:rPr>
          <w:rFonts w:hint="eastAsia" w:ascii="宋体" w:hAnsi="宋体" w:cs="宋体"/>
          <w:color w:val="000000"/>
          <w:kern w:val="2"/>
          <w:sz w:val="24"/>
          <w:szCs w:val="22"/>
          <w:highlight w:val="none"/>
          <w:u w:val="single"/>
          <w:lang w:val="en-US" w:eastAsia="zh-CN"/>
        </w:rPr>
        <w:t>20</w:t>
      </w:r>
      <w:r>
        <w:rPr>
          <w:rFonts w:hint="eastAsia" w:ascii="宋体" w:hAnsi="宋体" w:eastAsia="宋体" w:cs="宋体"/>
          <w:color w:val="000000"/>
          <w:kern w:val="2"/>
          <w:sz w:val="24"/>
          <w:szCs w:val="22"/>
          <w:highlight w:val="none"/>
          <w:u w:val="single"/>
        </w:rPr>
        <w:t>名次</w:t>
      </w:r>
      <w:r>
        <w:rPr>
          <w:rFonts w:hint="eastAsia" w:ascii="宋体" w:hAnsi="宋体" w:eastAsia="宋体" w:cs="宋体"/>
          <w:color w:val="000000"/>
          <w:kern w:val="2"/>
          <w:sz w:val="24"/>
          <w:szCs w:val="22"/>
          <w:highlight w:val="none"/>
          <w:u w:val="single"/>
          <w:lang w:val="en-US" w:eastAsia="zh-CN"/>
        </w:rPr>
        <w:t>的合格投标人</w:t>
      </w:r>
      <w:r>
        <w:rPr>
          <w:rFonts w:hint="eastAsia" w:ascii="宋体" w:hAnsi="宋体" w:eastAsia="宋体" w:cs="宋体"/>
          <w:color w:val="000000"/>
          <w:kern w:val="2"/>
          <w:sz w:val="24"/>
          <w:szCs w:val="22"/>
          <w:highlight w:val="none"/>
          <w:u w:val="single"/>
        </w:rPr>
        <w:t>不排序进入定标阶段</w:t>
      </w:r>
      <w:r>
        <w:rPr>
          <w:rFonts w:hint="eastAsia" w:ascii="宋体" w:hAnsi="宋体" w:eastAsia="宋体" w:cs="宋体"/>
          <w:color w:val="000000"/>
          <w:kern w:val="2"/>
          <w:sz w:val="24"/>
          <w:szCs w:val="22"/>
          <w:highlight w:val="none"/>
          <w:u w:val="single"/>
          <w:lang w:eastAsia="zh-CN"/>
        </w:rPr>
        <w:t>，若通过初步评审的合格投标人大于等于5家，小于等于</w:t>
      </w:r>
      <w:r>
        <w:rPr>
          <w:rFonts w:hint="eastAsia" w:ascii="宋体" w:hAnsi="宋体" w:cs="宋体"/>
          <w:color w:val="000000"/>
          <w:kern w:val="2"/>
          <w:sz w:val="24"/>
          <w:szCs w:val="22"/>
          <w:highlight w:val="none"/>
          <w:u w:val="single"/>
          <w:lang w:val="en-US" w:eastAsia="zh-CN"/>
        </w:rPr>
        <w:t>20</w:t>
      </w:r>
      <w:r>
        <w:rPr>
          <w:rFonts w:hint="eastAsia" w:ascii="宋体" w:hAnsi="宋体" w:eastAsia="宋体" w:cs="宋体"/>
          <w:color w:val="000000"/>
          <w:kern w:val="2"/>
          <w:sz w:val="24"/>
          <w:szCs w:val="22"/>
          <w:highlight w:val="none"/>
          <w:u w:val="single"/>
          <w:lang w:eastAsia="zh-CN"/>
        </w:rPr>
        <w:t>家的，则全部通过初步评审的合格投标人不排序进入定标阶段；若通过初步评审的合格投标人大于</w:t>
      </w:r>
      <w:r>
        <w:rPr>
          <w:rFonts w:hint="eastAsia" w:ascii="宋体" w:hAnsi="宋体" w:cs="宋体"/>
          <w:color w:val="000000"/>
          <w:kern w:val="2"/>
          <w:sz w:val="24"/>
          <w:szCs w:val="22"/>
          <w:highlight w:val="none"/>
          <w:u w:val="single"/>
          <w:lang w:val="en-US" w:eastAsia="zh-CN"/>
        </w:rPr>
        <w:t>20</w:t>
      </w:r>
      <w:r>
        <w:rPr>
          <w:rFonts w:hint="eastAsia" w:ascii="宋体" w:hAnsi="宋体" w:eastAsia="宋体" w:cs="宋体"/>
          <w:color w:val="000000"/>
          <w:kern w:val="2"/>
          <w:sz w:val="24"/>
          <w:szCs w:val="22"/>
          <w:highlight w:val="none"/>
          <w:u w:val="single"/>
          <w:lang w:eastAsia="zh-CN"/>
        </w:rPr>
        <w:t>家的，按投标文件（评标部分）总得分从高到低进行排序，推荐排序位于前</w:t>
      </w:r>
      <w:r>
        <w:rPr>
          <w:rFonts w:hint="eastAsia" w:ascii="宋体" w:hAnsi="宋体" w:cs="宋体"/>
          <w:color w:val="000000"/>
          <w:kern w:val="2"/>
          <w:sz w:val="24"/>
          <w:szCs w:val="22"/>
          <w:highlight w:val="none"/>
          <w:u w:val="single"/>
          <w:lang w:val="en-US" w:eastAsia="zh-CN"/>
        </w:rPr>
        <w:t>20</w:t>
      </w:r>
      <w:r>
        <w:rPr>
          <w:rFonts w:hint="eastAsia" w:ascii="宋体" w:hAnsi="宋体" w:eastAsia="宋体" w:cs="宋体"/>
          <w:color w:val="000000"/>
          <w:kern w:val="2"/>
          <w:sz w:val="24"/>
          <w:szCs w:val="22"/>
          <w:highlight w:val="none"/>
          <w:u w:val="single"/>
          <w:lang w:eastAsia="zh-CN"/>
        </w:rPr>
        <w:t>名次的合格投标人不排序进入定标阶段（若前</w:t>
      </w:r>
      <w:r>
        <w:rPr>
          <w:rFonts w:hint="eastAsia" w:ascii="宋体" w:hAnsi="宋体" w:cs="宋体"/>
          <w:color w:val="000000"/>
          <w:kern w:val="2"/>
          <w:sz w:val="24"/>
          <w:szCs w:val="22"/>
          <w:highlight w:val="none"/>
          <w:u w:val="single"/>
          <w:lang w:val="en-US" w:eastAsia="zh-CN"/>
        </w:rPr>
        <w:t>20</w:t>
      </w:r>
      <w:r>
        <w:rPr>
          <w:rFonts w:hint="eastAsia" w:ascii="宋体" w:hAnsi="宋体" w:eastAsia="宋体" w:cs="宋体"/>
          <w:color w:val="000000"/>
          <w:kern w:val="2"/>
          <w:sz w:val="24"/>
          <w:szCs w:val="22"/>
          <w:highlight w:val="none"/>
          <w:u w:val="single"/>
          <w:lang w:eastAsia="zh-CN"/>
        </w:rPr>
        <w:t>名次的</w:t>
      </w:r>
      <w:r>
        <w:rPr>
          <w:rFonts w:hint="eastAsia" w:cs="宋体"/>
          <w:color w:val="auto"/>
          <w:sz w:val="24"/>
          <w:szCs w:val="24"/>
          <w:highlight w:val="none"/>
          <w:u w:val="single"/>
        </w:rPr>
        <w:t>合格投标人</w:t>
      </w:r>
      <w:r>
        <w:rPr>
          <w:rFonts w:hint="eastAsia" w:ascii="宋体" w:hAnsi="宋体" w:eastAsia="宋体" w:cs="宋体"/>
          <w:color w:val="000000"/>
          <w:kern w:val="2"/>
          <w:sz w:val="24"/>
          <w:szCs w:val="22"/>
          <w:highlight w:val="none"/>
          <w:u w:val="single"/>
          <w:lang w:eastAsia="zh-CN"/>
        </w:rPr>
        <w:t>中存在投标文件（评标部分）总得分相同的，则按第三章“评标、定标办法”第1款的原则确定排序。）</w:t>
      </w:r>
      <w:r>
        <w:rPr>
          <w:rFonts w:hint="eastAsia" w:ascii="宋体" w:hAnsi="宋体" w:eastAsia="宋体" w:cs="宋体"/>
          <w:color w:val="000000"/>
          <w:kern w:val="2"/>
          <w:sz w:val="24"/>
          <w:szCs w:val="22"/>
          <w:highlight w:val="none"/>
          <w:u w:val="single"/>
          <w:lang w:val="en-US" w:eastAsia="zh-CN"/>
        </w:rPr>
        <w:t>。</w:t>
      </w:r>
    </w:p>
    <w:p w14:paraId="5CBA4B8D">
      <w:pPr>
        <w:pBdr>
          <w:top w:val="none" w:color="auto" w:sz="0" w:space="0"/>
          <w:left w:val="none" w:color="auto" w:sz="0" w:space="0"/>
          <w:bottom w:val="none" w:color="auto" w:sz="0" w:space="0"/>
          <w:right w:val="none" w:color="auto" w:sz="0" w:space="0"/>
          <w:between w:val="none" w:color="auto" w:sz="0" w:space="0"/>
        </w:pBdr>
        <w:spacing w:line="351" w:lineRule="auto"/>
        <w:ind w:firstLine="480" w:firstLineChars="200"/>
        <w:rPr>
          <w:rFonts w:hint="eastAsia" w:ascii="宋体" w:hAnsi="宋体" w:cs="宋体"/>
          <w:color w:val="000000"/>
          <w:sz w:val="24"/>
          <w:highlight w:val="none"/>
          <w:u w:val="single"/>
          <w:lang w:val="en-US" w:eastAsia="zh-CN"/>
        </w:rPr>
      </w:pPr>
      <w:r>
        <w:rPr>
          <w:rFonts w:hint="eastAsia" w:ascii="宋体" w:hAnsi="宋体" w:cs="宋体"/>
          <w:color w:val="000000"/>
          <w:sz w:val="24"/>
          <w:highlight w:val="none"/>
          <w:u w:val="single"/>
          <w:lang w:val="en-US" w:eastAsia="zh-CN"/>
        </w:rPr>
        <w:t>3.4.2评标结束后，由评标委员会向招标人提交书面评标报告及合格中标候选人名单。</w:t>
      </w:r>
    </w:p>
    <w:p w14:paraId="0A901E23">
      <w:pPr>
        <w:pStyle w:val="4"/>
        <w:keepNext w:val="0"/>
        <w:keepLines w:val="0"/>
        <w:pageBreakBefore w:val="0"/>
        <w:widowControl w:val="0"/>
        <w:kinsoku/>
        <w:wordWrap/>
        <w:overflowPunct/>
        <w:topLinePunct w:val="0"/>
        <w:autoSpaceDE w:val="0"/>
        <w:autoSpaceDN w:val="0"/>
        <w:bidi w:val="0"/>
        <w:adjustRightInd w:val="0"/>
        <w:snapToGrid/>
        <w:spacing w:line="351" w:lineRule="auto"/>
        <w:ind w:firstLine="482" w:firstLineChars="200"/>
        <w:textAlignment w:val="auto"/>
        <w:outlineLvl w:val="1"/>
        <w:rPr>
          <w:rFonts w:hint="eastAsia" w:ascii="宋体" w:hAnsi="宋体" w:cs="宋体"/>
          <w:sz w:val="24"/>
          <w:szCs w:val="24"/>
          <w:highlight w:val="none"/>
          <w:u w:val="single"/>
        </w:rPr>
      </w:pPr>
      <w:r>
        <w:rPr>
          <w:rFonts w:hint="eastAsia" w:ascii="宋体" w:hAnsi="宋体" w:cs="宋体"/>
          <w:sz w:val="24"/>
          <w:szCs w:val="24"/>
          <w:highlight w:val="none"/>
          <w:u w:val="single"/>
        </w:rPr>
        <w:t>注：</w:t>
      </w:r>
      <w:r>
        <w:rPr>
          <w:rFonts w:hint="eastAsia" w:cs="宋体"/>
          <w:b w:val="0"/>
          <w:bCs w:val="0"/>
          <w:sz w:val="24"/>
          <w:szCs w:val="24"/>
          <w:highlight w:val="none"/>
          <w:u w:val="single"/>
          <w:lang w:val="en-US" w:eastAsia="zh-CN"/>
        </w:rPr>
        <w:t>投标文件（评标部分）总得分</w:t>
      </w:r>
      <w:r>
        <w:rPr>
          <w:rFonts w:hint="eastAsia" w:ascii="宋体" w:hAnsi="宋体" w:eastAsia="宋体" w:cs="宋体"/>
          <w:b w:val="0"/>
          <w:bCs w:val="0"/>
          <w:sz w:val="24"/>
          <w:szCs w:val="24"/>
          <w:highlight w:val="none"/>
          <w:u w:val="single"/>
        </w:rPr>
        <w:t>及评标委员会票决得分排序仅作为推荐入围定标阶段的依据，不作为定标阶段确定中标人的依据。</w:t>
      </w:r>
    </w:p>
    <w:p w14:paraId="5C9D0E93">
      <w:pPr>
        <w:pBdr>
          <w:top w:val="none" w:color="auto" w:sz="0" w:space="0"/>
          <w:left w:val="none" w:color="auto" w:sz="0" w:space="0"/>
          <w:bottom w:val="none" w:color="auto" w:sz="0" w:space="0"/>
          <w:right w:val="none" w:color="auto" w:sz="0" w:space="0"/>
          <w:between w:val="none" w:color="auto" w:sz="0" w:space="0"/>
        </w:pBdr>
        <w:spacing w:line="351" w:lineRule="auto"/>
        <w:ind w:firstLine="480" w:firstLineChars="200"/>
        <w:rPr>
          <w:rFonts w:hint="eastAsia" w:ascii="宋体" w:hAnsi="宋体" w:cs="宋体"/>
          <w:color w:val="auto"/>
          <w:sz w:val="24"/>
          <w:highlight w:val="none"/>
          <w:u w:val="single"/>
          <w:lang w:val="en-US" w:eastAsia="zh-CN"/>
        </w:rPr>
      </w:pPr>
      <w:r>
        <w:rPr>
          <w:rFonts w:hint="eastAsia" w:ascii="宋体" w:hAnsi="宋体" w:cs="宋体"/>
          <w:color w:val="auto"/>
          <w:sz w:val="24"/>
          <w:highlight w:val="none"/>
          <w:u w:val="single"/>
          <w:lang w:val="en-US" w:eastAsia="zh-CN"/>
        </w:rPr>
        <w:t>3.5定标（定标办法采用票决法</w:t>
      </w:r>
      <w:r>
        <w:rPr>
          <w:rFonts w:hint="eastAsia" w:ascii="宋体" w:hAnsi="宋体"/>
          <w:b w:val="0"/>
          <w:bCs/>
          <w:highlight w:val="none"/>
          <w:u w:val="single"/>
        </w:rPr>
        <w:t>+撰写评语</w:t>
      </w:r>
      <w:r>
        <w:rPr>
          <w:rFonts w:hint="eastAsia" w:ascii="宋体" w:hAnsi="宋体" w:cs="宋体"/>
          <w:color w:val="auto"/>
          <w:sz w:val="24"/>
          <w:highlight w:val="none"/>
          <w:u w:val="single"/>
          <w:lang w:val="en-US" w:eastAsia="zh-CN"/>
        </w:rPr>
        <w:t>）</w:t>
      </w:r>
    </w:p>
    <w:p w14:paraId="5C77EA5E">
      <w:pPr>
        <w:spacing w:line="351" w:lineRule="auto"/>
        <w:ind w:firstLine="480" w:firstLineChars="200"/>
        <w:rPr>
          <w:rFonts w:hint="eastAsia" w:ascii="宋体" w:hAnsi="宋体" w:eastAsia="宋体" w:cs="宋体"/>
          <w:bCs/>
          <w:sz w:val="24"/>
          <w:highlight w:val="none"/>
          <w:u w:val="single"/>
          <w:lang w:eastAsia="zh-CN"/>
        </w:rPr>
      </w:pPr>
      <w:r>
        <w:rPr>
          <w:rFonts w:hint="eastAsia" w:ascii="宋体" w:hAnsi="宋体" w:eastAsia="宋体" w:cs="宋体"/>
          <w:bCs/>
          <w:sz w:val="24"/>
          <w:highlight w:val="none"/>
          <w:u w:val="single"/>
          <w:lang w:eastAsia="zh-CN"/>
        </w:rPr>
        <w:t>3.</w:t>
      </w:r>
      <w:r>
        <w:rPr>
          <w:rFonts w:hint="eastAsia" w:ascii="宋体" w:hAnsi="宋体" w:eastAsia="宋体" w:cs="宋体"/>
          <w:bCs/>
          <w:sz w:val="24"/>
          <w:highlight w:val="none"/>
          <w:u w:val="single"/>
          <w:lang w:val="en-US" w:eastAsia="zh-CN"/>
        </w:rPr>
        <w:t>5</w:t>
      </w:r>
      <w:r>
        <w:rPr>
          <w:rFonts w:hint="eastAsia" w:ascii="宋体" w:hAnsi="宋体" w:eastAsia="宋体" w:cs="宋体"/>
          <w:bCs/>
          <w:sz w:val="24"/>
          <w:highlight w:val="none"/>
          <w:u w:val="single"/>
          <w:lang w:eastAsia="zh-CN"/>
        </w:rPr>
        <w:t>.1定标委员会由招标人组建。</w:t>
      </w:r>
    </w:p>
    <w:p w14:paraId="2849511D">
      <w:pPr>
        <w:spacing w:line="351" w:lineRule="auto"/>
        <w:ind w:firstLine="480" w:firstLineChars="200"/>
        <w:rPr>
          <w:rFonts w:hint="eastAsia" w:ascii="宋体" w:hAnsi="宋体" w:eastAsia="宋体" w:cs="宋体"/>
          <w:bCs/>
          <w:sz w:val="24"/>
          <w:highlight w:val="none"/>
          <w:u w:val="single"/>
          <w:lang w:eastAsia="zh-CN"/>
        </w:rPr>
      </w:pPr>
      <w:r>
        <w:rPr>
          <w:rFonts w:hint="eastAsia" w:ascii="宋体" w:hAnsi="宋体" w:eastAsia="宋体" w:cs="宋体"/>
          <w:bCs/>
          <w:sz w:val="24"/>
          <w:highlight w:val="none"/>
          <w:u w:val="single"/>
          <w:lang w:eastAsia="zh-CN"/>
        </w:rPr>
        <w:t>3.</w:t>
      </w:r>
      <w:r>
        <w:rPr>
          <w:rFonts w:hint="eastAsia" w:ascii="宋体" w:hAnsi="宋体" w:eastAsia="宋体" w:cs="宋体"/>
          <w:bCs/>
          <w:sz w:val="24"/>
          <w:highlight w:val="none"/>
          <w:u w:val="single"/>
          <w:lang w:val="en-US" w:eastAsia="zh-CN"/>
        </w:rPr>
        <w:t>5</w:t>
      </w:r>
      <w:r>
        <w:rPr>
          <w:rFonts w:hint="eastAsia" w:ascii="宋体" w:hAnsi="宋体" w:eastAsia="宋体" w:cs="宋体"/>
          <w:bCs/>
          <w:sz w:val="24"/>
          <w:highlight w:val="none"/>
          <w:u w:val="single"/>
          <w:lang w:eastAsia="zh-CN"/>
        </w:rPr>
        <w:t>.2招标人在合格中标候选人公示完成后10个工作日内完成定标工作。</w:t>
      </w:r>
    </w:p>
    <w:p w14:paraId="096434F9">
      <w:pPr>
        <w:spacing w:line="351" w:lineRule="auto"/>
        <w:ind w:firstLine="480" w:firstLineChars="200"/>
        <w:rPr>
          <w:rFonts w:hint="eastAsia" w:ascii="宋体" w:hAnsi="宋体"/>
          <w:b w:val="0"/>
          <w:bCs/>
          <w:highlight w:val="none"/>
          <w:u w:val="single"/>
        </w:rPr>
      </w:pPr>
      <w:r>
        <w:rPr>
          <w:rFonts w:hint="eastAsia" w:ascii="宋体" w:hAnsi="宋体" w:eastAsia="宋体" w:cs="宋体"/>
          <w:b w:val="0"/>
          <w:bCs/>
          <w:sz w:val="24"/>
          <w:highlight w:val="none"/>
          <w:u w:val="single"/>
          <w:lang w:eastAsia="zh-CN"/>
        </w:rPr>
        <w:t>3.</w:t>
      </w:r>
      <w:r>
        <w:rPr>
          <w:rFonts w:hint="eastAsia" w:ascii="宋体" w:hAnsi="宋体" w:eastAsia="宋体" w:cs="宋体"/>
          <w:b w:val="0"/>
          <w:bCs/>
          <w:sz w:val="24"/>
          <w:highlight w:val="none"/>
          <w:u w:val="single"/>
          <w:lang w:val="en-US" w:eastAsia="zh-CN"/>
        </w:rPr>
        <w:t>5</w:t>
      </w:r>
      <w:r>
        <w:rPr>
          <w:rFonts w:hint="eastAsia" w:ascii="宋体" w:hAnsi="宋体" w:eastAsia="宋体" w:cs="宋体"/>
          <w:b w:val="0"/>
          <w:bCs/>
          <w:sz w:val="24"/>
          <w:highlight w:val="none"/>
          <w:u w:val="single"/>
          <w:lang w:eastAsia="zh-CN"/>
        </w:rPr>
        <w:t>.3</w:t>
      </w:r>
      <w:r>
        <w:rPr>
          <w:rFonts w:hint="eastAsia" w:ascii="宋体" w:hAnsi="宋体"/>
          <w:b w:val="0"/>
          <w:bCs/>
          <w:highlight w:val="none"/>
          <w:u w:val="single"/>
        </w:rPr>
        <w:t>定标工作开始后，发放选票，由定标委员会参考定标因素及定标辅助资料进行投票排名。</w:t>
      </w:r>
    </w:p>
    <w:p w14:paraId="5A39AF4B">
      <w:pPr>
        <w:adjustRightInd/>
        <w:snapToGrid/>
        <w:spacing w:line="351" w:lineRule="auto"/>
        <w:ind w:firstLine="480" w:firstLineChars="200"/>
        <w:rPr>
          <w:rFonts w:hint="eastAsia" w:ascii="宋体" w:hAnsi="宋体"/>
          <w:b w:val="0"/>
          <w:bCs/>
          <w:highlight w:val="none"/>
          <w:u w:val="single"/>
        </w:rPr>
      </w:pPr>
      <w:r>
        <w:rPr>
          <w:rFonts w:hint="eastAsia" w:ascii="宋体" w:hAnsi="宋体" w:eastAsia="宋体" w:cs="宋体"/>
          <w:b w:val="0"/>
          <w:bCs/>
          <w:sz w:val="24"/>
          <w:highlight w:val="none"/>
          <w:u w:val="single"/>
          <w:lang w:eastAsia="zh-CN"/>
        </w:rPr>
        <w:t>3.</w:t>
      </w:r>
      <w:r>
        <w:rPr>
          <w:rFonts w:hint="eastAsia" w:ascii="宋体" w:hAnsi="宋体" w:eastAsia="宋体" w:cs="宋体"/>
          <w:b w:val="0"/>
          <w:bCs/>
          <w:sz w:val="24"/>
          <w:highlight w:val="none"/>
          <w:u w:val="single"/>
          <w:lang w:val="en-US" w:eastAsia="zh-CN"/>
        </w:rPr>
        <w:t>5</w:t>
      </w:r>
      <w:r>
        <w:rPr>
          <w:rFonts w:hint="eastAsia" w:ascii="宋体" w:hAnsi="宋体" w:eastAsia="宋体" w:cs="宋体"/>
          <w:b w:val="0"/>
          <w:bCs/>
          <w:sz w:val="24"/>
          <w:highlight w:val="none"/>
          <w:u w:val="single"/>
          <w:lang w:eastAsia="zh-CN"/>
        </w:rPr>
        <w:t>.</w:t>
      </w:r>
      <w:r>
        <w:rPr>
          <w:rFonts w:hint="eastAsia" w:ascii="宋体" w:hAnsi="宋体" w:cs="宋体"/>
          <w:b w:val="0"/>
          <w:bCs/>
          <w:sz w:val="24"/>
          <w:highlight w:val="none"/>
          <w:u w:val="single"/>
          <w:lang w:val="en-US" w:eastAsia="zh-CN"/>
        </w:rPr>
        <w:t>4</w:t>
      </w:r>
      <w:r>
        <w:rPr>
          <w:rFonts w:hint="eastAsia" w:ascii="宋体" w:hAnsi="宋体"/>
          <w:b w:val="0"/>
          <w:bCs/>
          <w:szCs w:val="22"/>
          <w:highlight w:val="none"/>
          <w:u w:val="single"/>
        </w:rPr>
        <w:t>定标辅助资料为评标阶段的评标报告、投标人提交的投标与定标文件。</w:t>
      </w:r>
    </w:p>
    <w:p w14:paraId="21C392EC">
      <w:pPr>
        <w:spacing w:line="351" w:lineRule="auto"/>
        <w:ind w:firstLine="480" w:firstLineChars="200"/>
        <w:rPr>
          <w:rFonts w:hint="eastAsia" w:ascii="宋体" w:hAnsi="宋体"/>
          <w:b w:val="0"/>
          <w:bCs/>
          <w:szCs w:val="22"/>
          <w:highlight w:val="none"/>
          <w:u w:val="single"/>
        </w:rPr>
      </w:pPr>
      <w:r>
        <w:rPr>
          <w:rFonts w:hint="eastAsia" w:ascii="宋体" w:hAnsi="宋体" w:eastAsia="宋体" w:cs="宋体"/>
          <w:b w:val="0"/>
          <w:bCs/>
          <w:sz w:val="24"/>
          <w:highlight w:val="none"/>
          <w:u w:val="single"/>
          <w:lang w:eastAsia="zh-CN"/>
        </w:rPr>
        <w:t>3.</w:t>
      </w:r>
      <w:r>
        <w:rPr>
          <w:rFonts w:hint="eastAsia" w:ascii="宋体" w:hAnsi="宋体" w:eastAsia="宋体" w:cs="宋体"/>
          <w:b w:val="0"/>
          <w:bCs/>
          <w:sz w:val="24"/>
          <w:highlight w:val="none"/>
          <w:u w:val="single"/>
          <w:lang w:val="en-US" w:eastAsia="zh-CN"/>
        </w:rPr>
        <w:t>5</w:t>
      </w:r>
      <w:r>
        <w:rPr>
          <w:rFonts w:hint="eastAsia" w:ascii="宋体" w:hAnsi="宋体" w:eastAsia="宋体" w:cs="宋体"/>
          <w:b w:val="0"/>
          <w:bCs/>
          <w:sz w:val="24"/>
          <w:highlight w:val="none"/>
          <w:u w:val="single"/>
          <w:lang w:eastAsia="zh-CN"/>
        </w:rPr>
        <w:t>.</w:t>
      </w:r>
      <w:r>
        <w:rPr>
          <w:rFonts w:hint="eastAsia" w:ascii="宋体" w:hAnsi="宋体" w:cs="宋体"/>
          <w:b w:val="0"/>
          <w:bCs/>
          <w:sz w:val="24"/>
          <w:highlight w:val="none"/>
          <w:u w:val="single"/>
          <w:lang w:val="en-US" w:eastAsia="zh-CN"/>
        </w:rPr>
        <w:t>5</w:t>
      </w:r>
      <w:r>
        <w:rPr>
          <w:rFonts w:hint="eastAsia" w:ascii="宋体" w:hAnsi="宋体"/>
          <w:b w:val="0"/>
          <w:bCs/>
          <w:szCs w:val="22"/>
          <w:highlight w:val="none"/>
          <w:u w:val="single"/>
        </w:rPr>
        <w:t>定标委员会根据定标辅助资料，在同等条件下，定标因素的相对标准按以下几个方面进行：</w:t>
      </w:r>
    </w:p>
    <w:p w14:paraId="159A35EA">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000000"/>
          <w:sz w:val="24"/>
          <w:highlight w:val="none"/>
          <w:u w:val="single"/>
          <w:lang w:val="en-US" w:eastAsia="zh-CN"/>
        </w:rPr>
      </w:pPr>
      <w:r>
        <w:rPr>
          <w:rFonts w:hint="eastAsia" w:ascii="宋体" w:hAnsi="宋体" w:eastAsia="宋体" w:cs="宋体"/>
          <w:b w:val="0"/>
          <w:bCs/>
          <w:color w:val="000000"/>
          <w:sz w:val="24"/>
          <w:highlight w:val="none"/>
          <w:u w:val="single"/>
        </w:rPr>
        <w:t>（1）</w:t>
      </w:r>
      <w:r>
        <w:rPr>
          <w:rFonts w:hint="eastAsia" w:cs="宋体"/>
          <w:b w:val="0"/>
          <w:bCs/>
          <w:color w:val="000000"/>
          <w:sz w:val="24"/>
          <w:highlight w:val="none"/>
          <w:u w:val="single"/>
          <w:lang w:val="en-US" w:eastAsia="zh-CN"/>
        </w:rPr>
        <w:t>价格因素</w:t>
      </w:r>
      <w:r>
        <w:rPr>
          <w:rFonts w:hint="eastAsia" w:cs="宋体"/>
          <w:color w:val="000000"/>
          <w:sz w:val="24"/>
          <w:highlight w:val="none"/>
          <w:u w:val="single"/>
          <w:lang w:val="en-US" w:eastAsia="zh-CN"/>
        </w:rPr>
        <w:t>；</w:t>
      </w:r>
    </w:p>
    <w:p w14:paraId="3324BED2">
      <w:pPr>
        <w:spacing w:line="351" w:lineRule="auto"/>
        <w:ind w:firstLine="480" w:firstLineChars="200"/>
        <w:rPr>
          <w:rFonts w:hint="eastAsia" w:ascii="宋体" w:hAnsi="宋体" w:cs="宋体"/>
          <w:color w:val="auto"/>
          <w:sz w:val="24"/>
          <w:highlight w:val="none"/>
          <w:u w:val="single"/>
          <w:lang w:val="en-US" w:eastAsia="zh-CN"/>
        </w:rPr>
      </w:pPr>
      <w:r>
        <w:rPr>
          <w:rFonts w:hint="eastAsia" w:ascii="宋体" w:hAnsi="宋体" w:eastAsia="宋体" w:cs="宋体"/>
          <w:color w:val="000000"/>
          <w:sz w:val="24"/>
          <w:highlight w:val="none"/>
          <w:u w:val="single"/>
        </w:rPr>
        <w:t>（2）</w:t>
      </w:r>
      <w:r>
        <w:rPr>
          <w:rFonts w:hint="eastAsia" w:ascii="宋体" w:hAnsi="宋体" w:cs="宋体"/>
          <w:color w:val="auto"/>
          <w:sz w:val="24"/>
          <w:highlight w:val="none"/>
          <w:u w:val="single"/>
          <w:lang w:val="en-US" w:eastAsia="zh-CN"/>
        </w:rPr>
        <w:t>方案因素</w:t>
      </w:r>
    </w:p>
    <w:p w14:paraId="002AF6B3">
      <w:pPr>
        <w:spacing w:line="351" w:lineRule="auto"/>
        <w:ind w:firstLine="480" w:firstLineChars="200"/>
        <w:rPr>
          <w:rFonts w:hint="eastAsia" w:ascii="宋体" w:hAnsi="宋体" w:cs="宋体"/>
          <w:color w:val="auto"/>
          <w:sz w:val="24"/>
          <w:highlight w:val="none"/>
          <w:u w:val="single"/>
          <w:lang w:val="en-US" w:eastAsia="zh-CN"/>
        </w:rPr>
      </w:pPr>
      <w:r>
        <w:rPr>
          <w:rFonts w:hint="eastAsia" w:ascii="宋体" w:hAnsi="宋体" w:cs="宋体"/>
          <w:color w:val="auto"/>
          <w:sz w:val="24"/>
          <w:highlight w:val="none"/>
          <w:u w:val="single"/>
          <w:lang w:val="en-US" w:eastAsia="zh-CN"/>
        </w:rPr>
        <w:t>（3）团队因素</w:t>
      </w:r>
    </w:p>
    <w:p w14:paraId="4C578B11">
      <w:pPr>
        <w:spacing w:line="351" w:lineRule="auto"/>
        <w:ind w:firstLine="480" w:firstLineChars="200"/>
        <w:rPr>
          <w:rFonts w:hint="eastAsia" w:cs="宋体"/>
          <w:color w:val="000000"/>
          <w:sz w:val="24"/>
          <w:highlight w:val="none"/>
          <w:u w:val="single"/>
          <w:lang w:eastAsia="zh-CN"/>
        </w:rPr>
      </w:pPr>
      <w:r>
        <w:rPr>
          <w:rFonts w:hint="eastAsia" w:ascii="宋体" w:hAnsi="宋体" w:cs="宋体"/>
          <w:color w:val="auto"/>
          <w:sz w:val="24"/>
          <w:highlight w:val="none"/>
          <w:u w:val="single"/>
          <w:lang w:val="en-US" w:eastAsia="zh-CN"/>
        </w:rPr>
        <w:t>（4）资信因素</w:t>
      </w:r>
      <w:r>
        <w:rPr>
          <w:rFonts w:hint="eastAsia" w:cs="宋体"/>
          <w:color w:val="000000"/>
          <w:sz w:val="24"/>
          <w:highlight w:val="none"/>
          <w:u w:val="single"/>
          <w:lang w:eastAsia="zh-CN"/>
        </w:rPr>
        <w:t>。</w:t>
      </w:r>
    </w:p>
    <w:p w14:paraId="0631BD38">
      <w:pPr>
        <w:spacing w:line="351" w:lineRule="auto"/>
        <w:ind w:firstLine="480" w:firstLineChars="200"/>
        <w:rPr>
          <w:rFonts w:hint="eastAsia" w:ascii="宋体" w:hAnsi="宋体" w:eastAsia="宋体" w:cs="宋体"/>
          <w:color w:val="auto"/>
          <w:sz w:val="24"/>
          <w:highlight w:val="none"/>
          <w:u w:val="single"/>
          <w:lang w:val="en-US" w:eastAsia="zh-CN"/>
        </w:rPr>
      </w:pPr>
      <w:r>
        <w:rPr>
          <w:rFonts w:hint="eastAsia" w:ascii="宋体" w:hAnsi="宋体" w:eastAsia="宋体" w:cs="宋体"/>
          <w:bCs/>
          <w:sz w:val="24"/>
          <w:highlight w:val="none"/>
          <w:u w:val="single"/>
          <w:lang w:eastAsia="zh-CN"/>
        </w:rPr>
        <w:t>3.</w:t>
      </w:r>
      <w:r>
        <w:rPr>
          <w:rFonts w:hint="eastAsia" w:ascii="宋体" w:hAnsi="宋体" w:eastAsia="宋体" w:cs="宋体"/>
          <w:bCs/>
          <w:sz w:val="24"/>
          <w:highlight w:val="none"/>
          <w:u w:val="single"/>
          <w:lang w:val="en-US" w:eastAsia="zh-CN"/>
        </w:rPr>
        <w:t>5</w:t>
      </w:r>
      <w:r>
        <w:rPr>
          <w:rFonts w:hint="eastAsia" w:ascii="宋体" w:hAnsi="宋体" w:eastAsia="宋体" w:cs="宋体"/>
          <w:bCs/>
          <w:sz w:val="24"/>
          <w:highlight w:val="none"/>
          <w:u w:val="single"/>
          <w:lang w:eastAsia="zh-CN"/>
        </w:rPr>
        <w:t>.</w:t>
      </w:r>
      <w:r>
        <w:rPr>
          <w:rFonts w:hint="eastAsia" w:ascii="宋体" w:hAnsi="宋体" w:cs="宋体"/>
          <w:bCs/>
          <w:sz w:val="24"/>
          <w:highlight w:val="none"/>
          <w:u w:val="single"/>
          <w:lang w:val="en-US" w:eastAsia="zh-CN"/>
        </w:rPr>
        <w:t>6</w:t>
      </w:r>
      <w:r>
        <w:rPr>
          <w:rFonts w:hint="eastAsia" w:ascii="宋体" w:hAnsi="宋体" w:eastAsia="宋体" w:cs="宋体"/>
          <w:color w:val="auto"/>
          <w:sz w:val="24"/>
          <w:highlight w:val="none"/>
          <w:u w:val="single"/>
          <w:lang w:val="en-US" w:eastAsia="zh-CN"/>
        </w:rPr>
        <w:t>投票规则：</w:t>
      </w:r>
      <w:r>
        <w:rPr>
          <w:rFonts w:hint="eastAsia" w:ascii="宋体" w:hAnsi="宋体" w:cs="宋体"/>
          <w:color w:val="auto"/>
          <w:sz w:val="24"/>
          <w:highlight w:val="none"/>
          <w:u w:val="single"/>
          <w:lang w:val="en-US" w:eastAsia="zh-CN"/>
        </w:rPr>
        <w:t>定标阶段由</w:t>
      </w:r>
      <w:r>
        <w:rPr>
          <w:rFonts w:hint="eastAsia" w:ascii="宋体" w:hAnsi="宋体" w:eastAsia="宋体" w:cs="宋体"/>
          <w:color w:val="auto"/>
          <w:sz w:val="24"/>
          <w:highlight w:val="none"/>
          <w:u w:val="single"/>
          <w:lang w:val="en-US" w:eastAsia="zh-CN"/>
        </w:rPr>
        <w:t>定标委员会根据定标因素对各合格中标候选人进行综合</w:t>
      </w:r>
      <w:r>
        <w:rPr>
          <w:rFonts w:hint="eastAsia" w:ascii="宋体" w:hAnsi="宋体" w:cs="宋体"/>
          <w:color w:val="auto"/>
          <w:sz w:val="24"/>
          <w:highlight w:val="none"/>
          <w:u w:val="single"/>
          <w:lang w:val="en-US" w:eastAsia="zh-CN"/>
        </w:rPr>
        <w:t>比较后，</w:t>
      </w:r>
      <w:r>
        <w:rPr>
          <w:rFonts w:hint="eastAsia" w:ascii="宋体" w:hAnsi="宋体" w:eastAsia="宋体" w:cs="宋体"/>
          <w:color w:val="auto"/>
          <w:sz w:val="24"/>
          <w:highlight w:val="none"/>
          <w:u w:val="single"/>
          <w:lang w:val="en-US" w:eastAsia="zh-CN"/>
        </w:rPr>
        <w:t>进行一次性票决，每位定标委员会成员只有1票表决权（即只能对其中</w:t>
      </w:r>
      <w:r>
        <w:rPr>
          <w:rFonts w:hint="eastAsia" w:ascii="宋体" w:hAnsi="宋体" w:cs="宋体"/>
          <w:color w:val="auto"/>
          <w:sz w:val="24"/>
          <w:highlight w:val="none"/>
          <w:u w:val="single"/>
          <w:lang w:val="en-US" w:eastAsia="zh-CN"/>
        </w:rPr>
        <w:t>一</w:t>
      </w:r>
      <w:r>
        <w:rPr>
          <w:rFonts w:hint="eastAsia" w:ascii="宋体" w:hAnsi="宋体" w:eastAsia="宋体" w:cs="宋体"/>
          <w:color w:val="auto"/>
          <w:sz w:val="24"/>
          <w:highlight w:val="none"/>
          <w:u w:val="single"/>
          <w:lang w:val="en-US" w:eastAsia="zh-CN"/>
        </w:rPr>
        <w:t>家</w:t>
      </w:r>
      <w:r>
        <w:rPr>
          <w:rFonts w:hint="eastAsia" w:ascii="宋体" w:hAnsi="宋体" w:cs="宋体"/>
          <w:color w:val="auto"/>
          <w:sz w:val="24"/>
          <w:highlight w:val="none"/>
          <w:u w:val="single"/>
          <w:lang w:val="en-US" w:eastAsia="zh-CN"/>
        </w:rPr>
        <w:t>合格</w:t>
      </w:r>
      <w:r>
        <w:rPr>
          <w:rFonts w:hint="eastAsia" w:ascii="宋体" w:hAnsi="宋体" w:eastAsia="宋体" w:cs="宋体"/>
          <w:color w:val="auto"/>
          <w:sz w:val="24"/>
          <w:highlight w:val="none"/>
          <w:u w:val="single"/>
          <w:lang w:val="en-US" w:eastAsia="zh-CN"/>
        </w:rPr>
        <w:t>中标候选人投票），得票数最多的合格中标候选人确定为中标人，若出现</w:t>
      </w:r>
      <w:r>
        <w:rPr>
          <w:rFonts w:hint="eastAsia" w:ascii="宋体" w:hAnsi="宋体" w:cs="宋体"/>
          <w:color w:val="auto"/>
          <w:sz w:val="24"/>
          <w:highlight w:val="none"/>
          <w:u w:val="single"/>
          <w:lang w:val="en-US" w:eastAsia="zh-CN"/>
        </w:rPr>
        <w:t>最高</w:t>
      </w:r>
      <w:r>
        <w:rPr>
          <w:rFonts w:hint="eastAsia" w:ascii="宋体" w:hAnsi="宋体" w:eastAsia="宋体" w:cs="宋体"/>
          <w:color w:val="auto"/>
          <w:sz w:val="24"/>
          <w:highlight w:val="none"/>
          <w:u w:val="single"/>
          <w:lang w:val="en-US" w:eastAsia="zh-CN"/>
        </w:rPr>
        <w:t>票数相同且无法决出中标人时，对</w:t>
      </w:r>
      <w:r>
        <w:rPr>
          <w:rFonts w:hint="eastAsia" w:ascii="宋体" w:hAnsi="宋体" w:cs="宋体"/>
          <w:color w:val="auto"/>
          <w:sz w:val="24"/>
          <w:highlight w:val="none"/>
          <w:u w:val="single"/>
          <w:lang w:val="en-US" w:eastAsia="zh-CN"/>
        </w:rPr>
        <w:t>最高</w:t>
      </w:r>
      <w:r>
        <w:rPr>
          <w:rFonts w:hint="eastAsia" w:ascii="宋体" w:hAnsi="宋体" w:eastAsia="宋体" w:cs="宋体"/>
          <w:color w:val="auto"/>
          <w:sz w:val="24"/>
          <w:highlight w:val="none"/>
          <w:u w:val="single"/>
          <w:lang w:val="en-US" w:eastAsia="zh-CN"/>
        </w:rPr>
        <w:t>票数相同的</w:t>
      </w:r>
      <w:r>
        <w:rPr>
          <w:rFonts w:hint="eastAsia" w:ascii="宋体" w:hAnsi="宋体" w:cs="宋体"/>
          <w:color w:val="auto"/>
          <w:sz w:val="24"/>
          <w:highlight w:val="none"/>
          <w:u w:val="single"/>
          <w:lang w:val="en-US" w:eastAsia="zh-CN"/>
        </w:rPr>
        <w:t>合格</w:t>
      </w:r>
      <w:r>
        <w:rPr>
          <w:rFonts w:hint="eastAsia" w:ascii="宋体" w:hAnsi="宋体" w:eastAsia="宋体" w:cs="宋体"/>
          <w:color w:val="auto"/>
          <w:sz w:val="24"/>
          <w:highlight w:val="none"/>
          <w:u w:val="single"/>
          <w:lang w:val="en-US" w:eastAsia="zh-CN"/>
        </w:rPr>
        <w:t>中标候选人再进行</w:t>
      </w:r>
      <w:r>
        <w:rPr>
          <w:rFonts w:hint="eastAsia" w:ascii="宋体" w:hAnsi="宋体" w:cs="宋体"/>
          <w:color w:val="auto"/>
          <w:sz w:val="24"/>
          <w:highlight w:val="none"/>
          <w:u w:val="single"/>
          <w:lang w:val="en-US" w:eastAsia="zh-CN"/>
        </w:rPr>
        <w:t>附加的</w:t>
      </w:r>
      <w:r>
        <w:rPr>
          <w:rFonts w:hint="eastAsia" w:ascii="宋体" w:hAnsi="宋体" w:eastAsia="宋体" w:cs="宋体"/>
          <w:color w:val="auto"/>
          <w:sz w:val="24"/>
          <w:highlight w:val="none"/>
          <w:u w:val="single"/>
          <w:lang w:val="en-US" w:eastAsia="zh-CN"/>
        </w:rPr>
        <w:t>一次性票决，直至决出中标人。</w:t>
      </w:r>
      <w:r>
        <w:rPr>
          <w:rFonts w:hint="eastAsia" w:ascii="宋体" w:hAnsi="宋体" w:eastAsia="宋体" w:cs="宋体"/>
          <w:bCs/>
          <w:sz w:val="24"/>
          <w:highlight w:val="none"/>
          <w:u w:val="single"/>
          <w:lang w:val="en-US" w:eastAsia="zh-CN"/>
        </w:rPr>
        <w:t>若</w:t>
      </w:r>
      <w:r>
        <w:rPr>
          <w:rFonts w:hint="eastAsia" w:ascii="宋体" w:hAnsi="宋体" w:cs="宋体"/>
          <w:color w:val="auto"/>
          <w:sz w:val="24"/>
          <w:highlight w:val="none"/>
          <w:u w:val="single"/>
          <w:lang w:val="en-US" w:eastAsia="zh-CN"/>
        </w:rPr>
        <w:t>最高</w:t>
      </w:r>
      <w:r>
        <w:rPr>
          <w:rFonts w:hint="eastAsia" w:ascii="宋体" w:hAnsi="宋体" w:eastAsia="宋体" w:cs="宋体"/>
          <w:bCs/>
          <w:sz w:val="24"/>
          <w:highlight w:val="none"/>
          <w:u w:val="single"/>
          <w:lang w:val="en-US" w:eastAsia="zh-CN"/>
        </w:rPr>
        <w:t>票数相同的合格中标候选人经三轮票决票数仍相同且无法决出中标人时，以投标报价低者为中标人。</w:t>
      </w:r>
      <w:r>
        <w:rPr>
          <w:rFonts w:hint="eastAsia" w:ascii="宋体" w:hAnsi="宋体" w:eastAsia="宋体" w:cs="宋体"/>
          <w:color w:val="auto"/>
          <w:sz w:val="24"/>
          <w:highlight w:val="none"/>
          <w:u w:val="single"/>
          <w:lang w:val="en-US" w:eastAsia="zh-CN"/>
        </w:rPr>
        <w:t>定标委员会成员投票时，应按照招标文件规定的投票规则独立行使投票权，不得弃权或产生废票。</w:t>
      </w:r>
    </w:p>
    <w:p w14:paraId="13749803">
      <w:pPr>
        <w:spacing w:line="351" w:lineRule="auto"/>
        <w:ind w:firstLine="480" w:firstLineChars="200"/>
        <w:rPr>
          <w:rFonts w:hint="default" w:ascii="宋体" w:hAnsi="宋体" w:eastAsia="宋体" w:cs="宋体"/>
          <w:color w:val="auto"/>
          <w:sz w:val="24"/>
          <w:highlight w:val="none"/>
          <w:u w:val="single"/>
          <w:lang w:val="en-US" w:eastAsia="zh-CN"/>
        </w:rPr>
      </w:pPr>
      <w:r>
        <w:rPr>
          <w:rFonts w:hint="eastAsia" w:ascii="宋体" w:hAnsi="宋体" w:eastAsia="宋体" w:cs="宋体"/>
          <w:bCs/>
          <w:sz w:val="24"/>
          <w:highlight w:val="none"/>
          <w:u w:val="single"/>
          <w:lang w:eastAsia="zh-CN"/>
        </w:rPr>
        <w:t>3.</w:t>
      </w:r>
      <w:r>
        <w:rPr>
          <w:rFonts w:hint="eastAsia" w:ascii="宋体" w:hAnsi="宋体" w:eastAsia="宋体" w:cs="宋体"/>
          <w:bCs/>
          <w:sz w:val="24"/>
          <w:highlight w:val="none"/>
          <w:u w:val="single"/>
          <w:lang w:val="en-US" w:eastAsia="zh-CN"/>
        </w:rPr>
        <w:t>5</w:t>
      </w:r>
      <w:r>
        <w:rPr>
          <w:rFonts w:hint="eastAsia" w:ascii="宋体" w:hAnsi="宋体" w:eastAsia="宋体" w:cs="宋体"/>
          <w:bCs/>
          <w:sz w:val="24"/>
          <w:highlight w:val="none"/>
          <w:u w:val="single"/>
          <w:lang w:eastAsia="zh-CN"/>
        </w:rPr>
        <w:t>.</w:t>
      </w:r>
      <w:r>
        <w:rPr>
          <w:rFonts w:hint="eastAsia" w:ascii="宋体" w:hAnsi="宋体" w:cs="宋体"/>
          <w:bCs/>
          <w:sz w:val="24"/>
          <w:highlight w:val="none"/>
          <w:u w:val="single"/>
          <w:lang w:val="en-US" w:eastAsia="zh-CN"/>
        </w:rPr>
        <w:t>7</w:t>
      </w:r>
      <w:r>
        <w:rPr>
          <w:rFonts w:hint="eastAsia" w:ascii="宋体" w:hAnsi="宋体" w:cs="宋体"/>
          <w:color w:val="auto"/>
          <w:sz w:val="24"/>
          <w:highlight w:val="none"/>
          <w:u w:val="single"/>
          <w:lang w:val="en-US" w:eastAsia="zh-CN"/>
        </w:rPr>
        <w:t>经票决，定标委员会推荐</w:t>
      </w:r>
      <w:r>
        <w:rPr>
          <w:rFonts w:hint="eastAsia" w:ascii="宋体" w:hAnsi="宋体" w:eastAsia="宋体" w:cs="宋体"/>
          <w:color w:val="auto"/>
          <w:sz w:val="24"/>
          <w:highlight w:val="none"/>
          <w:u w:val="single"/>
          <w:lang w:val="en-US" w:eastAsia="zh-CN"/>
        </w:rPr>
        <w:t>合格中标候选人</w:t>
      </w:r>
      <w:r>
        <w:rPr>
          <w:rFonts w:hint="eastAsia" w:ascii="宋体" w:hAnsi="宋体" w:cs="宋体"/>
          <w:color w:val="auto"/>
          <w:sz w:val="24"/>
          <w:highlight w:val="none"/>
          <w:u w:val="single"/>
          <w:lang w:val="en-US" w:eastAsia="zh-CN"/>
        </w:rPr>
        <w:t>名单中定标得票数最高为中标人，并提交定标报告。</w:t>
      </w:r>
    </w:p>
    <w:p w14:paraId="7AE805A4">
      <w:pPr>
        <w:spacing w:line="351" w:lineRule="auto"/>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注：本项目分三个标段，应遵循以下推荐原则：</w:t>
      </w:r>
    </w:p>
    <w:p w14:paraId="1E19299C">
      <w:pPr>
        <w:spacing w:line="351" w:lineRule="auto"/>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1）本项目采用评定分离方式确定中标人，投标人可以自行选择参加本次招标项目的一个或多个标段的投标，若投标人同时参加多个标段的投标，需分别单独办理各标段投标登记手续，分别编制投标文件并按标段单独提交，但不可以兼中，只能中其中一个标段；各标段投入人员可以</w:t>
      </w:r>
      <w:r>
        <w:rPr>
          <w:rFonts w:hint="eastAsia" w:ascii="宋体" w:hAnsi="宋体" w:eastAsia="宋体" w:cs="宋体"/>
          <w:sz w:val="24"/>
          <w:szCs w:val="24"/>
          <w:highlight w:val="none"/>
          <w:u w:val="single"/>
          <w:lang w:eastAsia="zh-CN"/>
        </w:rPr>
        <w:t>重复</w:t>
      </w:r>
      <w:r>
        <w:rPr>
          <w:rFonts w:hint="eastAsia" w:ascii="宋体" w:hAnsi="宋体" w:eastAsia="宋体" w:cs="宋体"/>
          <w:sz w:val="24"/>
          <w:szCs w:val="24"/>
          <w:highlight w:val="none"/>
          <w:u w:val="single"/>
        </w:rPr>
        <w:t>；</w:t>
      </w:r>
    </w:p>
    <w:p w14:paraId="5AB19EED">
      <w:pPr>
        <w:spacing w:line="351" w:lineRule="auto"/>
        <w:ind w:firstLine="480" w:firstLineChars="200"/>
        <w:rPr>
          <w:rFonts w:hint="default" w:ascii="宋体" w:hAnsi="宋体" w:eastAsia="宋体" w:cs="宋体"/>
          <w:color w:val="auto"/>
          <w:sz w:val="24"/>
          <w:highlight w:val="none"/>
          <w:u w:val="single"/>
          <w:lang w:val="en-US" w:eastAsia="zh-CN"/>
        </w:rPr>
      </w:pPr>
      <w:r>
        <w:rPr>
          <w:rFonts w:hint="eastAsia" w:ascii="宋体" w:hAnsi="宋体" w:eastAsia="宋体" w:cs="宋体"/>
          <w:sz w:val="24"/>
          <w:szCs w:val="24"/>
          <w:highlight w:val="none"/>
          <w:u w:val="single"/>
        </w:rPr>
        <w:t>（2）三个标段按照招标人最终公布的最高投标限价金额由大到小的先后顺序，依次先后开标、评标、定标</w:t>
      </w:r>
      <w:r>
        <w:rPr>
          <w:rFonts w:hint="eastAsia" w:ascii="宋体" w:hAnsi="宋体" w:cs="宋体"/>
          <w:sz w:val="24"/>
          <w:szCs w:val="24"/>
          <w:highlight w:val="none"/>
          <w:u w:val="single"/>
          <w:lang w:eastAsia="zh-CN"/>
        </w:rPr>
        <w:t>。</w:t>
      </w:r>
      <w:r>
        <w:rPr>
          <w:rFonts w:hint="eastAsia" w:ascii="宋体" w:hAnsi="宋体" w:eastAsia="宋体" w:cs="宋体"/>
          <w:color w:val="auto"/>
          <w:sz w:val="24"/>
          <w:highlight w:val="none"/>
          <w:u w:val="single"/>
          <w:lang w:val="en-US" w:eastAsia="zh-CN"/>
        </w:rPr>
        <w:t>定标委员会按照</w:t>
      </w:r>
      <w:r>
        <w:rPr>
          <w:rFonts w:hint="eastAsia" w:ascii="宋体" w:hAnsi="宋体" w:eastAsia="宋体" w:cs="宋体"/>
          <w:sz w:val="24"/>
          <w:szCs w:val="24"/>
          <w:highlight w:val="none"/>
          <w:u w:val="single"/>
        </w:rPr>
        <w:t>招标人最终公布最高投标限价金额由大到小的先后顺序的标段</w:t>
      </w:r>
      <w:r>
        <w:rPr>
          <w:rFonts w:hint="eastAsia" w:ascii="宋体" w:hAnsi="宋体" w:eastAsia="宋体" w:cs="宋体"/>
          <w:sz w:val="24"/>
          <w:szCs w:val="24"/>
          <w:highlight w:val="none"/>
          <w:u w:val="single"/>
          <w:lang w:eastAsia="zh-CN"/>
        </w:rPr>
        <w:t>进行</w:t>
      </w:r>
      <w:r>
        <w:rPr>
          <w:rFonts w:hint="eastAsia" w:ascii="宋体" w:hAnsi="宋体" w:eastAsia="宋体" w:cs="宋体"/>
          <w:color w:val="auto"/>
          <w:sz w:val="24"/>
          <w:highlight w:val="none"/>
          <w:u w:val="single"/>
          <w:lang w:val="en-US" w:eastAsia="zh-CN"/>
        </w:rPr>
        <w:t>一次性票决，每位定标委员会成员只有 1 票表决权（即只能对其中一家合格中标候选人投票），得票数最多的合格中标候选人为该标段的中标人，同时自动放弃参与其他标段投票</w:t>
      </w:r>
      <w:r>
        <w:rPr>
          <w:rFonts w:hint="eastAsia" w:ascii="宋体" w:hAnsi="宋体" w:cs="宋体"/>
          <w:color w:val="auto"/>
          <w:sz w:val="24"/>
          <w:highlight w:val="none"/>
          <w:u w:val="single"/>
          <w:lang w:val="en-US" w:eastAsia="zh-CN"/>
        </w:rPr>
        <w:t>环节</w:t>
      </w:r>
      <w:r>
        <w:rPr>
          <w:rFonts w:hint="eastAsia" w:ascii="宋体" w:hAnsi="宋体" w:eastAsia="宋体" w:cs="宋体"/>
          <w:color w:val="auto"/>
          <w:sz w:val="24"/>
          <w:highlight w:val="none"/>
          <w:u w:val="single"/>
          <w:lang w:val="en-US" w:eastAsia="zh-CN"/>
        </w:rPr>
        <w:t>。但仍参与其他标段</w:t>
      </w:r>
      <w:r>
        <w:rPr>
          <w:rFonts w:hint="eastAsia" w:ascii="宋体" w:hAnsi="宋体"/>
          <w:b w:val="0"/>
          <w:bCs/>
          <w:highlight w:val="none"/>
          <w:u w:val="single"/>
        </w:rPr>
        <w:t>撰写评语</w:t>
      </w:r>
      <w:r>
        <w:rPr>
          <w:rFonts w:hint="eastAsia" w:ascii="宋体" w:hAnsi="宋体"/>
          <w:b w:val="0"/>
          <w:bCs/>
          <w:highlight w:val="none"/>
          <w:u w:val="single"/>
          <w:lang w:eastAsia="zh-CN"/>
        </w:rPr>
        <w:t>环节</w:t>
      </w:r>
      <w:r>
        <w:rPr>
          <w:rFonts w:hint="eastAsia" w:ascii="宋体" w:hAnsi="宋体" w:eastAsia="宋体" w:cs="宋体"/>
          <w:color w:val="auto"/>
          <w:sz w:val="24"/>
          <w:highlight w:val="none"/>
          <w:u w:val="single"/>
          <w:lang w:val="en-US" w:eastAsia="zh-CN"/>
        </w:rPr>
        <w:t>。</w:t>
      </w:r>
    </w:p>
    <w:p w14:paraId="45B7F2E5">
      <w:pPr>
        <w:spacing w:line="351" w:lineRule="auto"/>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（3）如果出现某标段(为清晰表述，本段以下代称“A标段”）的中标人放弃中标或因其他原因被取消中标资格的：招标人可以从A标段其他合格中标候选人中采用</w:t>
      </w:r>
      <w:r>
        <w:rPr>
          <w:rFonts w:hint="eastAsia" w:ascii="宋体" w:hAnsi="宋体" w:cs="宋体"/>
          <w:spacing w:val="-6"/>
          <w:highlight w:val="none"/>
          <w:u w:val="single"/>
          <w:lang w:val="en-US" w:eastAsia="zh-CN"/>
        </w:rPr>
        <w:t>原</w:t>
      </w:r>
      <w:r>
        <w:rPr>
          <w:rFonts w:hint="eastAsia" w:ascii="宋体" w:hAnsi="宋体" w:cs="宋体"/>
          <w:spacing w:val="-6"/>
          <w:highlight w:val="none"/>
          <w:u w:val="single"/>
          <w:lang w:val="en-US" w:eastAsia="zh-CN"/>
        </w:rPr>
        <w:t>定标</w:t>
      </w:r>
      <w:r>
        <w:rPr>
          <w:rFonts w:hint="eastAsia" w:ascii="宋体" w:hAnsi="宋体" w:cs="宋体"/>
          <w:spacing w:val="-6"/>
          <w:highlight w:val="none"/>
          <w:u w:val="single"/>
          <w:lang w:val="en-US" w:eastAsia="zh-CN"/>
        </w:rPr>
        <w:t>办法</w:t>
      </w:r>
      <w:r>
        <w:rPr>
          <w:rFonts w:hint="eastAsia" w:ascii="宋体" w:hAnsi="宋体" w:eastAsia="宋体" w:cs="宋体"/>
          <w:spacing w:val="-6"/>
          <w:sz w:val="24"/>
          <w:szCs w:val="24"/>
          <w:highlight w:val="none"/>
          <w:u w:val="single"/>
        </w:rPr>
        <w:t>，由原定标委员会重新确定A标段的中标人，</w:t>
      </w:r>
      <w:r>
        <w:rPr>
          <w:rFonts w:hint="eastAsia" w:ascii="宋体" w:hAnsi="宋体" w:eastAsia="宋体" w:cs="宋体"/>
          <w:sz w:val="24"/>
          <w:szCs w:val="24"/>
          <w:highlight w:val="none"/>
          <w:u w:val="single"/>
        </w:rPr>
        <w:t>也可以重新组织招标。</w:t>
      </w:r>
      <w:r>
        <w:rPr>
          <w:rFonts w:hint="eastAsia" w:ascii="宋体" w:hAnsi="宋体" w:eastAsia="宋体" w:cs="宋体"/>
          <w:strike w:val="0"/>
          <w:dstrike w:val="0"/>
          <w:sz w:val="24"/>
          <w:szCs w:val="24"/>
          <w:highlight w:val="none"/>
          <w:u w:val="single"/>
        </w:rPr>
        <w:t>不影响其他标段</w:t>
      </w:r>
      <w:r>
        <w:rPr>
          <w:rFonts w:hint="eastAsia" w:ascii="宋体" w:hAnsi="宋体" w:eastAsia="宋体" w:cs="宋体"/>
          <w:strike w:val="0"/>
          <w:dstrike w:val="0"/>
          <w:sz w:val="24"/>
          <w:szCs w:val="24"/>
          <w:highlight w:val="none"/>
          <w:u w:val="single"/>
          <w:lang w:val="en-US" w:eastAsia="zh-CN"/>
        </w:rPr>
        <w:t>的定标工作及</w:t>
      </w:r>
      <w:r>
        <w:rPr>
          <w:rFonts w:hint="eastAsia" w:ascii="宋体" w:hAnsi="宋体" w:eastAsia="宋体" w:cs="宋体"/>
          <w:strike w:val="0"/>
          <w:dstrike w:val="0"/>
          <w:sz w:val="24"/>
          <w:szCs w:val="24"/>
          <w:highlight w:val="none"/>
          <w:u w:val="single"/>
        </w:rPr>
        <w:t>中标人的确定；</w:t>
      </w:r>
      <w:r>
        <w:rPr>
          <w:rFonts w:hint="eastAsia" w:ascii="宋体" w:hAnsi="宋体" w:eastAsia="宋体" w:cs="宋体"/>
          <w:sz w:val="24"/>
          <w:szCs w:val="24"/>
          <w:highlight w:val="none"/>
          <w:u w:val="single"/>
        </w:rPr>
        <w:t>若A标段所有合格中标候选人都不能成为中标人，则A标段招标失败，不影响其他标段中标人的确</w:t>
      </w:r>
      <w:r>
        <w:rPr>
          <w:rFonts w:hint="eastAsia" w:ascii="宋体" w:hAnsi="宋体" w:eastAsia="宋体" w:cs="宋体"/>
          <w:sz w:val="24"/>
          <w:szCs w:val="24"/>
          <w:highlight w:val="none"/>
          <w:u w:val="single"/>
          <w:lang w:val="en-US" w:eastAsia="zh-CN"/>
        </w:rPr>
        <w:t>定</w:t>
      </w:r>
      <w:r>
        <w:rPr>
          <w:rFonts w:hint="eastAsia" w:ascii="宋体" w:hAnsi="宋体" w:eastAsia="宋体" w:cs="宋体"/>
          <w:sz w:val="24"/>
          <w:szCs w:val="24"/>
          <w:highlight w:val="none"/>
          <w:u w:val="single"/>
        </w:rPr>
        <w:t>；</w:t>
      </w:r>
    </w:p>
    <w:p w14:paraId="010B9C98">
      <w:pPr>
        <w:spacing w:line="351" w:lineRule="auto"/>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（4）若某标段在确定中标人后，因其他原因导致该标段重新招标或中标通知书不能发出，将不影响其他标段中标人的确定；</w:t>
      </w:r>
    </w:p>
    <w:p w14:paraId="6393DB3A">
      <w:pPr>
        <w:pStyle w:val="12"/>
        <w:tabs>
          <w:tab w:val="left" w:pos="1343"/>
          <w:tab w:val="left" w:pos="2697"/>
          <w:tab w:val="left" w:pos="3264"/>
          <w:tab w:val="left" w:pos="4896"/>
          <w:tab w:val="left" w:pos="6005"/>
          <w:tab w:val="left" w:pos="7085"/>
          <w:tab w:val="left" w:pos="7498"/>
        </w:tabs>
        <w:kinsoku w:val="0"/>
        <w:overflowPunct w:val="0"/>
        <w:spacing w:line="351" w:lineRule="auto"/>
        <w:ind w:left="0" w:right="211" w:firstLine="480" w:firstLineChars="200"/>
        <w:jc w:val="both"/>
        <w:rPr>
          <w:rFonts w:hint="eastAsia" w:cs="宋体"/>
          <w:color w:val="auto"/>
          <w:sz w:val="24"/>
          <w:szCs w:val="24"/>
          <w:highlight w:val="none"/>
          <w:u w:val="single"/>
        </w:rPr>
      </w:pPr>
      <w:r>
        <w:rPr>
          <w:rFonts w:hint="eastAsia" w:ascii="宋体" w:hAnsi="宋体" w:eastAsia="宋体" w:cs="宋体"/>
          <w:sz w:val="24"/>
          <w:szCs w:val="24"/>
          <w:highlight w:val="none"/>
          <w:u w:val="single"/>
        </w:rPr>
        <w:t>（5）若某标段招标失败而重新招标的，其他标段的中标人不能再成为该重新招标标段的中标人。</w:t>
      </w:r>
    </w:p>
    <w:p w14:paraId="5F5CF2DF">
      <w:pPr>
        <w:pStyle w:val="1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eastAsia" w:ascii="宋体" w:cs="宋体"/>
          <w:color w:val="auto"/>
          <w:sz w:val="24"/>
          <w:szCs w:val="24"/>
          <w:highlight w:val="none"/>
          <w:u w:val="single"/>
          <w:lang w:val="en-US" w:eastAsia="zh-CN"/>
        </w:rPr>
      </w:pPr>
    </w:p>
    <w:p w14:paraId="372F330B">
      <w:pPr>
        <w:rPr>
          <w:rFonts w:hint="eastAsia" w:ascii="宋体" w:cs="宋体"/>
          <w:color w:val="auto"/>
          <w:sz w:val="24"/>
          <w:szCs w:val="24"/>
          <w:highlight w:val="none"/>
          <w:u w:val="single"/>
          <w:lang w:val="en-US" w:eastAsia="zh-CN"/>
        </w:rPr>
      </w:pPr>
      <w:r>
        <w:rPr>
          <w:rFonts w:hint="eastAsia" w:ascii="宋体" w:cs="宋体"/>
          <w:color w:val="auto"/>
          <w:sz w:val="24"/>
          <w:szCs w:val="24"/>
          <w:highlight w:val="none"/>
          <w:u w:val="single"/>
          <w:lang w:val="en-US" w:eastAsia="zh-CN"/>
        </w:rPr>
        <w:br w:type="page"/>
      </w:r>
    </w:p>
    <w:p w14:paraId="76EA21DC">
      <w:pPr>
        <w:rPr>
          <w:rFonts w:hint="eastAsia"/>
          <w:highlight w:val="none"/>
          <w:lang w:val="en-US" w:eastAsia="zh-CN"/>
        </w:rPr>
      </w:pPr>
    </w:p>
    <w:p w14:paraId="099A22D1">
      <w:pPr>
        <w:widowControl/>
        <w:spacing w:line="360" w:lineRule="auto"/>
        <w:ind w:firstLine="643" w:firstLineChars="200"/>
        <w:jc w:val="left"/>
        <w:rPr>
          <w:rFonts w:hint="eastAsia" w:ascii="宋体" w:hAnsi="宋体" w:cs="宋体"/>
          <w:b/>
          <w:color w:val="auto"/>
          <w:sz w:val="32"/>
          <w:szCs w:val="32"/>
          <w:highlight w:val="none"/>
        </w:rPr>
      </w:pPr>
      <w:r>
        <w:rPr>
          <w:rFonts w:hint="eastAsia" w:ascii="宋体" w:hAnsi="宋体" w:cs="宋体"/>
          <w:b/>
          <w:color w:val="auto"/>
          <w:sz w:val="32"/>
          <w:szCs w:val="32"/>
          <w:highlight w:val="none"/>
          <w:lang w:val="en-US" w:eastAsia="zh-CN"/>
        </w:rPr>
        <w:t>附件一、</w:t>
      </w:r>
      <w:r>
        <w:rPr>
          <w:rFonts w:hint="eastAsia" w:ascii="宋体" w:hAnsi="宋体" w:cs="宋体"/>
          <w:b/>
          <w:color w:val="auto"/>
          <w:sz w:val="32"/>
          <w:szCs w:val="32"/>
          <w:highlight w:val="none"/>
        </w:rPr>
        <w:t>定标阶段附表</w:t>
      </w:r>
    </w:p>
    <w:p w14:paraId="2E220540">
      <w:pPr>
        <w:widowControl/>
        <w:spacing w:line="360" w:lineRule="auto"/>
        <w:jc w:val="center"/>
        <w:rPr>
          <w:rFonts w:hint="eastAsia" w:ascii="宋体" w:hAnsi="宋体" w:eastAsia="宋体" w:cs="宋体"/>
          <w:b/>
          <w:color w:val="auto"/>
          <w:sz w:val="36"/>
          <w:szCs w:val="36"/>
          <w:highlight w:val="none"/>
          <w:lang w:eastAsia="zh-CN"/>
        </w:rPr>
      </w:pPr>
    </w:p>
    <w:p w14:paraId="72EB4EF2">
      <w:pPr>
        <w:widowControl/>
        <w:spacing w:line="360" w:lineRule="auto"/>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定标因素表（定标阶段用）</w:t>
      </w:r>
    </w:p>
    <w:p w14:paraId="4751F2A2">
      <w:pPr>
        <w:pStyle w:val="9"/>
        <w:ind w:firstLine="480"/>
        <w:rPr>
          <w:rFonts w:hint="eastAsia" w:ascii="宋体" w:hAnsi="宋体" w:cs="宋体"/>
          <w:color w:val="auto"/>
          <w:sz w:val="24"/>
          <w:highlight w:val="none"/>
        </w:rPr>
      </w:pPr>
    </w:p>
    <w:tbl>
      <w:tblPr>
        <w:tblStyle w:val="27"/>
        <w:tblW w:w="91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9"/>
        <w:gridCol w:w="1682"/>
        <w:gridCol w:w="5130"/>
        <w:gridCol w:w="1676"/>
      </w:tblGrid>
      <w:tr w14:paraId="2AAC9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89" w:type="dxa"/>
            <w:noWrap w:val="0"/>
            <w:vAlign w:val="center"/>
          </w:tcPr>
          <w:p w14:paraId="42E6EE75">
            <w:pPr>
              <w:pStyle w:val="8"/>
              <w:ind w:firstLine="0" w:firstLineChars="0"/>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682" w:type="dxa"/>
            <w:noWrap w:val="0"/>
            <w:vAlign w:val="center"/>
          </w:tcPr>
          <w:p w14:paraId="73A2FD5D">
            <w:pPr>
              <w:pStyle w:val="8"/>
              <w:ind w:firstLine="0" w:firstLineChars="0"/>
              <w:jc w:val="center"/>
              <w:rPr>
                <w:rFonts w:hint="eastAsia" w:ascii="宋体" w:hAnsi="宋体" w:cs="宋体"/>
                <w:color w:val="auto"/>
                <w:szCs w:val="21"/>
                <w:highlight w:val="none"/>
              </w:rPr>
            </w:pPr>
            <w:r>
              <w:rPr>
                <w:rFonts w:hint="eastAsia" w:ascii="宋体" w:hAnsi="宋体" w:cs="宋体"/>
                <w:color w:val="auto"/>
                <w:szCs w:val="21"/>
                <w:highlight w:val="none"/>
              </w:rPr>
              <w:t>定标因素</w:t>
            </w:r>
          </w:p>
        </w:tc>
        <w:tc>
          <w:tcPr>
            <w:tcW w:w="5130" w:type="dxa"/>
            <w:noWrap w:val="0"/>
            <w:vAlign w:val="center"/>
          </w:tcPr>
          <w:p w14:paraId="070F020C">
            <w:pPr>
              <w:pStyle w:val="8"/>
              <w:ind w:firstLine="0" w:firstLineChars="0"/>
              <w:jc w:val="center"/>
              <w:rPr>
                <w:rFonts w:hint="eastAsia" w:ascii="宋体" w:hAnsi="宋体" w:cs="宋体"/>
                <w:color w:val="auto"/>
                <w:szCs w:val="21"/>
                <w:highlight w:val="none"/>
              </w:rPr>
            </w:pPr>
            <w:r>
              <w:rPr>
                <w:rFonts w:hint="eastAsia" w:ascii="宋体" w:hAnsi="宋体" w:cs="宋体"/>
                <w:color w:val="auto"/>
                <w:szCs w:val="21"/>
                <w:highlight w:val="none"/>
              </w:rPr>
              <w:t>定标评价的内容</w:t>
            </w:r>
          </w:p>
        </w:tc>
        <w:tc>
          <w:tcPr>
            <w:tcW w:w="1676" w:type="dxa"/>
            <w:noWrap w:val="0"/>
            <w:vAlign w:val="center"/>
          </w:tcPr>
          <w:p w14:paraId="7A459934">
            <w:pPr>
              <w:pStyle w:val="8"/>
              <w:ind w:firstLine="0" w:firstLineChars="0"/>
              <w:jc w:val="center"/>
              <w:rPr>
                <w:rFonts w:hint="eastAsia" w:ascii="宋体" w:hAnsi="宋体" w:cs="宋体"/>
                <w:color w:val="auto"/>
                <w:szCs w:val="21"/>
                <w:highlight w:val="none"/>
              </w:rPr>
            </w:pPr>
            <w:r>
              <w:rPr>
                <w:rFonts w:hint="eastAsia" w:ascii="宋体" w:hAnsi="宋体" w:cs="宋体"/>
                <w:color w:val="auto"/>
                <w:szCs w:val="21"/>
                <w:highlight w:val="none"/>
              </w:rPr>
              <w:t>评价标准</w:t>
            </w:r>
          </w:p>
        </w:tc>
      </w:tr>
      <w:tr w14:paraId="202B9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exact"/>
          <w:jc w:val="center"/>
        </w:trPr>
        <w:tc>
          <w:tcPr>
            <w:tcW w:w="689" w:type="dxa"/>
            <w:noWrap w:val="0"/>
            <w:vAlign w:val="center"/>
          </w:tcPr>
          <w:p w14:paraId="0F9634E8">
            <w:pPr>
              <w:pStyle w:val="8"/>
              <w:ind w:firstLine="240" w:firstLineChars="100"/>
              <w:jc w:val="center"/>
              <w:rPr>
                <w:rFonts w:hint="eastAsia" w:ascii="宋体" w:hAnsi="宋体" w:cs="宋体"/>
                <w:b w:val="0"/>
                <w:bCs/>
                <w:color w:val="auto"/>
                <w:szCs w:val="21"/>
                <w:highlight w:val="none"/>
              </w:rPr>
            </w:pPr>
            <w:r>
              <w:rPr>
                <w:rFonts w:hint="eastAsia" w:ascii="宋体" w:hAnsi="宋体" w:cs="宋体"/>
                <w:b w:val="0"/>
                <w:bCs/>
                <w:color w:val="auto"/>
                <w:szCs w:val="21"/>
                <w:highlight w:val="none"/>
              </w:rPr>
              <w:t>1</w:t>
            </w:r>
          </w:p>
        </w:tc>
        <w:tc>
          <w:tcPr>
            <w:tcW w:w="1682" w:type="dxa"/>
            <w:noWrap w:val="0"/>
            <w:vAlign w:val="center"/>
          </w:tcPr>
          <w:p w14:paraId="4A46E64B">
            <w:pPr>
              <w:pStyle w:val="8"/>
              <w:ind w:firstLine="0" w:firstLineChars="0"/>
              <w:rPr>
                <w:rFonts w:hint="eastAsia" w:ascii="宋体" w:hAnsi="宋体" w:cs="宋体"/>
                <w:color w:val="auto"/>
                <w:szCs w:val="21"/>
                <w:highlight w:val="none"/>
              </w:rPr>
            </w:pPr>
            <w:r>
              <w:rPr>
                <w:rFonts w:hint="eastAsia" w:ascii="宋体" w:hAnsi="宋体" w:cs="宋体"/>
                <w:b w:val="0"/>
                <w:color w:val="auto"/>
                <w:szCs w:val="21"/>
                <w:highlight w:val="none"/>
              </w:rPr>
              <w:t>价格因素</w:t>
            </w:r>
          </w:p>
        </w:tc>
        <w:tc>
          <w:tcPr>
            <w:tcW w:w="5130" w:type="dxa"/>
            <w:noWrap w:val="0"/>
            <w:vAlign w:val="center"/>
          </w:tcPr>
          <w:p w14:paraId="6098FDFF">
            <w:pPr>
              <w:pStyle w:val="8"/>
              <w:ind w:firstLine="0" w:firstLineChars="0"/>
              <w:rPr>
                <w:rFonts w:hint="eastAsia" w:ascii="宋体" w:hAnsi="宋体" w:cs="宋体"/>
                <w:color w:val="auto"/>
                <w:szCs w:val="21"/>
                <w:highlight w:val="none"/>
              </w:rPr>
            </w:pPr>
            <w:r>
              <w:rPr>
                <w:rFonts w:hint="eastAsia" w:ascii="宋体" w:hAnsi="宋体" w:cs="宋体"/>
                <w:b w:val="0"/>
                <w:bCs/>
                <w:color w:val="auto"/>
                <w:szCs w:val="21"/>
                <w:highlight w:val="none"/>
              </w:rPr>
              <w:t>对进入定标阶段的合格中标候选人的报价进行横向比较。投标报价合理性强，全生命周期内能源资源消耗低、环境影响最小。</w:t>
            </w:r>
          </w:p>
        </w:tc>
        <w:tc>
          <w:tcPr>
            <w:tcW w:w="1676" w:type="dxa"/>
            <w:noWrap w:val="0"/>
            <w:vAlign w:val="center"/>
          </w:tcPr>
          <w:p w14:paraId="6C4FEE89">
            <w:pPr>
              <w:rPr>
                <w:rFonts w:hint="eastAsia" w:ascii="宋体" w:hAnsi="宋体" w:cs="宋体"/>
                <w:color w:val="auto"/>
                <w:highlight w:val="none"/>
              </w:rPr>
            </w:pPr>
            <w:r>
              <w:rPr>
                <w:rFonts w:hint="eastAsia" w:ascii="宋体" w:hAnsi="宋体" w:cs="宋体"/>
                <w:color w:val="auto"/>
                <w:highlight w:val="none"/>
              </w:rPr>
              <w:t>分为【优】、【良】</w:t>
            </w:r>
          </w:p>
          <w:p w14:paraId="41A5DD1C">
            <w:pPr>
              <w:pStyle w:val="8"/>
              <w:ind w:firstLine="0" w:firstLineChars="0"/>
              <w:jc w:val="center"/>
              <w:rPr>
                <w:rFonts w:hint="eastAsia" w:ascii="宋体" w:hAnsi="宋体" w:cs="宋体"/>
                <w:color w:val="auto"/>
                <w:szCs w:val="21"/>
                <w:highlight w:val="none"/>
              </w:rPr>
            </w:pPr>
            <w:r>
              <w:rPr>
                <w:rFonts w:hint="eastAsia" w:ascii="宋体" w:hAnsi="宋体" w:cs="宋体"/>
                <w:b w:val="0"/>
                <w:color w:val="auto"/>
                <w:highlight w:val="none"/>
              </w:rPr>
              <w:t>【中】三档。</w:t>
            </w:r>
          </w:p>
        </w:tc>
      </w:tr>
      <w:tr w14:paraId="439C3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7" w:hRule="exact"/>
          <w:jc w:val="center"/>
        </w:trPr>
        <w:tc>
          <w:tcPr>
            <w:tcW w:w="689" w:type="dxa"/>
            <w:noWrap w:val="0"/>
            <w:vAlign w:val="center"/>
          </w:tcPr>
          <w:p w14:paraId="536FD028">
            <w:pPr>
              <w:pStyle w:val="8"/>
              <w:ind w:firstLine="240" w:firstLineChars="100"/>
              <w:jc w:val="center"/>
              <w:rPr>
                <w:rFonts w:hint="eastAsia" w:ascii="宋体" w:hAnsi="宋体" w:cs="宋体"/>
                <w:b w:val="0"/>
                <w:bCs/>
                <w:color w:val="auto"/>
                <w:szCs w:val="21"/>
                <w:highlight w:val="none"/>
              </w:rPr>
            </w:pPr>
            <w:r>
              <w:rPr>
                <w:rFonts w:hint="eastAsia" w:ascii="宋体" w:hAnsi="宋体" w:cs="宋体"/>
                <w:b w:val="0"/>
                <w:bCs/>
                <w:color w:val="auto"/>
                <w:szCs w:val="21"/>
                <w:highlight w:val="none"/>
              </w:rPr>
              <w:t>2</w:t>
            </w:r>
          </w:p>
        </w:tc>
        <w:tc>
          <w:tcPr>
            <w:tcW w:w="1682" w:type="dxa"/>
            <w:noWrap w:val="0"/>
            <w:vAlign w:val="center"/>
          </w:tcPr>
          <w:p w14:paraId="17516163">
            <w:pPr>
              <w:pStyle w:val="8"/>
              <w:ind w:firstLine="0" w:firstLineChars="0"/>
              <w:rPr>
                <w:rFonts w:hint="eastAsia" w:ascii="宋体" w:hAnsi="宋体" w:cs="宋体"/>
                <w:b w:val="0"/>
                <w:color w:val="auto"/>
                <w:szCs w:val="21"/>
                <w:highlight w:val="none"/>
              </w:rPr>
            </w:pPr>
            <w:r>
              <w:rPr>
                <w:rFonts w:hint="eastAsia" w:ascii="宋体" w:hAnsi="宋体" w:cs="宋体"/>
                <w:b w:val="0"/>
                <w:color w:val="auto"/>
                <w:szCs w:val="21"/>
                <w:highlight w:val="none"/>
              </w:rPr>
              <w:t>方案因素</w:t>
            </w:r>
          </w:p>
        </w:tc>
        <w:tc>
          <w:tcPr>
            <w:tcW w:w="5130" w:type="dxa"/>
            <w:noWrap w:val="0"/>
            <w:vAlign w:val="center"/>
          </w:tcPr>
          <w:p w14:paraId="532FB5C8">
            <w:pPr>
              <w:pStyle w:val="8"/>
              <w:ind w:firstLine="0" w:firstLineChars="0"/>
              <w:rPr>
                <w:rFonts w:hint="eastAsia" w:ascii="宋体" w:hAnsi="宋体" w:cs="宋体"/>
                <w:color w:val="auto"/>
                <w:highlight w:val="none"/>
              </w:rPr>
            </w:pPr>
            <w:r>
              <w:rPr>
                <w:rFonts w:hint="eastAsia" w:ascii="宋体" w:hAnsi="宋体" w:eastAsia="宋体" w:cs="宋体"/>
                <w:b w:val="0"/>
                <w:bCs/>
                <w:color w:val="auto"/>
                <w:szCs w:val="21"/>
                <w:highlight w:val="none"/>
                <w:lang w:val="en-US" w:eastAsia="zh-CN"/>
              </w:rPr>
              <w:t>方案</w:t>
            </w:r>
            <w:r>
              <w:rPr>
                <w:rFonts w:hint="eastAsia" w:ascii="宋体" w:hAnsi="宋体" w:eastAsia="宋体" w:cs="宋体"/>
                <w:b w:val="0"/>
                <w:bCs/>
                <w:color w:val="auto"/>
                <w:szCs w:val="21"/>
                <w:highlight w:val="none"/>
              </w:rPr>
              <w:t>内容包括但不限于：公司简介部分体现监理资质和优势</w:t>
            </w:r>
            <w:r>
              <w:rPr>
                <w:rFonts w:hint="eastAsia" w:cs="宋体"/>
                <w:b w:val="0"/>
                <w:bCs/>
                <w:color w:val="auto"/>
                <w:szCs w:val="21"/>
                <w:highlight w:val="none"/>
                <w:lang w:val="en-US" w:eastAsia="zh-CN"/>
              </w:rPr>
              <w:t>是否科学性、合理性</w:t>
            </w:r>
            <w:r>
              <w:rPr>
                <w:rFonts w:hint="eastAsia" w:ascii="宋体" w:hAnsi="宋体" w:eastAsia="宋体" w:cs="宋体"/>
                <w:b w:val="0"/>
                <w:bCs/>
                <w:color w:val="auto"/>
                <w:szCs w:val="21"/>
                <w:highlight w:val="none"/>
                <w:lang w:eastAsia="zh-CN"/>
              </w:rPr>
              <w:t>；监理工作范围和内容要明确各阶段任务；安全、质量、进度、造价控制管理体系</w:t>
            </w:r>
            <w:r>
              <w:rPr>
                <w:rFonts w:hint="eastAsia" w:ascii="宋体" w:hAnsi="宋体" w:eastAsia="宋体" w:cs="宋体"/>
                <w:b w:val="0"/>
                <w:bCs/>
                <w:color w:val="auto"/>
                <w:szCs w:val="21"/>
                <w:highlight w:val="none"/>
                <w:lang w:val="en-US" w:eastAsia="zh-CN"/>
              </w:rPr>
              <w:t>等</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lang w:val="en-US" w:eastAsia="zh-CN"/>
              </w:rPr>
              <w:t>对于</w:t>
            </w:r>
            <w:r>
              <w:rPr>
                <w:rFonts w:hint="eastAsia" w:ascii="宋体" w:hAnsi="宋体" w:eastAsia="宋体" w:cs="宋体"/>
                <w:b w:val="0"/>
                <w:bCs/>
                <w:color w:val="auto"/>
                <w:szCs w:val="21"/>
                <w:highlight w:val="none"/>
                <w:lang w:eastAsia="zh-CN"/>
              </w:rPr>
              <w:t>工程重点难点分析及针对性监理措施</w:t>
            </w:r>
            <w:r>
              <w:rPr>
                <w:rFonts w:hint="eastAsia" w:ascii="宋体" w:hAnsi="宋体" w:eastAsia="宋体" w:cs="宋体"/>
                <w:b w:val="0"/>
                <w:bCs/>
                <w:color w:val="auto"/>
                <w:szCs w:val="21"/>
                <w:highlight w:val="none"/>
                <w:lang w:val="en-US" w:eastAsia="zh-CN"/>
              </w:rPr>
              <w:t>以及资金保障措施等</w:t>
            </w:r>
            <w:r>
              <w:rPr>
                <w:rFonts w:hint="eastAsia" w:ascii="宋体" w:hAnsi="宋体" w:eastAsia="宋体" w:cs="宋体"/>
                <w:b w:val="0"/>
                <w:bCs/>
                <w:color w:val="auto"/>
                <w:szCs w:val="21"/>
                <w:highlight w:val="none"/>
              </w:rPr>
              <w:t>。</w:t>
            </w:r>
          </w:p>
        </w:tc>
        <w:tc>
          <w:tcPr>
            <w:tcW w:w="1676" w:type="dxa"/>
            <w:noWrap w:val="0"/>
            <w:vAlign w:val="center"/>
          </w:tcPr>
          <w:p w14:paraId="06D008F9">
            <w:pPr>
              <w:rPr>
                <w:rFonts w:hint="eastAsia" w:ascii="宋体" w:hAnsi="宋体" w:cs="宋体"/>
                <w:color w:val="auto"/>
                <w:highlight w:val="none"/>
              </w:rPr>
            </w:pPr>
            <w:r>
              <w:rPr>
                <w:rFonts w:hint="eastAsia" w:ascii="宋体" w:hAnsi="宋体" w:cs="宋体"/>
                <w:color w:val="auto"/>
                <w:highlight w:val="none"/>
              </w:rPr>
              <w:t>分为【优】、【良】</w:t>
            </w:r>
          </w:p>
          <w:p w14:paraId="22DED079">
            <w:pPr>
              <w:jc w:val="center"/>
              <w:rPr>
                <w:rFonts w:hint="eastAsia" w:ascii="宋体" w:hAnsi="宋体" w:cs="宋体"/>
                <w:color w:val="auto"/>
                <w:highlight w:val="none"/>
              </w:rPr>
            </w:pPr>
            <w:r>
              <w:rPr>
                <w:rFonts w:hint="eastAsia" w:ascii="宋体" w:hAnsi="宋体" w:cs="宋体"/>
                <w:color w:val="auto"/>
                <w:highlight w:val="none"/>
              </w:rPr>
              <w:t>【中】三档。</w:t>
            </w:r>
          </w:p>
        </w:tc>
      </w:tr>
      <w:tr w14:paraId="2D96B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3" w:hRule="exact"/>
          <w:jc w:val="center"/>
        </w:trPr>
        <w:tc>
          <w:tcPr>
            <w:tcW w:w="689" w:type="dxa"/>
            <w:noWrap w:val="0"/>
            <w:vAlign w:val="center"/>
          </w:tcPr>
          <w:p w14:paraId="4DAD8B39">
            <w:pPr>
              <w:pStyle w:val="8"/>
              <w:ind w:firstLine="240" w:firstLineChars="100"/>
              <w:jc w:val="center"/>
              <w:rPr>
                <w:rFonts w:hint="eastAsia" w:ascii="宋体" w:hAnsi="宋体" w:cs="宋体"/>
                <w:b w:val="0"/>
                <w:bCs/>
                <w:color w:val="auto"/>
                <w:szCs w:val="21"/>
                <w:highlight w:val="none"/>
              </w:rPr>
            </w:pPr>
            <w:r>
              <w:rPr>
                <w:rFonts w:hint="eastAsia" w:ascii="宋体" w:hAnsi="宋体" w:cs="宋体"/>
                <w:b w:val="0"/>
                <w:bCs/>
                <w:color w:val="auto"/>
                <w:szCs w:val="21"/>
                <w:highlight w:val="none"/>
              </w:rPr>
              <w:t>3</w:t>
            </w:r>
          </w:p>
        </w:tc>
        <w:tc>
          <w:tcPr>
            <w:tcW w:w="1682" w:type="dxa"/>
            <w:noWrap w:val="0"/>
            <w:vAlign w:val="center"/>
          </w:tcPr>
          <w:p w14:paraId="6C1736CD">
            <w:pPr>
              <w:pStyle w:val="8"/>
              <w:ind w:firstLine="0" w:firstLineChars="0"/>
              <w:rPr>
                <w:rFonts w:hint="eastAsia" w:ascii="宋体" w:hAnsi="宋体" w:cs="宋体"/>
                <w:b w:val="0"/>
                <w:color w:val="auto"/>
                <w:szCs w:val="21"/>
                <w:highlight w:val="none"/>
              </w:rPr>
            </w:pPr>
            <w:r>
              <w:rPr>
                <w:rFonts w:hint="eastAsia" w:ascii="宋体" w:hAnsi="宋体" w:cs="宋体"/>
                <w:b w:val="0"/>
                <w:color w:val="auto"/>
                <w:szCs w:val="21"/>
                <w:highlight w:val="none"/>
              </w:rPr>
              <w:t>团队因素</w:t>
            </w:r>
          </w:p>
        </w:tc>
        <w:tc>
          <w:tcPr>
            <w:tcW w:w="5130" w:type="dxa"/>
            <w:noWrap w:val="0"/>
            <w:vAlign w:val="center"/>
          </w:tcPr>
          <w:p w14:paraId="3219BBFC">
            <w:pPr>
              <w:rPr>
                <w:rFonts w:hint="eastAsia" w:ascii="宋体" w:hAnsi="宋体" w:cs="宋体"/>
                <w:bCs/>
                <w:color w:val="auto"/>
                <w:szCs w:val="21"/>
                <w:highlight w:val="none"/>
              </w:rPr>
            </w:pPr>
            <w:r>
              <w:rPr>
                <w:rFonts w:hint="eastAsia" w:ascii="宋体" w:hAnsi="宋体" w:cs="宋体"/>
                <w:bCs/>
                <w:color w:val="auto"/>
                <w:szCs w:val="21"/>
                <w:highlight w:val="none"/>
              </w:rPr>
              <w:t>履约能力强，信用情况好，社会评价好，公司管理人员、职称人员、专业技术人员配备、人员技术水平、管理人员履职到位情况好，</w:t>
            </w:r>
            <w:r>
              <w:rPr>
                <w:rFonts w:hint="eastAsia" w:ascii="宋体" w:hAnsi="宋体" w:cs="宋体"/>
                <w:bCs/>
                <w:color w:val="auto"/>
                <w:kern w:val="0"/>
                <w:szCs w:val="21"/>
                <w:highlight w:val="none"/>
              </w:rPr>
              <w:t>过往业绩履约情况好</w:t>
            </w:r>
            <w:r>
              <w:rPr>
                <w:rFonts w:hint="eastAsia" w:ascii="宋体" w:hAnsi="宋体" w:cs="宋体"/>
                <w:bCs/>
                <w:color w:val="auto"/>
                <w:szCs w:val="21"/>
                <w:highlight w:val="none"/>
              </w:rPr>
              <w:t>。</w:t>
            </w:r>
          </w:p>
        </w:tc>
        <w:tc>
          <w:tcPr>
            <w:tcW w:w="1676" w:type="dxa"/>
            <w:noWrap w:val="0"/>
            <w:vAlign w:val="center"/>
          </w:tcPr>
          <w:p w14:paraId="7F2EB1DD">
            <w:pPr>
              <w:rPr>
                <w:rFonts w:hint="eastAsia" w:ascii="宋体" w:hAnsi="宋体" w:cs="宋体"/>
                <w:color w:val="auto"/>
                <w:highlight w:val="none"/>
              </w:rPr>
            </w:pPr>
            <w:r>
              <w:rPr>
                <w:rFonts w:hint="eastAsia" w:ascii="宋体" w:hAnsi="宋体" w:cs="宋体"/>
                <w:color w:val="auto"/>
                <w:highlight w:val="none"/>
              </w:rPr>
              <w:t>分为【优】、【良】</w:t>
            </w:r>
          </w:p>
          <w:p w14:paraId="3C8C6C95">
            <w:pPr>
              <w:jc w:val="center"/>
              <w:rPr>
                <w:rFonts w:hint="eastAsia" w:ascii="宋体" w:hAnsi="宋体" w:cs="宋体"/>
                <w:color w:val="auto"/>
                <w:szCs w:val="21"/>
                <w:highlight w:val="none"/>
              </w:rPr>
            </w:pPr>
            <w:r>
              <w:rPr>
                <w:rFonts w:hint="eastAsia" w:ascii="宋体" w:hAnsi="宋体" w:cs="宋体"/>
                <w:color w:val="auto"/>
                <w:highlight w:val="none"/>
              </w:rPr>
              <w:t>【中】三档。</w:t>
            </w:r>
          </w:p>
        </w:tc>
      </w:tr>
      <w:tr w14:paraId="138CF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exact"/>
          <w:jc w:val="center"/>
        </w:trPr>
        <w:tc>
          <w:tcPr>
            <w:tcW w:w="689" w:type="dxa"/>
            <w:noWrap w:val="0"/>
            <w:vAlign w:val="center"/>
          </w:tcPr>
          <w:p w14:paraId="2C92F8B5">
            <w:pPr>
              <w:pStyle w:val="8"/>
              <w:ind w:firstLine="240" w:firstLineChars="100"/>
              <w:jc w:val="center"/>
              <w:rPr>
                <w:rFonts w:hint="eastAsia" w:ascii="宋体" w:hAnsi="宋体" w:cs="宋体"/>
                <w:b w:val="0"/>
                <w:bCs/>
                <w:color w:val="auto"/>
                <w:szCs w:val="21"/>
                <w:highlight w:val="none"/>
              </w:rPr>
            </w:pPr>
            <w:r>
              <w:rPr>
                <w:rFonts w:hint="eastAsia" w:ascii="宋体" w:hAnsi="宋体" w:cs="宋体"/>
                <w:b w:val="0"/>
                <w:bCs/>
                <w:color w:val="auto"/>
                <w:szCs w:val="21"/>
                <w:highlight w:val="none"/>
              </w:rPr>
              <w:t>4</w:t>
            </w:r>
          </w:p>
        </w:tc>
        <w:tc>
          <w:tcPr>
            <w:tcW w:w="1682" w:type="dxa"/>
            <w:noWrap w:val="0"/>
            <w:vAlign w:val="center"/>
          </w:tcPr>
          <w:p w14:paraId="29C694E3">
            <w:pPr>
              <w:pStyle w:val="8"/>
              <w:ind w:firstLine="0" w:firstLineChars="0"/>
              <w:rPr>
                <w:rFonts w:hint="eastAsia" w:ascii="宋体" w:hAnsi="宋体" w:cs="宋体"/>
                <w:b w:val="0"/>
                <w:color w:val="auto"/>
                <w:szCs w:val="21"/>
                <w:highlight w:val="none"/>
              </w:rPr>
            </w:pPr>
            <w:r>
              <w:rPr>
                <w:rFonts w:hint="eastAsia" w:ascii="宋体" w:hAnsi="宋体" w:cs="宋体"/>
                <w:b w:val="0"/>
                <w:color w:val="auto"/>
                <w:szCs w:val="21"/>
                <w:highlight w:val="none"/>
              </w:rPr>
              <w:t>资信因素</w:t>
            </w:r>
          </w:p>
        </w:tc>
        <w:tc>
          <w:tcPr>
            <w:tcW w:w="5130" w:type="dxa"/>
            <w:noWrap w:val="0"/>
            <w:vAlign w:val="center"/>
          </w:tcPr>
          <w:p w14:paraId="1CACF34C">
            <w:pPr>
              <w:rPr>
                <w:rFonts w:hint="eastAsia" w:ascii="宋体" w:hAnsi="宋体" w:cs="宋体"/>
                <w:bCs/>
                <w:color w:val="auto"/>
                <w:szCs w:val="21"/>
                <w:highlight w:val="none"/>
              </w:rPr>
            </w:pPr>
            <w:r>
              <w:rPr>
                <w:rFonts w:hint="eastAsia" w:ascii="宋体" w:hAnsi="宋体" w:cs="宋体"/>
                <w:bCs/>
                <w:color w:val="auto"/>
                <w:szCs w:val="21"/>
                <w:highlight w:val="none"/>
              </w:rPr>
              <w:t>企业经营实力好</w:t>
            </w:r>
            <w:r>
              <w:rPr>
                <w:rFonts w:hint="eastAsia" w:ascii="宋体" w:hAnsi="宋体" w:cs="宋体"/>
                <w:bCs/>
                <w:color w:val="auto"/>
                <w:highlight w:val="none"/>
              </w:rPr>
              <w:t>，以</w:t>
            </w:r>
            <w:r>
              <w:rPr>
                <w:rFonts w:hint="eastAsia" w:ascii="宋体" w:hAnsi="宋体" w:cs="宋体"/>
                <w:bCs/>
                <w:color w:val="auto"/>
                <w:szCs w:val="21"/>
                <w:highlight w:val="none"/>
              </w:rPr>
              <w:t>企业规模、企业诚信评价情况、资质等级、专业人员规模、财务状况等情况综合比较。</w:t>
            </w:r>
          </w:p>
        </w:tc>
        <w:tc>
          <w:tcPr>
            <w:tcW w:w="1676" w:type="dxa"/>
            <w:noWrap w:val="0"/>
            <w:vAlign w:val="center"/>
          </w:tcPr>
          <w:p w14:paraId="0965454B">
            <w:pPr>
              <w:rPr>
                <w:rFonts w:hint="eastAsia" w:ascii="宋体" w:hAnsi="宋体" w:cs="宋体"/>
                <w:color w:val="auto"/>
                <w:highlight w:val="none"/>
              </w:rPr>
            </w:pPr>
            <w:r>
              <w:rPr>
                <w:rFonts w:hint="eastAsia" w:ascii="宋体" w:hAnsi="宋体" w:cs="宋体"/>
                <w:color w:val="auto"/>
                <w:highlight w:val="none"/>
              </w:rPr>
              <w:t>分为【优】、【良】</w:t>
            </w:r>
          </w:p>
          <w:p w14:paraId="41A615A5">
            <w:pPr>
              <w:jc w:val="center"/>
              <w:rPr>
                <w:rFonts w:hint="eastAsia" w:ascii="宋体" w:hAnsi="宋体" w:cs="宋体"/>
                <w:color w:val="auto"/>
                <w:szCs w:val="21"/>
                <w:highlight w:val="none"/>
              </w:rPr>
            </w:pPr>
            <w:r>
              <w:rPr>
                <w:rFonts w:hint="eastAsia" w:ascii="宋体" w:hAnsi="宋体" w:cs="宋体"/>
                <w:color w:val="auto"/>
                <w:highlight w:val="none"/>
              </w:rPr>
              <w:t>【中】三档。</w:t>
            </w:r>
          </w:p>
        </w:tc>
      </w:tr>
    </w:tbl>
    <w:p w14:paraId="40E4B958">
      <w:pPr>
        <w:pStyle w:val="9"/>
        <w:ind w:firstLine="0" w:firstLineChars="0"/>
        <w:rPr>
          <w:rFonts w:hint="eastAsia" w:ascii="宋体" w:hAnsi="宋体" w:cs="宋体"/>
          <w:b/>
          <w:color w:val="auto"/>
          <w:sz w:val="36"/>
          <w:szCs w:val="36"/>
          <w:highlight w:val="none"/>
        </w:rPr>
      </w:pPr>
    </w:p>
    <w:p w14:paraId="4E483F3D">
      <w:pPr>
        <w:spacing w:line="360" w:lineRule="auto"/>
        <w:jc w:val="center"/>
        <w:rPr>
          <w:rFonts w:hint="eastAsia"/>
          <w:b/>
          <w:bCs/>
          <w:sz w:val="28"/>
          <w:szCs w:val="28"/>
          <w:highlight w:val="none"/>
        </w:rPr>
      </w:pPr>
      <w:r>
        <w:rPr>
          <w:rFonts w:hint="eastAsia" w:ascii="宋体" w:hAnsi="宋体" w:cs="宋体"/>
          <w:b/>
          <w:color w:val="auto"/>
          <w:sz w:val="36"/>
          <w:szCs w:val="36"/>
          <w:highlight w:val="none"/>
        </w:rPr>
        <w:br w:type="page"/>
      </w:r>
      <w:r>
        <w:rPr>
          <w:rFonts w:hint="eastAsia"/>
          <w:b/>
          <w:bCs/>
          <w:sz w:val="28"/>
          <w:szCs w:val="28"/>
          <w:highlight w:val="none"/>
        </w:rPr>
        <w:t>票决定标选票表（定标阶段）</w:t>
      </w:r>
    </w:p>
    <w:p w14:paraId="3CA6B36F">
      <w:pPr>
        <w:adjustRightInd w:val="0"/>
        <w:snapToGrid w:val="0"/>
        <w:spacing w:line="360" w:lineRule="auto"/>
        <w:rPr>
          <w:rFonts w:hint="eastAsia"/>
          <w:highlight w:val="none"/>
        </w:rPr>
      </w:pPr>
      <w:r>
        <w:rPr>
          <w:rFonts w:hint="eastAsia"/>
          <w:highlight w:val="none"/>
          <w:lang w:eastAsia="zh-CN"/>
        </w:rPr>
        <w:t>标段</w:t>
      </w:r>
      <w:r>
        <w:rPr>
          <w:rFonts w:hint="eastAsia"/>
          <w:highlight w:val="none"/>
        </w:rPr>
        <w:t>名称：</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96"/>
        <w:gridCol w:w="2990"/>
      </w:tblGrid>
      <w:tr w14:paraId="47920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296" w:type="dxa"/>
            <w:tcBorders>
              <w:top w:val="single" w:color="auto" w:sz="4" w:space="0"/>
              <w:left w:val="single" w:color="auto" w:sz="4" w:space="0"/>
              <w:bottom w:val="single" w:color="auto" w:sz="4" w:space="0"/>
              <w:right w:val="single" w:color="auto" w:sz="4" w:space="0"/>
            </w:tcBorders>
            <w:noWrap w:val="0"/>
            <w:vAlign w:val="center"/>
          </w:tcPr>
          <w:p w14:paraId="4FCF336F">
            <w:pPr>
              <w:adjustRightInd w:val="0"/>
              <w:snapToGrid w:val="0"/>
              <w:spacing w:line="360" w:lineRule="auto"/>
              <w:jc w:val="center"/>
              <w:rPr>
                <w:rFonts w:hint="eastAsia"/>
                <w:b/>
                <w:szCs w:val="21"/>
                <w:highlight w:val="none"/>
              </w:rPr>
            </w:pPr>
            <w:r>
              <w:rPr>
                <w:rFonts w:hint="eastAsia"/>
                <w:b/>
                <w:szCs w:val="21"/>
                <w:highlight w:val="none"/>
              </w:rPr>
              <w:t>支持的</w:t>
            </w:r>
            <w:r>
              <w:rPr>
                <w:rFonts w:hint="eastAsia"/>
                <w:b/>
                <w:szCs w:val="21"/>
                <w:highlight w:val="none"/>
                <w:lang w:val="en-US" w:eastAsia="zh-CN"/>
              </w:rPr>
              <w:t>合格中标候选人</w:t>
            </w:r>
            <w:r>
              <w:rPr>
                <w:rFonts w:hint="eastAsia"/>
                <w:b/>
                <w:szCs w:val="21"/>
                <w:highlight w:val="none"/>
              </w:rPr>
              <w:t>名称</w:t>
            </w:r>
          </w:p>
        </w:tc>
        <w:tc>
          <w:tcPr>
            <w:tcW w:w="2990" w:type="dxa"/>
            <w:tcBorders>
              <w:top w:val="single" w:color="auto" w:sz="4" w:space="0"/>
              <w:left w:val="nil"/>
              <w:bottom w:val="single" w:color="auto" w:sz="4" w:space="0"/>
              <w:right w:val="single" w:color="auto" w:sz="4" w:space="0"/>
            </w:tcBorders>
            <w:noWrap w:val="0"/>
            <w:vAlign w:val="center"/>
          </w:tcPr>
          <w:p w14:paraId="0DE36D9B">
            <w:pPr>
              <w:adjustRightInd w:val="0"/>
              <w:snapToGrid w:val="0"/>
              <w:spacing w:line="360" w:lineRule="auto"/>
              <w:jc w:val="center"/>
              <w:rPr>
                <w:rFonts w:hint="eastAsia"/>
                <w:b/>
                <w:szCs w:val="21"/>
                <w:highlight w:val="none"/>
              </w:rPr>
            </w:pPr>
            <w:r>
              <w:rPr>
                <w:rFonts w:hint="eastAsia"/>
                <w:b/>
                <w:szCs w:val="21"/>
                <w:highlight w:val="none"/>
              </w:rPr>
              <w:t>备注</w:t>
            </w:r>
          </w:p>
        </w:tc>
      </w:tr>
      <w:tr w14:paraId="7D4EE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296" w:type="dxa"/>
            <w:tcBorders>
              <w:top w:val="single" w:color="auto" w:sz="4" w:space="0"/>
              <w:left w:val="single" w:color="auto" w:sz="4" w:space="0"/>
              <w:bottom w:val="single" w:color="auto" w:sz="4" w:space="0"/>
              <w:right w:val="single" w:color="auto" w:sz="4" w:space="0"/>
            </w:tcBorders>
            <w:noWrap w:val="0"/>
            <w:vAlign w:val="center"/>
          </w:tcPr>
          <w:p w14:paraId="67022843">
            <w:pPr>
              <w:adjustRightInd w:val="0"/>
              <w:snapToGrid w:val="0"/>
              <w:spacing w:line="360" w:lineRule="auto"/>
              <w:jc w:val="center"/>
              <w:rPr>
                <w:rFonts w:hint="eastAsia"/>
                <w:szCs w:val="21"/>
                <w:highlight w:val="none"/>
              </w:rPr>
            </w:pPr>
          </w:p>
        </w:tc>
        <w:tc>
          <w:tcPr>
            <w:tcW w:w="2990" w:type="dxa"/>
            <w:tcBorders>
              <w:top w:val="single" w:color="auto" w:sz="4" w:space="0"/>
              <w:left w:val="nil"/>
              <w:bottom w:val="single" w:color="auto" w:sz="4" w:space="0"/>
              <w:right w:val="single" w:color="auto" w:sz="4" w:space="0"/>
            </w:tcBorders>
            <w:noWrap w:val="0"/>
            <w:vAlign w:val="center"/>
          </w:tcPr>
          <w:p w14:paraId="22186254">
            <w:pPr>
              <w:adjustRightInd w:val="0"/>
              <w:snapToGrid w:val="0"/>
              <w:spacing w:line="360" w:lineRule="auto"/>
              <w:jc w:val="center"/>
              <w:rPr>
                <w:rFonts w:hint="eastAsia"/>
                <w:szCs w:val="21"/>
                <w:highlight w:val="none"/>
              </w:rPr>
            </w:pPr>
          </w:p>
        </w:tc>
      </w:tr>
    </w:tbl>
    <w:p w14:paraId="7CF2C753">
      <w:pPr>
        <w:pStyle w:val="47"/>
        <w:rPr>
          <w:rFonts w:hint="eastAsia" w:ascii="宋体" w:hAnsi="宋体" w:eastAsia="宋体" w:cs="宋体"/>
          <w:kern w:val="0"/>
          <w:szCs w:val="21"/>
          <w:highlight w:val="none"/>
        </w:rPr>
      </w:pPr>
    </w:p>
    <w:p w14:paraId="1B92850A">
      <w:pPr>
        <w:adjustRightInd w:val="0"/>
        <w:snapToGrid w:val="0"/>
        <w:spacing w:line="360" w:lineRule="auto"/>
        <w:rPr>
          <w:rFonts w:hint="eastAsia"/>
          <w:szCs w:val="21"/>
          <w:highlight w:val="none"/>
        </w:rPr>
      </w:pPr>
      <w:r>
        <w:rPr>
          <w:rFonts w:hint="eastAsia"/>
          <w:szCs w:val="21"/>
          <w:highlight w:val="none"/>
        </w:rPr>
        <w:t>定标委员签名：                                            日期：</w:t>
      </w:r>
    </w:p>
    <w:p w14:paraId="5655A830">
      <w:pPr>
        <w:adjustRightInd w:val="0"/>
        <w:snapToGrid w:val="0"/>
        <w:spacing w:line="360" w:lineRule="auto"/>
        <w:rPr>
          <w:rFonts w:hint="eastAsia"/>
          <w:highlight w:val="none"/>
        </w:rPr>
      </w:pPr>
    </w:p>
    <w:p w14:paraId="05691ADE">
      <w:pPr>
        <w:adjustRightInd w:val="0"/>
        <w:snapToGrid w:val="0"/>
        <w:spacing w:line="360" w:lineRule="auto"/>
        <w:rPr>
          <w:rFonts w:hint="eastAsia"/>
          <w:b/>
          <w:highlight w:val="none"/>
        </w:rPr>
      </w:pPr>
      <w:r>
        <w:rPr>
          <w:rFonts w:hint="eastAsia"/>
          <w:b/>
          <w:highlight w:val="none"/>
        </w:rPr>
        <w:t>注：由定标委员会成员进行投票，每轮各定标委员会成员只能支持一家</w:t>
      </w:r>
      <w:r>
        <w:rPr>
          <w:rFonts w:hint="eastAsia"/>
          <w:b/>
          <w:szCs w:val="21"/>
          <w:highlight w:val="none"/>
          <w:lang w:val="en-US" w:eastAsia="zh-CN"/>
        </w:rPr>
        <w:t>合格中标候选人</w:t>
      </w:r>
      <w:r>
        <w:rPr>
          <w:rFonts w:hint="eastAsia"/>
          <w:b/>
          <w:highlight w:val="none"/>
        </w:rPr>
        <w:t>。</w:t>
      </w:r>
    </w:p>
    <w:p w14:paraId="26F106B7">
      <w:pPr>
        <w:adjustRightInd w:val="0"/>
        <w:snapToGrid w:val="0"/>
        <w:spacing w:line="360" w:lineRule="auto"/>
        <w:rPr>
          <w:rFonts w:hint="eastAsia"/>
          <w:highlight w:val="none"/>
        </w:rPr>
      </w:pPr>
    </w:p>
    <w:p w14:paraId="1F77E4A0">
      <w:pPr>
        <w:pStyle w:val="47"/>
        <w:rPr>
          <w:rFonts w:hint="eastAsia" w:ascii="宋体" w:hAnsi="宋体" w:eastAsia="宋体" w:cs="宋体"/>
          <w:highlight w:val="none"/>
        </w:rPr>
      </w:pPr>
      <w:r>
        <w:rPr>
          <w:rFonts w:hint="eastAsia" w:ascii="宋体" w:hAnsi="宋体" w:eastAsia="宋体" w:cs="宋体"/>
          <w:highlight w:val="none"/>
        </w:rPr>
        <w:br w:type="page"/>
      </w:r>
    </w:p>
    <w:p w14:paraId="2B38DB69">
      <w:pPr>
        <w:jc w:val="center"/>
        <w:rPr>
          <w:rFonts w:hint="eastAsia"/>
          <w:b/>
          <w:sz w:val="28"/>
          <w:szCs w:val="28"/>
          <w:highlight w:val="none"/>
        </w:rPr>
      </w:pPr>
      <w:r>
        <w:rPr>
          <w:rFonts w:hint="eastAsia"/>
          <w:b/>
          <w:bCs/>
          <w:sz w:val="28"/>
          <w:szCs w:val="28"/>
          <w:highlight w:val="none"/>
        </w:rPr>
        <w:t>票决定标选票汇总表</w:t>
      </w:r>
      <w:r>
        <w:rPr>
          <w:rFonts w:hint="eastAsia"/>
          <w:b/>
          <w:sz w:val="28"/>
          <w:szCs w:val="28"/>
          <w:highlight w:val="none"/>
        </w:rPr>
        <w:t>（定标阶段）</w:t>
      </w:r>
    </w:p>
    <w:p w14:paraId="6BF2651E">
      <w:pPr>
        <w:pStyle w:val="47"/>
        <w:rPr>
          <w:rFonts w:hint="eastAsia" w:ascii="宋体" w:hAnsi="宋体" w:eastAsia="宋体" w:cs="宋体"/>
          <w:highlight w:val="none"/>
        </w:rPr>
      </w:pPr>
    </w:p>
    <w:p w14:paraId="3986238B">
      <w:pPr>
        <w:adjustRightInd w:val="0"/>
        <w:snapToGrid w:val="0"/>
        <w:spacing w:line="360" w:lineRule="auto"/>
        <w:rPr>
          <w:rFonts w:hint="eastAsia"/>
          <w:szCs w:val="21"/>
          <w:highlight w:val="none"/>
        </w:rPr>
      </w:pPr>
      <w:r>
        <w:rPr>
          <w:rFonts w:hint="eastAsia"/>
          <w:highlight w:val="none"/>
          <w:lang w:eastAsia="zh-CN"/>
        </w:rPr>
        <w:t>标段</w:t>
      </w:r>
      <w:r>
        <w:rPr>
          <w:rFonts w:hint="eastAsia"/>
          <w:szCs w:val="21"/>
          <w:highlight w:val="none"/>
        </w:rPr>
        <w:t>名称：</w:t>
      </w:r>
    </w:p>
    <w:tbl>
      <w:tblPr>
        <w:tblStyle w:val="27"/>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6"/>
        <w:gridCol w:w="4131"/>
        <w:gridCol w:w="3884"/>
      </w:tblGrid>
      <w:tr w14:paraId="5A83D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82" w:type="pct"/>
            <w:tcBorders>
              <w:top w:val="single" w:color="auto" w:sz="4" w:space="0"/>
              <w:left w:val="single" w:color="auto" w:sz="4" w:space="0"/>
              <w:bottom w:val="single" w:color="auto" w:sz="4" w:space="0"/>
              <w:right w:val="single" w:color="auto" w:sz="4" w:space="0"/>
            </w:tcBorders>
            <w:noWrap w:val="0"/>
            <w:vAlign w:val="center"/>
          </w:tcPr>
          <w:p w14:paraId="20480231">
            <w:pPr>
              <w:adjustRightInd w:val="0"/>
              <w:snapToGrid w:val="0"/>
              <w:spacing w:line="360" w:lineRule="auto"/>
              <w:jc w:val="center"/>
              <w:rPr>
                <w:rFonts w:hint="eastAsia"/>
                <w:b/>
                <w:szCs w:val="21"/>
                <w:highlight w:val="none"/>
              </w:rPr>
            </w:pPr>
            <w:r>
              <w:rPr>
                <w:rFonts w:hint="eastAsia"/>
                <w:b/>
                <w:szCs w:val="21"/>
                <w:highlight w:val="none"/>
              </w:rPr>
              <w:t>序号</w:t>
            </w:r>
          </w:p>
        </w:tc>
        <w:tc>
          <w:tcPr>
            <w:tcW w:w="2225" w:type="pct"/>
            <w:tcBorders>
              <w:top w:val="single" w:color="auto" w:sz="4" w:space="0"/>
              <w:left w:val="single" w:color="auto" w:sz="4" w:space="0"/>
              <w:bottom w:val="single" w:color="auto" w:sz="6" w:space="0"/>
              <w:right w:val="single" w:color="auto" w:sz="6" w:space="0"/>
            </w:tcBorders>
            <w:noWrap w:val="0"/>
            <w:vAlign w:val="center"/>
          </w:tcPr>
          <w:p w14:paraId="2D26FDC5">
            <w:pPr>
              <w:adjustRightInd w:val="0"/>
              <w:snapToGrid w:val="0"/>
              <w:spacing w:line="360" w:lineRule="auto"/>
              <w:jc w:val="center"/>
              <w:rPr>
                <w:rFonts w:hint="eastAsia"/>
                <w:b/>
                <w:szCs w:val="21"/>
                <w:highlight w:val="none"/>
              </w:rPr>
            </w:pPr>
            <w:r>
              <w:rPr>
                <w:rFonts w:hint="eastAsia"/>
                <w:b/>
                <w:szCs w:val="21"/>
                <w:highlight w:val="none"/>
                <w:lang w:val="en-US" w:eastAsia="zh-CN"/>
              </w:rPr>
              <w:t>合格中标候选人</w:t>
            </w:r>
            <w:r>
              <w:rPr>
                <w:rFonts w:hint="eastAsia"/>
                <w:b/>
                <w:szCs w:val="21"/>
                <w:highlight w:val="none"/>
              </w:rPr>
              <w:t>名称</w:t>
            </w:r>
          </w:p>
        </w:tc>
        <w:tc>
          <w:tcPr>
            <w:tcW w:w="2092" w:type="pct"/>
            <w:tcBorders>
              <w:top w:val="single" w:color="auto" w:sz="4" w:space="0"/>
              <w:left w:val="single" w:color="auto" w:sz="6" w:space="0"/>
              <w:bottom w:val="single" w:color="auto" w:sz="6" w:space="0"/>
              <w:right w:val="single" w:color="auto" w:sz="6" w:space="0"/>
            </w:tcBorders>
            <w:noWrap w:val="0"/>
            <w:vAlign w:val="center"/>
          </w:tcPr>
          <w:p w14:paraId="794AC329">
            <w:pPr>
              <w:adjustRightInd w:val="0"/>
              <w:snapToGrid w:val="0"/>
              <w:spacing w:line="360" w:lineRule="auto"/>
              <w:jc w:val="center"/>
              <w:rPr>
                <w:rFonts w:hint="eastAsia"/>
                <w:b/>
                <w:szCs w:val="21"/>
                <w:highlight w:val="none"/>
              </w:rPr>
            </w:pPr>
            <w:r>
              <w:rPr>
                <w:rFonts w:hint="eastAsia"/>
                <w:b/>
                <w:szCs w:val="21"/>
                <w:highlight w:val="none"/>
              </w:rPr>
              <w:t>得票数</w:t>
            </w:r>
          </w:p>
        </w:tc>
      </w:tr>
      <w:tr w14:paraId="15428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82" w:type="pct"/>
            <w:tcBorders>
              <w:top w:val="single" w:color="auto" w:sz="4" w:space="0"/>
              <w:left w:val="single" w:color="auto" w:sz="4" w:space="0"/>
              <w:bottom w:val="single" w:color="auto" w:sz="4" w:space="0"/>
              <w:right w:val="single" w:color="auto" w:sz="4" w:space="0"/>
            </w:tcBorders>
            <w:noWrap w:val="0"/>
            <w:vAlign w:val="center"/>
          </w:tcPr>
          <w:p w14:paraId="437D16B1">
            <w:pPr>
              <w:adjustRightInd w:val="0"/>
              <w:snapToGrid w:val="0"/>
              <w:spacing w:line="360" w:lineRule="auto"/>
              <w:jc w:val="center"/>
              <w:rPr>
                <w:rFonts w:hint="eastAsia"/>
                <w:szCs w:val="21"/>
                <w:highlight w:val="none"/>
              </w:rPr>
            </w:pPr>
            <w:r>
              <w:rPr>
                <w:rFonts w:hint="eastAsia"/>
                <w:szCs w:val="21"/>
                <w:highlight w:val="none"/>
              </w:rPr>
              <w:t>1</w:t>
            </w:r>
          </w:p>
        </w:tc>
        <w:tc>
          <w:tcPr>
            <w:tcW w:w="2225" w:type="pct"/>
            <w:tcBorders>
              <w:top w:val="single" w:color="auto" w:sz="6" w:space="0"/>
              <w:left w:val="single" w:color="auto" w:sz="4" w:space="0"/>
              <w:bottom w:val="single" w:color="auto" w:sz="6" w:space="0"/>
              <w:right w:val="single" w:color="auto" w:sz="6" w:space="0"/>
            </w:tcBorders>
            <w:noWrap w:val="0"/>
            <w:vAlign w:val="center"/>
          </w:tcPr>
          <w:p w14:paraId="689B2713">
            <w:pPr>
              <w:adjustRightInd w:val="0"/>
              <w:snapToGrid w:val="0"/>
              <w:spacing w:line="360" w:lineRule="auto"/>
              <w:jc w:val="center"/>
              <w:rPr>
                <w:rFonts w:hint="eastAsia"/>
                <w:szCs w:val="21"/>
                <w:highlight w:val="none"/>
              </w:rPr>
            </w:pPr>
          </w:p>
        </w:tc>
        <w:tc>
          <w:tcPr>
            <w:tcW w:w="2092" w:type="pct"/>
            <w:tcBorders>
              <w:top w:val="single" w:color="auto" w:sz="6" w:space="0"/>
              <w:left w:val="single" w:color="auto" w:sz="6" w:space="0"/>
              <w:bottom w:val="single" w:color="auto" w:sz="6" w:space="0"/>
              <w:right w:val="single" w:color="auto" w:sz="6" w:space="0"/>
            </w:tcBorders>
            <w:noWrap w:val="0"/>
            <w:vAlign w:val="center"/>
          </w:tcPr>
          <w:p w14:paraId="32C26B99">
            <w:pPr>
              <w:adjustRightInd w:val="0"/>
              <w:snapToGrid w:val="0"/>
              <w:spacing w:line="360" w:lineRule="auto"/>
              <w:jc w:val="center"/>
              <w:rPr>
                <w:rFonts w:hint="eastAsia"/>
                <w:szCs w:val="21"/>
                <w:highlight w:val="none"/>
              </w:rPr>
            </w:pPr>
          </w:p>
        </w:tc>
      </w:tr>
      <w:tr w14:paraId="60888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82" w:type="pct"/>
            <w:tcBorders>
              <w:top w:val="single" w:color="auto" w:sz="4" w:space="0"/>
              <w:left w:val="single" w:color="auto" w:sz="4" w:space="0"/>
              <w:bottom w:val="single" w:color="auto" w:sz="4" w:space="0"/>
              <w:right w:val="single" w:color="auto" w:sz="4" w:space="0"/>
            </w:tcBorders>
            <w:noWrap w:val="0"/>
            <w:vAlign w:val="center"/>
          </w:tcPr>
          <w:p w14:paraId="2E713E4F">
            <w:pPr>
              <w:adjustRightInd w:val="0"/>
              <w:snapToGrid w:val="0"/>
              <w:spacing w:line="360" w:lineRule="auto"/>
              <w:jc w:val="center"/>
              <w:rPr>
                <w:rFonts w:hint="eastAsia"/>
                <w:szCs w:val="21"/>
                <w:highlight w:val="none"/>
              </w:rPr>
            </w:pPr>
            <w:r>
              <w:rPr>
                <w:rFonts w:hint="eastAsia"/>
                <w:szCs w:val="21"/>
                <w:highlight w:val="none"/>
              </w:rPr>
              <w:t>2</w:t>
            </w:r>
          </w:p>
        </w:tc>
        <w:tc>
          <w:tcPr>
            <w:tcW w:w="2225" w:type="pct"/>
            <w:tcBorders>
              <w:top w:val="single" w:color="auto" w:sz="6" w:space="0"/>
              <w:left w:val="single" w:color="auto" w:sz="4" w:space="0"/>
              <w:bottom w:val="single" w:color="auto" w:sz="6" w:space="0"/>
              <w:right w:val="single" w:color="auto" w:sz="6" w:space="0"/>
            </w:tcBorders>
            <w:noWrap w:val="0"/>
            <w:vAlign w:val="center"/>
          </w:tcPr>
          <w:p w14:paraId="4182E6CC">
            <w:pPr>
              <w:adjustRightInd w:val="0"/>
              <w:snapToGrid w:val="0"/>
              <w:spacing w:line="360" w:lineRule="auto"/>
              <w:jc w:val="center"/>
              <w:rPr>
                <w:rFonts w:hint="eastAsia"/>
                <w:szCs w:val="21"/>
                <w:highlight w:val="none"/>
              </w:rPr>
            </w:pPr>
          </w:p>
        </w:tc>
        <w:tc>
          <w:tcPr>
            <w:tcW w:w="2092" w:type="pct"/>
            <w:tcBorders>
              <w:top w:val="single" w:color="auto" w:sz="6" w:space="0"/>
              <w:left w:val="single" w:color="auto" w:sz="6" w:space="0"/>
              <w:bottom w:val="single" w:color="auto" w:sz="6" w:space="0"/>
              <w:right w:val="single" w:color="auto" w:sz="6" w:space="0"/>
            </w:tcBorders>
            <w:noWrap w:val="0"/>
            <w:vAlign w:val="center"/>
          </w:tcPr>
          <w:p w14:paraId="2A958A08">
            <w:pPr>
              <w:adjustRightInd w:val="0"/>
              <w:snapToGrid w:val="0"/>
              <w:spacing w:line="360" w:lineRule="auto"/>
              <w:jc w:val="center"/>
              <w:rPr>
                <w:rFonts w:hint="eastAsia"/>
                <w:szCs w:val="21"/>
                <w:highlight w:val="none"/>
              </w:rPr>
            </w:pPr>
          </w:p>
        </w:tc>
      </w:tr>
      <w:tr w14:paraId="2C815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82" w:type="pct"/>
            <w:tcBorders>
              <w:top w:val="single" w:color="auto" w:sz="4" w:space="0"/>
              <w:left w:val="single" w:color="auto" w:sz="4" w:space="0"/>
              <w:bottom w:val="single" w:color="auto" w:sz="4" w:space="0"/>
              <w:right w:val="single" w:color="auto" w:sz="4" w:space="0"/>
            </w:tcBorders>
            <w:noWrap w:val="0"/>
            <w:vAlign w:val="center"/>
          </w:tcPr>
          <w:p w14:paraId="75DDF2E6">
            <w:pPr>
              <w:adjustRightInd w:val="0"/>
              <w:snapToGrid w:val="0"/>
              <w:spacing w:line="360" w:lineRule="auto"/>
              <w:jc w:val="center"/>
              <w:rPr>
                <w:rFonts w:hint="eastAsia"/>
                <w:szCs w:val="21"/>
                <w:highlight w:val="none"/>
              </w:rPr>
            </w:pPr>
            <w:r>
              <w:rPr>
                <w:rFonts w:hint="eastAsia"/>
                <w:szCs w:val="21"/>
                <w:highlight w:val="none"/>
              </w:rPr>
              <w:t>3</w:t>
            </w:r>
          </w:p>
        </w:tc>
        <w:tc>
          <w:tcPr>
            <w:tcW w:w="2225" w:type="pct"/>
            <w:tcBorders>
              <w:top w:val="single" w:color="auto" w:sz="6" w:space="0"/>
              <w:left w:val="single" w:color="auto" w:sz="4" w:space="0"/>
              <w:bottom w:val="single" w:color="auto" w:sz="6" w:space="0"/>
              <w:right w:val="single" w:color="auto" w:sz="6" w:space="0"/>
            </w:tcBorders>
            <w:noWrap w:val="0"/>
            <w:vAlign w:val="center"/>
          </w:tcPr>
          <w:p w14:paraId="29796B62">
            <w:pPr>
              <w:adjustRightInd w:val="0"/>
              <w:snapToGrid w:val="0"/>
              <w:spacing w:line="360" w:lineRule="auto"/>
              <w:jc w:val="center"/>
              <w:rPr>
                <w:rFonts w:hint="eastAsia"/>
                <w:szCs w:val="21"/>
                <w:highlight w:val="none"/>
              </w:rPr>
            </w:pPr>
          </w:p>
        </w:tc>
        <w:tc>
          <w:tcPr>
            <w:tcW w:w="2092" w:type="pct"/>
            <w:tcBorders>
              <w:top w:val="single" w:color="auto" w:sz="6" w:space="0"/>
              <w:left w:val="single" w:color="auto" w:sz="6" w:space="0"/>
              <w:bottom w:val="single" w:color="auto" w:sz="6" w:space="0"/>
              <w:right w:val="single" w:color="auto" w:sz="6" w:space="0"/>
            </w:tcBorders>
            <w:noWrap w:val="0"/>
            <w:vAlign w:val="center"/>
          </w:tcPr>
          <w:p w14:paraId="0AB80F69">
            <w:pPr>
              <w:adjustRightInd w:val="0"/>
              <w:snapToGrid w:val="0"/>
              <w:spacing w:line="360" w:lineRule="auto"/>
              <w:jc w:val="center"/>
              <w:rPr>
                <w:rFonts w:hint="eastAsia"/>
                <w:szCs w:val="21"/>
                <w:highlight w:val="none"/>
              </w:rPr>
            </w:pPr>
          </w:p>
        </w:tc>
      </w:tr>
      <w:tr w14:paraId="77BEF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82" w:type="pct"/>
            <w:tcBorders>
              <w:top w:val="single" w:color="auto" w:sz="4" w:space="0"/>
              <w:left w:val="single" w:color="auto" w:sz="4" w:space="0"/>
              <w:bottom w:val="single" w:color="auto" w:sz="4" w:space="0"/>
              <w:right w:val="single" w:color="auto" w:sz="4" w:space="0"/>
            </w:tcBorders>
            <w:noWrap w:val="0"/>
            <w:vAlign w:val="center"/>
          </w:tcPr>
          <w:p w14:paraId="791F9D13">
            <w:pPr>
              <w:adjustRightInd w:val="0"/>
              <w:snapToGrid w:val="0"/>
              <w:spacing w:line="360" w:lineRule="auto"/>
              <w:jc w:val="center"/>
              <w:rPr>
                <w:rFonts w:hint="eastAsia"/>
                <w:szCs w:val="21"/>
                <w:highlight w:val="none"/>
              </w:rPr>
            </w:pPr>
            <w:r>
              <w:rPr>
                <w:rFonts w:hint="eastAsia"/>
                <w:szCs w:val="21"/>
                <w:highlight w:val="none"/>
              </w:rPr>
              <w:t>4</w:t>
            </w:r>
          </w:p>
        </w:tc>
        <w:tc>
          <w:tcPr>
            <w:tcW w:w="2225" w:type="pct"/>
            <w:tcBorders>
              <w:top w:val="single" w:color="auto" w:sz="6" w:space="0"/>
              <w:left w:val="single" w:color="auto" w:sz="4" w:space="0"/>
              <w:bottom w:val="single" w:color="auto" w:sz="6" w:space="0"/>
              <w:right w:val="single" w:color="auto" w:sz="6" w:space="0"/>
            </w:tcBorders>
            <w:noWrap w:val="0"/>
            <w:vAlign w:val="center"/>
          </w:tcPr>
          <w:p w14:paraId="70714971">
            <w:pPr>
              <w:adjustRightInd w:val="0"/>
              <w:snapToGrid w:val="0"/>
              <w:spacing w:line="360" w:lineRule="auto"/>
              <w:jc w:val="center"/>
              <w:rPr>
                <w:rFonts w:hint="eastAsia"/>
                <w:szCs w:val="21"/>
                <w:highlight w:val="none"/>
              </w:rPr>
            </w:pPr>
          </w:p>
        </w:tc>
        <w:tc>
          <w:tcPr>
            <w:tcW w:w="2092" w:type="pct"/>
            <w:tcBorders>
              <w:top w:val="single" w:color="auto" w:sz="6" w:space="0"/>
              <w:left w:val="single" w:color="auto" w:sz="6" w:space="0"/>
              <w:bottom w:val="single" w:color="auto" w:sz="6" w:space="0"/>
              <w:right w:val="single" w:color="auto" w:sz="6" w:space="0"/>
            </w:tcBorders>
            <w:noWrap w:val="0"/>
            <w:vAlign w:val="center"/>
          </w:tcPr>
          <w:p w14:paraId="05C480D9">
            <w:pPr>
              <w:adjustRightInd w:val="0"/>
              <w:snapToGrid w:val="0"/>
              <w:spacing w:line="360" w:lineRule="auto"/>
              <w:jc w:val="center"/>
              <w:rPr>
                <w:rFonts w:hint="eastAsia"/>
                <w:szCs w:val="21"/>
                <w:highlight w:val="none"/>
              </w:rPr>
            </w:pPr>
          </w:p>
        </w:tc>
      </w:tr>
      <w:tr w14:paraId="5C8C1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82" w:type="pct"/>
            <w:tcBorders>
              <w:top w:val="single" w:color="auto" w:sz="4" w:space="0"/>
              <w:left w:val="single" w:color="auto" w:sz="4" w:space="0"/>
              <w:bottom w:val="single" w:color="auto" w:sz="4" w:space="0"/>
              <w:right w:val="single" w:color="auto" w:sz="4" w:space="0"/>
            </w:tcBorders>
            <w:noWrap w:val="0"/>
            <w:vAlign w:val="center"/>
          </w:tcPr>
          <w:p w14:paraId="768156EC">
            <w:pPr>
              <w:adjustRightInd w:val="0"/>
              <w:snapToGrid w:val="0"/>
              <w:spacing w:line="360" w:lineRule="auto"/>
              <w:jc w:val="center"/>
              <w:rPr>
                <w:rFonts w:hint="eastAsia"/>
                <w:szCs w:val="21"/>
                <w:highlight w:val="none"/>
              </w:rPr>
            </w:pPr>
            <w:r>
              <w:rPr>
                <w:rFonts w:hint="eastAsia"/>
                <w:szCs w:val="21"/>
                <w:highlight w:val="none"/>
              </w:rPr>
              <w:t>……</w:t>
            </w:r>
          </w:p>
        </w:tc>
        <w:tc>
          <w:tcPr>
            <w:tcW w:w="2225" w:type="pct"/>
            <w:tcBorders>
              <w:top w:val="single" w:color="auto" w:sz="6" w:space="0"/>
              <w:left w:val="single" w:color="auto" w:sz="4" w:space="0"/>
              <w:bottom w:val="single" w:color="auto" w:sz="4" w:space="0"/>
              <w:right w:val="single" w:color="auto" w:sz="6" w:space="0"/>
            </w:tcBorders>
            <w:noWrap w:val="0"/>
            <w:vAlign w:val="center"/>
          </w:tcPr>
          <w:p w14:paraId="73DD9A9A">
            <w:pPr>
              <w:adjustRightInd w:val="0"/>
              <w:snapToGrid w:val="0"/>
              <w:spacing w:line="360" w:lineRule="auto"/>
              <w:jc w:val="center"/>
              <w:rPr>
                <w:rFonts w:hint="eastAsia"/>
                <w:szCs w:val="21"/>
                <w:highlight w:val="none"/>
              </w:rPr>
            </w:pPr>
          </w:p>
        </w:tc>
        <w:tc>
          <w:tcPr>
            <w:tcW w:w="2092" w:type="pct"/>
            <w:tcBorders>
              <w:top w:val="single" w:color="auto" w:sz="6" w:space="0"/>
              <w:left w:val="single" w:color="auto" w:sz="6" w:space="0"/>
              <w:bottom w:val="single" w:color="auto" w:sz="4" w:space="0"/>
              <w:right w:val="single" w:color="auto" w:sz="6" w:space="0"/>
            </w:tcBorders>
            <w:noWrap w:val="0"/>
            <w:vAlign w:val="center"/>
          </w:tcPr>
          <w:p w14:paraId="0173E3EE">
            <w:pPr>
              <w:adjustRightInd w:val="0"/>
              <w:snapToGrid w:val="0"/>
              <w:spacing w:line="360" w:lineRule="auto"/>
              <w:jc w:val="center"/>
              <w:rPr>
                <w:rFonts w:hint="eastAsia"/>
                <w:szCs w:val="21"/>
                <w:highlight w:val="none"/>
              </w:rPr>
            </w:pPr>
          </w:p>
        </w:tc>
      </w:tr>
    </w:tbl>
    <w:p w14:paraId="615640A6">
      <w:pPr>
        <w:rPr>
          <w:rFonts w:hint="eastAsia"/>
          <w:szCs w:val="21"/>
          <w:highlight w:val="none"/>
        </w:rPr>
      </w:pPr>
    </w:p>
    <w:p w14:paraId="1630DD9D">
      <w:pPr>
        <w:adjustRightInd w:val="0"/>
        <w:snapToGrid w:val="0"/>
        <w:spacing w:line="360" w:lineRule="auto"/>
        <w:rPr>
          <w:rFonts w:hint="eastAsia"/>
          <w:szCs w:val="21"/>
          <w:highlight w:val="none"/>
        </w:rPr>
      </w:pPr>
      <w:r>
        <w:rPr>
          <w:rFonts w:hint="eastAsia"/>
          <w:szCs w:val="21"/>
          <w:highlight w:val="none"/>
        </w:rPr>
        <w:t>定标委员签名：                                         日期：</w:t>
      </w:r>
    </w:p>
    <w:p w14:paraId="2770537A">
      <w:pPr>
        <w:pStyle w:val="47"/>
        <w:rPr>
          <w:rFonts w:hint="eastAsia" w:ascii="宋体" w:hAnsi="宋体" w:eastAsia="宋体" w:cs="宋体"/>
          <w:highlight w:val="none"/>
        </w:rPr>
      </w:pPr>
    </w:p>
    <w:p w14:paraId="7119B06D">
      <w:pPr>
        <w:pStyle w:val="47"/>
        <w:rPr>
          <w:rFonts w:hint="eastAsia" w:ascii="宋体" w:hAnsi="宋体" w:eastAsia="宋体" w:cs="宋体"/>
          <w:highlight w:val="none"/>
        </w:rPr>
      </w:pPr>
      <w:r>
        <w:rPr>
          <w:rFonts w:hint="eastAsia" w:ascii="宋体" w:hAnsi="宋体" w:eastAsia="宋体" w:cs="宋体"/>
          <w:highlight w:val="none"/>
        </w:rPr>
        <w:br w:type="page"/>
      </w:r>
    </w:p>
    <w:p w14:paraId="1B7C5D61">
      <w:pPr>
        <w:pStyle w:val="47"/>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附加</w:t>
      </w:r>
      <w:r>
        <w:rPr>
          <w:rFonts w:hint="eastAsia" w:ascii="宋体" w:hAnsi="宋体" w:eastAsia="宋体" w:cs="宋体"/>
          <w:b/>
          <w:bCs/>
          <w:kern w:val="0"/>
          <w:sz w:val="28"/>
          <w:szCs w:val="28"/>
          <w:highlight w:val="none"/>
        </w:rPr>
        <w:t>票决定标选票</w:t>
      </w:r>
      <w:r>
        <w:rPr>
          <w:rFonts w:hint="eastAsia" w:ascii="宋体" w:hAnsi="宋体" w:eastAsia="宋体" w:cs="宋体"/>
          <w:b/>
          <w:sz w:val="28"/>
          <w:szCs w:val="28"/>
          <w:highlight w:val="none"/>
        </w:rPr>
        <w:t>表</w:t>
      </w:r>
    </w:p>
    <w:p w14:paraId="57D40777">
      <w:pPr>
        <w:pStyle w:val="47"/>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（定标阶段-票数相同时定标委员会个人用表）</w:t>
      </w:r>
    </w:p>
    <w:p w14:paraId="41B343E0">
      <w:pPr>
        <w:pStyle w:val="47"/>
        <w:jc w:val="center"/>
        <w:rPr>
          <w:rFonts w:hint="eastAsia" w:ascii="宋体" w:hAnsi="宋体" w:eastAsia="宋体" w:cs="宋体"/>
          <w:b/>
          <w:sz w:val="28"/>
          <w:szCs w:val="28"/>
          <w:highlight w:val="none"/>
        </w:rPr>
      </w:pPr>
    </w:p>
    <w:p w14:paraId="1C89371F">
      <w:pPr>
        <w:adjustRightInd w:val="0"/>
        <w:snapToGrid w:val="0"/>
        <w:spacing w:line="360" w:lineRule="auto"/>
        <w:rPr>
          <w:rFonts w:hint="eastAsia"/>
          <w:highlight w:val="none"/>
        </w:rPr>
      </w:pPr>
      <w:r>
        <w:rPr>
          <w:rFonts w:hint="eastAsia"/>
          <w:highlight w:val="none"/>
          <w:lang w:eastAsia="zh-CN"/>
        </w:rPr>
        <w:t>标段</w:t>
      </w:r>
      <w:r>
        <w:rPr>
          <w:rFonts w:hint="eastAsia"/>
          <w:highlight w:val="none"/>
        </w:rPr>
        <w:t>名称：</w:t>
      </w:r>
    </w:p>
    <w:tbl>
      <w:tblPr>
        <w:tblStyle w:val="2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0"/>
        <w:gridCol w:w="1930"/>
        <w:gridCol w:w="2206"/>
        <w:gridCol w:w="2206"/>
      </w:tblGrid>
      <w:tr w14:paraId="5FED9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2610" w:type="dxa"/>
            <w:tcBorders>
              <w:top w:val="single" w:color="auto" w:sz="4" w:space="0"/>
              <w:left w:val="single" w:color="auto" w:sz="4" w:space="0"/>
              <w:bottom w:val="single" w:color="auto" w:sz="4" w:space="0"/>
              <w:right w:val="single" w:color="auto" w:sz="4" w:space="0"/>
            </w:tcBorders>
            <w:noWrap w:val="0"/>
            <w:vAlign w:val="center"/>
          </w:tcPr>
          <w:p w14:paraId="19ED0C24">
            <w:pPr>
              <w:spacing w:line="600" w:lineRule="exact"/>
              <w:jc w:val="center"/>
              <w:rPr>
                <w:rFonts w:hint="eastAsia"/>
                <w:highlight w:val="none"/>
              </w:rPr>
            </w:pPr>
            <w:r>
              <w:rPr>
                <w:rFonts w:hint="eastAsia"/>
                <w:highlight w:val="none"/>
              </w:rPr>
              <w:t>合格中标候选人名称</w:t>
            </w:r>
          </w:p>
        </w:tc>
        <w:tc>
          <w:tcPr>
            <w:tcW w:w="1930" w:type="dxa"/>
            <w:tcBorders>
              <w:top w:val="single" w:color="auto" w:sz="4" w:space="0"/>
              <w:left w:val="single" w:color="auto" w:sz="4" w:space="0"/>
              <w:bottom w:val="single" w:color="auto" w:sz="4" w:space="0"/>
              <w:right w:val="single" w:color="auto" w:sz="4" w:space="0"/>
            </w:tcBorders>
            <w:noWrap w:val="0"/>
            <w:vAlign w:val="center"/>
          </w:tcPr>
          <w:p w14:paraId="4C0EA1E8">
            <w:pPr>
              <w:spacing w:line="600" w:lineRule="exact"/>
              <w:jc w:val="center"/>
              <w:rPr>
                <w:rFonts w:hint="eastAsia"/>
                <w:highlight w:val="none"/>
              </w:rPr>
            </w:pPr>
          </w:p>
        </w:tc>
        <w:tc>
          <w:tcPr>
            <w:tcW w:w="2206" w:type="dxa"/>
            <w:tcBorders>
              <w:top w:val="single" w:color="auto" w:sz="4" w:space="0"/>
              <w:left w:val="single" w:color="auto" w:sz="4" w:space="0"/>
              <w:bottom w:val="single" w:color="auto" w:sz="4" w:space="0"/>
              <w:right w:val="single" w:color="auto" w:sz="4" w:space="0"/>
            </w:tcBorders>
            <w:noWrap w:val="0"/>
            <w:vAlign w:val="center"/>
          </w:tcPr>
          <w:p w14:paraId="26B75164">
            <w:pPr>
              <w:spacing w:line="600" w:lineRule="exact"/>
              <w:jc w:val="center"/>
              <w:rPr>
                <w:rFonts w:hint="eastAsia"/>
                <w:highlight w:val="none"/>
              </w:rPr>
            </w:pPr>
          </w:p>
        </w:tc>
        <w:tc>
          <w:tcPr>
            <w:tcW w:w="2206" w:type="dxa"/>
            <w:tcBorders>
              <w:top w:val="single" w:color="auto" w:sz="4" w:space="0"/>
              <w:left w:val="single" w:color="auto" w:sz="4" w:space="0"/>
              <w:bottom w:val="single" w:color="auto" w:sz="4" w:space="0"/>
              <w:right w:val="single" w:color="auto" w:sz="4" w:space="0"/>
            </w:tcBorders>
            <w:noWrap w:val="0"/>
            <w:vAlign w:val="center"/>
          </w:tcPr>
          <w:p w14:paraId="32C4758A">
            <w:pPr>
              <w:spacing w:line="600" w:lineRule="exact"/>
              <w:jc w:val="center"/>
              <w:rPr>
                <w:rFonts w:hint="eastAsia"/>
                <w:highlight w:val="none"/>
              </w:rPr>
            </w:pPr>
          </w:p>
        </w:tc>
      </w:tr>
      <w:tr w14:paraId="60AF9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2610" w:type="dxa"/>
            <w:tcBorders>
              <w:top w:val="single" w:color="auto" w:sz="4" w:space="0"/>
              <w:left w:val="single" w:color="auto" w:sz="4" w:space="0"/>
              <w:bottom w:val="single" w:color="auto" w:sz="4" w:space="0"/>
              <w:right w:val="single" w:color="auto" w:sz="4" w:space="0"/>
            </w:tcBorders>
            <w:noWrap w:val="0"/>
            <w:vAlign w:val="center"/>
          </w:tcPr>
          <w:p w14:paraId="78954330">
            <w:pPr>
              <w:spacing w:line="600" w:lineRule="exact"/>
              <w:jc w:val="center"/>
              <w:rPr>
                <w:rFonts w:hint="eastAsia"/>
                <w:szCs w:val="21"/>
                <w:highlight w:val="none"/>
              </w:rPr>
            </w:pPr>
            <w:r>
              <w:rPr>
                <w:rFonts w:hint="eastAsia"/>
                <w:highlight w:val="none"/>
              </w:rPr>
              <w:t>票决意见</w:t>
            </w:r>
          </w:p>
        </w:tc>
        <w:tc>
          <w:tcPr>
            <w:tcW w:w="1930" w:type="dxa"/>
            <w:tcBorders>
              <w:top w:val="single" w:color="auto" w:sz="4" w:space="0"/>
              <w:left w:val="single" w:color="auto" w:sz="4" w:space="0"/>
              <w:bottom w:val="single" w:color="auto" w:sz="4" w:space="0"/>
              <w:right w:val="single" w:color="auto" w:sz="4" w:space="0"/>
            </w:tcBorders>
            <w:noWrap w:val="0"/>
            <w:vAlign w:val="center"/>
          </w:tcPr>
          <w:p w14:paraId="235871E7">
            <w:pPr>
              <w:spacing w:line="600" w:lineRule="exact"/>
              <w:jc w:val="center"/>
              <w:rPr>
                <w:rFonts w:hint="eastAsia"/>
                <w:szCs w:val="21"/>
                <w:highlight w:val="none"/>
              </w:rPr>
            </w:pPr>
          </w:p>
        </w:tc>
        <w:tc>
          <w:tcPr>
            <w:tcW w:w="2206" w:type="dxa"/>
            <w:tcBorders>
              <w:top w:val="single" w:color="auto" w:sz="4" w:space="0"/>
              <w:left w:val="single" w:color="auto" w:sz="4" w:space="0"/>
              <w:bottom w:val="single" w:color="auto" w:sz="4" w:space="0"/>
              <w:right w:val="single" w:color="auto" w:sz="4" w:space="0"/>
            </w:tcBorders>
            <w:noWrap w:val="0"/>
            <w:vAlign w:val="center"/>
          </w:tcPr>
          <w:p w14:paraId="70745E32">
            <w:pPr>
              <w:spacing w:line="600" w:lineRule="exact"/>
              <w:jc w:val="center"/>
              <w:rPr>
                <w:rFonts w:hint="eastAsia"/>
                <w:highlight w:val="none"/>
              </w:rPr>
            </w:pPr>
          </w:p>
        </w:tc>
        <w:tc>
          <w:tcPr>
            <w:tcW w:w="2206" w:type="dxa"/>
            <w:tcBorders>
              <w:top w:val="single" w:color="auto" w:sz="4" w:space="0"/>
              <w:left w:val="single" w:color="auto" w:sz="4" w:space="0"/>
              <w:bottom w:val="single" w:color="auto" w:sz="4" w:space="0"/>
              <w:right w:val="single" w:color="auto" w:sz="4" w:space="0"/>
            </w:tcBorders>
            <w:noWrap w:val="0"/>
            <w:vAlign w:val="center"/>
          </w:tcPr>
          <w:p w14:paraId="1BB3CD05">
            <w:pPr>
              <w:spacing w:line="600" w:lineRule="exact"/>
              <w:jc w:val="center"/>
              <w:rPr>
                <w:rFonts w:hint="eastAsia"/>
                <w:highlight w:val="none"/>
              </w:rPr>
            </w:pPr>
          </w:p>
        </w:tc>
      </w:tr>
    </w:tbl>
    <w:p w14:paraId="580896C1">
      <w:pPr>
        <w:pStyle w:val="47"/>
        <w:rPr>
          <w:rFonts w:hint="eastAsia" w:ascii="宋体" w:hAnsi="宋体" w:eastAsia="宋体" w:cs="宋体"/>
          <w:kern w:val="0"/>
          <w:szCs w:val="21"/>
          <w:highlight w:val="none"/>
        </w:rPr>
      </w:pPr>
    </w:p>
    <w:p w14:paraId="56A2718C">
      <w:pPr>
        <w:adjustRightInd w:val="0"/>
        <w:snapToGrid w:val="0"/>
        <w:spacing w:line="360" w:lineRule="auto"/>
        <w:rPr>
          <w:rFonts w:hint="eastAsia"/>
          <w:szCs w:val="21"/>
          <w:highlight w:val="none"/>
        </w:rPr>
      </w:pPr>
      <w:r>
        <w:rPr>
          <w:rFonts w:hint="eastAsia"/>
          <w:szCs w:val="21"/>
          <w:highlight w:val="none"/>
        </w:rPr>
        <w:t>定标委员签名：                                            日期：</w:t>
      </w:r>
    </w:p>
    <w:p w14:paraId="19A7768E">
      <w:pPr>
        <w:pStyle w:val="47"/>
        <w:rPr>
          <w:rFonts w:hint="eastAsia" w:ascii="宋体" w:hAnsi="宋体" w:eastAsia="宋体" w:cs="宋体"/>
          <w:highlight w:val="none"/>
        </w:rPr>
      </w:pPr>
    </w:p>
    <w:p w14:paraId="01370A4D">
      <w:pPr>
        <w:pStyle w:val="47"/>
        <w:rPr>
          <w:rFonts w:hint="eastAsia" w:ascii="宋体" w:hAnsi="宋体" w:eastAsia="宋体" w:cs="宋体"/>
          <w:b/>
          <w:highlight w:val="none"/>
        </w:rPr>
      </w:pPr>
      <w:r>
        <w:rPr>
          <w:rFonts w:hint="eastAsia" w:ascii="宋体" w:hAnsi="宋体" w:eastAsia="宋体" w:cs="宋体"/>
          <w:b/>
          <w:highlight w:val="none"/>
        </w:rPr>
        <w:t>备注：</w:t>
      </w:r>
    </w:p>
    <w:p w14:paraId="7CE075D3">
      <w:pPr>
        <w:pStyle w:val="47"/>
        <w:ind w:firstLine="422" w:firstLineChars="200"/>
        <w:rPr>
          <w:rFonts w:hint="eastAsia" w:ascii="宋体" w:hAnsi="宋体" w:eastAsia="宋体" w:cs="宋体"/>
          <w:b/>
          <w:highlight w:val="none"/>
        </w:rPr>
      </w:pPr>
      <w:r>
        <w:rPr>
          <w:rFonts w:hint="eastAsia" w:ascii="宋体" w:hAnsi="宋体" w:eastAsia="宋体" w:cs="宋体"/>
          <w:b/>
          <w:highlight w:val="none"/>
        </w:rPr>
        <w:t>1、本表用于投票出现票数相同的情况。</w:t>
      </w:r>
    </w:p>
    <w:p w14:paraId="705FD372">
      <w:pPr>
        <w:pStyle w:val="47"/>
        <w:ind w:firstLine="422" w:firstLineChars="200"/>
        <w:rPr>
          <w:rFonts w:hint="eastAsia" w:ascii="宋体" w:hAnsi="宋体" w:eastAsia="宋体" w:cs="宋体"/>
          <w:b/>
          <w:highlight w:val="none"/>
        </w:rPr>
      </w:pPr>
      <w:r>
        <w:rPr>
          <w:rFonts w:hint="eastAsia" w:ascii="宋体" w:hAnsi="宋体" w:eastAsia="宋体" w:cs="宋体"/>
          <w:b/>
          <w:highlight w:val="none"/>
        </w:rPr>
        <w:t>2、由定标委员会成员进行附加投票，票决意见分别为“投票”或“不投票”，各定标委员会成员只有1票表决权（即只能对其中一名合格中标候选人“投票”），票决意见为“投票”的，用“○”表示；票决意见为“不投票”，用“×”表示。</w:t>
      </w:r>
    </w:p>
    <w:p w14:paraId="4B412898">
      <w:pPr>
        <w:pStyle w:val="47"/>
        <w:rPr>
          <w:rFonts w:hint="eastAsia" w:ascii="宋体" w:hAnsi="宋体" w:eastAsia="宋体" w:cs="宋体"/>
          <w:highlight w:val="none"/>
        </w:rPr>
      </w:pPr>
      <w:r>
        <w:rPr>
          <w:rFonts w:hint="eastAsia" w:ascii="宋体" w:hAnsi="宋体" w:eastAsia="宋体" w:cs="宋体"/>
          <w:highlight w:val="none"/>
        </w:rPr>
        <w:br w:type="page"/>
      </w:r>
    </w:p>
    <w:p w14:paraId="3856662A">
      <w:pPr>
        <w:pStyle w:val="47"/>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附加</w:t>
      </w:r>
      <w:bookmarkStart w:id="109" w:name="突出显示"/>
      <w:r>
        <w:rPr>
          <w:rFonts w:hint="eastAsia" w:ascii="宋体" w:hAnsi="宋体" w:eastAsia="宋体" w:cs="宋体"/>
          <w:b/>
          <w:bCs/>
          <w:kern w:val="0"/>
          <w:sz w:val="28"/>
          <w:szCs w:val="28"/>
          <w:highlight w:val="none"/>
        </w:rPr>
        <w:t>票决</w:t>
      </w:r>
      <w:bookmarkEnd w:id="109"/>
      <w:r>
        <w:rPr>
          <w:rFonts w:hint="eastAsia" w:ascii="宋体" w:hAnsi="宋体" w:eastAsia="宋体" w:cs="宋体"/>
          <w:b/>
          <w:bCs/>
          <w:kern w:val="0"/>
          <w:sz w:val="28"/>
          <w:szCs w:val="28"/>
          <w:highlight w:val="none"/>
        </w:rPr>
        <w:t>定标选票汇总</w:t>
      </w:r>
      <w:r>
        <w:rPr>
          <w:rFonts w:hint="eastAsia" w:ascii="宋体" w:hAnsi="宋体" w:eastAsia="宋体" w:cs="宋体"/>
          <w:b/>
          <w:sz w:val="28"/>
          <w:szCs w:val="28"/>
          <w:highlight w:val="none"/>
        </w:rPr>
        <w:t>表</w:t>
      </w:r>
    </w:p>
    <w:p w14:paraId="4DC720F9">
      <w:pPr>
        <w:pStyle w:val="47"/>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（定标阶段-票数相同时定标委员会汇总用表）</w:t>
      </w:r>
    </w:p>
    <w:p w14:paraId="2BBE014D">
      <w:pPr>
        <w:pStyle w:val="47"/>
        <w:jc w:val="center"/>
        <w:rPr>
          <w:rFonts w:hint="eastAsia" w:ascii="宋体" w:hAnsi="宋体" w:eastAsia="宋体" w:cs="宋体"/>
          <w:b/>
          <w:sz w:val="28"/>
          <w:szCs w:val="28"/>
          <w:highlight w:val="none"/>
        </w:rPr>
      </w:pPr>
    </w:p>
    <w:p w14:paraId="31AFE32F">
      <w:pPr>
        <w:adjustRightInd w:val="0"/>
        <w:snapToGrid w:val="0"/>
        <w:spacing w:line="360" w:lineRule="auto"/>
        <w:rPr>
          <w:rFonts w:hint="eastAsia"/>
          <w:highlight w:val="none"/>
        </w:rPr>
      </w:pPr>
      <w:r>
        <w:rPr>
          <w:rFonts w:hint="eastAsia"/>
          <w:highlight w:val="none"/>
          <w:lang w:eastAsia="zh-CN"/>
        </w:rPr>
        <w:t>标段</w:t>
      </w:r>
      <w:r>
        <w:rPr>
          <w:rFonts w:hint="eastAsia"/>
          <w:highlight w:val="none"/>
        </w:rPr>
        <w:t>名称：</w:t>
      </w:r>
    </w:p>
    <w:tbl>
      <w:tblPr>
        <w:tblStyle w:val="27"/>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62"/>
        <w:gridCol w:w="5243"/>
        <w:gridCol w:w="2280"/>
      </w:tblGrid>
      <w:tr w14:paraId="69CCF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949" w:type="pct"/>
            <w:tcBorders>
              <w:top w:val="single" w:color="auto" w:sz="4" w:space="0"/>
              <w:left w:val="single" w:color="auto" w:sz="4" w:space="0"/>
              <w:bottom w:val="single" w:color="auto" w:sz="4" w:space="0"/>
              <w:right w:val="single" w:color="auto" w:sz="4" w:space="0"/>
            </w:tcBorders>
            <w:noWrap w:val="0"/>
            <w:vAlign w:val="center"/>
          </w:tcPr>
          <w:p w14:paraId="1935BA33">
            <w:pPr>
              <w:jc w:val="center"/>
              <w:rPr>
                <w:rFonts w:hint="eastAsia"/>
                <w:highlight w:val="none"/>
              </w:rPr>
            </w:pPr>
            <w:r>
              <w:rPr>
                <w:rFonts w:hint="eastAsia"/>
                <w:highlight w:val="none"/>
              </w:rPr>
              <w:t>序号</w:t>
            </w:r>
          </w:p>
        </w:tc>
        <w:tc>
          <w:tcPr>
            <w:tcW w:w="2822" w:type="pct"/>
            <w:tcBorders>
              <w:top w:val="single" w:color="auto" w:sz="4" w:space="0"/>
              <w:left w:val="single" w:color="auto" w:sz="4" w:space="0"/>
              <w:bottom w:val="single" w:color="auto" w:sz="4" w:space="0"/>
              <w:right w:val="single" w:color="auto" w:sz="4" w:space="0"/>
            </w:tcBorders>
            <w:noWrap w:val="0"/>
            <w:vAlign w:val="center"/>
          </w:tcPr>
          <w:p w14:paraId="67E48006">
            <w:pPr>
              <w:jc w:val="center"/>
              <w:rPr>
                <w:rFonts w:hint="eastAsia"/>
                <w:highlight w:val="none"/>
              </w:rPr>
            </w:pPr>
            <w:r>
              <w:rPr>
                <w:rFonts w:hint="eastAsia"/>
                <w:highlight w:val="none"/>
              </w:rPr>
              <w:t>合格中标候选人名称</w:t>
            </w:r>
          </w:p>
        </w:tc>
        <w:tc>
          <w:tcPr>
            <w:tcW w:w="1227" w:type="pct"/>
            <w:tcBorders>
              <w:top w:val="single" w:color="auto" w:sz="4" w:space="0"/>
              <w:left w:val="single" w:color="auto" w:sz="4" w:space="0"/>
              <w:bottom w:val="single" w:color="auto" w:sz="4" w:space="0"/>
              <w:right w:val="single" w:color="auto" w:sz="4" w:space="0"/>
            </w:tcBorders>
            <w:noWrap w:val="0"/>
            <w:vAlign w:val="center"/>
          </w:tcPr>
          <w:p w14:paraId="2545ABFB">
            <w:pPr>
              <w:jc w:val="center"/>
              <w:rPr>
                <w:rFonts w:hint="eastAsia"/>
                <w:szCs w:val="21"/>
                <w:highlight w:val="none"/>
              </w:rPr>
            </w:pPr>
            <w:r>
              <w:rPr>
                <w:rFonts w:hint="eastAsia"/>
                <w:szCs w:val="21"/>
                <w:highlight w:val="none"/>
              </w:rPr>
              <w:t>得票数</w:t>
            </w:r>
          </w:p>
        </w:tc>
      </w:tr>
      <w:tr w14:paraId="6EB66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949" w:type="pct"/>
            <w:tcBorders>
              <w:top w:val="single" w:color="auto" w:sz="4" w:space="0"/>
              <w:left w:val="single" w:color="auto" w:sz="4" w:space="0"/>
              <w:bottom w:val="single" w:color="auto" w:sz="4" w:space="0"/>
              <w:right w:val="single" w:color="auto" w:sz="4" w:space="0"/>
            </w:tcBorders>
            <w:noWrap w:val="0"/>
            <w:vAlign w:val="center"/>
          </w:tcPr>
          <w:p w14:paraId="27E1D25C">
            <w:pPr>
              <w:jc w:val="center"/>
              <w:rPr>
                <w:rFonts w:hint="eastAsia"/>
                <w:highlight w:val="none"/>
              </w:rPr>
            </w:pPr>
            <w:r>
              <w:rPr>
                <w:rFonts w:hint="eastAsia"/>
                <w:highlight w:val="none"/>
              </w:rPr>
              <w:t>1</w:t>
            </w:r>
          </w:p>
        </w:tc>
        <w:tc>
          <w:tcPr>
            <w:tcW w:w="2822" w:type="pct"/>
            <w:tcBorders>
              <w:top w:val="single" w:color="auto" w:sz="4" w:space="0"/>
              <w:left w:val="single" w:color="auto" w:sz="4" w:space="0"/>
              <w:bottom w:val="single" w:color="auto" w:sz="4" w:space="0"/>
              <w:right w:val="single" w:color="auto" w:sz="4" w:space="0"/>
            </w:tcBorders>
            <w:noWrap w:val="0"/>
            <w:vAlign w:val="center"/>
          </w:tcPr>
          <w:p w14:paraId="68017C7F">
            <w:pPr>
              <w:jc w:val="center"/>
              <w:rPr>
                <w:rFonts w:hint="eastAsia"/>
                <w:highlight w:val="none"/>
              </w:rPr>
            </w:pPr>
          </w:p>
        </w:tc>
        <w:tc>
          <w:tcPr>
            <w:tcW w:w="1227" w:type="pct"/>
            <w:tcBorders>
              <w:top w:val="single" w:color="auto" w:sz="4" w:space="0"/>
              <w:left w:val="single" w:color="auto" w:sz="4" w:space="0"/>
              <w:bottom w:val="single" w:color="auto" w:sz="4" w:space="0"/>
              <w:right w:val="single" w:color="auto" w:sz="4" w:space="0"/>
            </w:tcBorders>
            <w:noWrap w:val="0"/>
            <w:vAlign w:val="center"/>
          </w:tcPr>
          <w:p w14:paraId="4DDF78E6">
            <w:pPr>
              <w:jc w:val="center"/>
              <w:rPr>
                <w:rFonts w:hint="eastAsia"/>
                <w:highlight w:val="none"/>
              </w:rPr>
            </w:pPr>
          </w:p>
        </w:tc>
      </w:tr>
      <w:tr w14:paraId="7B8A9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949" w:type="pct"/>
            <w:tcBorders>
              <w:top w:val="single" w:color="auto" w:sz="4" w:space="0"/>
              <w:left w:val="single" w:color="auto" w:sz="4" w:space="0"/>
              <w:bottom w:val="single" w:color="auto" w:sz="4" w:space="0"/>
              <w:right w:val="single" w:color="auto" w:sz="4" w:space="0"/>
            </w:tcBorders>
            <w:noWrap w:val="0"/>
            <w:vAlign w:val="center"/>
          </w:tcPr>
          <w:p w14:paraId="04EE869C">
            <w:pPr>
              <w:jc w:val="center"/>
              <w:rPr>
                <w:rFonts w:hint="eastAsia"/>
                <w:highlight w:val="none"/>
              </w:rPr>
            </w:pPr>
            <w:r>
              <w:rPr>
                <w:rFonts w:hint="eastAsia"/>
                <w:highlight w:val="none"/>
              </w:rPr>
              <w:t>2</w:t>
            </w:r>
          </w:p>
        </w:tc>
        <w:tc>
          <w:tcPr>
            <w:tcW w:w="2822" w:type="pct"/>
            <w:tcBorders>
              <w:top w:val="single" w:color="auto" w:sz="4" w:space="0"/>
              <w:left w:val="single" w:color="auto" w:sz="4" w:space="0"/>
              <w:bottom w:val="single" w:color="auto" w:sz="4" w:space="0"/>
              <w:right w:val="single" w:color="auto" w:sz="4" w:space="0"/>
            </w:tcBorders>
            <w:noWrap w:val="0"/>
            <w:vAlign w:val="center"/>
          </w:tcPr>
          <w:p w14:paraId="707AED14">
            <w:pPr>
              <w:jc w:val="center"/>
              <w:rPr>
                <w:rFonts w:hint="eastAsia"/>
                <w:highlight w:val="none"/>
              </w:rPr>
            </w:pPr>
          </w:p>
        </w:tc>
        <w:tc>
          <w:tcPr>
            <w:tcW w:w="1227" w:type="pct"/>
            <w:tcBorders>
              <w:top w:val="single" w:color="auto" w:sz="4" w:space="0"/>
              <w:left w:val="single" w:color="auto" w:sz="4" w:space="0"/>
              <w:bottom w:val="single" w:color="auto" w:sz="4" w:space="0"/>
              <w:right w:val="single" w:color="auto" w:sz="4" w:space="0"/>
            </w:tcBorders>
            <w:noWrap w:val="0"/>
            <w:vAlign w:val="center"/>
          </w:tcPr>
          <w:p w14:paraId="0E8CB62C">
            <w:pPr>
              <w:jc w:val="center"/>
              <w:rPr>
                <w:rFonts w:hint="eastAsia"/>
                <w:highlight w:val="none"/>
              </w:rPr>
            </w:pPr>
          </w:p>
        </w:tc>
      </w:tr>
      <w:tr w14:paraId="61EE2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949" w:type="pct"/>
            <w:tcBorders>
              <w:top w:val="single" w:color="auto" w:sz="4" w:space="0"/>
              <w:left w:val="single" w:color="auto" w:sz="4" w:space="0"/>
              <w:bottom w:val="single" w:color="auto" w:sz="4" w:space="0"/>
              <w:right w:val="single" w:color="auto" w:sz="4" w:space="0"/>
            </w:tcBorders>
            <w:noWrap w:val="0"/>
            <w:vAlign w:val="center"/>
          </w:tcPr>
          <w:p w14:paraId="6E9452A5">
            <w:pPr>
              <w:jc w:val="center"/>
              <w:rPr>
                <w:rFonts w:hint="eastAsia"/>
                <w:highlight w:val="none"/>
              </w:rPr>
            </w:pPr>
            <w:r>
              <w:rPr>
                <w:rFonts w:hint="eastAsia"/>
                <w:highlight w:val="none"/>
              </w:rPr>
              <w:t>3</w:t>
            </w:r>
          </w:p>
        </w:tc>
        <w:tc>
          <w:tcPr>
            <w:tcW w:w="2822" w:type="pct"/>
            <w:tcBorders>
              <w:top w:val="single" w:color="auto" w:sz="4" w:space="0"/>
              <w:left w:val="single" w:color="auto" w:sz="4" w:space="0"/>
              <w:bottom w:val="single" w:color="auto" w:sz="4" w:space="0"/>
              <w:right w:val="single" w:color="auto" w:sz="4" w:space="0"/>
            </w:tcBorders>
            <w:noWrap w:val="0"/>
            <w:vAlign w:val="center"/>
          </w:tcPr>
          <w:p w14:paraId="6C768D49">
            <w:pPr>
              <w:jc w:val="center"/>
              <w:rPr>
                <w:rFonts w:hint="eastAsia"/>
                <w:highlight w:val="none"/>
              </w:rPr>
            </w:pPr>
          </w:p>
        </w:tc>
        <w:tc>
          <w:tcPr>
            <w:tcW w:w="1227" w:type="pct"/>
            <w:tcBorders>
              <w:top w:val="single" w:color="auto" w:sz="4" w:space="0"/>
              <w:left w:val="single" w:color="auto" w:sz="4" w:space="0"/>
              <w:bottom w:val="single" w:color="auto" w:sz="4" w:space="0"/>
              <w:right w:val="single" w:color="auto" w:sz="4" w:space="0"/>
            </w:tcBorders>
            <w:noWrap w:val="0"/>
            <w:vAlign w:val="center"/>
          </w:tcPr>
          <w:p w14:paraId="44678153">
            <w:pPr>
              <w:jc w:val="center"/>
              <w:rPr>
                <w:rFonts w:hint="eastAsia"/>
                <w:highlight w:val="none"/>
              </w:rPr>
            </w:pPr>
          </w:p>
        </w:tc>
      </w:tr>
      <w:tr w14:paraId="41B85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949" w:type="pct"/>
            <w:tcBorders>
              <w:top w:val="single" w:color="auto" w:sz="4" w:space="0"/>
              <w:left w:val="single" w:color="auto" w:sz="4" w:space="0"/>
              <w:bottom w:val="single" w:color="auto" w:sz="4" w:space="0"/>
              <w:right w:val="single" w:color="auto" w:sz="4" w:space="0"/>
            </w:tcBorders>
            <w:noWrap w:val="0"/>
            <w:vAlign w:val="center"/>
          </w:tcPr>
          <w:p w14:paraId="5948D952">
            <w:pPr>
              <w:jc w:val="center"/>
              <w:rPr>
                <w:rFonts w:hint="eastAsia"/>
                <w:highlight w:val="none"/>
              </w:rPr>
            </w:pPr>
            <w:r>
              <w:rPr>
                <w:rFonts w:hint="eastAsia"/>
                <w:highlight w:val="none"/>
              </w:rPr>
              <w:t>4</w:t>
            </w:r>
          </w:p>
        </w:tc>
        <w:tc>
          <w:tcPr>
            <w:tcW w:w="2822" w:type="pct"/>
            <w:tcBorders>
              <w:top w:val="single" w:color="auto" w:sz="4" w:space="0"/>
              <w:left w:val="single" w:color="auto" w:sz="4" w:space="0"/>
              <w:bottom w:val="single" w:color="auto" w:sz="4" w:space="0"/>
              <w:right w:val="single" w:color="auto" w:sz="4" w:space="0"/>
            </w:tcBorders>
            <w:noWrap w:val="0"/>
            <w:vAlign w:val="center"/>
          </w:tcPr>
          <w:p w14:paraId="2A2052E6">
            <w:pPr>
              <w:jc w:val="center"/>
              <w:rPr>
                <w:rFonts w:hint="eastAsia"/>
                <w:highlight w:val="none"/>
              </w:rPr>
            </w:pPr>
          </w:p>
        </w:tc>
        <w:tc>
          <w:tcPr>
            <w:tcW w:w="1227" w:type="pct"/>
            <w:tcBorders>
              <w:top w:val="single" w:color="auto" w:sz="4" w:space="0"/>
              <w:left w:val="single" w:color="auto" w:sz="4" w:space="0"/>
              <w:bottom w:val="single" w:color="auto" w:sz="4" w:space="0"/>
              <w:right w:val="single" w:color="auto" w:sz="4" w:space="0"/>
            </w:tcBorders>
            <w:noWrap w:val="0"/>
            <w:vAlign w:val="center"/>
          </w:tcPr>
          <w:p w14:paraId="6E50A38A">
            <w:pPr>
              <w:jc w:val="center"/>
              <w:rPr>
                <w:rFonts w:hint="eastAsia"/>
                <w:highlight w:val="none"/>
              </w:rPr>
            </w:pPr>
          </w:p>
        </w:tc>
      </w:tr>
      <w:tr w14:paraId="5CF10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949" w:type="pct"/>
            <w:tcBorders>
              <w:top w:val="single" w:color="auto" w:sz="4" w:space="0"/>
              <w:left w:val="single" w:color="auto" w:sz="4" w:space="0"/>
              <w:bottom w:val="single" w:color="auto" w:sz="4" w:space="0"/>
              <w:right w:val="single" w:color="auto" w:sz="4" w:space="0"/>
            </w:tcBorders>
            <w:noWrap w:val="0"/>
            <w:vAlign w:val="center"/>
          </w:tcPr>
          <w:p w14:paraId="6492567F">
            <w:pPr>
              <w:jc w:val="center"/>
              <w:rPr>
                <w:rFonts w:hint="eastAsia"/>
                <w:highlight w:val="none"/>
              </w:rPr>
            </w:pPr>
            <w:r>
              <w:rPr>
                <w:rFonts w:hint="eastAsia"/>
                <w:highlight w:val="none"/>
              </w:rPr>
              <w:t>……</w:t>
            </w:r>
          </w:p>
        </w:tc>
        <w:tc>
          <w:tcPr>
            <w:tcW w:w="2822" w:type="pct"/>
            <w:tcBorders>
              <w:top w:val="single" w:color="auto" w:sz="4" w:space="0"/>
              <w:left w:val="single" w:color="auto" w:sz="4" w:space="0"/>
              <w:bottom w:val="single" w:color="auto" w:sz="4" w:space="0"/>
              <w:right w:val="single" w:color="auto" w:sz="4" w:space="0"/>
            </w:tcBorders>
            <w:noWrap w:val="0"/>
            <w:vAlign w:val="center"/>
          </w:tcPr>
          <w:p w14:paraId="45264A8D">
            <w:pPr>
              <w:jc w:val="center"/>
              <w:rPr>
                <w:rFonts w:hint="eastAsia"/>
                <w:highlight w:val="none"/>
              </w:rPr>
            </w:pPr>
          </w:p>
        </w:tc>
        <w:tc>
          <w:tcPr>
            <w:tcW w:w="1227" w:type="pct"/>
            <w:tcBorders>
              <w:top w:val="single" w:color="auto" w:sz="4" w:space="0"/>
              <w:left w:val="single" w:color="auto" w:sz="4" w:space="0"/>
              <w:bottom w:val="single" w:color="auto" w:sz="4" w:space="0"/>
              <w:right w:val="single" w:color="auto" w:sz="4" w:space="0"/>
            </w:tcBorders>
            <w:noWrap w:val="0"/>
            <w:vAlign w:val="center"/>
          </w:tcPr>
          <w:p w14:paraId="43DC3EE2">
            <w:pPr>
              <w:jc w:val="center"/>
              <w:rPr>
                <w:rFonts w:hint="eastAsia"/>
                <w:highlight w:val="none"/>
              </w:rPr>
            </w:pPr>
          </w:p>
        </w:tc>
      </w:tr>
    </w:tbl>
    <w:p w14:paraId="3138B540">
      <w:pPr>
        <w:pStyle w:val="47"/>
        <w:rPr>
          <w:rFonts w:hint="eastAsia" w:ascii="宋体" w:hAnsi="宋体" w:eastAsia="宋体" w:cs="宋体"/>
          <w:kern w:val="0"/>
          <w:szCs w:val="21"/>
          <w:highlight w:val="none"/>
        </w:rPr>
      </w:pPr>
    </w:p>
    <w:p w14:paraId="3C873347">
      <w:pPr>
        <w:adjustRightInd w:val="0"/>
        <w:snapToGrid w:val="0"/>
        <w:spacing w:line="360" w:lineRule="auto"/>
        <w:rPr>
          <w:rFonts w:hint="eastAsia"/>
          <w:szCs w:val="21"/>
          <w:highlight w:val="none"/>
        </w:rPr>
      </w:pPr>
      <w:r>
        <w:rPr>
          <w:rFonts w:hint="eastAsia"/>
          <w:szCs w:val="21"/>
          <w:highlight w:val="none"/>
        </w:rPr>
        <w:t>定标委员签名：                                            日期：</w:t>
      </w:r>
    </w:p>
    <w:p w14:paraId="6F27BFC5">
      <w:pPr>
        <w:rPr>
          <w:rFonts w:hint="eastAsia"/>
          <w:highlight w:val="none"/>
        </w:rPr>
      </w:pPr>
      <w:r>
        <w:rPr>
          <w:rFonts w:hint="eastAsia"/>
          <w:highlight w:val="none"/>
        </w:rPr>
        <w:br w:type="page"/>
      </w:r>
    </w:p>
    <w:p w14:paraId="34437806">
      <w:pPr>
        <w:jc w:val="center"/>
        <w:rPr>
          <w:rFonts w:hint="eastAsia"/>
          <w:b/>
          <w:bCs/>
          <w:sz w:val="32"/>
          <w:highlight w:val="none"/>
        </w:rPr>
      </w:pPr>
    </w:p>
    <w:p w14:paraId="6308B5F3">
      <w:pPr>
        <w:jc w:val="center"/>
        <w:rPr>
          <w:rFonts w:hint="eastAsia"/>
          <w:highlight w:val="none"/>
        </w:rPr>
      </w:pPr>
      <w:r>
        <w:rPr>
          <w:rFonts w:hint="eastAsia"/>
          <w:b/>
          <w:bCs/>
          <w:sz w:val="32"/>
          <w:highlight w:val="none"/>
        </w:rPr>
        <w:t>定标阶段各合格中标候选人评语</w:t>
      </w:r>
    </w:p>
    <w:p w14:paraId="3D3210E2">
      <w:pPr>
        <w:rPr>
          <w:rFonts w:hint="eastAsia"/>
          <w:highlight w:val="none"/>
          <w:u w:val="single"/>
        </w:rPr>
      </w:pPr>
      <w:r>
        <w:rPr>
          <w:rFonts w:hint="eastAsia"/>
          <w:highlight w:val="none"/>
          <w:u w:val="none"/>
          <w:lang w:eastAsia="zh-CN"/>
        </w:rPr>
        <w:t>标段</w:t>
      </w:r>
      <w:r>
        <w:rPr>
          <w:rFonts w:hint="eastAsia"/>
          <w:highlight w:val="none"/>
          <w:u w:val="none"/>
        </w:rPr>
        <w:t>名称：</w:t>
      </w:r>
    </w:p>
    <w:tbl>
      <w:tblPr>
        <w:tblStyle w:val="27"/>
        <w:tblW w:w="961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90"/>
        <w:gridCol w:w="4820"/>
      </w:tblGrid>
      <w:tr w14:paraId="65352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4790" w:type="dxa"/>
            <w:tcBorders>
              <w:top w:val="single" w:color="auto" w:sz="4" w:space="0"/>
              <w:left w:val="single" w:color="auto" w:sz="4" w:space="0"/>
              <w:bottom w:val="single" w:color="auto" w:sz="4" w:space="0"/>
              <w:right w:val="single" w:color="auto" w:sz="4" w:space="0"/>
            </w:tcBorders>
            <w:noWrap w:val="0"/>
            <w:vAlign w:val="center"/>
          </w:tcPr>
          <w:p w14:paraId="6D3330B0">
            <w:pPr>
              <w:jc w:val="center"/>
              <w:rPr>
                <w:rFonts w:hint="eastAsia"/>
                <w:b/>
                <w:highlight w:val="none"/>
                <w:u w:val="single"/>
              </w:rPr>
            </w:pPr>
            <w:r>
              <w:rPr>
                <w:rFonts w:hint="eastAsia"/>
                <w:b/>
                <w:highlight w:val="none"/>
                <w:u w:val="single"/>
              </w:rPr>
              <w:t>合格中标候选人名称</w:t>
            </w:r>
          </w:p>
        </w:tc>
        <w:tc>
          <w:tcPr>
            <w:tcW w:w="4820" w:type="dxa"/>
            <w:tcBorders>
              <w:top w:val="single" w:color="auto" w:sz="4" w:space="0"/>
              <w:left w:val="single" w:color="auto" w:sz="4" w:space="0"/>
              <w:bottom w:val="single" w:color="auto" w:sz="4" w:space="0"/>
              <w:right w:val="single" w:color="auto" w:sz="4" w:space="0"/>
            </w:tcBorders>
            <w:noWrap w:val="0"/>
            <w:vAlign w:val="center"/>
          </w:tcPr>
          <w:p w14:paraId="4D5A778B">
            <w:pPr>
              <w:jc w:val="center"/>
              <w:rPr>
                <w:rFonts w:hint="eastAsia"/>
                <w:b/>
                <w:highlight w:val="none"/>
                <w:u w:val="single"/>
              </w:rPr>
            </w:pPr>
            <w:r>
              <w:rPr>
                <w:rFonts w:hint="eastAsia"/>
                <w:b/>
                <w:highlight w:val="none"/>
                <w:u w:val="single"/>
              </w:rPr>
              <w:t>评    语</w:t>
            </w:r>
          </w:p>
        </w:tc>
      </w:tr>
      <w:tr w14:paraId="2D4F3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trPr>
        <w:tc>
          <w:tcPr>
            <w:tcW w:w="4790" w:type="dxa"/>
            <w:tcBorders>
              <w:top w:val="single" w:color="auto" w:sz="4" w:space="0"/>
              <w:left w:val="single" w:color="auto" w:sz="4" w:space="0"/>
              <w:bottom w:val="single" w:color="auto" w:sz="4" w:space="0"/>
              <w:right w:val="single" w:color="auto" w:sz="4" w:space="0"/>
            </w:tcBorders>
            <w:noWrap w:val="0"/>
            <w:vAlign w:val="center"/>
          </w:tcPr>
          <w:p w14:paraId="5EC34ED8">
            <w:pPr>
              <w:rPr>
                <w:rFonts w:hint="eastAsia"/>
                <w:highlight w:val="none"/>
                <w:u w:val="single"/>
              </w:rPr>
            </w:pPr>
          </w:p>
        </w:tc>
        <w:tc>
          <w:tcPr>
            <w:tcW w:w="4820" w:type="dxa"/>
            <w:tcBorders>
              <w:top w:val="single" w:color="auto" w:sz="4" w:space="0"/>
              <w:left w:val="single" w:color="auto" w:sz="4" w:space="0"/>
              <w:bottom w:val="single" w:color="auto" w:sz="4" w:space="0"/>
              <w:right w:val="single" w:color="auto" w:sz="4" w:space="0"/>
            </w:tcBorders>
            <w:noWrap w:val="0"/>
            <w:vAlign w:val="center"/>
          </w:tcPr>
          <w:p w14:paraId="16E27D12">
            <w:pPr>
              <w:rPr>
                <w:rFonts w:hint="eastAsia"/>
                <w:highlight w:val="none"/>
                <w:u w:val="single"/>
              </w:rPr>
            </w:pPr>
          </w:p>
        </w:tc>
      </w:tr>
      <w:tr w14:paraId="618F9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trPr>
        <w:tc>
          <w:tcPr>
            <w:tcW w:w="4790" w:type="dxa"/>
            <w:tcBorders>
              <w:top w:val="single" w:color="auto" w:sz="4" w:space="0"/>
              <w:left w:val="single" w:color="auto" w:sz="4" w:space="0"/>
              <w:bottom w:val="single" w:color="auto" w:sz="4" w:space="0"/>
              <w:right w:val="single" w:color="auto" w:sz="4" w:space="0"/>
            </w:tcBorders>
            <w:noWrap w:val="0"/>
            <w:vAlign w:val="center"/>
          </w:tcPr>
          <w:p w14:paraId="601A2E14">
            <w:pPr>
              <w:rPr>
                <w:rFonts w:hint="eastAsia"/>
                <w:highlight w:val="none"/>
                <w:u w:val="single"/>
              </w:rPr>
            </w:pPr>
          </w:p>
        </w:tc>
        <w:tc>
          <w:tcPr>
            <w:tcW w:w="4820" w:type="dxa"/>
            <w:tcBorders>
              <w:top w:val="single" w:color="auto" w:sz="4" w:space="0"/>
              <w:left w:val="single" w:color="auto" w:sz="4" w:space="0"/>
              <w:bottom w:val="single" w:color="auto" w:sz="4" w:space="0"/>
              <w:right w:val="single" w:color="auto" w:sz="4" w:space="0"/>
            </w:tcBorders>
            <w:noWrap w:val="0"/>
            <w:vAlign w:val="center"/>
          </w:tcPr>
          <w:p w14:paraId="35AC8733">
            <w:pPr>
              <w:rPr>
                <w:rFonts w:hint="eastAsia"/>
                <w:highlight w:val="none"/>
                <w:u w:val="single"/>
              </w:rPr>
            </w:pPr>
          </w:p>
        </w:tc>
      </w:tr>
      <w:tr w14:paraId="36A42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trPr>
        <w:tc>
          <w:tcPr>
            <w:tcW w:w="4790" w:type="dxa"/>
            <w:tcBorders>
              <w:top w:val="single" w:color="auto" w:sz="4" w:space="0"/>
              <w:left w:val="single" w:color="auto" w:sz="4" w:space="0"/>
              <w:bottom w:val="single" w:color="auto" w:sz="4" w:space="0"/>
              <w:right w:val="single" w:color="auto" w:sz="4" w:space="0"/>
            </w:tcBorders>
            <w:noWrap w:val="0"/>
            <w:vAlign w:val="center"/>
          </w:tcPr>
          <w:p w14:paraId="13DE7264">
            <w:pPr>
              <w:rPr>
                <w:rFonts w:hint="eastAsia"/>
                <w:highlight w:val="none"/>
                <w:u w:val="single"/>
              </w:rPr>
            </w:pPr>
          </w:p>
        </w:tc>
        <w:tc>
          <w:tcPr>
            <w:tcW w:w="4820" w:type="dxa"/>
            <w:tcBorders>
              <w:top w:val="single" w:color="auto" w:sz="4" w:space="0"/>
              <w:left w:val="single" w:color="auto" w:sz="4" w:space="0"/>
              <w:bottom w:val="single" w:color="auto" w:sz="4" w:space="0"/>
              <w:right w:val="single" w:color="auto" w:sz="4" w:space="0"/>
            </w:tcBorders>
            <w:noWrap w:val="0"/>
            <w:vAlign w:val="center"/>
          </w:tcPr>
          <w:p w14:paraId="339FF795">
            <w:pPr>
              <w:rPr>
                <w:rFonts w:hint="eastAsia"/>
                <w:highlight w:val="none"/>
                <w:u w:val="single"/>
              </w:rPr>
            </w:pPr>
          </w:p>
        </w:tc>
      </w:tr>
      <w:tr w14:paraId="13AF9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trPr>
        <w:tc>
          <w:tcPr>
            <w:tcW w:w="4790" w:type="dxa"/>
            <w:tcBorders>
              <w:top w:val="single" w:color="auto" w:sz="4" w:space="0"/>
              <w:left w:val="single" w:color="auto" w:sz="4" w:space="0"/>
              <w:bottom w:val="single" w:color="auto" w:sz="4" w:space="0"/>
              <w:right w:val="single" w:color="auto" w:sz="4" w:space="0"/>
            </w:tcBorders>
            <w:noWrap w:val="0"/>
            <w:vAlign w:val="center"/>
          </w:tcPr>
          <w:p w14:paraId="284E0ED8">
            <w:pPr>
              <w:rPr>
                <w:rFonts w:hint="eastAsia"/>
                <w:highlight w:val="none"/>
                <w:u w:val="single"/>
              </w:rPr>
            </w:pPr>
          </w:p>
        </w:tc>
        <w:tc>
          <w:tcPr>
            <w:tcW w:w="4820" w:type="dxa"/>
            <w:tcBorders>
              <w:top w:val="single" w:color="auto" w:sz="4" w:space="0"/>
              <w:left w:val="single" w:color="auto" w:sz="4" w:space="0"/>
              <w:bottom w:val="single" w:color="auto" w:sz="4" w:space="0"/>
              <w:right w:val="single" w:color="auto" w:sz="4" w:space="0"/>
            </w:tcBorders>
            <w:noWrap w:val="0"/>
            <w:vAlign w:val="center"/>
          </w:tcPr>
          <w:p w14:paraId="73C274EE">
            <w:pPr>
              <w:rPr>
                <w:rFonts w:hint="eastAsia"/>
                <w:highlight w:val="none"/>
                <w:u w:val="single"/>
              </w:rPr>
            </w:pPr>
          </w:p>
        </w:tc>
      </w:tr>
      <w:tr w14:paraId="0128A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trPr>
        <w:tc>
          <w:tcPr>
            <w:tcW w:w="4790" w:type="dxa"/>
            <w:tcBorders>
              <w:top w:val="single" w:color="auto" w:sz="4" w:space="0"/>
              <w:left w:val="single" w:color="auto" w:sz="4" w:space="0"/>
              <w:bottom w:val="single" w:color="auto" w:sz="4" w:space="0"/>
              <w:right w:val="single" w:color="auto" w:sz="4" w:space="0"/>
            </w:tcBorders>
            <w:noWrap w:val="0"/>
            <w:vAlign w:val="center"/>
          </w:tcPr>
          <w:p w14:paraId="455086DA">
            <w:pPr>
              <w:rPr>
                <w:rFonts w:hint="eastAsia"/>
                <w:highlight w:val="none"/>
                <w:u w:val="single"/>
              </w:rPr>
            </w:pPr>
          </w:p>
        </w:tc>
        <w:tc>
          <w:tcPr>
            <w:tcW w:w="4820" w:type="dxa"/>
            <w:tcBorders>
              <w:top w:val="single" w:color="auto" w:sz="4" w:space="0"/>
              <w:left w:val="single" w:color="auto" w:sz="4" w:space="0"/>
              <w:bottom w:val="single" w:color="auto" w:sz="4" w:space="0"/>
              <w:right w:val="single" w:color="auto" w:sz="4" w:space="0"/>
            </w:tcBorders>
            <w:noWrap w:val="0"/>
            <w:vAlign w:val="center"/>
          </w:tcPr>
          <w:p w14:paraId="46F9E211">
            <w:pPr>
              <w:rPr>
                <w:rFonts w:hint="eastAsia"/>
                <w:highlight w:val="none"/>
                <w:u w:val="single"/>
              </w:rPr>
            </w:pPr>
          </w:p>
        </w:tc>
      </w:tr>
      <w:tr w14:paraId="368D2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trPr>
        <w:tc>
          <w:tcPr>
            <w:tcW w:w="4790" w:type="dxa"/>
            <w:tcBorders>
              <w:top w:val="single" w:color="auto" w:sz="4" w:space="0"/>
              <w:left w:val="single" w:color="auto" w:sz="4" w:space="0"/>
              <w:bottom w:val="single" w:color="auto" w:sz="4" w:space="0"/>
              <w:right w:val="single" w:color="auto" w:sz="4" w:space="0"/>
            </w:tcBorders>
            <w:noWrap w:val="0"/>
            <w:vAlign w:val="center"/>
          </w:tcPr>
          <w:p w14:paraId="25CA21E9">
            <w:pPr>
              <w:rPr>
                <w:rFonts w:hint="eastAsia"/>
                <w:highlight w:val="none"/>
                <w:u w:val="single"/>
              </w:rPr>
            </w:pPr>
          </w:p>
        </w:tc>
        <w:tc>
          <w:tcPr>
            <w:tcW w:w="4820" w:type="dxa"/>
            <w:tcBorders>
              <w:top w:val="single" w:color="auto" w:sz="4" w:space="0"/>
              <w:left w:val="single" w:color="auto" w:sz="4" w:space="0"/>
              <w:bottom w:val="single" w:color="auto" w:sz="4" w:space="0"/>
              <w:right w:val="single" w:color="auto" w:sz="4" w:space="0"/>
            </w:tcBorders>
            <w:noWrap w:val="0"/>
            <w:vAlign w:val="center"/>
          </w:tcPr>
          <w:p w14:paraId="493ED890">
            <w:pPr>
              <w:rPr>
                <w:rFonts w:hint="eastAsia"/>
                <w:highlight w:val="none"/>
                <w:u w:val="single"/>
              </w:rPr>
            </w:pPr>
          </w:p>
        </w:tc>
      </w:tr>
      <w:tr w14:paraId="3B704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trPr>
        <w:tc>
          <w:tcPr>
            <w:tcW w:w="4790" w:type="dxa"/>
            <w:tcBorders>
              <w:top w:val="single" w:color="auto" w:sz="4" w:space="0"/>
              <w:left w:val="single" w:color="auto" w:sz="4" w:space="0"/>
              <w:bottom w:val="single" w:color="auto" w:sz="4" w:space="0"/>
              <w:right w:val="single" w:color="auto" w:sz="4" w:space="0"/>
            </w:tcBorders>
            <w:noWrap w:val="0"/>
            <w:vAlign w:val="center"/>
          </w:tcPr>
          <w:p w14:paraId="535171BC">
            <w:pPr>
              <w:rPr>
                <w:rFonts w:hint="eastAsia"/>
                <w:highlight w:val="none"/>
                <w:u w:val="single"/>
              </w:rPr>
            </w:pPr>
          </w:p>
        </w:tc>
        <w:tc>
          <w:tcPr>
            <w:tcW w:w="4820" w:type="dxa"/>
            <w:tcBorders>
              <w:top w:val="single" w:color="auto" w:sz="4" w:space="0"/>
              <w:left w:val="single" w:color="auto" w:sz="4" w:space="0"/>
              <w:bottom w:val="single" w:color="auto" w:sz="4" w:space="0"/>
              <w:right w:val="single" w:color="auto" w:sz="4" w:space="0"/>
            </w:tcBorders>
            <w:noWrap w:val="0"/>
            <w:vAlign w:val="center"/>
          </w:tcPr>
          <w:p w14:paraId="79B92A8F">
            <w:pPr>
              <w:rPr>
                <w:rFonts w:hint="eastAsia"/>
                <w:highlight w:val="none"/>
                <w:u w:val="single"/>
              </w:rPr>
            </w:pPr>
          </w:p>
        </w:tc>
      </w:tr>
      <w:tr w14:paraId="44BDE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trPr>
        <w:tc>
          <w:tcPr>
            <w:tcW w:w="4790" w:type="dxa"/>
            <w:tcBorders>
              <w:top w:val="single" w:color="auto" w:sz="4" w:space="0"/>
              <w:left w:val="single" w:color="auto" w:sz="4" w:space="0"/>
              <w:bottom w:val="single" w:color="auto" w:sz="4" w:space="0"/>
              <w:right w:val="single" w:color="auto" w:sz="4" w:space="0"/>
            </w:tcBorders>
            <w:noWrap w:val="0"/>
            <w:vAlign w:val="center"/>
          </w:tcPr>
          <w:p w14:paraId="17E62153">
            <w:pPr>
              <w:rPr>
                <w:rFonts w:hint="eastAsia"/>
                <w:highlight w:val="none"/>
                <w:u w:val="single"/>
              </w:rPr>
            </w:pPr>
          </w:p>
        </w:tc>
        <w:tc>
          <w:tcPr>
            <w:tcW w:w="4820" w:type="dxa"/>
            <w:tcBorders>
              <w:top w:val="single" w:color="auto" w:sz="4" w:space="0"/>
              <w:left w:val="single" w:color="auto" w:sz="4" w:space="0"/>
              <w:bottom w:val="single" w:color="auto" w:sz="4" w:space="0"/>
              <w:right w:val="single" w:color="auto" w:sz="4" w:space="0"/>
            </w:tcBorders>
            <w:noWrap w:val="0"/>
            <w:vAlign w:val="center"/>
          </w:tcPr>
          <w:p w14:paraId="2CE5770B">
            <w:pPr>
              <w:rPr>
                <w:rFonts w:hint="eastAsia"/>
                <w:highlight w:val="none"/>
                <w:u w:val="single"/>
              </w:rPr>
            </w:pPr>
          </w:p>
        </w:tc>
      </w:tr>
    </w:tbl>
    <w:p w14:paraId="60C0FDC7">
      <w:pPr>
        <w:adjustRightInd w:val="0"/>
        <w:snapToGrid w:val="0"/>
        <w:spacing w:line="360" w:lineRule="auto"/>
        <w:ind w:right="713" w:rightChars="297" w:firstLine="480" w:firstLineChars="200"/>
        <w:rPr>
          <w:rFonts w:hint="eastAsia"/>
          <w:b/>
          <w:bCs/>
          <w:sz w:val="28"/>
          <w:szCs w:val="28"/>
          <w:highlight w:val="none"/>
        </w:rPr>
      </w:pPr>
      <w:r>
        <w:rPr>
          <w:rFonts w:hint="eastAsia"/>
          <w:highlight w:val="none"/>
        </w:rPr>
        <w:t xml:space="preserve">定标委员签名：                                 日期：     </w:t>
      </w:r>
    </w:p>
    <w:p w14:paraId="4F59043D">
      <w:pPr>
        <w:pStyle w:val="47"/>
        <w:rPr>
          <w:rFonts w:hint="eastAsia" w:ascii="宋体" w:hAnsi="宋体" w:eastAsia="宋体" w:cs="宋体"/>
          <w:highlight w:val="none"/>
        </w:rPr>
      </w:pPr>
    </w:p>
    <w:p w14:paraId="0E69F208">
      <w:pPr>
        <w:pStyle w:val="47"/>
        <w:rPr>
          <w:rFonts w:hint="eastAsia" w:ascii="宋体" w:hAnsi="宋体" w:eastAsia="宋体" w:cs="宋体"/>
          <w:highlight w:val="none"/>
        </w:rPr>
      </w:pPr>
      <w:r>
        <w:rPr>
          <w:rFonts w:hint="eastAsia" w:ascii="宋体" w:hAnsi="宋体" w:eastAsia="宋体" w:cs="宋体"/>
          <w:highlight w:val="none"/>
        </w:rPr>
        <w:t>注：由定标委员会各成员依据招标文件中列出的各定标因素，给予进入定标环节的各合格中标候选人客观实际的评语，并作为投票依据。</w:t>
      </w:r>
    </w:p>
    <w:p w14:paraId="5230E5C8">
      <w:pPr>
        <w:pStyle w:val="47"/>
        <w:rPr>
          <w:rFonts w:hint="eastAsia" w:ascii="宋体" w:hAnsi="宋体" w:eastAsia="宋体" w:cs="宋体"/>
          <w:highlight w:val="none"/>
        </w:rPr>
      </w:pPr>
    </w:p>
    <w:p w14:paraId="629A34D6">
      <w:pPr>
        <w:pStyle w:val="47"/>
        <w:rPr>
          <w:rFonts w:hint="eastAsia" w:ascii="宋体" w:hAnsi="宋体" w:eastAsia="宋体" w:cs="宋体"/>
          <w:highlight w:val="none"/>
        </w:rPr>
      </w:pPr>
      <w:r>
        <w:rPr>
          <w:rFonts w:hint="eastAsia" w:ascii="宋体" w:hAnsi="宋体" w:eastAsia="宋体" w:cs="宋体"/>
          <w:highlight w:val="none"/>
        </w:rPr>
        <w:br w:type="page"/>
      </w:r>
    </w:p>
    <w:p w14:paraId="11D2E62D">
      <w:pPr>
        <w:pStyle w:val="23"/>
        <w:rPr>
          <w:rFonts w:hint="eastAsia" w:ascii="宋体" w:hAnsi="宋体" w:eastAsia="宋体" w:cs="宋体"/>
          <w:color w:val="auto"/>
          <w:sz w:val="36"/>
          <w:szCs w:val="36"/>
          <w:highlight w:val="none"/>
        </w:rPr>
      </w:pPr>
    </w:p>
    <w:p w14:paraId="7A474E9F">
      <w:pPr>
        <w:pStyle w:val="23"/>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定标委员评语表</w:t>
      </w:r>
    </w:p>
    <w:p w14:paraId="07ECAEF3">
      <w:pPr>
        <w:pStyle w:val="39"/>
        <w:rPr>
          <w:rFonts w:hint="eastAsia" w:ascii="宋体" w:hAnsi="宋体" w:cs="宋体"/>
          <w:color w:val="auto"/>
          <w:highlight w:val="none"/>
        </w:rPr>
      </w:pPr>
    </w:p>
    <w:p w14:paraId="1A32A1F4">
      <w:pPr>
        <w:pStyle w:val="39"/>
        <w:spacing w:line="360" w:lineRule="auto"/>
        <w:jc w:val="left"/>
        <w:rPr>
          <w:rFonts w:hint="eastAsia" w:ascii="宋体" w:hAnsi="宋体" w:cs="宋体"/>
          <w:b w:val="0"/>
          <w:color w:val="auto"/>
          <w:highlight w:val="none"/>
        </w:rPr>
      </w:pPr>
      <w:r>
        <w:rPr>
          <w:rFonts w:hint="eastAsia" w:ascii="宋体" w:hAnsi="宋体" w:cs="宋体"/>
          <w:b w:val="0"/>
          <w:color w:val="auto"/>
          <w:highlight w:val="none"/>
          <w:lang w:val="en-US" w:eastAsia="zh-CN"/>
        </w:rPr>
        <w:t>标段</w:t>
      </w:r>
      <w:r>
        <w:rPr>
          <w:rFonts w:hint="eastAsia" w:ascii="宋体" w:hAnsi="宋体" w:cs="宋体"/>
          <w:b w:val="0"/>
          <w:color w:val="auto"/>
          <w:highlight w:val="none"/>
        </w:rPr>
        <w:t>名称：</w:t>
      </w:r>
    </w:p>
    <w:p w14:paraId="24B6CB92">
      <w:pPr>
        <w:pStyle w:val="39"/>
        <w:spacing w:line="360" w:lineRule="auto"/>
        <w:jc w:val="left"/>
        <w:rPr>
          <w:rFonts w:hint="eastAsia" w:ascii="宋体" w:hAnsi="宋体" w:cs="宋体"/>
          <w:b w:val="0"/>
          <w:color w:val="auto"/>
          <w:highlight w:val="none"/>
        </w:rPr>
      </w:pPr>
      <w:r>
        <w:rPr>
          <w:rFonts w:hint="eastAsia" w:ascii="宋体" w:hAnsi="宋体" w:cs="宋体"/>
          <w:b w:val="0"/>
          <w:color w:val="auto"/>
          <w:highlight w:val="none"/>
        </w:rPr>
        <w:t>合格中标候选人名称：</w:t>
      </w:r>
    </w:p>
    <w:tbl>
      <w:tblPr>
        <w:tblStyle w:val="27"/>
        <w:tblW w:w="9758" w:type="dxa"/>
        <w:tblInd w:w="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3"/>
        <w:gridCol w:w="3205"/>
        <w:gridCol w:w="2091"/>
        <w:gridCol w:w="3589"/>
      </w:tblGrid>
      <w:tr w14:paraId="18B1C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873" w:type="dxa"/>
            <w:tcBorders>
              <w:top w:val="single" w:color="auto" w:sz="4" w:space="0"/>
              <w:left w:val="single" w:color="auto" w:sz="4" w:space="0"/>
              <w:bottom w:val="single" w:color="auto" w:sz="4" w:space="0"/>
              <w:right w:val="single" w:color="auto" w:sz="4" w:space="0"/>
            </w:tcBorders>
            <w:noWrap w:val="0"/>
            <w:vAlign w:val="center"/>
          </w:tcPr>
          <w:p w14:paraId="02A025F9">
            <w:pPr>
              <w:jc w:val="center"/>
              <w:rPr>
                <w:rFonts w:hint="eastAsia" w:ascii="宋体" w:hAnsi="宋体" w:cs="宋体"/>
                <w:b/>
                <w:bCs/>
                <w:color w:val="auto"/>
                <w:highlight w:val="none"/>
              </w:rPr>
            </w:pPr>
            <w:r>
              <w:rPr>
                <w:rFonts w:hint="eastAsia" w:ascii="宋体" w:hAnsi="宋体" w:cs="宋体"/>
                <w:b/>
                <w:bCs/>
                <w:color w:val="auto"/>
                <w:highlight w:val="none"/>
              </w:rPr>
              <w:t>序号</w:t>
            </w:r>
          </w:p>
        </w:tc>
        <w:tc>
          <w:tcPr>
            <w:tcW w:w="3205" w:type="dxa"/>
            <w:tcBorders>
              <w:top w:val="single" w:color="auto" w:sz="4" w:space="0"/>
              <w:left w:val="single" w:color="auto" w:sz="4" w:space="0"/>
              <w:bottom w:val="single" w:color="auto" w:sz="4" w:space="0"/>
              <w:right w:val="single" w:color="auto" w:sz="4" w:space="0"/>
            </w:tcBorders>
            <w:noWrap w:val="0"/>
            <w:vAlign w:val="center"/>
          </w:tcPr>
          <w:p w14:paraId="203711A9">
            <w:pPr>
              <w:jc w:val="center"/>
              <w:rPr>
                <w:rFonts w:hint="eastAsia" w:ascii="宋体" w:hAnsi="宋体" w:cs="宋体"/>
                <w:b/>
                <w:bCs/>
                <w:color w:val="auto"/>
                <w:highlight w:val="none"/>
              </w:rPr>
            </w:pPr>
            <w:r>
              <w:rPr>
                <w:rFonts w:hint="eastAsia" w:ascii="宋体" w:hAnsi="宋体" w:cs="宋体"/>
                <w:b/>
                <w:bCs/>
                <w:color w:val="auto"/>
                <w:highlight w:val="none"/>
              </w:rPr>
              <w:t>定标因素</w:t>
            </w:r>
          </w:p>
        </w:tc>
        <w:tc>
          <w:tcPr>
            <w:tcW w:w="2091" w:type="dxa"/>
            <w:tcBorders>
              <w:top w:val="single" w:color="auto" w:sz="4" w:space="0"/>
              <w:left w:val="single" w:color="auto" w:sz="4" w:space="0"/>
              <w:bottom w:val="single" w:color="auto" w:sz="4" w:space="0"/>
              <w:right w:val="single" w:color="auto" w:sz="4" w:space="0"/>
            </w:tcBorders>
            <w:noWrap w:val="0"/>
            <w:vAlign w:val="center"/>
          </w:tcPr>
          <w:p w14:paraId="7701D049">
            <w:pPr>
              <w:jc w:val="center"/>
              <w:rPr>
                <w:rFonts w:hint="eastAsia" w:ascii="宋体" w:hAnsi="宋体" w:cs="宋体"/>
                <w:b/>
                <w:bCs/>
                <w:color w:val="auto"/>
                <w:highlight w:val="none"/>
              </w:rPr>
            </w:pPr>
            <w:r>
              <w:rPr>
                <w:rFonts w:hint="eastAsia" w:ascii="宋体" w:hAnsi="宋体" w:cs="宋体"/>
                <w:b/>
                <w:bCs/>
                <w:color w:val="auto"/>
                <w:highlight w:val="none"/>
              </w:rPr>
              <w:t>定标因素结论</w:t>
            </w:r>
          </w:p>
        </w:tc>
        <w:tc>
          <w:tcPr>
            <w:tcW w:w="3589" w:type="dxa"/>
            <w:tcBorders>
              <w:top w:val="single" w:color="auto" w:sz="4" w:space="0"/>
              <w:left w:val="single" w:color="auto" w:sz="4" w:space="0"/>
              <w:bottom w:val="single" w:color="auto" w:sz="4" w:space="0"/>
              <w:right w:val="single" w:color="auto" w:sz="4" w:space="0"/>
            </w:tcBorders>
            <w:noWrap w:val="0"/>
            <w:vAlign w:val="center"/>
          </w:tcPr>
          <w:p w14:paraId="0C919719">
            <w:pPr>
              <w:jc w:val="center"/>
              <w:rPr>
                <w:rFonts w:hint="eastAsia" w:ascii="宋体" w:hAnsi="宋体" w:cs="宋体"/>
                <w:b/>
                <w:bCs/>
                <w:color w:val="auto"/>
                <w:highlight w:val="none"/>
              </w:rPr>
            </w:pPr>
            <w:r>
              <w:rPr>
                <w:rFonts w:hint="eastAsia" w:ascii="宋体" w:hAnsi="宋体" w:cs="宋体"/>
                <w:b/>
                <w:bCs/>
                <w:color w:val="auto"/>
                <w:highlight w:val="none"/>
              </w:rPr>
              <w:t>定标委员评语</w:t>
            </w:r>
          </w:p>
        </w:tc>
      </w:tr>
      <w:tr w14:paraId="7A9DC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1" w:hRule="atLeast"/>
        </w:trPr>
        <w:tc>
          <w:tcPr>
            <w:tcW w:w="873" w:type="dxa"/>
            <w:tcBorders>
              <w:top w:val="single" w:color="auto" w:sz="4" w:space="0"/>
              <w:left w:val="single" w:color="auto" w:sz="4" w:space="0"/>
              <w:bottom w:val="single" w:color="auto" w:sz="4" w:space="0"/>
              <w:right w:val="single" w:color="auto" w:sz="4" w:space="0"/>
            </w:tcBorders>
            <w:noWrap w:val="0"/>
            <w:vAlign w:val="center"/>
          </w:tcPr>
          <w:p w14:paraId="7E3998E8">
            <w:pPr>
              <w:jc w:val="center"/>
              <w:rPr>
                <w:rFonts w:hint="eastAsia" w:ascii="宋体" w:hAnsi="宋体" w:cs="宋体"/>
                <w:b/>
                <w:bCs/>
                <w:color w:val="auto"/>
                <w:highlight w:val="none"/>
              </w:rPr>
            </w:pPr>
            <w:r>
              <w:rPr>
                <w:rFonts w:hint="eastAsia" w:ascii="宋体" w:hAnsi="宋体" w:cs="宋体"/>
                <w:b/>
                <w:bCs/>
                <w:color w:val="auto"/>
                <w:highlight w:val="none"/>
              </w:rPr>
              <w:t>1</w:t>
            </w:r>
          </w:p>
        </w:tc>
        <w:tc>
          <w:tcPr>
            <w:tcW w:w="3205" w:type="dxa"/>
            <w:tcBorders>
              <w:top w:val="single" w:color="auto" w:sz="4" w:space="0"/>
              <w:left w:val="single" w:color="auto" w:sz="4" w:space="0"/>
              <w:bottom w:val="single" w:color="auto" w:sz="4" w:space="0"/>
              <w:right w:val="single" w:color="auto" w:sz="4" w:space="0"/>
            </w:tcBorders>
            <w:noWrap w:val="0"/>
            <w:vAlign w:val="center"/>
          </w:tcPr>
          <w:p w14:paraId="3FFC137A">
            <w:pPr>
              <w:spacing w:line="360" w:lineRule="auto"/>
              <w:jc w:val="center"/>
              <w:rPr>
                <w:rFonts w:hint="eastAsia" w:ascii="宋体" w:hAnsi="宋体" w:cs="宋体"/>
                <w:b/>
                <w:bCs/>
                <w:color w:val="auto"/>
                <w:sz w:val="24"/>
                <w:szCs w:val="32"/>
                <w:highlight w:val="none"/>
              </w:rPr>
            </w:pPr>
            <w:r>
              <w:rPr>
                <w:rFonts w:hint="eastAsia" w:ascii="宋体" w:hAnsi="宋体" w:cs="宋体"/>
                <w:color w:val="auto"/>
                <w:sz w:val="24"/>
                <w:highlight w:val="none"/>
              </w:rPr>
              <w:t>价格因素</w:t>
            </w:r>
          </w:p>
        </w:tc>
        <w:tc>
          <w:tcPr>
            <w:tcW w:w="2091" w:type="dxa"/>
            <w:tcBorders>
              <w:top w:val="single" w:color="auto" w:sz="4" w:space="0"/>
              <w:left w:val="single" w:color="auto" w:sz="4" w:space="0"/>
              <w:bottom w:val="single" w:color="auto" w:sz="4" w:space="0"/>
              <w:right w:val="single" w:color="auto" w:sz="4" w:space="0"/>
            </w:tcBorders>
            <w:noWrap w:val="0"/>
            <w:vAlign w:val="center"/>
          </w:tcPr>
          <w:p w14:paraId="1A97D238">
            <w:pPr>
              <w:spacing w:line="360" w:lineRule="auto"/>
              <w:jc w:val="center"/>
              <w:rPr>
                <w:rFonts w:hint="eastAsia" w:ascii="宋体" w:hAnsi="宋体" w:cs="宋体"/>
                <w:b/>
                <w:bCs/>
                <w:color w:val="auto"/>
                <w:highlight w:val="none"/>
              </w:rPr>
            </w:pPr>
            <w:r>
              <w:rPr>
                <w:rFonts w:hint="eastAsia" w:ascii="宋体" w:hAnsi="宋体" w:cs="宋体"/>
                <w:b/>
                <w:bCs/>
                <w:color w:val="auto"/>
                <w:highlight w:val="none"/>
              </w:rPr>
              <w:t>□优</w:t>
            </w:r>
          </w:p>
          <w:p w14:paraId="51B7E892">
            <w:pPr>
              <w:spacing w:line="360" w:lineRule="auto"/>
              <w:jc w:val="center"/>
              <w:rPr>
                <w:rFonts w:hint="eastAsia" w:ascii="宋体" w:hAnsi="宋体" w:cs="宋体"/>
                <w:b/>
                <w:bCs/>
                <w:color w:val="auto"/>
                <w:highlight w:val="none"/>
              </w:rPr>
            </w:pPr>
            <w:r>
              <w:rPr>
                <w:rFonts w:hint="eastAsia" w:ascii="宋体" w:hAnsi="宋体" w:cs="宋体"/>
                <w:b/>
                <w:bCs/>
                <w:color w:val="auto"/>
                <w:highlight w:val="none"/>
              </w:rPr>
              <w:t>□良</w:t>
            </w:r>
          </w:p>
          <w:p w14:paraId="4F780F24">
            <w:pPr>
              <w:spacing w:line="360" w:lineRule="auto"/>
              <w:jc w:val="center"/>
              <w:rPr>
                <w:rFonts w:hint="eastAsia" w:ascii="宋体" w:hAnsi="宋体" w:cs="宋体"/>
                <w:b/>
                <w:bCs/>
                <w:color w:val="auto"/>
                <w:highlight w:val="none"/>
              </w:rPr>
            </w:pPr>
            <w:r>
              <w:rPr>
                <w:rFonts w:hint="eastAsia" w:ascii="宋体" w:hAnsi="宋体" w:cs="宋体"/>
                <w:b/>
                <w:bCs/>
                <w:color w:val="auto"/>
                <w:highlight w:val="none"/>
              </w:rPr>
              <w:t>□中</w:t>
            </w:r>
          </w:p>
        </w:tc>
        <w:tc>
          <w:tcPr>
            <w:tcW w:w="3589" w:type="dxa"/>
            <w:tcBorders>
              <w:top w:val="single" w:color="auto" w:sz="4" w:space="0"/>
              <w:left w:val="single" w:color="auto" w:sz="4" w:space="0"/>
              <w:bottom w:val="single" w:color="auto" w:sz="4" w:space="0"/>
              <w:right w:val="single" w:color="auto" w:sz="4" w:space="0"/>
            </w:tcBorders>
            <w:noWrap w:val="0"/>
            <w:vAlign w:val="center"/>
          </w:tcPr>
          <w:p w14:paraId="36BF64B2">
            <w:pPr>
              <w:spacing w:line="360" w:lineRule="auto"/>
              <w:rPr>
                <w:rFonts w:hint="eastAsia" w:ascii="宋体" w:hAnsi="宋体" w:cs="宋体"/>
                <w:b/>
                <w:bCs/>
                <w:color w:val="auto"/>
                <w:highlight w:val="none"/>
              </w:rPr>
            </w:pPr>
          </w:p>
        </w:tc>
      </w:tr>
      <w:tr w14:paraId="12002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atLeast"/>
        </w:trPr>
        <w:tc>
          <w:tcPr>
            <w:tcW w:w="873" w:type="dxa"/>
            <w:tcBorders>
              <w:top w:val="single" w:color="auto" w:sz="4" w:space="0"/>
              <w:left w:val="single" w:color="auto" w:sz="4" w:space="0"/>
              <w:bottom w:val="single" w:color="auto" w:sz="4" w:space="0"/>
              <w:right w:val="single" w:color="auto" w:sz="4" w:space="0"/>
            </w:tcBorders>
            <w:noWrap w:val="0"/>
            <w:vAlign w:val="center"/>
          </w:tcPr>
          <w:p w14:paraId="5E230503">
            <w:pPr>
              <w:jc w:val="center"/>
              <w:rPr>
                <w:rFonts w:hint="eastAsia" w:ascii="宋体" w:hAnsi="宋体" w:cs="宋体"/>
                <w:b/>
                <w:bCs/>
                <w:color w:val="auto"/>
                <w:highlight w:val="none"/>
              </w:rPr>
            </w:pPr>
            <w:r>
              <w:rPr>
                <w:rFonts w:hint="eastAsia" w:ascii="宋体" w:hAnsi="宋体" w:cs="宋体"/>
                <w:b/>
                <w:bCs/>
                <w:color w:val="auto"/>
                <w:highlight w:val="none"/>
              </w:rPr>
              <w:t>2</w:t>
            </w:r>
          </w:p>
        </w:tc>
        <w:tc>
          <w:tcPr>
            <w:tcW w:w="3205" w:type="dxa"/>
            <w:tcBorders>
              <w:top w:val="single" w:color="auto" w:sz="4" w:space="0"/>
              <w:left w:val="single" w:color="auto" w:sz="4" w:space="0"/>
              <w:bottom w:val="single" w:color="auto" w:sz="4" w:space="0"/>
              <w:right w:val="single" w:color="auto" w:sz="4" w:space="0"/>
            </w:tcBorders>
            <w:noWrap w:val="0"/>
            <w:vAlign w:val="center"/>
          </w:tcPr>
          <w:p w14:paraId="5ED5A71C">
            <w:pPr>
              <w:spacing w:line="360" w:lineRule="auto"/>
              <w:jc w:val="center"/>
              <w:rPr>
                <w:rFonts w:hint="eastAsia" w:ascii="宋体" w:hAnsi="宋体" w:cs="宋体"/>
                <w:color w:val="auto"/>
                <w:sz w:val="24"/>
                <w:szCs w:val="32"/>
                <w:highlight w:val="none"/>
              </w:rPr>
            </w:pPr>
            <w:r>
              <w:rPr>
                <w:rFonts w:hint="eastAsia" w:ascii="宋体" w:hAnsi="宋体" w:cs="宋体"/>
                <w:color w:val="auto"/>
                <w:sz w:val="24"/>
                <w:highlight w:val="none"/>
              </w:rPr>
              <w:t>方案因素</w:t>
            </w:r>
          </w:p>
        </w:tc>
        <w:tc>
          <w:tcPr>
            <w:tcW w:w="2091" w:type="dxa"/>
            <w:tcBorders>
              <w:top w:val="single" w:color="auto" w:sz="4" w:space="0"/>
              <w:left w:val="single" w:color="auto" w:sz="4" w:space="0"/>
              <w:bottom w:val="single" w:color="auto" w:sz="4" w:space="0"/>
              <w:right w:val="single" w:color="auto" w:sz="4" w:space="0"/>
            </w:tcBorders>
            <w:noWrap w:val="0"/>
            <w:vAlign w:val="center"/>
          </w:tcPr>
          <w:p w14:paraId="4EEA2627">
            <w:pPr>
              <w:spacing w:line="360" w:lineRule="auto"/>
              <w:jc w:val="center"/>
              <w:rPr>
                <w:rFonts w:hint="eastAsia" w:ascii="宋体" w:hAnsi="宋体" w:cs="宋体"/>
                <w:b/>
                <w:bCs/>
                <w:color w:val="auto"/>
                <w:highlight w:val="none"/>
              </w:rPr>
            </w:pPr>
            <w:r>
              <w:rPr>
                <w:rFonts w:hint="eastAsia" w:ascii="宋体" w:hAnsi="宋体" w:cs="宋体"/>
                <w:b/>
                <w:bCs/>
                <w:color w:val="auto"/>
                <w:highlight w:val="none"/>
              </w:rPr>
              <w:t>□优</w:t>
            </w:r>
          </w:p>
          <w:p w14:paraId="757D4F90">
            <w:pPr>
              <w:spacing w:line="360" w:lineRule="auto"/>
              <w:jc w:val="center"/>
              <w:rPr>
                <w:rFonts w:hint="eastAsia" w:ascii="宋体" w:hAnsi="宋体" w:cs="宋体"/>
                <w:b/>
                <w:bCs/>
                <w:color w:val="auto"/>
                <w:highlight w:val="none"/>
              </w:rPr>
            </w:pPr>
            <w:r>
              <w:rPr>
                <w:rFonts w:hint="eastAsia" w:ascii="宋体" w:hAnsi="宋体" w:cs="宋体"/>
                <w:b/>
                <w:bCs/>
                <w:color w:val="auto"/>
                <w:highlight w:val="none"/>
              </w:rPr>
              <w:t>□良</w:t>
            </w:r>
          </w:p>
          <w:p w14:paraId="6F01B684">
            <w:pPr>
              <w:spacing w:line="360" w:lineRule="auto"/>
              <w:jc w:val="center"/>
              <w:rPr>
                <w:rFonts w:hint="eastAsia" w:ascii="宋体" w:hAnsi="宋体" w:cs="宋体"/>
                <w:color w:val="auto"/>
                <w:highlight w:val="none"/>
              </w:rPr>
            </w:pPr>
            <w:r>
              <w:rPr>
                <w:rFonts w:hint="eastAsia" w:ascii="宋体" w:hAnsi="宋体" w:cs="宋体"/>
                <w:b/>
                <w:bCs/>
                <w:color w:val="auto"/>
                <w:highlight w:val="none"/>
              </w:rPr>
              <w:t>□中</w:t>
            </w:r>
          </w:p>
        </w:tc>
        <w:tc>
          <w:tcPr>
            <w:tcW w:w="3589" w:type="dxa"/>
            <w:tcBorders>
              <w:top w:val="single" w:color="auto" w:sz="4" w:space="0"/>
              <w:left w:val="single" w:color="auto" w:sz="4" w:space="0"/>
              <w:bottom w:val="single" w:color="auto" w:sz="4" w:space="0"/>
              <w:right w:val="single" w:color="auto" w:sz="4" w:space="0"/>
            </w:tcBorders>
            <w:noWrap w:val="0"/>
            <w:vAlign w:val="center"/>
          </w:tcPr>
          <w:p w14:paraId="1FADB8AD">
            <w:pPr>
              <w:spacing w:line="360" w:lineRule="auto"/>
              <w:rPr>
                <w:rFonts w:hint="eastAsia" w:ascii="宋体" w:hAnsi="宋体" w:cs="宋体"/>
                <w:color w:val="auto"/>
                <w:highlight w:val="none"/>
              </w:rPr>
            </w:pPr>
          </w:p>
        </w:tc>
      </w:tr>
      <w:tr w14:paraId="07926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9" w:hRule="atLeast"/>
        </w:trPr>
        <w:tc>
          <w:tcPr>
            <w:tcW w:w="873" w:type="dxa"/>
            <w:tcBorders>
              <w:top w:val="single" w:color="auto" w:sz="4" w:space="0"/>
              <w:left w:val="single" w:color="auto" w:sz="4" w:space="0"/>
              <w:bottom w:val="single" w:color="auto" w:sz="4" w:space="0"/>
              <w:right w:val="single" w:color="auto" w:sz="4" w:space="0"/>
            </w:tcBorders>
            <w:noWrap w:val="0"/>
            <w:vAlign w:val="center"/>
          </w:tcPr>
          <w:p w14:paraId="5EA8F532">
            <w:pPr>
              <w:jc w:val="center"/>
              <w:rPr>
                <w:rFonts w:hint="eastAsia" w:ascii="宋体" w:hAnsi="宋体" w:cs="宋体"/>
                <w:b/>
                <w:bCs/>
                <w:color w:val="auto"/>
                <w:highlight w:val="none"/>
              </w:rPr>
            </w:pPr>
            <w:r>
              <w:rPr>
                <w:rFonts w:hint="eastAsia" w:ascii="宋体" w:hAnsi="宋体" w:cs="宋体"/>
                <w:b/>
                <w:bCs/>
                <w:color w:val="auto"/>
                <w:highlight w:val="none"/>
              </w:rPr>
              <w:t>3</w:t>
            </w:r>
          </w:p>
        </w:tc>
        <w:tc>
          <w:tcPr>
            <w:tcW w:w="3205" w:type="dxa"/>
            <w:tcBorders>
              <w:top w:val="single" w:color="auto" w:sz="4" w:space="0"/>
              <w:left w:val="single" w:color="auto" w:sz="4" w:space="0"/>
              <w:bottom w:val="single" w:color="auto" w:sz="4" w:space="0"/>
              <w:right w:val="single" w:color="auto" w:sz="4" w:space="0"/>
            </w:tcBorders>
            <w:noWrap w:val="0"/>
            <w:vAlign w:val="center"/>
          </w:tcPr>
          <w:p w14:paraId="72E211DA">
            <w:pPr>
              <w:spacing w:line="360" w:lineRule="auto"/>
              <w:jc w:val="center"/>
              <w:rPr>
                <w:rFonts w:hint="eastAsia" w:ascii="宋体" w:hAnsi="宋体" w:cs="宋体"/>
                <w:color w:val="auto"/>
                <w:sz w:val="24"/>
                <w:szCs w:val="32"/>
                <w:highlight w:val="none"/>
              </w:rPr>
            </w:pPr>
            <w:r>
              <w:rPr>
                <w:rFonts w:hint="eastAsia" w:ascii="宋体" w:hAnsi="宋体" w:cs="宋体"/>
                <w:color w:val="auto"/>
                <w:sz w:val="24"/>
                <w:highlight w:val="none"/>
              </w:rPr>
              <w:t>团队因素</w:t>
            </w:r>
          </w:p>
        </w:tc>
        <w:tc>
          <w:tcPr>
            <w:tcW w:w="2091" w:type="dxa"/>
            <w:tcBorders>
              <w:top w:val="single" w:color="auto" w:sz="4" w:space="0"/>
              <w:left w:val="single" w:color="auto" w:sz="4" w:space="0"/>
              <w:bottom w:val="single" w:color="auto" w:sz="4" w:space="0"/>
              <w:right w:val="single" w:color="auto" w:sz="4" w:space="0"/>
            </w:tcBorders>
            <w:noWrap w:val="0"/>
            <w:vAlign w:val="center"/>
          </w:tcPr>
          <w:p w14:paraId="05D2C02F">
            <w:pPr>
              <w:spacing w:line="360" w:lineRule="auto"/>
              <w:jc w:val="center"/>
              <w:rPr>
                <w:rFonts w:hint="eastAsia" w:ascii="宋体" w:hAnsi="宋体" w:cs="宋体"/>
                <w:b/>
                <w:bCs/>
                <w:color w:val="auto"/>
                <w:highlight w:val="none"/>
              </w:rPr>
            </w:pPr>
            <w:r>
              <w:rPr>
                <w:rFonts w:hint="eastAsia" w:ascii="宋体" w:hAnsi="宋体" w:cs="宋体"/>
                <w:b/>
                <w:bCs/>
                <w:color w:val="auto"/>
                <w:highlight w:val="none"/>
              </w:rPr>
              <w:t>□优</w:t>
            </w:r>
          </w:p>
          <w:p w14:paraId="0DA79004">
            <w:pPr>
              <w:spacing w:line="360" w:lineRule="auto"/>
              <w:jc w:val="center"/>
              <w:rPr>
                <w:rFonts w:hint="eastAsia" w:ascii="宋体" w:hAnsi="宋体" w:cs="宋体"/>
                <w:b/>
                <w:bCs/>
                <w:color w:val="auto"/>
                <w:highlight w:val="none"/>
              </w:rPr>
            </w:pPr>
            <w:r>
              <w:rPr>
                <w:rFonts w:hint="eastAsia" w:ascii="宋体" w:hAnsi="宋体" w:cs="宋体"/>
                <w:b/>
                <w:bCs/>
                <w:color w:val="auto"/>
                <w:highlight w:val="none"/>
              </w:rPr>
              <w:t>□良</w:t>
            </w:r>
          </w:p>
          <w:p w14:paraId="3F579A99">
            <w:pPr>
              <w:spacing w:line="360" w:lineRule="auto"/>
              <w:jc w:val="center"/>
              <w:rPr>
                <w:rFonts w:hint="eastAsia" w:ascii="宋体" w:hAnsi="宋体" w:cs="宋体"/>
                <w:color w:val="auto"/>
                <w:highlight w:val="none"/>
              </w:rPr>
            </w:pPr>
            <w:r>
              <w:rPr>
                <w:rFonts w:hint="eastAsia" w:ascii="宋体" w:hAnsi="宋体" w:cs="宋体"/>
                <w:b/>
                <w:bCs/>
                <w:color w:val="auto"/>
                <w:highlight w:val="none"/>
              </w:rPr>
              <w:t>□中</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6BA32177">
            <w:pPr>
              <w:spacing w:line="360" w:lineRule="auto"/>
              <w:rPr>
                <w:rFonts w:hint="eastAsia" w:ascii="宋体" w:hAnsi="宋体" w:cs="宋体"/>
                <w:color w:val="auto"/>
                <w:highlight w:val="none"/>
              </w:rPr>
            </w:pPr>
          </w:p>
        </w:tc>
      </w:tr>
      <w:tr w14:paraId="2F651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trPr>
        <w:tc>
          <w:tcPr>
            <w:tcW w:w="873" w:type="dxa"/>
            <w:tcBorders>
              <w:top w:val="single" w:color="auto" w:sz="4" w:space="0"/>
              <w:left w:val="single" w:color="auto" w:sz="4" w:space="0"/>
              <w:bottom w:val="single" w:color="auto" w:sz="4" w:space="0"/>
              <w:right w:val="single" w:color="auto" w:sz="4" w:space="0"/>
            </w:tcBorders>
            <w:noWrap w:val="0"/>
            <w:vAlign w:val="center"/>
          </w:tcPr>
          <w:p w14:paraId="2771D4C8">
            <w:pPr>
              <w:jc w:val="center"/>
              <w:rPr>
                <w:rFonts w:hint="eastAsia" w:ascii="宋体" w:hAnsi="宋体" w:cs="宋体"/>
                <w:b/>
                <w:bCs/>
                <w:color w:val="auto"/>
                <w:highlight w:val="none"/>
              </w:rPr>
            </w:pPr>
            <w:r>
              <w:rPr>
                <w:rFonts w:hint="eastAsia" w:ascii="宋体" w:hAnsi="宋体" w:cs="宋体"/>
                <w:b/>
                <w:bCs/>
                <w:color w:val="auto"/>
                <w:highlight w:val="none"/>
              </w:rPr>
              <w:t>4</w:t>
            </w:r>
          </w:p>
        </w:tc>
        <w:tc>
          <w:tcPr>
            <w:tcW w:w="3205" w:type="dxa"/>
            <w:tcBorders>
              <w:top w:val="single" w:color="auto" w:sz="4" w:space="0"/>
              <w:left w:val="single" w:color="auto" w:sz="4" w:space="0"/>
              <w:bottom w:val="single" w:color="auto" w:sz="4" w:space="0"/>
              <w:right w:val="single" w:color="auto" w:sz="4" w:space="0"/>
            </w:tcBorders>
            <w:noWrap w:val="0"/>
            <w:vAlign w:val="center"/>
          </w:tcPr>
          <w:p w14:paraId="531384BC">
            <w:pPr>
              <w:spacing w:line="360" w:lineRule="auto"/>
              <w:jc w:val="center"/>
              <w:rPr>
                <w:rFonts w:hint="eastAsia" w:ascii="宋体" w:hAnsi="宋体" w:cs="宋体"/>
                <w:color w:val="auto"/>
                <w:sz w:val="24"/>
                <w:szCs w:val="32"/>
                <w:highlight w:val="none"/>
              </w:rPr>
            </w:pPr>
            <w:r>
              <w:rPr>
                <w:rFonts w:hint="eastAsia" w:ascii="宋体" w:hAnsi="宋体" w:cs="宋体"/>
                <w:color w:val="auto"/>
                <w:sz w:val="24"/>
                <w:highlight w:val="none"/>
              </w:rPr>
              <w:t>资信因素</w:t>
            </w:r>
          </w:p>
        </w:tc>
        <w:tc>
          <w:tcPr>
            <w:tcW w:w="2091" w:type="dxa"/>
            <w:tcBorders>
              <w:top w:val="single" w:color="auto" w:sz="4" w:space="0"/>
              <w:left w:val="single" w:color="auto" w:sz="4" w:space="0"/>
              <w:bottom w:val="single" w:color="auto" w:sz="4" w:space="0"/>
              <w:right w:val="single" w:color="auto" w:sz="4" w:space="0"/>
            </w:tcBorders>
            <w:noWrap w:val="0"/>
            <w:vAlign w:val="center"/>
          </w:tcPr>
          <w:p w14:paraId="62CD13C7">
            <w:pPr>
              <w:spacing w:line="360" w:lineRule="auto"/>
              <w:jc w:val="center"/>
              <w:rPr>
                <w:rFonts w:hint="eastAsia" w:ascii="宋体" w:hAnsi="宋体" w:cs="宋体"/>
                <w:b/>
                <w:bCs/>
                <w:color w:val="auto"/>
                <w:highlight w:val="none"/>
              </w:rPr>
            </w:pPr>
            <w:r>
              <w:rPr>
                <w:rFonts w:hint="eastAsia" w:ascii="宋体" w:hAnsi="宋体" w:cs="宋体"/>
                <w:b/>
                <w:bCs/>
                <w:color w:val="auto"/>
                <w:highlight w:val="none"/>
              </w:rPr>
              <w:t>□优</w:t>
            </w:r>
          </w:p>
          <w:p w14:paraId="174C0E35">
            <w:pPr>
              <w:spacing w:line="360" w:lineRule="auto"/>
              <w:jc w:val="center"/>
              <w:rPr>
                <w:rFonts w:hint="eastAsia" w:ascii="宋体" w:hAnsi="宋体" w:cs="宋体"/>
                <w:b/>
                <w:bCs/>
                <w:color w:val="auto"/>
                <w:highlight w:val="none"/>
              </w:rPr>
            </w:pPr>
            <w:r>
              <w:rPr>
                <w:rFonts w:hint="eastAsia" w:ascii="宋体" w:hAnsi="宋体" w:cs="宋体"/>
                <w:b/>
                <w:bCs/>
                <w:color w:val="auto"/>
                <w:highlight w:val="none"/>
              </w:rPr>
              <w:t>□良</w:t>
            </w:r>
          </w:p>
          <w:p w14:paraId="29ED5EEC">
            <w:pPr>
              <w:spacing w:line="360" w:lineRule="auto"/>
              <w:jc w:val="center"/>
              <w:rPr>
                <w:rFonts w:hint="eastAsia" w:ascii="宋体" w:hAnsi="宋体" w:cs="宋体"/>
                <w:bCs/>
                <w:color w:val="auto"/>
                <w:szCs w:val="21"/>
                <w:highlight w:val="none"/>
              </w:rPr>
            </w:pPr>
            <w:r>
              <w:rPr>
                <w:rFonts w:hint="eastAsia" w:ascii="宋体" w:hAnsi="宋体" w:cs="宋体"/>
                <w:b/>
                <w:bCs/>
                <w:color w:val="auto"/>
                <w:highlight w:val="none"/>
              </w:rPr>
              <w:t>□中</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132427DB">
            <w:pPr>
              <w:spacing w:line="360" w:lineRule="auto"/>
              <w:rPr>
                <w:rFonts w:hint="eastAsia" w:ascii="宋体" w:hAnsi="宋体" w:cs="宋体"/>
                <w:bCs/>
                <w:color w:val="auto"/>
                <w:szCs w:val="21"/>
                <w:highlight w:val="none"/>
              </w:rPr>
            </w:pPr>
          </w:p>
        </w:tc>
      </w:tr>
      <w:tr w14:paraId="15B39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3" w:hRule="atLeast"/>
        </w:trPr>
        <w:tc>
          <w:tcPr>
            <w:tcW w:w="873" w:type="dxa"/>
            <w:tcBorders>
              <w:top w:val="single" w:color="auto" w:sz="4" w:space="0"/>
              <w:left w:val="single" w:color="auto" w:sz="4" w:space="0"/>
              <w:bottom w:val="single" w:color="auto" w:sz="4" w:space="0"/>
              <w:right w:val="single" w:color="auto" w:sz="4" w:space="0"/>
            </w:tcBorders>
            <w:noWrap w:val="0"/>
            <w:vAlign w:val="center"/>
          </w:tcPr>
          <w:p w14:paraId="579FF8CD">
            <w:pPr>
              <w:jc w:val="center"/>
              <w:rPr>
                <w:rFonts w:hint="eastAsia" w:ascii="宋体" w:hAnsi="宋体" w:cs="宋体"/>
                <w:b/>
                <w:bCs/>
                <w:color w:val="auto"/>
                <w:highlight w:val="none"/>
              </w:rPr>
            </w:pPr>
            <w:r>
              <w:rPr>
                <w:rFonts w:hint="eastAsia" w:ascii="宋体" w:hAnsi="宋体" w:cs="宋体"/>
                <w:b/>
                <w:bCs/>
                <w:color w:val="auto"/>
                <w:highlight w:val="none"/>
              </w:rPr>
              <w:t>5</w:t>
            </w:r>
          </w:p>
        </w:tc>
        <w:tc>
          <w:tcPr>
            <w:tcW w:w="5296" w:type="dxa"/>
            <w:gridSpan w:val="2"/>
            <w:tcBorders>
              <w:top w:val="single" w:color="auto" w:sz="4" w:space="0"/>
              <w:left w:val="single" w:color="auto" w:sz="4" w:space="0"/>
              <w:bottom w:val="single" w:color="auto" w:sz="4" w:space="0"/>
              <w:right w:val="single" w:color="auto" w:sz="4" w:space="0"/>
            </w:tcBorders>
            <w:noWrap w:val="0"/>
            <w:vAlign w:val="center"/>
          </w:tcPr>
          <w:p w14:paraId="52C7CE10">
            <w:pPr>
              <w:pStyle w:val="8"/>
              <w:ind w:firstLine="2891" w:firstLineChars="1200"/>
              <w:rPr>
                <w:rFonts w:hint="eastAsia" w:ascii="宋体" w:hAnsi="宋体" w:cs="宋体"/>
                <w:bCs/>
                <w:color w:val="auto"/>
                <w:highlight w:val="none"/>
              </w:rPr>
            </w:pPr>
            <w:r>
              <w:rPr>
                <w:rFonts w:hint="eastAsia" w:ascii="宋体" w:hAnsi="宋体" w:cs="宋体"/>
                <w:color w:val="auto"/>
                <w:highlight w:val="none"/>
              </w:rPr>
              <w:t>结论</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029894FE">
            <w:pPr>
              <w:spacing w:line="360" w:lineRule="auto"/>
              <w:rPr>
                <w:rFonts w:hint="eastAsia" w:ascii="宋体" w:hAnsi="宋体" w:cs="宋体"/>
                <w:bCs/>
                <w:color w:val="auto"/>
                <w:szCs w:val="21"/>
                <w:highlight w:val="none"/>
              </w:rPr>
            </w:pPr>
          </w:p>
        </w:tc>
      </w:tr>
    </w:tbl>
    <w:p w14:paraId="0391C098">
      <w:pPr>
        <w:spacing w:line="360" w:lineRule="auto"/>
        <w:ind w:left="316" w:hanging="361" w:hangingChars="150"/>
        <w:jc w:val="left"/>
        <w:rPr>
          <w:rFonts w:hint="eastAsia" w:ascii="宋体" w:hAnsi="宋体" w:cs="宋体"/>
          <w:b/>
          <w:bCs/>
          <w:color w:val="auto"/>
          <w:highlight w:val="none"/>
        </w:rPr>
      </w:pPr>
      <w:r>
        <w:rPr>
          <w:rFonts w:hint="eastAsia" w:ascii="宋体" w:hAnsi="宋体" w:cs="宋体"/>
          <w:b/>
          <w:bCs/>
          <w:color w:val="auto"/>
          <w:highlight w:val="none"/>
        </w:rPr>
        <w:t>注：定标委员须根据合格中标候选人的投标文件(定标部分）在定标因素结论中进行勾选，并按相应的定标因素填写评语。</w:t>
      </w:r>
    </w:p>
    <w:p w14:paraId="6249D875">
      <w:pPr>
        <w:pStyle w:val="16"/>
        <w:rPr>
          <w:rFonts w:hint="eastAsia" w:hAnsi="宋体" w:eastAsia="宋体" w:cs="宋体"/>
          <w:color w:val="auto"/>
          <w:highlight w:val="none"/>
          <w:lang w:val="en-US"/>
        </w:rPr>
      </w:pPr>
    </w:p>
    <w:p w14:paraId="044BA90C">
      <w:pPr>
        <w:spacing w:line="360" w:lineRule="auto"/>
        <w:ind w:left="360" w:hanging="360" w:hangingChars="150"/>
        <w:jc w:val="center"/>
        <w:rPr>
          <w:rFonts w:hint="eastAsia" w:ascii="宋体" w:hAnsi="宋体" w:cs="宋体"/>
          <w:color w:val="auto"/>
          <w:sz w:val="24"/>
          <w:highlight w:val="none"/>
        </w:rPr>
      </w:pPr>
    </w:p>
    <w:p w14:paraId="01BDBFA8">
      <w:pPr>
        <w:spacing w:line="360" w:lineRule="auto"/>
        <w:ind w:left="360" w:hanging="360" w:hangingChars="150"/>
        <w:jc w:val="center"/>
        <w:rPr>
          <w:rFonts w:hint="eastAsia" w:ascii="宋体" w:hAnsi="宋体" w:cs="宋体"/>
          <w:color w:val="auto"/>
          <w:sz w:val="24"/>
          <w:highlight w:val="none"/>
        </w:rPr>
      </w:pPr>
      <w:r>
        <w:rPr>
          <w:rFonts w:hint="eastAsia" w:ascii="宋体" w:hAnsi="宋体" w:cs="宋体"/>
          <w:color w:val="auto"/>
          <w:sz w:val="24"/>
          <w:highlight w:val="none"/>
        </w:rPr>
        <w:t>定标委员签名：                                          日   期：</w:t>
      </w:r>
    </w:p>
    <w:p w14:paraId="5925B0FC">
      <w:pPr>
        <w:pStyle w:val="3"/>
        <w:outlineLvl w:val="0"/>
        <w:rPr>
          <w:rFonts w:hint="eastAsia" w:cs="宋体"/>
          <w:color w:val="auto"/>
          <w:sz w:val="44"/>
          <w:szCs w:val="24"/>
          <w:highlight w:val="none"/>
        </w:rPr>
      </w:pPr>
      <w:r>
        <w:rPr>
          <w:rFonts w:hint="eastAsia" w:ascii="宋体" w:hAnsi="宋体" w:cs="宋体"/>
          <w:color w:val="auto"/>
          <w:sz w:val="32"/>
          <w:szCs w:val="32"/>
          <w:highlight w:val="none"/>
        </w:rPr>
        <w:br w:type="page"/>
      </w:r>
      <w:bookmarkStart w:id="110" w:name="bookmark93"/>
      <w:bookmarkEnd w:id="110"/>
      <w:bookmarkStart w:id="111" w:name="_Toc14321"/>
      <w:r>
        <w:rPr>
          <w:rFonts w:hint="eastAsia" w:cs="宋体"/>
          <w:color w:val="auto"/>
          <w:sz w:val="44"/>
          <w:szCs w:val="24"/>
          <w:highlight w:val="none"/>
        </w:rPr>
        <w:t>第四章</w:t>
      </w:r>
      <w:r>
        <w:rPr>
          <w:rFonts w:hint="eastAsia" w:cs="宋体"/>
          <w:color w:val="auto"/>
          <w:sz w:val="44"/>
          <w:szCs w:val="24"/>
          <w:highlight w:val="none"/>
          <w:lang w:val="en-US" w:eastAsia="zh-CN"/>
        </w:rPr>
        <w:t xml:space="preserve"> </w:t>
      </w:r>
      <w:r>
        <w:rPr>
          <w:rFonts w:hint="eastAsia" w:cs="宋体"/>
          <w:color w:val="auto"/>
          <w:sz w:val="44"/>
          <w:szCs w:val="24"/>
          <w:highlight w:val="none"/>
        </w:rPr>
        <w:t>合同条款及格式</w:t>
      </w:r>
      <w:bookmarkEnd w:id="111"/>
    </w:p>
    <w:p w14:paraId="7032C09D">
      <w:pPr>
        <w:pStyle w:val="12"/>
        <w:kinsoku w:val="0"/>
        <w:overflowPunct w:val="0"/>
        <w:ind w:left="0"/>
        <w:rPr>
          <w:rFonts w:hint="eastAsia" w:ascii="宋体" w:hAnsi="宋体" w:eastAsia="宋体" w:cs="宋体"/>
          <w:b/>
          <w:color w:val="auto"/>
          <w:sz w:val="20"/>
          <w:szCs w:val="24"/>
          <w:highlight w:val="none"/>
        </w:rPr>
      </w:pPr>
    </w:p>
    <w:p w14:paraId="2E2393FE">
      <w:pPr>
        <w:widowControl/>
        <w:numPr>
          <w:ilvl w:val="0"/>
          <w:numId w:val="0"/>
        </w:numPr>
        <w:ind w:firstLine="0" w:firstLineChars="0"/>
        <w:jc w:val="center"/>
        <w:rPr>
          <w:rFonts w:hint="eastAsia" w:ascii="宋体" w:hAnsi="宋体" w:eastAsia="宋体" w:cs="宋体"/>
          <w:b/>
          <w:bCs/>
          <w:color w:val="auto"/>
          <w:sz w:val="36"/>
          <w:szCs w:val="36"/>
          <w:highlight w:val="none"/>
          <w:lang w:eastAsia="zh-CN"/>
        </w:rPr>
      </w:pPr>
      <w:r>
        <w:rPr>
          <w:rFonts w:hint="eastAsia" w:ascii="宋体" w:hAnsi="宋体" w:eastAsia="宋体" w:cs="宋体"/>
          <w:b/>
          <w:bCs/>
          <w:color w:val="auto"/>
          <w:sz w:val="36"/>
          <w:szCs w:val="36"/>
          <w:highlight w:val="none"/>
          <w:lang w:eastAsia="zh-CN"/>
        </w:rPr>
        <w:t>（另册，</w:t>
      </w:r>
      <w:r>
        <w:rPr>
          <w:rFonts w:hint="eastAsia" w:ascii="宋体" w:hAnsi="宋体" w:cs="宋体"/>
          <w:b/>
          <w:bCs/>
          <w:color w:val="auto"/>
          <w:sz w:val="36"/>
          <w:szCs w:val="36"/>
          <w:highlight w:val="none"/>
        </w:rPr>
        <w:t>详见网上发布的招标公告附件。</w:t>
      </w:r>
      <w:r>
        <w:rPr>
          <w:rFonts w:hint="eastAsia" w:ascii="宋体" w:hAnsi="宋体" w:eastAsia="宋体" w:cs="宋体"/>
          <w:b/>
          <w:bCs/>
          <w:color w:val="auto"/>
          <w:sz w:val="36"/>
          <w:szCs w:val="36"/>
          <w:highlight w:val="none"/>
          <w:lang w:eastAsia="zh-CN"/>
        </w:rPr>
        <w:t>）</w:t>
      </w:r>
    </w:p>
    <w:p w14:paraId="6796550D">
      <w:pPr>
        <w:spacing w:line="360" w:lineRule="auto"/>
        <w:rPr>
          <w:rFonts w:hint="eastAsia" w:ascii="宋体" w:hAnsi="宋体" w:eastAsia="宋体" w:cs="宋体"/>
          <w:b w:val="0"/>
          <w:color w:val="auto"/>
          <w:sz w:val="24"/>
          <w:szCs w:val="24"/>
          <w:highlight w:val="none"/>
        </w:rPr>
      </w:pPr>
    </w:p>
    <w:p w14:paraId="5DB69070">
      <w:pPr>
        <w:pStyle w:val="12"/>
        <w:kinsoku w:val="0"/>
        <w:overflowPunct w:val="0"/>
        <w:spacing w:before="2"/>
        <w:ind w:left="0"/>
        <w:rPr>
          <w:rFonts w:hint="eastAsia" w:ascii="宋体" w:hAnsi="宋体" w:eastAsia="宋体" w:cs="宋体"/>
          <w:b/>
          <w:color w:val="auto"/>
          <w:sz w:val="29"/>
          <w:szCs w:val="24"/>
          <w:highlight w:val="none"/>
        </w:rPr>
      </w:pPr>
    </w:p>
    <w:p w14:paraId="08BF4C4B">
      <w:pPr>
        <w:pStyle w:val="12"/>
        <w:kinsoku w:val="0"/>
        <w:overflowPunct w:val="0"/>
        <w:ind w:left="0"/>
        <w:rPr>
          <w:rFonts w:hint="eastAsia" w:ascii="宋体" w:hAnsi="宋体" w:eastAsia="宋体" w:cs="宋体"/>
          <w:color w:val="auto"/>
          <w:sz w:val="20"/>
          <w:szCs w:val="24"/>
          <w:highlight w:val="none"/>
        </w:rPr>
        <w:sectPr>
          <w:headerReference r:id="rId8" w:type="default"/>
          <w:footerReference r:id="rId9" w:type="default"/>
          <w:pgSz w:w="11905" w:h="16838"/>
          <w:pgMar w:top="1417" w:right="1417" w:bottom="1417" w:left="1417" w:header="992" w:footer="992" w:gutter="0"/>
          <w:lnNumType w:countBy="0" w:distance="360"/>
          <w:cols w:space="720" w:num="1"/>
        </w:sectPr>
      </w:pPr>
    </w:p>
    <w:p w14:paraId="4DE3F982">
      <w:pPr>
        <w:pStyle w:val="12"/>
        <w:kinsoku w:val="0"/>
        <w:overflowPunct w:val="0"/>
        <w:ind w:left="0"/>
        <w:rPr>
          <w:rFonts w:hint="eastAsia" w:cs="宋体"/>
          <w:color w:val="auto"/>
          <w:sz w:val="20"/>
          <w:szCs w:val="24"/>
          <w:highlight w:val="none"/>
        </w:rPr>
      </w:pPr>
    </w:p>
    <w:p w14:paraId="6629E113">
      <w:pPr>
        <w:pStyle w:val="2"/>
        <w:keepNext w:val="0"/>
        <w:keepLines w:val="0"/>
        <w:pageBreakBefore w:val="0"/>
        <w:widowControl w:val="0"/>
        <w:wordWrap/>
        <w:topLinePunct w:val="0"/>
        <w:autoSpaceDE w:val="0"/>
        <w:autoSpaceDN w:val="0"/>
        <w:bidi w:val="0"/>
        <w:adjustRightInd w:val="0"/>
        <w:snapToGrid/>
        <w:spacing w:before="0" w:beforeLines="2000"/>
        <w:jc w:val="center"/>
        <w:textAlignment w:val="auto"/>
        <w:rPr>
          <w:rFonts w:hint="eastAsia" w:ascii="宋体" w:hAnsi="宋体" w:eastAsia="宋体" w:cs="宋体"/>
          <w:color w:val="auto"/>
          <w:sz w:val="52"/>
          <w:szCs w:val="52"/>
          <w:highlight w:val="none"/>
        </w:rPr>
      </w:pPr>
      <w:bookmarkStart w:id="112" w:name="bookmark161"/>
      <w:bookmarkEnd w:id="112"/>
      <w:bookmarkStart w:id="113" w:name="_Toc2872"/>
      <w:r>
        <w:rPr>
          <w:rFonts w:hint="eastAsia" w:ascii="宋体" w:hAnsi="宋体" w:eastAsia="宋体" w:cs="宋体"/>
          <w:color w:val="auto"/>
          <w:sz w:val="52"/>
          <w:szCs w:val="52"/>
          <w:highlight w:val="none"/>
        </w:rPr>
        <w:t>第二卷</w:t>
      </w:r>
      <w:bookmarkEnd w:id="113"/>
    </w:p>
    <w:p w14:paraId="1D2F1BAF">
      <w:pPr>
        <w:pStyle w:val="2"/>
        <w:keepNext w:val="0"/>
        <w:keepLines w:val="0"/>
        <w:pageBreakBefore w:val="0"/>
        <w:widowControl w:val="0"/>
        <w:wordWrap/>
        <w:topLinePunct w:val="0"/>
        <w:autoSpaceDE w:val="0"/>
        <w:autoSpaceDN w:val="0"/>
        <w:bidi w:val="0"/>
        <w:adjustRightInd w:val="0"/>
        <w:snapToGrid/>
        <w:spacing w:before="0" w:beforeLines="2000"/>
        <w:jc w:val="center"/>
        <w:textAlignment w:val="auto"/>
        <w:rPr>
          <w:rFonts w:hint="eastAsia" w:ascii="宋体" w:hAnsi="宋体" w:eastAsia="宋体" w:cs="宋体"/>
          <w:color w:val="auto"/>
          <w:sz w:val="52"/>
          <w:szCs w:val="52"/>
          <w:highlight w:val="none"/>
        </w:rPr>
        <w:sectPr>
          <w:pgSz w:w="11905" w:h="16838"/>
          <w:pgMar w:top="1417" w:right="1417" w:bottom="1417" w:left="1417" w:header="992" w:footer="992" w:gutter="0"/>
          <w:lnNumType w:countBy="0" w:distance="360"/>
          <w:cols w:space="720" w:num="1"/>
        </w:sectPr>
      </w:pPr>
    </w:p>
    <w:p w14:paraId="3D898D4B">
      <w:pPr>
        <w:pStyle w:val="3"/>
        <w:spacing w:line="360" w:lineRule="auto"/>
        <w:outlineLvl w:val="0"/>
        <w:rPr>
          <w:rFonts w:hint="eastAsia" w:cs="宋体"/>
          <w:color w:val="auto"/>
          <w:sz w:val="44"/>
          <w:szCs w:val="24"/>
          <w:highlight w:val="none"/>
        </w:rPr>
      </w:pPr>
      <w:bookmarkStart w:id="114" w:name="bookmark162"/>
      <w:bookmarkEnd w:id="114"/>
      <w:bookmarkStart w:id="115" w:name="_Toc23118"/>
      <w:r>
        <w:rPr>
          <w:rFonts w:hint="eastAsia" w:cs="宋体"/>
          <w:color w:val="auto"/>
          <w:sz w:val="44"/>
          <w:szCs w:val="24"/>
          <w:highlight w:val="none"/>
        </w:rPr>
        <w:t>第五章</w:t>
      </w:r>
      <w:r>
        <w:rPr>
          <w:rFonts w:hint="eastAsia" w:cs="宋体"/>
          <w:color w:val="auto"/>
          <w:sz w:val="44"/>
          <w:szCs w:val="24"/>
          <w:highlight w:val="none"/>
          <w:lang w:val="en-US" w:eastAsia="zh-CN"/>
        </w:rPr>
        <w:t xml:space="preserve"> </w:t>
      </w:r>
      <w:r>
        <w:rPr>
          <w:rFonts w:hint="eastAsia" w:cs="宋体"/>
          <w:color w:val="auto"/>
          <w:sz w:val="44"/>
          <w:szCs w:val="24"/>
          <w:highlight w:val="none"/>
        </w:rPr>
        <w:t>委托人要求</w:t>
      </w:r>
      <w:bookmarkEnd w:id="115"/>
    </w:p>
    <w:p w14:paraId="2862924A">
      <w:pPr>
        <w:jc w:val="center"/>
        <w:rPr>
          <w:rFonts w:hint="eastAsia" w:ascii="宋体" w:hAnsi="宋体" w:cs="宋体"/>
          <w:b/>
          <w:sz w:val="24"/>
          <w:szCs w:val="24"/>
          <w:highlight w:val="none"/>
        </w:rPr>
      </w:pPr>
      <w:bookmarkStart w:id="116" w:name="_Toc25658"/>
      <w:r>
        <w:rPr>
          <w:rFonts w:hint="eastAsia" w:ascii="宋体" w:hAnsi="宋体" w:cs="宋体"/>
          <w:b/>
          <w:sz w:val="24"/>
          <w:szCs w:val="24"/>
          <w:highlight w:val="none"/>
        </w:rPr>
        <w:t>委托人要求通常包括但不限于以下内容：</w:t>
      </w:r>
    </w:p>
    <w:p w14:paraId="79FF705F">
      <w:pPr>
        <w:pStyle w:val="3"/>
        <w:keepLines w:val="0"/>
        <w:jc w:val="left"/>
        <w:rPr>
          <w:rFonts w:hint="eastAsia" w:ascii="宋体" w:hAnsi="宋体" w:cs="宋体"/>
          <w:b w:val="0"/>
          <w:sz w:val="28"/>
          <w:szCs w:val="28"/>
          <w:highlight w:val="none"/>
        </w:rPr>
      </w:pPr>
      <w:r>
        <w:rPr>
          <w:rFonts w:hint="eastAsia" w:ascii="宋体" w:hAnsi="宋体" w:cs="宋体"/>
          <w:b w:val="0"/>
          <w:sz w:val="28"/>
          <w:szCs w:val="28"/>
          <w:highlight w:val="none"/>
        </w:rPr>
        <w:t>一、监理要求</w:t>
      </w:r>
    </w:p>
    <w:p w14:paraId="2340EC34">
      <w:pPr>
        <w:spacing w:line="440" w:lineRule="exact"/>
        <w:ind w:firstLine="412" w:firstLineChars="171"/>
        <w:rPr>
          <w:rFonts w:hint="eastAsia" w:ascii="宋体" w:hAnsi="宋体" w:cs="宋体"/>
          <w:b/>
          <w:sz w:val="24"/>
          <w:szCs w:val="24"/>
          <w:highlight w:val="none"/>
        </w:rPr>
      </w:pPr>
      <w:r>
        <w:rPr>
          <w:rFonts w:hint="eastAsia" w:ascii="宋体" w:hAnsi="宋体" w:cs="宋体"/>
          <w:b/>
          <w:sz w:val="24"/>
          <w:szCs w:val="24"/>
          <w:highlight w:val="none"/>
        </w:rPr>
        <w:t>招标人应当根据项目情况在本章中明确相应的监理要求，一般应包括以下内容：</w:t>
      </w:r>
    </w:p>
    <w:p w14:paraId="14C7AD78">
      <w:pPr>
        <w:widowControl/>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1.</w:t>
      </w:r>
      <w:r>
        <w:rPr>
          <w:rFonts w:hint="eastAsia" w:ascii="宋体" w:hAnsi="宋体" w:cs="宋体"/>
          <w:sz w:val="24"/>
          <w:szCs w:val="24"/>
          <w:highlight w:val="none"/>
          <w:lang w:eastAsia="zh-CN"/>
        </w:rPr>
        <w:t>本标段</w:t>
      </w:r>
      <w:r>
        <w:rPr>
          <w:rFonts w:hint="eastAsia" w:ascii="宋体" w:hAnsi="宋体" w:cs="宋体"/>
          <w:sz w:val="24"/>
          <w:szCs w:val="24"/>
          <w:highlight w:val="none"/>
        </w:rPr>
        <w:t>概况：</w:t>
      </w:r>
    </w:p>
    <w:p w14:paraId="60ED8D1D">
      <w:pPr>
        <w:spacing w:line="360" w:lineRule="auto"/>
        <w:ind w:firstLine="480" w:firstLineChars="200"/>
        <w:rPr>
          <w:rFonts w:hint="eastAsia" w:ascii="宋体" w:hAnsi="宋体" w:cs="宋体"/>
          <w:sz w:val="24"/>
          <w:szCs w:val="24"/>
          <w:highlight w:val="none"/>
          <w:u w:val="single"/>
        </w:rPr>
      </w:pPr>
      <w:r>
        <w:rPr>
          <w:rFonts w:hint="eastAsia" w:ascii="宋体" w:hAnsi="宋体" w:cs="宋体"/>
          <w:sz w:val="24"/>
          <w:szCs w:val="24"/>
          <w:highlight w:val="none"/>
        </w:rPr>
        <w:t>1.1</w:t>
      </w:r>
      <w:r>
        <w:rPr>
          <w:rFonts w:hint="default" w:ascii="Times New Roman" w:hAnsi="Times New Roman" w:eastAsia="宋体" w:cs="Times New Roman"/>
          <w:color w:val="auto"/>
          <w:sz w:val="24"/>
          <w:szCs w:val="24"/>
          <w:highlight w:val="none"/>
          <w:u w:val="single"/>
          <w:lang w:val="en-US" w:eastAsia="zh-CN"/>
        </w:rPr>
        <w:t>主要新建DN150～DN200污水管12.039千米；DN200~DN800污水管20.938千米；DN200~DN500雨水管13.752千米；DN600~DN1350雨水管4.093千米；300×300~2000X1600雨水沟渠约2.561千米；改造散区28个，面积约54.91公顷</w:t>
      </w:r>
      <w:r>
        <w:rPr>
          <w:rFonts w:hint="default" w:ascii="Times New Roman" w:hAnsi="Times New Roman" w:eastAsia="宋体" w:cs="Times New Roman"/>
          <w:color w:val="auto"/>
          <w:sz w:val="24"/>
          <w:szCs w:val="24"/>
          <w:highlight w:val="none"/>
          <w:u w:val="none"/>
          <w:lang w:val="en-US" w:eastAsia="zh-CN"/>
        </w:rPr>
        <w:t>。</w:t>
      </w:r>
    </w:p>
    <w:p w14:paraId="35C68FCA">
      <w:pPr>
        <w:spacing w:line="360" w:lineRule="auto"/>
        <w:ind w:firstLine="480" w:firstLineChars="200"/>
        <w:rPr>
          <w:rFonts w:hint="eastAsia" w:ascii="宋体" w:hAnsi="宋体" w:cs="宋体"/>
          <w:sz w:val="24"/>
          <w:highlight w:val="none"/>
        </w:rPr>
      </w:pPr>
      <w:r>
        <w:rPr>
          <w:rFonts w:hint="eastAsia" w:ascii="宋体" w:hAnsi="宋体" w:cs="宋体"/>
          <w:sz w:val="24"/>
          <w:szCs w:val="24"/>
          <w:highlight w:val="none"/>
          <w:u w:val="single"/>
        </w:rPr>
        <w:t>注：具体工作内容详见施工设计图纸和工程量清单，如果工程量清单与图纸内容不一致的，以图纸内容为准。</w:t>
      </w:r>
    </w:p>
    <w:p w14:paraId="7F66923A">
      <w:pPr>
        <w:pStyle w:val="25"/>
        <w:spacing w:line="360" w:lineRule="auto"/>
        <w:ind w:left="0" w:leftChars="0" w:firstLine="480"/>
        <w:rPr>
          <w:rFonts w:hint="eastAsia" w:ascii="宋体" w:hAnsi="宋体" w:cs="宋体"/>
          <w:sz w:val="24"/>
          <w:highlight w:val="none"/>
        </w:rPr>
      </w:pPr>
      <w:r>
        <w:rPr>
          <w:rFonts w:hint="eastAsia" w:ascii="宋体" w:hAnsi="宋体" w:cs="宋体"/>
          <w:sz w:val="24"/>
          <w:highlight w:val="none"/>
        </w:rPr>
        <w:t>1.2.工程概算：本</w:t>
      </w:r>
      <w:r>
        <w:rPr>
          <w:rFonts w:hint="eastAsia" w:ascii="宋体" w:hAnsi="宋体" w:cs="宋体"/>
          <w:sz w:val="24"/>
          <w:highlight w:val="none"/>
          <w:lang w:eastAsia="zh-CN"/>
        </w:rPr>
        <w:t>标段</w:t>
      </w:r>
      <w:r>
        <w:rPr>
          <w:rFonts w:hint="eastAsia" w:ascii="宋体" w:hAnsi="宋体" w:cs="宋体"/>
          <w:sz w:val="24"/>
          <w:highlight w:val="none"/>
        </w:rPr>
        <w:t>概算批复总投资</w:t>
      </w:r>
      <w:r>
        <w:rPr>
          <w:rFonts w:hint="eastAsia" w:ascii="宋体" w:hAnsi="宋体" w:cs="宋体"/>
          <w:sz w:val="24"/>
          <w:szCs w:val="24"/>
          <w:highlight w:val="none"/>
        </w:rPr>
        <w:t>约</w:t>
      </w:r>
      <w:r>
        <w:rPr>
          <w:rFonts w:hint="default" w:ascii="Times New Roman" w:hAnsi="Times New Roman" w:eastAsia="宋体" w:cs="Times New Roman"/>
          <w:color w:val="000000" w:themeColor="text1"/>
          <w:sz w:val="24"/>
          <w:szCs w:val="24"/>
          <w:highlight w:val="none"/>
          <w:u w:val="single"/>
          <w14:textFill>
            <w14:solidFill>
              <w14:schemeClr w14:val="tx1"/>
            </w14:solidFill>
          </w14:textFill>
        </w:rPr>
        <w:t>21759.358129</w:t>
      </w:r>
      <w:r>
        <w:rPr>
          <w:rFonts w:hint="eastAsia" w:ascii="宋体" w:hAnsi="宋体" w:cs="宋体"/>
          <w:sz w:val="24"/>
          <w:highlight w:val="none"/>
        </w:rPr>
        <w:t>万元。</w:t>
      </w:r>
    </w:p>
    <w:p w14:paraId="56A32D1B">
      <w:pPr>
        <w:tabs>
          <w:tab w:val="left" w:pos="7773"/>
        </w:tabs>
        <w:spacing w:line="360" w:lineRule="auto"/>
        <w:ind w:firstLine="410" w:firstLineChars="171"/>
        <w:rPr>
          <w:rFonts w:hint="eastAsia" w:ascii="宋体" w:hAnsi="宋体" w:cs="宋体"/>
          <w:sz w:val="24"/>
          <w:szCs w:val="24"/>
          <w:highlight w:val="none"/>
        </w:rPr>
      </w:pPr>
      <w:r>
        <w:rPr>
          <w:rFonts w:hint="eastAsia" w:ascii="宋体" w:hAnsi="宋体" w:cs="宋体"/>
          <w:sz w:val="24"/>
          <w:szCs w:val="24"/>
          <w:highlight w:val="none"/>
        </w:rPr>
        <w:t>2.监理范围：</w:t>
      </w:r>
      <w:r>
        <w:rPr>
          <w:rFonts w:hint="eastAsia" w:ascii="宋体" w:hAnsi="宋体" w:cs="宋体"/>
          <w:sz w:val="24"/>
          <w:szCs w:val="24"/>
          <w:highlight w:val="none"/>
        </w:rPr>
        <w:tab/>
      </w:r>
    </w:p>
    <w:p w14:paraId="37A436A7">
      <w:pPr>
        <w:pStyle w:val="8"/>
        <w:spacing w:line="360" w:lineRule="auto"/>
        <w:ind w:firstLine="480"/>
        <w:rPr>
          <w:rFonts w:hint="eastAsia" w:cs="宋体"/>
          <w:b w:val="0"/>
          <w:bCs/>
          <w:color w:val="auto"/>
          <w:sz w:val="24"/>
          <w:szCs w:val="24"/>
          <w:highlight w:val="none"/>
        </w:rPr>
      </w:pPr>
      <w:r>
        <w:rPr>
          <w:rFonts w:hint="eastAsia" w:cs="宋体"/>
          <w:b w:val="0"/>
          <w:bCs/>
          <w:color w:val="auto"/>
          <w:sz w:val="24"/>
          <w:szCs w:val="24"/>
          <w:highlight w:val="none"/>
        </w:rPr>
        <w:t>包括但不限于：</w:t>
      </w:r>
    </w:p>
    <w:p w14:paraId="12D58234">
      <w:pPr>
        <w:pStyle w:val="8"/>
        <w:spacing w:line="360" w:lineRule="auto"/>
        <w:ind w:firstLine="480"/>
        <w:rPr>
          <w:rFonts w:hint="eastAsia" w:cs="宋体"/>
          <w:b w:val="0"/>
          <w:bCs/>
          <w:color w:val="auto"/>
          <w:sz w:val="24"/>
          <w:szCs w:val="24"/>
          <w:highlight w:val="none"/>
        </w:rPr>
      </w:pPr>
      <w:r>
        <w:rPr>
          <w:rFonts w:hint="eastAsia" w:cs="宋体"/>
          <w:b w:val="0"/>
          <w:bCs/>
          <w:color w:val="auto"/>
          <w:sz w:val="24"/>
          <w:szCs w:val="24"/>
          <w:highlight w:val="none"/>
        </w:rPr>
        <w:t>（1）施工准备阶段、施工阶段、竣工结算期、质量保修期全过程，对包括工程质量、进度、 投资控制、安全生产和文明施工等进行监控，其中安全生产和文明施工包括施工扬尘污染防治，监理人在监理规划中提出有针对性的监理措施，并加强对施工单位扬尘污染防治情况的检查，督促施工单位落实扬尘防治措施。</w:t>
      </w:r>
    </w:p>
    <w:p w14:paraId="57E0F4AF">
      <w:pPr>
        <w:pStyle w:val="8"/>
        <w:spacing w:line="360" w:lineRule="auto"/>
        <w:ind w:firstLine="480"/>
        <w:rPr>
          <w:rFonts w:hint="eastAsia" w:cs="宋体"/>
          <w:b w:val="0"/>
          <w:bCs/>
          <w:color w:val="auto"/>
          <w:sz w:val="24"/>
          <w:szCs w:val="24"/>
          <w:highlight w:val="none"/>
        </w:rPr>
      </w:pPr>
      <w:r>
        <w:rPr>
          <w:rFonts w:hint="eastAsia" w:cs="宋体"/>
          <w:b w:val="0"/>
          <w:bCs/>
          <w:color w:val="auto"/>
          <w:sz w:val="24"/>
          <w:szCs w:val="24"/>
          <w:highlight w:val="none"/>
        </w:rPr>
        <w:t>（2）工程施工图预算（或承包商投标报价书）和竣工结算审核，及协调等相关工作。</w:t>
      </w:r>
    </w:p>
    <w:p w14:paraId="2B3332C8">
      <w:pPr>
        <w:pStyle w:val="8"/>
        <w:spacing w:line="360" w:lineRule="auto"/>
        <w:ind w:firstLine="480"/>
        <w:rPr>
          <w:rFonts w:hint="eastAsia" w:cs="宋体"/>
          <w:color w:val="auto"/>
          <w:sz w:val="24"/>
          <w:szCs w:val="24"/>
          <w:highlight w:val="none"/>
        </w:rPr>
      </w:pPr>
      <w:r>
        <w:rPr>
          <w:rFonts w:hint="eastAsia" w:cs="宋体"/>
          <w:b w:val="0"/>
          <w:bCs/>
          <w:color w:val="auto"/>
          <w:sz w:val="24"/>
          <w:szCs w:val="24"/>
          <w:highlight w:val="none"/>
        </w:rPr>
        <w:t>（3）对完成本工程所必需的附属临时工程项目施工进行监理。</w:t>
      </w:r>
    </w:p>
    <w:p w14:paraId="4F107665">
      <w:pPr>
        <w:spacing w:line="360" w:lineRule="auto"/>
        <w:ind w:firstLine="410" w:firstLineChars="171"/>
        <w:rPr>
          <w:rFonts w:hint="eastAsia" w:ascii="宋体" w:hAnsi="宋体" w:cs="宋体"/>
          <w:sz w:val="24"/>
          <w:szCs w:val="24"/>
          <w:highlight w:val="none"/>
        </w:rPr>
      </w:pPr>
      <w:r>
        <w:rPr>
          <w:rFonts w:hint="eastAsia" w:ascii="宋体" w:hAnsi="宋体" w:cs="宋体"/>
          <w:sz w:val="24"/>
          <w:szCs w:val="24"/>
          <w:highlight w:val="none"/>
        </w:rPr>
        <w:t xml:space="preserve">3.监理服务期： </w:t>
      </w:r>
    </w:p>
    <w:p w14:paraId="2DD9D04C">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工程施工准备阶段的监理工期、施工阶段的监理工期、工程保修阶段和竣工结算期的监理工期之和：</w:t>
      </w:r>
    </w:p>
    <w:p w14:paraId="081B2196">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（1）施工准备阶段监理工期：从中标通知书发放之日起至业主下达开工令或开工报告审批之日为止；</w:t>
      </w:r>
    </w:p>
    <w:p w14:paraId="27373B28">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（2）施工阶段监理工期：从业主下达开工令或开工报告审批之日起至施工项目全部完工并办理竣工验收、竣工结算、备案管理为止；</w:t>
      </w:r>
    </w:p>
    <w:p w14:paraId="7924FFA4">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（3）保修阶段监理工期：从工程竣工验收合格、备案管理完成之日起二年；</w:t>
      </w:r>
    </w:p>
    <w:p w14:paraId="22B7267D">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（4）竣工结算期：从竣工验收完成开始至竣工结算完成为止。</w:t>
      </w:r>
    </w:p>
    <w:p w14:paraId="079215CB">
      <w:pPr>
        <w:spacing w:line="440" w:lineRule="exact"/>
        <w:ind w:firstLine="410" w:firstLineChars="171"/>
        <w:rPr>
          <w:rFonts w:hint="eastAsia" w:ascii="宋体" w:hAnsi="宋体" w:cs="宋体"/>
          <w:sz w:val="24"/>
          <w:szCs w:val="24"/>
          <w:highlight w:val="none"/>
        </w:rPr>
      </w:pPr>
      <w:r>
        <w:rPr>
          <w:rFonts w:hint="eastAsia" w:ascii="宋体" w:hAnsi="宋体" w:cs="宋体"/>
          <w:sz w:val="24"/>
          <w:szCs w:val="24"/>
          <w:highlight w:val="none"/>
        </w:rPr>
        <w:t xml:space="preserve"> 4.监理依据：</w:t>
      </w:r>
    </w:p>
    <w:p w14:paraId="67DBE728">
      <w:pPr>
        <w:spacing w:line="440" w:lineRule="exact"/>
        <w:ind w:firstLine="410" w:firstLineChars="171"/>
        <w:rPr>
          <w:rFonts w:hint="eastAsia" w:ascii="宋体" w:hAnsi="宋体" w:cs="宋体"/>
          <w:sz w:val="24"/>
          <w:szCs w:val="24"/>
          <w:highlight w:val="none"/>
        </w:rPr>
      </w:pPr>
      <w:r>
        <w:rPr>
          <w:rFonts w:hint="eastAsia" w:ascii="宋体" w:hAnsi="宋体" w:cs="宋体"/>
          <w:sz w:val="24"/>
          <w:szCs w:val="24"/>
          <w:highlight w:val="none"/>
        </w:rPr>
        <w:t>（1）适用的法律、行政法规及部门规章；</w:t>
      </w:r>
    </w:p>
    <w:p w14:paraId="40AE1A15">
      <w:pPr>
        <w:spacing w:line="440" w:lineRule="exact"/>
        <w:ind w:firstLine="410" w:firstLineChars="171"/>
        <w:rPr>
          <w:rFonts w:hint="eastAsia" w:ascii="宋体" w:hAnsi="宋体" w:cs="宋体"/>
          <w:sz w:val="24"/>
          <w:szCs w:val="24"/>
          <w:highlight w:val="none"/>
        </w:rPr>
      </w:pPr>
      <w:r>
        <w:rPr>
          <w:rFonts w:hint="eastAsia" w:ascii="宋体" w:hAnsi="宋体" w:cs="宋体"/>
          <w:sz w:val="24"/>
          <w:szCs w:val="24"/>
          <w:highlight w:val="none"/>
        </w:rPr>
        <w:t>（2）与工程有关的规范、标准、规程；</w:t>
      </w:r>
    </w:p>
    <w:p w14:paraId="399C6BA2">
      <w:pPr>
        <w:spacing w:line="440" w:lineRule="exact"/>
        <w:ind w:firstLine="410" w:firstLineChars="171"/>
        <w:rPr>
          <w:rFonts w:hint="eastAsia" w:ascii="宋体" w:hAnsi="宋体" w:cs="宋体"/>
          <w:sz w:val="24"/>
          <w:szCs w:val="24"/>
          <w:highlight w:val="none"/>
        </w:rPr>
      </w:pPr>
      <w:r>
        <w:rPr>
          <w:rFonts w:hint="eastAsia" w:ascii="宋体" w:hAnsi="宋体" w:cs="宋体"/>
          <w:sz w:val="24"/>
          <w:szCs w:val="24"/>
          <w:highlight w:val="none"/>
        </w:rPr>
        <w:t>（3）工程勘察文件、设计文件及其他文件；</w:t>
      </w:r>
    </w:p>
    <w:p w14:paraId="4270D6BC">
      <w:pPr>
        <w:spacing w:line="440" w:lineRule="exact"/>
        <w:ind w:firstLine="410" w:firstLineChars="171"/>
        <w:rPr>
          <w:rFonts w:hint="eastAsia" w:ascii="宋体" w:hAnsi="宋体" w:cs="宋体"/>
          <w:sz w:val="24"/>
          <w:szCs w:val="24"/>
          <w:highlight w:val="none"/>
        </w:rPr>
      </w:pPr>
      <w:r>
        <w:rPr>
          <w:rFonts w:hint="eastAsia" w:ascii="宋体" w:hAnsi="宋体" w:cs="宋体"/>
          <w:sz w:val="24"/>
          <w:szCs w:val="24"/>
          <w:highlight w:val="none"/>
        </w:rPr>
        <w:t>（4）本工程监理的委托合同及补充合同；</w:t>
      </w:r>
    </w:p>
    <w:p w14:paraId="0CE31F02">
      <w:pPr>
        <w:spacing w:line="440" w:lineRule="exact"/>
        <w:ind w:firstLine="410" w:firstLineChars="171"/>
        <w:rPr>
          <w:rFonts w:hint="eastAsia" w:ascii="宋体" w:hAnsi="宋体" w:cs="宋体"/>
          <w:sz w:val="24"/>
          <w:szCs w:val="24"/>
          <w:highlight w:val="none"/>
        </w:rPr>
      </w:pPr>
      <w:r>
        <w:rPr>
          <w:rFonts w:hint="eastAsia" w:ascii="宋体" w:hAnsi="宋体" w:cs="宋体"/>
          <w:sz w:val="24"/>
          <w:szCs w:val="24"/>
          <w:highlight w:val="none"/>
        </w:rPr>
        <w:t>（5）委托人签订的勘察、设计和施工承包合同；</w:t>
      </w:r>
    </w:p>
    <w:p w14:paraId="41C38EFD">
      <w:pPr>
        <w:spacing w:line="440" w:lineRule="exact"/>
        <w:ind w:firstLine="410" w:firstLineChars="171"/>
        <w:rPr>
          <w:rFonts w:hint="eastAsia" w:ascii="宋体" w:hAnsi="宋体" w:cs="宋体"/>
          <w:sz w:val="24"/>
          <w:szCs w:val="24"/>
          <w:highlight w:val="none"/>
        </w:rPr>
      </w:pPr>
      <w:r>
        <w:rPr>
          <w:rFonts w:hint="eastAsia" w:ascii="宋体" w:hAnsi="宋体" w:cs="宋体"/>
          <w:sz w:val="24"/>
          <w:szCs w:val="24"/>
          <w:highlight w:val="none"/>
        </w:rPr>
        <w:t>（6）合同履行中与监理服务有关的来往函件；</w:t>
      </w:r>
    </w:p>
    <w:p w14:paraId="58BED1EF">
      <w:pPr>
        <w:spacing w:line="440" w:lineRule="exact"/>
        <w:ind w:firstLine="410" w:firstLineChars="171"/>
        <w:rPr>
          <w:rFonts w:hint="eastAsia" w:ascii="宋体" w:hAnsi="宋体" w:cs="宋体"/>
          <w:sz w:val="24"/>
          <w:szCs w:val="24"/>
          <w:highlight w:val="none"/>
        </w:rPr>
      </w:pPr>
      <w:r>
        <w:rPr>
          <w:rFonts w:hint="eastAsia" w:ascii="宋体" w:hAnsi="宋体" w:cs="宋体"/>
          <w:sz w:val="24"/>
          <w:szCs w:val="24"/>
          <w:highlight w:val="none"/>
        </w:rPr>
        <w:t>（7）其他监理依据。</w:t>
      </w:r>
    </w:p>
    <w:p w14:paraId="2D698BFB">
      <w:pPr>
        <w:spacing w:line="440" w:lineRule="exact"/>
        <w:ind w:firstLine="410" w:firstLineChars="171"/>
        <w:rPr>
          <w:rFonts w:hint="eastAsia" w:ascii="宋体" w:hAnsi="宋体" w:cs="宋体"/>
          <w:sz w:val="24"/>
          <w:szCs w:val="24"/>
          <w:highlight w:val="none"/>
        </w:rPr>
      </w:pPr>
      <w:r>
        <w:rPr>
          <w:rFonts w:hint="eastAsia" w:ascii="宋体" w:hAnsi="宋体" w:cs="宋体"/>
          <w:sz w:val="24"/>
          <w:szCs w:val="24"/>
          <w:highlight w:val="none"/>
        </w:rPr>
        <w:t>5.监理的技术要求：</w:t>
      </w:r>
    </w:p>
    <w:p w14:paraId="0950BDBC">
      <w:pPr>
        <w:spacing w:line="440" w:lineRule="exact"/>
        <w:ind w:firstLine="410" w:firstLineChars="171"/>
        <w:rPr>
          <w:rFonts w:hint="eastAsia" w:ascii="宋体" w:hAnsi="宋体" w:cs="宋体"/>
          <w:sz w:val="24"/>
          <w:szCs w:val="24"/>
          <w:highlight w:val="none"/>
        </w:rPr>
      </w:pPr>
      <w:r>
        <w:rPr>
          <w:rFonts w:hint="eastAsia" w:ascii="宋体" w:hAnsi="宋体" w:cs="宋体"/>
          <w:sz w:val="24"/>
          <w:szCs w:val="24"/>
          <w:highlight w:val="none"/>
        </w:rPr>
        <w:t>（1）符合法律、行政法规及部门规章；</w:t>
      </w:r>
    </w:p>
    <w:p w14:paraId="55B16BA3">
      <w:pPr>
        <w:spacing w:line="440" w:lineRule="exact"/>
        <w:ind w:firstLine="410" w:firstLineChars="171"/>
        <w:rPr>
          <w:rFonts w:hint="eastAsia" w:ascii="宋体" w:hAnsi="宋体" w:cs="宋体"/>
          <w:sz w:val="24"/>
          <w:szCs w:val="24"/>
          <w:highlight w:val="none"/>
        </w:rPr>
      </w:pPr>
      <w:r>
        <w:rPr>
          <w:rFonts w:hint="eastAsia" w:ascii="宋体" w:hAnsi="宋体" w:cs="宋体"/>
          <w:sz w:val="24"/>
          <w:szCs w:val="24"/>
          <w:highlight w:val="none"/>
        </w:rPr>
        <w:t>（2）符合本工程有关的规范、标准、规程；</w:t>
      </w:r>
    </w:p>
    <w:p w14:paraId="2416BC74">
      <w:pPr>
        <w:spacing w:line="440" w:lineRule="exact"/>
        <w:ind w:firstLine="410" w:firstLineChars="171"/>
        <w:rPr>
          <w:rFonts w:hint="eastAsia" w:ascii="宋体" w:hAnsi="宋体" w:cs="宋体"/>
          <w:sz w:val="24"/>
          <w:szCs w:val="24"/>
          <w:highlight w:val="none"/>
        </w:rPr>
      </w:pPr>
      <w:r>
        <w:rPr>
          <w:rFonts w:hint="eastAsia" w:ascii="宋体" w:hAnsi="宋体" w:cs="宋体"/>
          <w:sz w:val="24"/>
          <w:szCs w:val="24"/>
          <w:highlight w:val="none"/>
        </w:rPr>
        <w:t>6.监理人员、设备要求（最低配置要求）：</w:t>
      </w:r>
    </w:p>
    <w:tbl>
      <w:tblPr>
        <w:tblStyle w:val="27"/>
        <w:tblW w:w="9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8"/>
        <w:gridCol w:w="2076"/>
        <w:gridCol w:w="1561"/>
        <w:gridCol w:w="4475"/>
      </w:tblGrid>
      <w:tr w14:paraId="4EFF0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408" w:type="dxa"/>
            <w:vMerge w:val="restart"/>
            <w:noWrap w:val="0"/>
            <w:vAlign w:val="center"/>
          </w:tcPr>
          <w:p w14:paraId="2728AF4C">
            <w:pPr>
              <w:adjustRightInd w:val="0"/>
              <w:snapToGrid w:val="0"/>
              <w:jc w:val="center"/>
              <w:rPr>
                <w:rFonts w:hint="eastAsia" w:ascii="宋体" w:hAnsi="宋体" w:cs="宋体"/>
                <w:sz w:val="24"/>
                <w:szCs w:val="24"/>
                <w:highlight w:val="none"/>
              </w:rPr>
            </w:pPr>
            <w:r>
              <w:rPr>
                <w:rFonts w:hint="eastAsia" w:ascii="宋体" w:hAnsi="宋体" w:cs="宋体"/>
                <w:sz w:val="24"/>
                <w:szCs w:val="24"/>
                <w:highlight w:val="none"/>
              </w:rPr>
              <w:t>监理主要人员要求</w:t>
            </w:r>
          </w:p>
        </w:tc>
        <w:tc>
          <w:tcPr>
            <w:tcW w:w="2076" w:type="dxa"/>
            <w:noWrap w:val="0"/>
            <w:vAlign w:val="center"/>
          </w:tcPr>
          <w:p w14:paraId="297A7E8F">
            <w:pPr>
              <w:adjustRightInd w:val="0"/>
              <w:snapToGrid w:val="0"/>
              <w:jc w:val="center"/>
              <w:rPr>
                <w:rFonts w:hint="eastAsia" w:ascii="宋体" w:hAnsi="宋体" w:cs="宋体"/>
                <w:sz w:val="24"/>
                <w:szCs w:val="24"/>
                <w:highlight w:val="none"/>
              </w:rPr>
            </w:pPr>
            <w:r>
              <w:rPr>
                <w:rFonts w:hint="eastAsia" w:ascii="宋体" w:hAnsi="宋体" w:cs="宋体"/>
                <w:sz w:val="24"/>
                <w:szCs w:val="24"/>
                <w:highlight w:val="none"/>
              </w:rPr>
              <w:t>岗位</w:t>
            </w:r>
          </w:p>
        </w:tc>
        <w:tc>
          <w:tcPr>
            <w:tcW w:w="1561" w:type="dxa"/>
            <w:noWrap w:val="0"/>
            <w:vAlign w:val="center"/>
          </w:tcPr>
          <w:p w14:paraId="35964B14">
            <w:pPr>
              <w:adjustRightInd w:val="0"/>
              <w:snapToGrid w:val="0"/>
              <w:jc w:val="center"/>
              <w:rPr>
                <w:rFonts w:hint="eastAsia" w:ascii="宋体" w:hAnsi="宋体" w:cs="宋体"/>
                <w:sz w:val="24"/>
                <w:szCs w:val="24"/>
                <w:highlight w:val="none"/>
              </w:rPr>
            </w:pPr>
            <w:r>
              <w:rPr>
                <w:rFonts w:hint="eastAsia" w:ascii="宋体" w:hAnsi="宋体" w:cs="宋体"/>
                <w:sz w:val="24"/>
                <w:szCs w:val="24"/>
                <w:highlight w:val="none"/>
              </w:rPr>
              <w:t>数量要求</w:t>
            </w:r>
          </w:p>
        </w:tc>
        <w:tc>
          <w:tcPr>
            <w:tcW w:w="4475" w:type="dxa"/>
            <w:noWrap w:val="0"/>
            <w:vAlign w:val="center"/>
          </w:tcPr>
          <w:p w14:paraId="40D93FB9">
            <w:pPr>
              <w:adjustRightInd w:val="0"/>
              <w:snapToGrid w:val="0"/>
              <w:jc w:val="center"/>
              <w:rPr>
                <w:rFonts w:hint="eastAsia" w:ascii="宋体" w:hAnsi="宋体" w:cs="宋体"/>
                <w:sz w:val="24"/>
                <w:szCs w:val="24"/>
                <w:highlight w:val="none"/>
              </w:rPr>
            </w:pPr>
            <w:r>
              <w:rPr>
                <w:rFonts w:hint="eastAsia" w:ascii="宋体" w:hAnsi="宋体" w:cs="宋体"/>
                <w:sz w:val="24"/>
                <w:szCs w:val="24"/>
                <w:highlight w:val="none"/>
              </w:rPr>
              <w:t>基本要求</w:t>
            </w:r>
          </w:p>
        </w:tc>
      </w:tr>
      <w:tr w14:paraId="15E40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1408" w:type="dxa"/>
            <w:vMerge w:val="continue"/>
            <w:noWrap w:val="0"/>
            <w:vAlign w:val="center"/>
          </w:tcPr>
          <w:p w14:paraId="3CC1826C">
            <w:pPr>
              <w:adjustRightInd w:val="0"/>
              <w:snapToGrid w:val="0"/>
              <w:jc w:val="center"/>
              <w:rPr>
                <w:rFonts w:hint="eastAsia" w:ascii="宋体" w:hAnsi="宋体" w:cs="宋体"/>
                <w:sz w:val="24"/>
                <w:szCs w:val="24"/>
                <w:highlight w:val="none"/>
              </w:rPr>
            </w:pPr>
          </w:p>
        </w:tc>
        <w:tc>
          <w:tcPr>
            <w:tcW w:w="2076" w:type="dxa"/>
            <w:noWrap w:val="0"/>
            <w:vAlign w:val="center"/>
          </w:tcPr>
          <w:p w14:paraId="11F26C91">
            <w:pPr>
              <w:adjustRightInd w:val="0"/>
              <w:snapToGrid w:val="0"/>
              <w:jc w:val="center"/>
              <w:rPr>
                <w:rFonts w:hint="eastAsia" w:ascii="宋体" w:hAnsi="宋体" w:cs="宋体"/>
                <w:sz w:val="24"/>
                <w:szCs w:val="24"/>
                <w:highlight w:val="none"/>
              </w:rPr>
            </w:pPr>
            <w:r>
              <w:rPr>
                <w:rFonts w:hint="eastAsia" w:ascii="宋体" w:hAnsi="宋体" w:cs="宋体"/>
                <w:sz w:val="24"/>
                <w:szCs w:val="24"/>
                <w:highlight w:val="none"/>
              </w:rPr>
              <w:t>总监理工程师</w:t>
            </w:r>
          </w:p>
        </w:tc>
        <w:tc>
          <w:tcPr>
            <w:tcW w:w="1561" w:type="dxa"/>
            <w:noWrap w:val="0"/>
            <w:vAlign w:val="center"/>
          </w:tcPr>
          <w:p w14:paraId="5878DF72">
            <w:pPr>
              <w:adjustRightInd w:val="0"/>
              <w:snapToGrid w:val="0"/>
              <w:jc w:val="center"/>
              <w:rPr>
                <w:rFonts w:hint="eastAsia" w:ascii="宋体" w:hAnsi="宋体" w:cs="宋体"/>
                <w:sz w:val="24"/>
                <w:szCs w:val="24"/>
                <w:highlight w:val="none"/>
              </w:rPr>
            </w:pPr>
            <w:r>
              <w:rPr>
                <w:rFonts w:hint="eastAsia" w:ascii="宋体" w:hAnsi="宋体" w:cs="宋体"/>
                <w:sz w:val="24"/>
                <w:szCs w:val="24"/>
                <w:highlight w:val="none"/>
              </w:rPr>
              <w:t>1名</w:t>
            </w:r>
          </w:p>
        </w:tc>
        <w:tc>
          <w:tcPr>
            <w:tcW w:w="4475" w:type="dxa"/>
            <w:noWrap w:val="0"/>
            <w:vAlign w:val="center"/>
          </w:tcPr>
          <w:p w14:paraId="5A78D7F8">
            <w:pPr>
              <w:adjustRightInd w:val="0"/>
              <w:snapToGrid w:val="0"/>
              <w:rPr>
                <w:rFonts w:hint="eastAsia" w:ascii="宋体" w:hAnsi="宋体" w:cs="宋体"/>
                <w:sz w:val="24"/>
                <w:szCs w:val="24"/>
                <w:highlight w:val="none"/>
              </w:rPr>
            </w:pPr>
            <w:r>
              <w:rPr>
                <w:rFonts w:hint="eastAsia" w:ascii="宋体" w:hAnsi="宋体" w:cs="宋体"/>
                <w:sz w:val="24"/>
                <w:szCs w:val="24"/>
                <w:highlight w:val="none"/>
              </w:rPr>
              <w:t>具有国家注册监理工程师注册执业证书、注册专业为市政公用工程</w:t>
            </w:r>
          </w:p>
        </w:tc>
      </w:tr>
      <w:tr w14:paraId="43B42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1408" w:type="dxa"/>
            <w:vMerge w:val="continue"/>
            <w:noWrap w:val="0"/>
            <w:vAlign w:val="center"/>
          </w:tcPr>
          <w:p w14:paraId="439827A8">
            <w:pPr>
              <w:adjustRightInd w:val="0"/>
              <w:snapToGrid w:val="0"/>
              <w:jc w:val="center"/>
              <w:rPr>
                <w:rFonts w:hint="eastAsia" w:ascii="宋体" w:hAnsi="宋体" w:cs="宋体"/>
                <w:sz w:val="24"/>
                <w:szCs w:val="24"/>
                <w:highlight w:val="none"/>
              </w:rPr>
            </w:pPr>
          </w:p>
        </w:tc>
        <w:tc>
          <w:tcPr>
            <w:tcW w:w="2076" w:type="dxa"/>
            <w:noWrap w:val="0"/>
            <w:vAlign w:val="center"/>
          </w:tcPr>
          <w:p w14:paraId="0BA98421">
            <w:pPr>
              <w:adjustRightInd w:val="0"/>
              <w:snapToGrid w:val="0"/>
              <w:jc w:val="center"/>
              <w:rPr>
                <w:rFonts w:hint="eastAsia" w:ascii="宋体" w:hAnsi="宋体" w:cs="宋体"/>
                <w:sz w:val="24"/>
                <w:szCs w:val="24"/>
                <w:highlight w:val="none"/>
              </w:rPr>
            </w:pPr>
            <w:r>
              <w:rPr>
                <w:rFonts w:hint="eastAsia" w:ascii="宋体" w:hAnsi="宋体" w:cs="宋体"/>
                <w:sz w:val="24"/>
                <w:szCs w:val="24"/>
                <w:highlight w:val="none"/>
              </w:rPr>
              <w:t>总监代表</w:t>
            </w:r>
          </w:p>
        </w:tc>
        <w:tc>
          <w:tcPr>
            <w:tcW w:w="1561" w:type="dxa"/>
            <w:noWrap w:val="0"/>
            <w:vAlign w:val="center"/>
          </w:tcPr>
          <w:p w14:paraId="609131CD">
            <w:pPr>
              <w:adjustRightInd w:val="0"/>
              <w:snapToGrid w:val="0"/>
              <w:jc w:val="center"/>
              <w:rPr>
                <w:rFonts w:hint="eastAsia" w:ascii="宋体" w:hAnsi="宋体" w:cs="宋体"/>
                <w:sz w:val="24"/>
                <w:szCs w:val="24"/>
                <w:highlight w:val="none"/>
              </w:rPr>
            </w:pPr>
            <w:r>
              <w:rPr>
                <w:rFonts w:hint="eastAsia" w:ascii="宋体" w:hAnsi="宋体" w:cs="宋体"/>
                <w:sz w:val="24"/>
                <w:szCs w:val="24"/>
                <w:highlight w:val="none"/>
              </w:rPr>
              <w:t>1名</w:t>
            </w:r>
          </w:p>
        </w:tc>
        <w:tc>
          <w:tcPr>
            <w:tcW w:w="4475" w:type="dxa"/>
            <w:noWrap w:val="0"/>
            <w:vAlign w:val="center"/>
          </w:tcPr>
          <w:p w14:paraId="581726AF">
            <w:pPr>
              <w:adjustRightInd w:val="0"/>
              <w:snapToGrid w:val="0"/>
              <w:rPr>
                <w:rFonts w:hint="eastAsia" w:ascii="宋体" w:hAnsi="宋体" w:cs="宋体"/>
                <w:sz w:val="24"/>
                <w:szCs w:val="24"/>
                <w:highlight w:val="none"/>
              </w:rPr>
            </w:pPr>
            <w:r>
              <w:rPr>
                <w:rFonts w:hint="eastAsia" w:ascii="宋体" w:hAnsi="宋体" w:cs="宋体"/>
                <w:sz w:val="24"/>
                <w:szCs w:val="24"/>
                <w:highlight w:val="none"/>
              </w:rPr>
              <w:t>具有国家注册监理工程师注册执业证书、注册专业为市政公用工程</w:t>
            </w:r>
          </w:p>
        </w:tc>
      </w:tr>
      <w:tr w14:paraId="15AEF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408" w:type="dxa"/>
            <w:vMerge w:val="continue"/>
            <w:noWrap w:val="0"/>
            <w:vAlign w:val="center"/>
          </w:tcPr>
          <w:p w14:paraId="338848A0">
            <w:pPr>
              <w:adjustRightInd w:val="0"/>
              <w:snapToGrid w:val="0"/>
              <w:jc w:val="center"/>
              <w:rPr>
                <w:rFonts w:hint="eastAsia" w:ascii="宋体" w:hAnsi="宋体" w:cs="宋体"/>
                <w:sz w:val="24"/>
                <w:szCs w:val="24"/>
                <w:highlight w:val="none"/>
              </w:rPr>
            </w:pPr>
          </w:p>
        </w:tc>
        <w:tc>
          <w:tcPr>
            <w:tcW w:w="2076" w:type="dxa"/>
            <w:noWrap w:val="0"/>
            <w:vAlign w:val="center"/>
          </w:tcPr>
          <w:p w14:paraId="2DC23558">
            <w:pPr>
              <w:adjustRightInd w:val="0"/>
              <w:snapToGrid w:val="0"/>
              <w:jc w:val="center"/>
              <w:rPr>
                <w:rFonts w:hint="eastAsia" w:ascii="宋体" w:hAnsi="宋体" w:cs="宋体"/>
                <w:sz w:val="24"/>
                <w:szCs w:val="24"/>
                <w:highlight w:val="none"/>
              </w:rPr>
            </w:pPr>
            <w:r>
              <w:rPr>
                <w:rFonts w:hint="eastAsia" w:ascii="宋体" w:hAnsi="宋体" w:cs="宋体"/>
                <w:sz w:val="24"/>
                <w:szCs w:val="24"/>
                <w:highlight w:val="none"/>
              </w:rPr>
              <w:t>专业监理工程师</w:t>
            </w:r>
          </w:p>
        </w:tc>
        <w:tc>
          <w:tcPr>
            <w:tcW w:w="1561" w:type="dxa"/>
            <w:noWrap w:val="0"/>
            <w:vAlign w:val="center"/>
          </w:tcPr>
          <w:p w14:paraId="74B73618">
            <w:pPr>
              <w:adjustRightInd w:val="0"/>
              <w:snapToGrid w:val="0"/>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3</w:t>
            </w:r>
            <w:r>
              <w:rPr>
                <w:rFonts w:hint="eastAsia" w:ascii="宋体" w:hAnsi="宋体" w:cs="宋体"/>
                <w:sz w:val="24"/>
                <w:szCs w:val="24"/>
                <w:highlight w:val="none"/>
              </w:rPr>
              <w:t>名</w:t>
            </w:r>
          </w:p>
        </w:tc>
        <w:tc>
          <w:tcPr>
            <w:tcW w:w="4475" w:type="dxa"/>
            <w:noWrap w:val="0"/>
            <w:vAlign w:val="center"/>
          </w:tcPr>
          <w:p w14:paraId="2883A177">
            <w:pPr>
              <w:adjustRightInd w:val="0"/>
              <w:snapToGrid w:val="0"/>
              <w:rPr>
                <w:rFonts w:hint="eastAsia" w:ascii="宋体" w:hAnsi="宋体" w:cs="宋体"/>
                <w:sz w:val="24"/>
                <w:szCs w:val="24"/>
                <w:highlight w:val="none"/>
              </w:rPr>
            </w:pPr>
            <w:r>
              <w:rPr>
                <w:rFonts w:hint="eastAsia" w:ascii="宋体" w:hAnsi="宋体" w:cs="宋体"/>
                <w:sz w:val="24"/>
                <w:szCs w:val="24"/>
                <w:highlight w:val="none"/>
              </w:rPr>
              <w:t>具有注册监理工程师注册执业证书或专业监理工程师资格证书</w:t>
            </w:r>
          </w:p>
        </w:tc>
      </w:tr>
      <w:tr w14:paraId="3597C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408" w:type="dxa"/>
            <w:vMerge w:val="continue"/>
            <w:noWrap w:val="0"/>
            <w:vAlign w:val="center"/>
          </w:tcPr>
          <w:p w14:paraId="239452C5">
            <w:pPr>
              <w:adjustRightInd w:val="0"/>
              <w:snapToGrid w:val="0"/>
              <w:jc w:val="center"/>
              <w:rPr>
                <w:rFonts w:hint="eastAsia" w:ascii="宋体" w:hAnsi="宋体" w:cs="宋体"/>
                <w:sz w:val="24"/>
                <w:szCs w:val="24"/>
                <w:highlight w:val="none"/>
              </w:rPr>
            </w:pPr>
          </w:p>
        </w:tc>
        <w:tc>
          <w:tcPr>
            <w:tcW w:w="2076" w:type="dxa"/>
            <w:noWrap w:val="0"/>
            <w:vAlign w:val="center"/>
          </w:tcPr>
          <w:p w14:paraId="1F163674">
            <w:pPr>
              <w:adjustRightInd w:val="0"/>
              <w:snapToGrid w:val="0"/>
              <w:jc w:val="center"/>
              <w:rPr>
                <w:rFonts w:hint="eastAsia" w:ascii="宋体" w:hAnsi="宋体" w:cs="宋体"/>
                <w:sz w:val="24"/>
                <w:szCs w:val="24"/>
                <w:highlight w:val="none"/>
              </w:rPr>
            </w:pPr>
            <w:r>
              <w:rPr>
                <w:rFonts w:hint="eastAsia" w:ascii="宋体" w:hAnsi="宋体" w:cs="宋体"/>
                <w:sz w:val="24"/>
                <w:szCs w:val="24"/>
                <w:highlight w:val="none"/>
              </w:rPr>
              <w:t>安全监理员</w:t>
            </w:r>
          </w:p>
        </w:tc>
        <w:tc>
          <w:tcPr>
            <w:tcW w:w="1561" w:type="dxa"/>
            <w:noWrap w:val="0"/>
            <w:vAlign w:val="center"/>
          </w:tcPr>
          <w:p w14:paraId="19591DCC">
            <w:pPr>
              <w:adjustRightInd w:val="0"/>
              <w:snapToGrid w:val="0"/>
              <w:jc w:val="center"/>
              <w:rPr>
                <w:rFonts w:hint="eastAsia" w:ascii="宋体" w:hAnsi="宋体" w:cs="宋体"/>
                <w:sz w:val="24"/>
                <w:szCs w:val="24"/>
                <w:highlight w:val="none"/>
              </w:rPr>
            </w:pPr>
            <w:r>
              <w:rPr>
                <w:rFonts w:hint="eastAsia" w:ascii="宋体" w:hAnsi="宋体" w:cs="宋体"/>
                <w:sz w:val="24"/>
                <w:szCs w:val="24"/>
                <w:highlight w:val="none"/>
                <w:lang w:val="en-US" w:eastAsia="zh-CN"/>
              </w:rPr>
              <w:t>1</w:t>
            </w:r>
            <w:r>
              <w:rPr>
                <w:rFonts w:hint="eastAsia" w:ascii="宋体" w:hAnsi="宋体" w:cs="宋体"/>
                <w:sz w:val="24"/>
                <w:szCs w:val="24"/>
                <w:highlight w:val="none"/>
              </w:rPr>
              <w:t>名</w:t>
            </w:r>
          </w:p>
        </w:tc>
        <w:tc>
          <w:tcPr>
            <w:tcW w:w="4475" w:type="dxa"/>
            <w:noWrap w:val="0"/>
            <w:vAlign w:val="center"/>
          </w:tcPr>
          <w:p w14:paraId="581B649A">
            <w:pPr>
              <w:adjustRightInd w:val="0"/>
              <w:snapToGrid w:val="0"/>
              <w:rPr>
                <w:rFonts w:hint="eastAsia" w:ascii="宋体" w:hAnsi="宋体" w:cs="宋体"/>
                <w:sz w:val="24"/>
                <w:szCs w:val="24"/>
                <w:highlight w:val="none"/>
              </w:rPr>
            </w:pPr>
            <w:r>
              <w:rPr>
                <w:rFonts w:hint="eastAsia" w:ascii="宋体" w:hAnsi="宋体" w:cs="宋体"/>
                <w:sz w:val="24"/>
                <w:szCs w:val="24"/>
                <w:highlight w:val="none"/>
              </w:rPr>
              <w:t>具有监理员和安全监理员资格证书</w:t>
            </w:r>
          </w:p>
        </w:tc>
      </w:tr>
      <w:tr w14:paraId="62DF8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408" w:type="dxa"/>
            <w:vMerge w:val="continue"/>
            <w:noWrap w:val="0"/>
            <w:vAlign w:val="center"/>
          </w:tcPr>
          <w:p w14:paraId="3CB7DD45">
            <w:pPr>
              <w:adjustRightInd w:val="0"/>
              <w:snapToGrid w:val="0"/>
              <w:jc w:val="center"/>
              <w:rPr>
                <w:rFonts w:hint="eastAsia" w:ascii="宋体" w:hAnsi="宋体" w:cs="宋体"/>
                <w:sz w:val="24"/>
                <w:szCs w:val="24"/>
                <w:highlight w:val="none"/>
              </w:rPr>
            </w:pPr>
          </w:p>
        </w:tc>
        <w:tc>
          <w:tcPr>
            <w:tcW w:w="2076" w:type="dxa"/>
            <w:noWrap w:val="0"/>
            <w:vAlign w:val="center"/>
          </w:tcPr>
          <w:p w14:paraId="288A4345">
            <w:pPr>
              <w:adjustRightInd w:val="0"/>
              <w:snapToGrid w:val="0"/>
              <w:jc w:val="center"/>
              <w:rPr>
                <w:rFonts w:hint="eastAsia" w:ascii="宋体" w:hAnsi="宋体" w:cs="宋体"/>
                <w:sz w:val="24"/>
                <w:szCs w:val="24"/>
                <w:highlight w:val="none"/>
              </w:rPr>
            </w:pPr>
            <w:r>
              <w:rPr>
                <w:rFonts w:hint="eastAsia" w:ascii="宋体" w:hAnsi="宋体" w:cs="宋体"/>
                <w:sz w:val="24"/>
                <w:szCs w:val="24"/>
                <w:highlight w:val="none"/>
              </w:rPr>
              <w:t>监理员</w:t>
            </w:r>
          </w:p>
        </w:tc>
        <w:tc>
          <w:tcPr>
            <w:tcW w:w="1561" w:type="dxa"/>
            <w:noWrap w:val="0"/>
            <w:vAlign w:val="center"/>
          </w:tcPr>
          <w:p w14:paraId="5DA73E73">
            <w:pPr>
              <w:adjustRightInd w:val="0"/>
              <w:snapToGrid w:val="0"/>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3</w:t>
            </w:r>
            <w:r>
              <w:rPr>
                <w:rFonts w:hint="eastAsia" w:ascii="宋体" w:hAnsi="宋体" w:cs="宋体"/>
                <w:sz w:val="24"/>
                <w:szCs w:val="24"/>
                <w:highlight w:val="none"/>
              </w:rPr>
              <w:t>名</w:t>
            </w:r>
          </w:p>
        </w:tc>
        <w:tc>
          <w:tcPr>
            <w:tcW w:w="4475" w:type="dxa"/>
            <w:noWrap w:val="0"/>
            <w:vAlign w:val="center"/>
          </w:tcPr>
          <w:p w14:paraId="6D9E3636">
            <w:pPr>
              <w:adjustRightInd w:val="0"/>
              <w:snapToGrid w:val="0"/>
              <w:rPr>
                <w:rFonts w:hint="eastAsia" w:ascii="宋体" w:hAnsi="宋体" w:cs="宋体"/>
                <w:sz w:val="24"/>
                <w:szCs w:val="24"/>
                <w:highlight w:val="none"/>
              </w:rPr>
            </w:pPr>
            <w:r>
              <w:rPr>
                <w:rFonts w:hint="eastAsia" w:ascii="宋体" w:hAnsi="宋体" w:cs="宋体"/>
                <w:sz w:val="24"/>
                <w:szCs w:val="24"/>
                <w:highlight w:val="none"/>
              </w:rPr>
              <w:t>具有监理员资格证书</w:t>
            </w:r>
          </w:p>
        </w:tc>
      </w:tr>
      <w:tr w14:paraId="4E85C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1408" w:type="dxa"/>
            <w:vMerge w:val="continue"/>
            <w:noWrap w:val="0"/>
            <w:vAlign w:val="center"/>
          </w:tcPr>
          <w:p w14:paraId="0399EC8A">
            <w:pPr>
              <w:adjustRightInd w:val="0"/>
              <w:snapToGrid w:val="0"/>
              <w:jc w:val="center"/>
              <w:rPr>
                <w:rFonts w:hint="eastAsia" w:ascii="宋体" w:hAnsi="宋体" w:cs="宋体"/>
                <w:sz w:val="24"/>
                <w:szCs w:val="24"/>
                <w:highlight w:val="none"/>
              </w:rPr>
            </w:pPr>
          </w:p>
        </w:tc>
        <w:tc>
          <w:tcPr>
            <w:tcW w:w="2076" w:type="dxa"/>
            <w:noWrap w:val="0"/>
            <w:vAlign w:val="center"/>
          </w:tcPr>
          <w:p w14:paraId="19FD8839">
            <w:pPr>
              <w:adjustRightInd w:val="0"/>
              <w:snapToGrid w:val="0"/>
              <w:jc w:val="center"/>
              <w:rPr>
                <w:rFonts w:hint="eastAsia" w:ascii="宋体" w:hAnsi="宋体" w:cs="宋体"/>
                <w:sz w:val="24"/>
                <w:szCs w:val="24"/>
                <w:highlight w:val="none"/>
              </w:rPr>
            </w:pPr>
            <w:r>
              <w:rPr>
                <w:rFonts w:hint="eastAsia" w:ascii="宋体" w:hAnsi="宋体" w:cs="宋体"/>
                <w:sz w:val="24"/>
                <w:szCs w:val="24"/>
                <w:highlight w:val="none"/>
              </w:rPr>
              <w:t>总计</w:t>
            </w:r>
          </w:p>
        </w:tc>
        <w:tc>
          <w:tcPr>
            <w:tcW w:w="1561" w:type="dxa"/>
            <w:noWrap w:val="0"/>
            <w:vAlign w:val="center"/>
          </w:tcPr>
          <w:p w14:paraId="0F3C93E4">
            <w:pPr>
              <w:adjustRightInd w:val="0"/>
              <w:snapToGrid w:val="0"/>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9</w:t>
            </w:r>
            <w:r>
              <w:rPr>
                <w:rFonts w:hint="eastAsia" w:ascii="宋体" w:hAnsi="宋体" w:cs="宋体"/>
                <w:sz w:val="24"/>
                <w:szCs w:val="24"/>
                <w:highlight w:val="none"/>
              </w:rPr>
              <w:t>名</w:t>
            </w:r>
          </w:p>
        </w:tc>
        <w:tc>
          <w:tcPr>
            <w:tcW w:w="4475" w:type="dxa"/>
            <w:noWrap w:val="0"/>
            <w:vAlign w:val="center"/>
          </w:tcPr>
          <w:p w14:paraId="6B77B05B">
            <w:pPr>
              <w:adjustRightInd w:val="0"/>
              <w:snapToGrid w:val="0"/>
              <w:rPr>
                <w:rFonts w:hint="eastAsia" w:ascii="宋体" w:hAnsi="宋体" w:cs="宋体"/>
                <w:sz w:val="24"/>
                <w:szCs w:val="24"/>
                <w:highlight w:val="none"/>
              </w:rPr>
            </w:pPr>
          </w:p>
        </w:tc>
      </w:tr>
      <w:tr w14:paraId="1933C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1408" w:type="dxa"/>
            <w:vMerge w:val="restart"/>
            <w:noWrap w:val="0"/>
            <w:vAlign w:val="center"/>
          </w:tcPr>
          <w:p w14:paraId="7F456790">
            <w:pPr>
              <w:adjustRightInd w:val="0"/>
              <w:snapToGrid w:val="0"/>
              <w:jc w:val="center"/>
              <w:rPr>
                <w:rFonts w:hint="eastAsia" w:ascii="宋体" w:hAnsi="宋体" w:cs="宋体"/>
                <w:sz w:val="24"/>
                <w:szCs w:val="24"/>
                <w:highlight w:val="none"/>
              </w:rPr>
            </w:pPr>
            <w:r>
              <w:rPr>
                <w:rFonts w:hint="eastAsia" w:ascii="宋体" w:hAnsi="宋体" w:cs="宋体"/>
                <w:sz w:val="24"/>
                <w:szCs w:val="24"/>
                <w:highlight w:val="none"/>
              </w:rPr>
              <w:t>设备要求</w:t>
            </w:r>
          </w:p>
        </w:tc>
        <w:tc>
          <w:tcPr>
            <w:tcW w:w="2076" w:type="dxa"/>
            <w:noWrap w:val="0"/>
            <w:vAlign w:val="center"/>
          </w:tcPr>
          <w:p w14:paraId="648AF942">
            <w:pPr>
              <w:adjustRightInd w:val="0"/>
              <w:snapToGrid w:val="0"/>
              <w:jc w:val="center"/>
              <w:rPr>
                <w:rFonts w:hint="eastAsia" w:ascii="宋体" w:hAnsi="宋体" w:cs="宋体"/>
                <w:sz w:val="24"/>
                <w:szCs w:val="24"/>
                <w:highlight w:val="none"/>
              </w:rPr>
            </w:pPr>
            <w:r>
              <w:rPr>
                <w:rFonts w:hint="eastAsia" w:ascii="宋体" w:hAnsi="宋体" w:cs="宋体"/>
                <w:sz w:val="24"/>
                <w:szCs w:val="24"/>
                <w:highlight w:val="none"/>
              </w:rPr>
              <w:t>设备</w:t>
            </w:r>
          </w:p>
        </w:tc>
        <w:tc>
          <w:tcPr>
            <w:tcW w:w="1561" w:type="dxa"/>
            <w:noWrap w:val="0"/>
            <w:vAlign w:val="center"/>
          </w:tcPr>
          <w:p w14:paraId="57ABE397">
            <w:pPr>
              <w:adjustRightInd w:val="0"/>
              <w:snapToGrid w:val="0"/>
              <w:jc w:val="center"/>
              <w:rPr>
                <w:rFonts w:hint="eastAsia" w:ascii="宋体" w:hAnsi="宋体" w:cs="宋体"/>
                <w:sz w:val="24"/>
                <w:szCs w:val="24"/>
                <w:highlight w:val="none"/>
              </w:rPr>
            </w:pPr>
            <w:r>
              <w:rPr>
                <w:rFonts w:hint="eastAsia" w:ascii="宋体" w:hAnsi="宋体" w:cs="宋体"/>
                <w:sz w:val="24"/>
                <w:szCs w:val="24"/>
                <w:highlight w:val="none"/>
              </w:rPr>
              <w:t>数量要求</w:t>
            </w:r>
          </w:p>
        </w:tc>
        <w:tc>
          <w:tcPr>
            <w:tcW w:w="4475" w:type="dxa"/>
            <w:noWrap w:val="0"/>
            <w:vAlign w:val="center"/>
          </w:tcPr>
          <w:p w14:paraId="47483D6A">
            <w:pPr>
              <w:adjustRightInd w:val="0"/>
              <w:snapToGrid w:val="0"/>
              <w:jc w:val="center"/>
              <w:rPr>
                <w:rFonts w:hint="eastAsia" w:ascii="宋体" w:hAnsi="宋体" w:cs="宋体"/>
                <w:sz w:val="24"/>
                <w:szCs w:val="24"/>
                <w:highlight w:val="none"/>
              </w:rPr>
            </w:pPr>
            <w:r>
              <w:rPr>
                <w:rFonts w:hint="eastAsia" w:ascii="宋体" w:hAnsi="宋体" w:cs="宋体"/>
                <w:sz w:val="24"/>
                <w:szCs w:val="24"/>
                <w:highlight w:val="none"/>
              </w:rPr>
              <w:t>基本要求</w:t>
            </w:r>
          </w:p>
        </w:tc>
      </w:tr>
      <w:tr w14:paraId="3F594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7" w:hRule="atLeast"/>
          <w:jc w:val="center"/>
        </w:trPr>
        <w:tc>
          <w:tcPr>
            <w:tcW w:w="1408" w:type="dxa"/>
            <w:vMerge w:val="continue"/>
            <w:noWrap w:val="0"/>
            <w:vAlign w:val="top"/>
          </w:tcPr>
          <w:p w14:paraId="57CFFB8E">
            <w:pPr>
              <w:adjustRightInd w:val="0"/>
              <w:snapToGrid w:val="0"/>
              <w:jc w:val="center"/>
              <w:rPr>
                <w:rFonts w:hint="eastAsia" w:ascii="宋体" w:hAnsi="宋体" w:cs="宋体"/>
                <w:sz w:val="24"/>
                <w:szCs w:val="24"/>
                <w:highlight w:val="none"/>
              </w:rPr>
            </w:pPr>
          </w:p>
        </w:tc>
        <w:tc>
          <w:tcPr>
            <w:tcW w:w="2076" w:type="dxa"/>
            <w:noWrap w:val="0"/>
            <w:vAlign w:val="center"/>
          </w:tcPr>
          <w:p w14:paraId="53B99D54">
            <w:pPr>
              <w:adjustRightInd w:val="0"/>
              <w:snapToGrid w:val="0"/>
              <w:jc w:val="center"/>
              <w:rPr>
                <w:rFonts w:hint="eastAsia" w:ascii="宋体" w:hAnsi="宋体" w:cs="宋体"/>
                <w:sz w:val="24"/>
                <w:szCs w:val="24"/>
                <w:highlight w:val="none"/>
              </w:rPr>
            </w:pPr>
            <w:r>
              <w:rPr>
                <w:rFonts w:hint="eastAsia" w:ascii="宋体" w:hAnsi="宋体" w:cs="宋体"/>
                <w:sz w:val="24"/>
                <w:szCs w:val="24"/>
                <w:highlight w:val="none"/>
              </w:rPr>
              <w:t>全站仪、水准仪、回弹仪、测距仪、塌落度测定仪、气体检测仪、检测尺、游标卡尺、钢卷尺</w:t>
            </w:r>
          </w:p>
        </w:tc>
        <w:tc>
          <w:tcPr>
            <w:tcW w:w="1561" w:type="dxa"/>
            <w:noWrap w:val="0"/>
            <w:vAlign w:val="center"/>
          </w:tcPr>
          <w:p w14:paraId="2806B2B5">
            <w:pPr>
              <w:adjustRightInd w:val="0"/>
              <w:snapToGrid w:val="0"/>
              <w:jc w:val="center"/>
              <w:rPr>
                <w:rFonts w:hint="eastAsia" w:ascii="宋体" w:hAnsi="宋体" w:cs="宋体"/>
                <w:sz w:val="24"/>
                <w:szCs w:val="24"/>
                <w:highlight w:val="none"/>
              </w:rPr>
            </w:pPr>
            <w:r>
              <w:rPr>
                <w:rFonts w:hint="eastAsia" w:ascii="宋体" w:hAnsi="宋体" w:cs="宋体"/>
                <w:sz w:val="24"/>
                <w:szCs w:val="24"/>
                <w:highlight w:val="none"/>
              </w:rPr>
              <w:t>各1台（把）</w:t>
            </w:r>
          </w:p>
        </w:tc>
        <w:tc>
          <w:tcPr>
            <w:tcW w:w="4475" w:type="dxa"/>
            <w:noWrap w:val="0"/>
            <w:vAlign w:val="center"/>
          </w:tcPr>
          <w:p w14:paraId="253F2627">
            <w:pPr>
              <w:rPr>
                <w:rFonts w:hint="eastAsia" w:ascii="宋体" w:hAnsi="宋体" w:cs="宋体"/>
                <w:sz w:val="24"/>
                <w:szCs w:val="24"/>
                <w:highlight w:val="none"/>
              </w:rPr>
            </w:pPr>
            <w:r>
              <w:rPr>
                <w:rFonts w:hint="eastAsia" w:ascii="宋体" w:hAnsi="宋体" w:cs="宋体"/>
                <w:sz w:val="24"/>
                <w:szCs w:val="24"/>
                <w:highlight w:val="none"/>
              </w:rPr>
              <w:t>提供“投入本项目的主要试验检测仪器设备表”并提供租赁合同（需提供出租方购置相应设备的发票证明）或者购置发票证明。</w:t>
            </w:r>
          </w:p>
        </w:tc>
      </w:tr>
    </w:tbl>
    <w:p w14:paraId="75E7176F">
      <w:pPr>
        <w:spacing w:before="240" w:beforeLines="100"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注：表中所列上述监理人员（总监除外）和设备要求不作为形式评审、资格评审、响应性评审的审查依据，只作为综合评分表中的评审依据。中标人可根据实际工作需要及时投入相应人员和设备。</w:t>
      </w:r>
    </w:p>
    <w:p w14:paraId="09456F16">
      <w:pPr>
        <w:spacing w:line="440" w:lineRule="exact"/>
        <w:ind w:firstLine="410" w:firstLineChars="171"/>
        <w:rPr>
          <w:rFonts w:hint="eastAsia" w:ascii="宋体" w:hAnsi="宋体" w:cs="宋体"/>
          <w:sz w:val="24"/>
          <w:szCs w:val="24"/>
          <w:highlight w:val="none"/>
        </w:rPr>
      </w:pPr>
      <w:r>
        <w:rPr>
          <w:rFonts w:hint="eastAsia" w:ascii="宋体" w:hAnsi="宋体" w:cs="宋体"/>
          <w:sz w:val="24"/>
          <w:szCs w:val="24"/>
          <w:highlight w:val="none"/>
        </w:rPr>
        <w:t>7.监理文件要求：本工程监理文件包括监理管理文件、质量监理文件、安全监理文件、环保监理文件、费用与进度监理文件、合同事项管理文件，以及监理日志、巡视记录、旁站记录、监理月报、监理工作报告等其他监理文件和影像资料，具体类别、编制要求、编制内容、提交时间和份数等应满足相关法律法规的规定。</w:t>
      </w:r>
    </w:p>
    <w:p w14:paraId="361161F1">
      <w:pPr>
        <w:spacing w:line="440" w:lineRule="exact"/>
        <w:ind w:firstLine="410" w:firstLineChars="171"/>
        <w:rPr>
          <w:rFonts w:hint="eastAsia" w:ascii="宋体" w:hAnsi="宋体" w:cs="宋体"/>
          <w:sz w:val="24"/>
          <w:szCs w:val="24"/>
          <w:highlight w:val="none"/>
        </w:rPr>
      </w:pPr>
      <w:r>
        <w:rPr>
          <w:rFonts w:hint="eastAsia" w:ascii="宋体" w:hAnsi="宋体" w:cs="宋体"/>
          <w:sz w:val="24"/>
          <w:szCs w:val="24"/>
          <w:highlight w:val="none"/>
        </w:rPr>
        <w:t>8.监理工作目标要求</w:t>
      </w:r>
    </w:p>
    <w:p w14:paraId="70B03393">
      <w:pPr>
        <w:spacing w:line="440" w:lineRule="exact"/>
        <w:ind w:firstLine="410" w:firstLineChars="171"/>
        <w:rPr>
          <w:rFonts w:hint="eastAsia" w:ascii="宋体" w:hAnsi="宋体" w:cs="宋体"/>
          <w:sz w:val="24"/>
          <w:szCs w:val="24"/>
          <w:highlight w:val="none"/>
        </w:rPr>
      </w:pPr>
      <w:r>
        <w:rPr>
          <w:rFonts w:hint="eastAsia" w:ascii="宋体" w:hAnsi="宋体" w:cs="宋体"/>
          <w:sz w:val="24"/>
          <w:szCs w:val="24"/>
          <w:highlight w:val="none"/>
        </w:rPr>
        <w:t>（1）投资控制目标：以不超过投资概算为基本目标。严格控制预算外费用的支出，减少索赔事件的发生，确保委托人制定的投资控制目标得以实现。</w:t>
      </w:r>
    </w:p>
    <w:p w14:paraId="1A23EAC3">
      <w:pPr>
        <w:spacing w:line="440" w:lineRule="exact"/>
        <w:ind w:firstLine="410" w:firstLineChars="171"/>
        <w:rPr>
          <w:rFonts w:hint="eastAsia" w:ascii="宋体" w:hAnsi="宋体" w:cs="宋体"/>
          <w:sz w:val="24"/>
          <w:szCs w:val="24"/>
          <w:highlight w:val="none"/>
        </w:rPr>
      </w:pPr>
      <w:r>
        <w:rPr>
          <w:rFonts w:hint="eastAsia" w:ascii="宋体" w:hAnsi="宋体" w:cs="宋体"/>
          <w:sz w:val="24"/>
          <w:szCs w:val="24"/>
          <w:highlight w:val="none"/>
        </w:rPr>
        <w:t>（2）进度控制目标：</w:t>
      </w:r>
      <w:r>
        <w:rPr>
          <w:rFonts w:hint="eastAsia" w:ascii="宋体" w:hAnsi="宋体" w:cs="宋体"/>
          <w:sz w:val="24"/>
          <w:szCs w:val="24"/>
          <w:highlight w:val="none"/>
          <w:u w:val="single"/>
        </w:rPr>
        <w:t>施工工期为委托人下达开工令或开工报告审批之日起按施工进度要求控制，施工总工期约</w:t>
      </w:r>
      <w:r>
        <w:rPr>
          <w:rFonts w:hint="eastAsia" w:ascii="宋体" w:hAnsi="宋体" w:cs="宋体"/>
          <w:sz w:val="24"/>
          <w:szCs w:val="24"/>
          <w:highlight w:val="none"/>
          <w:u w:val="single"/>
          <w:lang w:val="en-US" w:eastAsia="zh-CN"/>
        </w:rPr>
        <w:t>180</w:t>
      </w:r>
      <w:r>
        <w:rPr>
          <w:rFonts w:hint="eastAsia" w:ascii="宋体" w:hAnsi="宋体" w:cs="宋体"/>
          <w:sz w:val="24"/>
          <w:szCs w:val="24"/>
          <w:highlight w:val="none"/>
          <w:u w:val="single"/>
        </w:rPr>
        <w:t>日历天，缺陷责任期24个月。</w:t>
      </w:r>
    </w:p>
    <w:p w14:paraId="38C6FA6A">
      <w:pPr>
        <w:spacing w:line="440" w:lineRule="exact"/>
        <w:ind w:firstLine="410" w:firstLineChars="171"/>
        <w:rPr>
          <w:rFonts w:hint="eastAsia" w:ascii="宋体" w:hAnsi="宋体" w:cs="宋体"/>
          <w:sz w:val="24"/>
          <w:szCs w:val="24"/>
          <w:highlight w:val="none"/>
        </w:rPr>
      </w:pPr>
      <w:r>
        <w:rPr>
          <w:rFonts w:hint="eastAsia" w:ascii="宋体" w:hAnsi="宋体" w:cs="宋体"/>
          <w:sz w:val="24"/>
          <w:szCs w:val="24"/>
          <w:highlight w:val="none"/>
        </w:rPr>
        <w:t>（3）质量控制目标：</w:t>
      </w:r>
      <w:r>
        <w:rPr>
          <w:rFonts w:hint="eastAsia" w:ascii="宋体" w:hAnsi="宋体" w:cs="宋体"/>
          <w:sz w:val="24"/>
          <w:szCs w:val="24"/>
          <w:highlight w:val="none"/>
          <w:u w:val="single"/>
        </w:rPr>
        <w:t>合格工程</w:t>
      </w:r>
      <w:r>
        <w:rPr>
          <w:rFonts w:hint="eastAsia" w:ascii="宋体" w:hAnsi="宋体" w:cs="宋体"/>
          <w:sz w:val="24"/>
          <w:szCs w:val="24"/>
          <w:highlight w:val="none"/>
        </w:rPr>
        <w:t>。</w:t>
      </w:r>
    </w:p>
    <w:p w14:paraId="4A833BD6">
      <w:pPr>
        <w:spacing w:line="440" w:lineRule="exact"/>
        <w:ind w:firstLine="410" w:firstLineChars="171"/>
        <w:rPr>
          <w:rFonts w:hint="eastAsia" w:ascii="宋体" w:hAnsi="宋体" w:cs="宋体"/>
          <w:sz w:val="24"/>
          <w:szCs w:val="24"/>
          <w:highlight w:val="none"/>
        </w:rPr>
      </w:pPr>
      <w:r>
        <w:rPr>
          <w:rFonts w:hint="eastAsia" w:ascii="宋体" w:hAnsi="宋体" w:cs="宋体"/>
          <w:sz w:val="24"/>
          <w:szCs w:val="24"/>
          <w:highlight w:val="none"/>
        </w:rPr>
        <w:t>（4）安全管理目标：杜绝一般及以上等级生产安全事故的发生，控制工伤事故在千分之一内。</w:t>
      </w:r>
    </w:p>
    <w:p w14:paraId="0A660423">
      <w:pPr>
        <w:spacing w:line="440" w:lineRule="exact"/>
        <w:ind w:firstLine="410" w:firstLineChars="171"/>
        <w:rPr>
          <w:rFonts w:hint="eastAsia" w:ascii="宋体" w:hAnsi="宋体" w:cs="宋体"/>
          <w:sz w:val="24"/>
          <w:szCs w:val="24"/>
          <w:highlight w:val="none"/>
        </w:rPr>
      </w:pPr>
      <w:r>
        <w:rPr>
          <w:rFonts w:hint="eastAsia" w:ascii="宋体" w:hAnsi="宋体" w:cs="宋体"/>
          <w:sz w:val="24"/>
          <w:szCs w:val="24"/>
          <w:highlight w:val="none"/>
        </w:rPr>
        <w:t xml:space="preserve">（5）文明施工管理目标：合格且不因工地文明施工管理问题受到有关政府管理部门处罚。  </w:t>
      </w:r>
    </w:p>
    <w:p w14:paraId="2C7727B4">
      <w:pPr>
        <w:pStyle w:val="3"/>
        <w:keepLines w:val="0"/>
        <w:jc w:val="left"/>
        <w:rPr>
          <w:rFonts w:hint="eastAsia" w:ascii="宋体" w:hAnsi="宋体" w:cs="宋体"/>
          <w:kern w:val="0"/>
          <w:sz w:val="24"/>
          <w:szCs w:val="24"/>
          <w:highlight w:val="none"/>
        </w:rPr>
      </w:pPr>
      <w:r>
        <w:rPr>
          <w:rFonts w:hint="eastAsia" w:ascii="宋体" w:hAnsi="宋体" w:cs="宋体"/>
          <w:b w:val="0"/>
          <w:kern w:val="0"/>
          <w:sz w:val="24"/>
          <w:szCs w:val="24"/>
          <w:highlight w:val="none"/>
        </w:rPr>
        <w:t>二、适用规范标准</w:t>
      </w:r>
    </w:p>
    <w:p w14:paraId="778028F9">
      <w:pPr>
        <w:spacing w:line="440" w:lineRule="exact"/>
        <w:ind w:firstLine="410" w:firstLineChars="171"/>
        <w:rPr>
          <w:rFonts w:hint="eastAsia" w:ascii="宋体" w:hAnsi="宋体" w:cs="宋体"/>
          <w:sz w:val="24"/>
          <w:szCs w:val="24"/>
          <w:highlight w:val="none"/>
        </w:rPr>
      </w:pPr>
      <w:r>
        <w:rPr>
          <w:rFonts w:hint="eastAsia" w:ascii="宋体" w:hAnsi="宋体" w:cs="宋体"/>
          <w:sz w:val="24"/>
          <w:szCs w:val="24"/>
          <w:highlight w:val="none"/>
        </w:rPr>
        <w:t>1. 国家、行业、项目所在地规范名录：</w:t>
      </w:r>
      <w:r>
        <w:rPr>
          <w:rFonts w:hint="eastAsia" w:ascii="宋体" w:hAnsi="宋体" w:cs="宋体"/>
          <w:sz w:val="24"/>
          <w:szCs w:val="24"/>
          <w:highlight w:val="none"/>
          <w:u w:val="single"/>
        </w:rPr>
        <w:t>《建设工程监理规范》GB/T50319-2013，按国家、行业、项目所在地规范名录执行。</w:t>
      </w:r>
    </w:p>
    <w:p w14:paraId="03275E9A">
      <w:pPr>
        <w:spacing w:line="440" w:lineRule="exact"/>
        <w:ind w:firstLine="410" w:firstLineChars="171"/>
        <w:rPr>
          <w:rFonts w:hint="eastAsia" w:ascii="宋体" w:hAnsi="宋体" w:cs="宋体"/>
          <w:sz w:val="24"/>
          <w:szCs w:val="24"/>
          <w:highlight w:val="none"/>
          <w:u w:val="single"/>
        </w:rPr>
      </w:pPr>
      <w:r>
        <w:rPr>
          <w:rFonts w:hint="eastAsia" w:ascii="宋体" w:hAnsi="宋体" w:cs="宋体"/>
          <w:sz w:val="24"/>
          <w:szCs w:val="24"/>
          <w:highlight w:val="none"/>
        </w:rPr>
        <w:t>2. 国家、行业、项目所在地标准名录：</w:t>
      </w:r>
      <w:r>
        <w:rPr>
          <w:rFonts w:hint="eastAsia" w:ascii="宋体" w:hAnsi="宋体" w:cs="宋体"/>
          <w:sz w:val="24"/>
          <w:szCs w:val="24"/>
          <w:highlight w:val="none"/>
          <w:u w:val="single"/>
        </w:rPr>
        <w:t>按国家、行业、项目所在地规范标准执行。</w:t>
      </w:r>
    </w:p>
    <w:p w14:paraId="2E949955">
      <w:pPr>
        <w:spacing w:line="440" w:lineRule="exact"/>
        <w:ind w:firstLine="410" w:firstLineChars="171"/>
        <w:rPr>
          <w:rFonts w:hint="eastAsia" w:ascii="宋体" w:hAnsi="宋体" w:cs="宋体"/>
          <w:sz w:val="24"/>
          <w:szCs w:val="24"/>
          <w:highlight w:val="none"/>
        </w:rPr>
      </w:pPr>
      <w:r>
        <w:rPr>
          <w:rFonts w:hint="eastAsia" w:ascii="宋体" w:hAnsi="宋体" w:cs="宋体"/>
          <w:sz w:val="24"/>
          <w:szCs w:val="24"/>
          <w:highlight w:val="none"/>
        </w:rPr>
        <w:t>3. 国家、行业、项目所在地规程名录：</w:t>
      </w:r>
      <w:r>
        <w:rPr>
          <w:rFonts w:hint="eastAsia" w:ascii="宋体" w:hAnsi="宋体" w:cs="宋体"/>
          <w:sz w:val="24"/>
          <w:szCs w:val="24"/>
          <w:highlight w:val="none"/>
          <w:u w:val="single"/>
        </w:rPr>
        <w:t>按国家、行业、项目所在地规范规程执行。</w:t>
      </w:r>
    </w:p>
    <w:p w14:paraId="4F034624">
      <w:pPr>
        <w:pStyle w:val="3"/>
        <w:keepLines w:val="0"/>
        <w:jc w:val="left"/>
        <w:rPr>
          <w:rFonts w:hint="eastAsia" w:ascii="宋体" w:hAnsi="宋体" w:cs="宋体"/>
          <w:kern w:val="0"/>
          <w:sz w:val="24"/>
          <w:szCs w:val="24"/>
          <w:highlight w:val="none"/>
        </w:rPr>
      </w:pPr>
      <w:r>
        <w:rPr>
          <w:rFonts w:hint="eastAsia" w:ascii="宋体" w:hAnsi="宋体" w:cs="宋体"/>
          <w:b w:val="0"/>
          <w:kern w:val="0"/>
          <w:sz w:val="24"/>
          <w:szCs w:val="24"/>
          <w:highlight w:val="none"/>
        </w:rPr>
        <w:t>三、成果文件要求</w:t>
      </w:r>
    </w:p>
    <w:p w14:paraId="2B0FEDB8">
      <w:pPr>
        <w:snapToGrid w:val="0"/>
        <w:spacing w:line="44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按《建设工程监理规范》（GB/T50319-2013）和招标人要求</w:t>
      </w:r>
    </w:p>
    <w:p w14:paraId="72C1C2AD">
      <w:pPr>
        <w:spacing w:line="440" w:lineRule="exact"/>
        <w:ind w:firstLine="410" w:firstLineChars="171"/>
        <w:rPr>
          <w:rFonts w:hint="eastAsia" w:ascii="宋体" w:hAnsi="宋体" w:cs="宋体"/>
          <w:sz w:val="24"/>
          <w:szCs w:val="24"/>
          <w:highlight w:val="none"/>
        </w:rPr>
      </w:pPr>
      <w:r>
        <w:rPr>
          <w:rFonts w:hint="eastAsia" w:ascii="宋体" w:hAnsi="宋体" w:cs="宋体"/>
          <w:sz w:val="24"/>
          <w:szCs w:val="24"/>
          <w:highlight w:val="none"/>
        </w:rPr>
        <w:t>1. 成果文件的组成</w:t>
      </w:r>
    </w:p>
    <w:p w14:paraId="7DEBEBB8">
      <w:pPr>
        <w:spacing w:line="440" w:lineRule="exact"/>
        <w:ind w:firstLine="410" w:firstLineChars="171"/>
        <w:rPr>
          <w:rFonts w:hint="eastAsia" w:ascii="宋体" w:hAnsi="宋体" w:cs="宋体"/>
          <w:sz w:val="24"/>
          <w:szCs w:val="24"/>
          <w:highlight w:val="none"/>
        </w:rPr>
      </w:pPr>
      <w:r>
        <w:rPr>
          <w:rFonts w:hint="eastAsia" w:ascii="宋体" w:hAnsi="宋体" w:cs="宋体"/>
          <w:sz w:val="24"/>
          <w:szCs w:val="24"/>
          <w:highlight w:val="none"/>
        </w:rPr>
        <w:t>（1）勘察设计文件、建设工程监理合同及其他合同文件；</w:t>
      </w:r>
    </w:p>
    <w:p w14:paraId="0D11E607">
      <w:pPr>
        <w:spacing w:line="440" w:lineRule="exact"/>
        <w:ind w:firstLine="410" w:firstLineChars="171"/>
        <w:rPr>
          <w:rFonts w:hint="eastAsia" w:ascii="宋体" w:hAnsi="宋体" w:cs="宋体"/>
          <w:sz w:val="24"/>
          <w:szCs w:val="24"/>
          <w:highlight w:val="none"/>
        </w:rPr>
      </w:pPr>
      <w:r>
        <w:rPr>
          <w:rFonts w:hint="eastAsia" w:ascii="宋体" w:hAnsi="宋体" w:cs="宋体"/>
          <w:sz w:val="24"/>
          <w:szCs w:val="24"/>
          <w:highlight w:val="none"/>
        </w:rPr>
        <w:t>（2）监理规划、监理实施细则；</w:t>
      </w:r>
    </w:p>
    <w:p w14:paraId="2B04BB15">
      <w:pPr>
        <w:spacing w:line="440" w:lineRule="exact"/>
        <w:ind w:firstLine="410" w:firstLineChars="171"/>
        <w:rPr>
          <w:rFonts w:hint="eastAsia" w:ascii="宋体" w:hAnsi="宋体" w:cs="宋体"/>
          <w:sz w:val="24"/>
          <w:szCs w:val="24"/>
          <w:highlight w:val="none"/>
        </w:rPr>
      </w:pPr>
      <w:r>
        <w:rPr>
          <w:rFonts w:hint="eastAsia" w:ascii="宋体" w:hAnsi="宋体" w:cs="宋体"/>
          <w:sz w:val="24"/>
          <w:szCs w:val="24"/>
          <w:highlight w:val="none"/>
        </w:rPr>
        <w:t>（3）设计交底和图纸会审会议纪要；</w:t>
      </w:r>
    </w:p>
    <w:p w14:paraId="2F1D4CAC">
      <w:pPr>
        <w:spacing w:line="440" w:lineRule="exact"/>
        <w:ind w:firstLine="410" w:firstLineChars="171"/>
        <w:rPr>
          <w:rFonts w:hint="eastAsia" w:ascii="宋体" w:hAnsi="宋体" w:cs="宋体"/>
          <w:sz w:val="24"/>
          <w:szCs w:val="24"/>
          <w:highlight w:val="none"/>
        </w:rPr>
      </w:pPr>
      <w:r>
        <w:rPr>
          <w:rFonts w:hint="eastAsia" w:ascii="宋体" w:hAnsi="宋体" w:cs="宋体"/>
          <w:sz w:val="24"/>
          <w:szCs w:val="24"/>
          <w:highlight w:val="none"/>
        </w:rPr>
        <w:t>（4）施工组织设计、（专项）施工方案、施工进度计划报审文件资料；</w:t>
      </w:r>
    </w:p>
    <w:p w14:paraId="4B758180">
      <w:pPr>
        <w:spacing w:line="440" w:lineRule="exact"/>
        <w:ind w:firstLine="410" w:firstLineChars="171"/>
        <w:rPr>
          <w:rFonts w:hint="eastAsia" w:ascii="宋体" w:hAnsi="宋体" w:cs="宋体"/>
          <w:sz w:val="24"/>
          <w:szCs w:val="24"/>
          <w:highlight w:val="none"/>
        </w:rPr>
      </w:pPr>
      <w:r>
        <w:rPr>
          <w:rFonts w:hint="eastAsia" w:ascii="宋体" w:hAnsi="宋体" w:cs="宋体"/>
          <w:sz w:val="24"/>
          <w:szCs w:val="24"/>
          <w:highlight w:val="none"/>
        </w:rPr>
        <w:t>（5）分包单位资格报审文件资料；</w:t>
      </w:r>
    </w:p>
    <w:p w14:paraId="545EA941">
      <w:pPr>
        <w:spacing w:line="440" w:lineRule="exact"/>
        <w:ind w:firstLine="410" w:firstLineChars="171"/>
        <w:rPr>
          <w:rFonts w:hint="eastAsia" w:ascii="宋体" w:hAnsi="宋体" w:cs="宋体"/>
          <w:sz w:val="24"/>
          <w:szCs w:val="24"/>
          <w:highlight w:val="none"/>
        </w:rPr>
      </w:pPr>
      <w:r>
        <w:rPr>
          <w:rFonts w:hint="eastAsia" w:ascii="宋体" w:hAnsi="宋体" w:cs="宋体"/>
          <w:sz w:val="24"/>
          <w:szCs w:val="24"/>
          <w:highlight w:val="none"/>
        </w:rPr>
        <w:t>（6）施工控制测量成果报验文件资料；</w:t>
      </w:r>
    </w:p>
    <w:p w14:paraId="1B0AE4DD">
      <w:pPr>
        <w:spacing w:line="440" w:lineRule="exact"/>
        <w:ind w:firstLine="410" w:firstLineChars="171"/>
        <w:rPr>
          <w:rFonts w:hint="eastAsia" w:ascii="宋体" w:hAnsi="宋体" w:cs="宋体"/>
          <w:sz w:val="24"/>
          <w:szCs w:val="24"/>
          <w:highlight w:val="none"/>
        </w:rPr>
      </w:pPr>
      <w:r>
        <w:rPr>
          <w:rFonts w:hint="eastAsia" w:ascii="宋体" w:hAnsi="宋体" w:cs="宋体"/>
          <w:sz w:val="24"/>
          <w:szCs w:val="24"/>
          <w:highlight w:val="none"/>
        </w:rPr>
        <w:t>（7）总监理工程师任命书、工程开工令、暂停令、复工令、开工或复工报审文件资料；</w:t>
      </w:r>
    </w:p>
    <w:p w14:paraId="09EFA11E">
      <w:pPr>
        <w:spacing w:line="440" w:lineRule="exact"/>
        <w:ind w:firstLine="410" w:firstLineChars="171"/>
        <w:rPr>
          <w:rFonts w:hint="eastAsia" w:ascii="宋体" w:hAnsi="宋体" w:cs="宋体"/>
          <w:sz w:val="24"/>
          <w:szCs w:val="24"/>
          <w:highlight w:val="none"/>
        </w:rPr>
      </w:pPr>
      <w:r>
        <w:rPr>
          <w:rFonts w:hint="eastAsia" w:ascii="宋体" w:hAnsi="宋体" w:cs="宋体"/>
          <w:sz w:val="24"/>
          <w:szCs w:val="24"/>
          <w:highlight w:val="none"/>
        </w:rPr>
        <w:t>（8）工程材料、设备、构配件报验文件资料；</w:t>
      </w:r>
    </w:p>
    <w:p w14:paraId="5639E329">
      <w:pPr>
        <w:spacing w:line="440" w:lineRule="exact"/>
        <w:ind w:firstLine="410" w:firstLineChars="171"/>
        <w:rPr>
          <w:rFonts w:hint="eastAsia" w:ascii="宋体" w:hAnsi="宋体" w:cs="宋体"/>
          <w:sz w:val="24"/>
          <w:szCs w:val="24"/>
          <w:highlight w:val="none"/>
        </w:rPr>
      </w:pPr>
      <w:r>
        <w:rPr>
          <w:rFonts w:hint="eastAsia" w:ascii="宋体" w:hAnsi="宋体" w:cs="宋体"/>
          <w:sz w:val="24"/>
          <w:szCs w:val="24"/>
          <w:highlight w:val="none"/>
        </w:rPr>
        <w:t>（9）见证取样和平行检验文件资料；</w:t>
      </w:r>
    </w:p>
    <w:p w14:paraId="48111B76">
      <w:pPr>
        <w:spacing w:line="440" w:lineRule="exact"/>
        <w:ind w:firstLine="410" w:firstLineChars="171"/>
        <w:rPr>
          <w:rFonts w:hint="eastAsia" w:ascii="宋体" w:hAnsi="宋体" w:cs="宋体"/>
          <w:sz w:val="24"/>
          <w:szCs w:val="24"/>
          <w:highlight w:val="none"/>
        </w:rPr>
      </w:pPr>
      <w:r>
        <w:rPr>
          <w:rFonts w:hint="eastAsia" w:ascii="宋体" w:hAnsi="宋体" w:cs="宋体"/>
          <w:sz w:val="24"/>
          <w:szCs w:val="24"/>
          <w:highlight w:val="none"/>
        </w:rPr>
        <w:t>（10）工程质量检查报验资料及工程有关验收资料；</w:t>
      </w:r>
    </w:p>
    <w:p w14:paraId="1704B0CF">
      <w:pPr>
        <w:spacing w:line="440" w:lineRule="exact"/>
        <w:ind w:firstLine="410" w:firstLineChars="171"/>
        <w:rPr>
          <w:rFonts w:hint="eastAsia" w:ascii="宋体" w:hAnsi="宋体" w:cs="宋体"/>
          <w:sz w:val="24"/>
          <w:szCs w:val="24"/>
          <w:highlight w:val="none"/>
        </w:rPr>
      </w:pPr>
      <w:r>
        <w:rPr>
          <w:rFonts w:hint="eastAsia" w:ascii="宋体" w:hAnsi="宋体" w:cs="宋体"/>
          <w:sz w:val="24"/>
          <w:szCs w:val="24"/>
          <w:highlight w:val="none"/>
        </w:rPr>
        <w:t>（11）工程变更、费用索赔及工程延期文件资料；</w:t>
      </w:r>
    </w:p>
    <w:p w14:paraId="0C6F42A6">
      <w:pPr>
        <w:spacing w:line="440" w:lineRule="exact"/>
        <w:ind w:firstLine="410" w:firstLineChars="171"/>
        <w:rPr>
          <w:rFonts w:hint="eastAsia" w:ascii="宋体" w:hAnsi="宋体" w:cs="宋体"/>
          <w:sz w:val="24"/>
          <w:szCs w:val="24"/>
          <w:highlight w:val="none"/>
        </w:rPr>
      </w:pPr>
      <w:r>
        <w:rPr>
          <w:rFonts w:hint="eastAsia" w:ascii="宋体" w:hAnsi="宋体" w:cs="宋体"/>
          <w:sz w:val="24"/>
          <w:szCs w:val="24"/>
          <w:highlight w:val="none"/>
        </w:rPr>
        <w:t>（12）工程计量、工程款支付文件资料；</w:t>
      </w:r>
    </w:p>
    <w:p w14:paraId="52404C26">
      <w:pPr>
        <w:spacing w:line="440" w:lineRule="exact"/>
        <w:ind w:firstLine="410" w:firstLineChars="171"/>
        <w:rPr>
          <w:rFonts w:hint="eastAsia" w:ascii="宋体" w:hAnsi="宋体" w:cs="宋体"/>
          <w:sz w:val="24"/>
          <w:szCs w:val="24"/>
          <w:highlight w:val="none"/>
        </w:rPr>
      </w:pPr>
      <w:r>
        <w:rPr>
          <w:rFonts w:hint="eastAsia" w:ascii="宋体" w:hAnsi="宋体" w:cs="宋体"/>
          <w:sz w:val="24"/>
          <w:szCs w:val="24"/>
          <w:highlight w:val="none"/>
        </w:rPr>
        <w:t>（13）监理通知单、工作联系单与监理报告；</w:t>
      </w:r>
    </w:p>
    <w:p w14:paraId="4FD5C5F1">
      <w:pPr>
        <w:spacing w:line="440" w:lineRule="exact"/>
        <w:ind w:firstLine="410" w:firstLineChars="171"/>
        <w:rPr>
          <w:rFonts w:hint="eastAsia" w:ascii="宋体" w:hAnsi="宋体" w:cs="宋体"/>
          <w:sz w:val="24"/>
          <w:szCs w:val="24"/>
          <w:highlight w:val="none"/>
        </w:rPr>
      </w:pPr>
      <w:r>
        <w:rPr>
          <w:rFonts w:hint="eastAsia" w:ascii="宋体" w:hAnsi="宋体" w:cs="宋体"/>
          <w:sz w:val="24"/>
          <w:szCs w:val="24"/>
          <w:highlight w:val="none"/>
        </w:rPr>
        <w:t>（14）第一次工地会议、监理例会、专题会议等会议纪要；</w:t>
      </w:r>
    </w:p>
    <w:p w14:paraId="39FB994E">
      <w:pPr>
        <w:spacing w:line="440" w:lineRule="exact"/>
        <w:ind w:firstLine="410" w:firstLineChars="171"/>
        <w:rPr>
          <w:rFonts w:hint="eastAsia" w:ascii="宋体" w:hAnsi="宋体" w:cs="宋体"/>
          <w:sz w:val="24"/>
          <w:szCs w:val="24"/>
          <w:highlight w:val="none"/>
        </w:rPr>
      </w:pPr>
      <w:r>
        <w:rPr>
          <w:rFonts w:hint="eastAsia" w:ascii="宋体" w:hAnsi="宋体" w:cs="宋体"/>
          <w:sz w:val="24"/>
          <w:szCs w:val="24"/>
          <w:highlight w:val="none"/>
        </w:rPr>
        <w:t>（15）监理月报、监理日志、旁站记录；</w:t>
      </w:r>
    </w:p>
    <w:p w14:paraId="04CE4170">
      <w:pPr>
        <w:spacing w:line="440" w:lineRule="exact"/>
        <w:ind w:firstLine="410" w:firstLineChars="171"/>
        <w:rPr>
          <w:rFonts w:hint="eastAsia" w:ascii="宋体" w:hAnsi="宋体" w:cs="宋体"/>
          <w:sz w:val="24"/>
          <w:szCs w:val="24"/>
          <w:highlight w:val="none"/>
        </w:rPr>
      </w:pPr>
      <w:r>
        <w:rPr>
          <w:rFonts w:hint="eastAsia" w:ascii="宋体" w:hAnsi="宋体" w:cs="宋体"/>
          <w:sz w:val="24"/>
          <w:szCs w:val="24"/>
          <w:highlight w:val="none"/>
        </w:rPr>
        <w:t>（16）工程质量或生产安全事故处理文件资料；</w:t>
      </w:r>
    </w:p>
    <w:p w14:paraId="3366EFAC">
      <w:pPr>
        <w:spacing w:line="440" w:lineRule="exact"/>
        <w:ind w:firstLine="410" w:firstLineChars="171"/>
        <w:rPr>
          <w:rFonts w:hint="eastAsia" w:ascii="宋体" w:hAnsi="宋体" w:cs="宋体"/>
          <w:sz w:val="24"/>
          <w:szCs w:val="24"/>
          <w:highlight w:val="none"/>
        </w:rPr>
      </w:pPr>
      <w:r>
        <w:rPr>
          <w:rFonts w:hint="eastAsia" w:ascii="宋体" w:hAnsi="宋体" w:cs="宋体"/>
          <w:sz w:val="24"/>
          <w:szCs w:val="24"/>
          <w:highlight w:val="none"/>
        </w:rPr>
        <w:t>（17）工程质量评估报告及竣工验收监理文件资料；</w:t>
      </w:r>
    </w:p>
    <w:p w14:paraId="257A9BD0">
      <w:pPr>
        <w:spacing w:line="440" w:lineRule="exact"/>
        <w:ind w:firstLine="410" w:firstLineChars="171"/>
        <w:rPr>
          <w:rFonts w:hint="eastAsia" w:ascii="宋体" w:hAnsi="宋体" w:cs="宋体"/>
          <w:sz w:val="24"/>
          <w:szCs w:val="24"/>
          <w:highlight w:val="none"/>
        </w:rPr>
      </w:pPr>
      <w:r>
        <w:rPr>
          <w:rFonts w:hint="eastAsia" w:ascii="宋体" w:hAnsi="宋体" w:cs="宋体"/>
          <w:sz w:val="24"/>
          <w:szCs w:val="24"/>
          <w:highlight w:val="none"/>
        </w:rPr>
        <w:t>（18）监理工作总结；</w:t>
      </w:r>
    </w:p>
    <w:p w14:paraId="5B80580D">
      <w:pPr>
        <w:spacing w:line="440" w:lineRule="exact"/>
        <w:ind w:firstLine="410" w:firstLineChars="171"/>
        <w:rPr>
          <w:rFonts w:hint="eastAsia" w:ascii="宋体" w:hAnsi="宋体" w:cs="宋体"/>
          <w:sz w:val="24"/>
          <w:szCs w:val="24"/>
          <w:highlight w:val="none"/>
        </w:rPr>
      </w:pPr>
      <w:r>
        <w:rPr>
          <w:rFonts w:hint="eastAsia" w:ascii="宋体" w:hAnsi="宋体" w:cs="宋体"/>
          <w:sz w:val="24"/>
          <w:szCs w:val="24"/>
          <w:highlight w:val="none"/>
        </w:rPr>
        <w:t>（19）委托人、建设管理单位要求提交的其他文件。</w:t>
      </w:r>
    </w:p>
    <w:p w14:paraId="48B62F2B">
      <w:pPr>
        <w:spacing w:line="440" w:lineRule="exact"/>
        <w:ind w:firstLine="410" w:firstLineChars="171"/>
        <w:rPr>
          <w:rFonts w:hint="eastAsia" w:ascii="宋体" w:hAnsi="宋体" w:cs="宋体"/>
          <w:sz w:val="24"/>
          <w:szCs w:val="24"/>
          <w:highlight w:val="none"/>
        </w:rPr>
      </w:pPr>
      <w:r>
        <w:rPr>
          <w:rFonts w:hint="eastAsia" w:ascii="宋体" w:hAnsi="宋体" w:cs="宋体"/>
          <w:sz w:val="24"/>
          <w:szCs w:val="24"/>
          <w:highlight w:val="none"/>
        </w:rPr>
        <w:t>2. 成果文件的深度:</w:t>
      </w:r>
      <w:r>
        <w:rPr>
          <w:rFonts w:hint="eastAsia" w:ascii="宋体" w:hAnsi="宋体" w:cs="宋体"/>
          <w:sz w:val="24"/>
          <w:szCs w:val="24"/>
          <w:highlight w:val="none"/>
          <w:u w:val="single"/>
        </w:rPr>
        <w:t xml:space="preserve"> 满足本项目监理服务要求。</w:t>
      </w:r>
    </w:p>
    <w:p w14:paraId="690BE8ED">
      <w:pPr>
        <w:spacing w:line="440" w:lineRule="exact"/>
        <w:ind w:firstLine="410" w:firstLineChars="171"/>
        <w:rPr>
          <w:rFonts w:hint="eastAsia" w:ascii="宋体" w:hAnsi="宋体" w:cs="宋体"/>
          <w:sz w:val="24"/>
          <w:szCs w:val="24"/>
          <w:highlight w:val="none"/>
        </w:rPr>
      </w:pPr>
      <w:r>
        <w:rPr>
          <w:rFonts w:hint="eastAsia" w:ascii="宋体" w:hAnsi="宋体" w:cs="宋体"/>
          <w:sz w:val="24"/>
          <w:szCs w:val="24"/>
          <w:highlight w:val="none"/>
        </w:rPr>
        <w:t>3. 成果文件的格式要求:</w:t>
      </w:r>
      <w:r>
        <w:rPr>
          <w:rFonts w:hint="eastAsia" w:ascii="宋体" w:hAnsi="宋体" w:cs="宋体"/>
          <w:sz w:val="24"/>
          <w:szCs w:val="24"/>
          <w:highlight w:val="none"/>
          <w:u w:val="single"/>
        </w:rPr>
        <w:t xml:space="preserve"> 满足本项目监理服务要求。</w:t>
      </w:r>
    </w:p>
    <w:p w14:paraId="54B21722">
      <w:pPr>
        <w:spacing w:line="440" w:lineRule="exact"/>
        <w:ind w:firstLine="410" w:firstLineChars="171"/>
        <w:rPr>
          <w:rFonts w:hint="eastAsia" w:ascii="宋体" w:hAnsi="宋体" w:cs="宋体"/>
          <w:sz w:val="24"/>
          <w:szCs w:val="24"/>
          <w:highlight w:val="none"/>
        </w:rPr>
      </w:pPr>
      <w:r>
        <w:rPr>
          <w:rFonts w:hint="eastAsia" w:ascii="宋体" w:hAnsi="宋体" w:cs="宋体"/>
          <w:sz w:val="24"/>
          <w:szCs w:val="24"/>
          <w:highlight w:val="none"/>
        </w:rPr>
        <w:t>4. 成果文件的份数要求:</w:t>
      </w:r>
      <w:r>
        <w:rPr>
          <w:rFonts w:hint="eastAsia" w:ascii="宋体" w:hAnsi="宋体" w:cs="宋体"/>
          <w:sz w:val="24"/>
          <w:szCs w:val="24"/>
          <w:highlight w:val="none"/>
          <w:u w:val="single"/>
        </w:rPr>
        <w:t xml:space="preserve"> 一式六份，</w:t>
      </w:r>
    </w:p>
    <w:p w14:paraId="7624C9FF">
      <w:pPr>
        <w:spacing w:line="440" w:lineRule="exact"/>
        <w:ind w:firstLine="410" w:firstLineChars="171"/>
        <w:rPr>
          <w:rFonts w:hint="eastAsia" w:ascii="宋体" w:hAnsi="宋体" w:cs="宋体"/>
          <w:sz w:val="24"/>
          <w:szCs w:val="24"/>
          <w:highlight w:val="none"/>
        </w:rPr>
      </w:pPr>
      <w:r>
        <w:rPr>
          <w:rFonts w:hint="eastAsia" w:ascii="宋体" w:hAnsi="宋体" w:cs="宋体"/>
          <w:sz w:val="24"/>
          <w:szCs w:val="24"/>
          <w:highlight w:val="none"/>
        </w:rPr>
        <w:t>5. 成果文件的载体要求</w:t>
      </w:r>
    </w:p>
    <w:p w14:paraId="06D4D249">
      <w:pPr>
        <w:spacing w:line="44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（1）纸质版的要求：</w:t>
      </w:r>
      <w:r>
        <w:rPr>
          <w:rFonts w:hint="eastAsia" w:ascii="宋体" w:hAnsi="宋体" w:cs="宋体"/>
          <w:sz w:val="24"/>
          <w:szCs w:val="24"/>
          <w:highlight w:val="none"/>
          <w:u w:val="single"/>
        </w:rPr>
        <w:t xml:space="preserve"> 一式六份，</w:t>
      </w:r>
    </w:p>
    <w:p w14:paraId="6092970E">
      <w:pPr>
        <w:spacing w:line="44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（2）电子版的要求：</w:t>
      </w:r>
      <w:r>
        <w:rPr>
          <w:rFonts w:hint="eastAsia" w:ascii="宋体" w:hAnsi="宋体" w:cs="宋体"/>
          <w:sz w:val="24"/>
          <w:szCs w:val="24"/>
          <w:highlight w:val="none"/>
          <w:u w:val="single"/>
        </w:rPr>
        <w:t xml:space="preserve"> 与纸质版一致的电子版文件</w:t>
      </w:r>
    </w:p>
    <w:p w14:paraId="1AB43290">
      <w:pPr>
        <w:spacing w:line="44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（3）其他要求。</w:t>
      </w:r>
    </w:p>
    <w:p w14:paraId="3D624387">
      <w:pPr>
        <w:spacing w:line="440" w:lineRule="exact"/>
        <w:ind w:firstLine="410" w:firstLineChars="171"/>
        <w:rPr>
          <w:rFonts w:hint="eastAsia" w:ascii="宋体" w:hAnsi="宋体" w:cs="宋体"/>
          <w:sz w:val="24"/>
          <w:szCs w:val="24"/>
          <w:highlight w:val="none"/>
        </w:rPr>
      </w:pPr>
      <w:r>
        <w:rPr>
          <w:rFonts w:hint="eastAsia" w:ascii="宋体" w:hAnsi="宋体" w:cs="宋体"/>
          <w:sz w:val="24"/>
          <w:szCs w:val="24"/>
          <w:highlight w:val="none"/>
        </w:rPr>
        <w:t>6. 成果文件的其他要求 :</w:t>
      </w:r>
      <w:r>
        <w:rPr>
          <w:rFonts w:hint="eastAsia" w:ascii="宋体" w:hAnsi="宋体" w:cs="宋体"/>
          <w:sz w:val="24"/>
          <w:szCs w:val="24"/>
          <w:highlight w:val="none"/>
          <w:u w:val="single"/>
        </w:rPr>
        <w:t xml:space="preserve"> 满足本项目监理服务要求。</w:t>
      </w:r>
    </w:p>
    <w:p w14:paraId="1DB0B47D">
      <w:pPr>
        <w:pStyle w:val="3"/>
        <w:keepLines w:val="0"/>
        <w:jc w:val="left"/>
        <w:rPr>
          <w:rFonts w:hint="eastAsia" w:ascii="宋体" w:hAnsi="宋体" w:cs="宋体"/>
          <w:kern w:val="0"/>
          <w:sz w:val="24"/>
          <w:szCs w:val="24"/>
          <w:highlight w:val="none"/>
        </w:rPr>
      </w:pPr>
      <w:r>
        <w:rPr>
          <w:rFonts w:hint="eastAsia" w:ascii="宋体" w:hAnsi="宋体" w:cs="宋体"/>
          <w:b w:val="0"/>
          <w:kern w:val="0"/>
          <w:sz w:val="24"/>
          <w:szCs w:val="24"/>
          <w:highlight w:val="none"/>
        </w:rPr>
        <w:t>四、委托人财产清单</w:t>
      </w:r>
    </w:p>
    <w:p w14:paraId="0E981B77">
      <w:pPr>
        <w:spacing w:line="440" w:lineRule="exact"/>
        <w:ind w:firstLine="410" w:firstLineChars="171"/>
        <w:rPr>
          <w:rFonts w:hint="eastAsia" w:ascii="宋体" w:hAnsi="宋体" w:cs="宋体"/>
          <w:sz w:val="24"/>
          <w:szCs w:val="24"/>
          <w:highlight w:val="none"/>
        </w:rPr>
      </w:pPr>
      <w:r>
        <w:rPr>
          <w:rFonts w:hint="eastAsia" w:ascii="宋体" w:hAnsi="宋体" w:cs="宋体"/>
          <w:sz w:val="24"/>
          <w:szCs w:val="24"/>
          <w:highlight w:val="none"/>
        </w:rPr>
        <w:t>1.委托人提供的设备、设施</w:t>
      </w:r>
    </w:p>
    <w:p w14:paraId="2A80532A">
      <w:pPr>
        <w:spacing w:line="44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w:t>
      </w:r>
      <w:r>
        <w:rPr>
          <w:rFonts w:hint="eastAsia" w:ascii="宋体" w:hAnsi="宋体" w:cs="宋体"/>
          <w:spacing w:val="-3"/>
          <w:sz w:val="24"/>
          <w:szCs w:val="24"/>
          <w:highlight w:val="none"/>
        </w:rPr>
        <w:t>委托人提供的办公房屋及冷暖设施：</w:t>
      </w:r>
      <w:r>
        <w:rPr>
          <w:rFonts w:hint="eastAsia" w:ascii="宋体" w:hAnsi="宋体" w:cs="宋体"/>
          <w:sz w:val="24"/>
          <w:szCs w:val="24"/>
          <w:highlight w:val="none"/>
          <w:u w:val="single"/>
        </w:rPr>
        <w:t>无；</w:t>
      </w:r>
    </w:p>
    <w:p w14:paraId="716334AA">
      <w:pPr>
        <w:spacing w:line="44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（2）</w:t>
      </w:r>
      <w:r>
        <w:rPr>
          <w:rFonts w:hint="eastAsia" w:ascii="宋体" w:hAnsi="宋体" w:cs="宋体"/>
          <w:spacing w:val="-3"/>
          <w:sz w:val="24"/>
          <w:szCs w:val="24"/>
          <w:highlight w:val="none"/>
        </w:rPr>
        <w:t>委托人提供的设备清单：</w:t>
      </w:r>
      <w:r>
        <w:rPr>
          <w:rFonts w:hint="eastAsia" w:ascii="宋体" w:hAnsi="宋体" w:cs="宋体"/>
          <w:sz w:val="24"/>
          <w:szCs w:val="24"/>
          <w:highlight w:val="none"/>
          <w:u w:val="single"/>
        </w:rPr>
        <w:t>无；</w:t>
      </w:r>
    </w:p>
    <w:p w14:paraId="0780E587">
      <w:pPr>
        <w:spacing w:line="44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w:t>
      </w:r>
      <w:r>
        <w:rPr>
          <w:rFonts w:hint="eastAsia" w:ascii="宋体" w:hAnsi="宋体" w:cs="宋体"/>
          <w:spacing w:val="-3"/>
          <w:sz w:val="24"/>
          <w:szCs w:val="24"/>
          <w:highlight w:val="none"/>
        </w:rPr>
        <w:t>委托人提供的设施清单：</w:t>
      </w:r>
      <w:r>
        <w:rPr>
          <w:rFonts w:hint="eastAsia" w:ascii="宋体" w:hAnsi="宋体" w:cs="宋体"/>
          <w:sz w:val="24"/>
          <w:szCs w:val="24"/>
          <w:highlight w:val="none"/>
          <w:u w:val="single"/>
        </w:rPr>
        <w:t>无；</w:t>
      </w:r>
    </w:p>
    <w:p w14:paraId="5ECFECD6">
      <w:pPr>
        <w:spacing w:line="440" w:lineRule="exact"/>
        <w:ind w:firstLine="410" w:firstLineChars="171"/>
        <w:rPr>
          <w:rFonts w:hint="eastAsia" w:ascii="宋体" w:hAnsi="宋体" w:cs="宋体"/>
          <w:sz w:val="24"/>
          <w:szCs w:val="24"/>
          <w:highlight w:val="none"/>
        </w:rPr>
      </w:pPr>
      <w:r>
        <w:rPr>
          <w:rFonts w:hint="eastAsia" w:ascii="宋体" w:hAnsi="宋体" w:cs="宋体"/>
          <w:sz w:val="24"/>
          <w:szCs w:val="24"/>
          <w:highlight w:val="none"/>
        </w:rPr>
        <w:t>2.委托人提供的资料</w:t>
      </w:r>
    </w:p>
    <w:p w14:paraId="1499CABA">
      <w:pPr>
        <w:spacing w:line="44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（1）施工场地及毗邻区域内的供水、排水、供电、供气、供热、通信、广播电视等地下管线资料、气象和水文观测资料，相邻建筑物和构筑物、地下工程的有关资料，以及其他与建设工程有关的原始资料</w:t>
      </w:r>
    </w:p>
    <w:p w14:paraId="52A96E9F">
      <w:pPr>
        <w:spacing w:line="44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（2）定位放线的基准点、基准线和基准标高</w:t>
      </w:r>
    </w:p>
    <w:p w14:paraId="0500A45E">
      <w:pPr>
        <w:spacing w:line="44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（3）建设管理单位取得的有关审批、核准和备案材料</w:t>
      </w:r>
    </w:p>
    <w:p w14:paraId="12064393">
      <w:pPr>
        <w:spacing w:line="44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（4）勘察文件、设计文件等资料</w:t>
      </w:r>
    </w:p>
    <w:p w14:paraId="38FD5770">
      <w:pPr>
        <w:spacing w:line="44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（5）技术标准、规范</w:t>
      </w:r>
    </w:p>
    <w:p w14:paraId="192B141A">
      <w:pPr>
        <w:spacing w:line="44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（6）工程承包合同及其他相关合同</w:t>
      </w:r>
    </w:p>
    <w:p w14:paraId="66F571E7">
      <w:pPr>
        <w:spacing w:line="44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（7）其他资料</w:t>
      </w:r>
    </w:p>
    <w:p w14:paraId="3EB63B07">
      <w:pPr>
        <w:spacing w:line="440" w:lineRule="exact"/>
        <w:ind w:firstLine="410" w:firstLineChars="171"/>
        <w:rPr>
          <w:rFonts w:hint="eastAsia" w:ascii="宋体" w:hAnsi="宋体" w:cs="宋体"/>
          <w:sz w:val="24"/>
          <w:szCs w:val="24"/>
          <w:highlight w:val="none"/>
        </w:rPr>
      </w:pPr>
      <w:r>
        <w:rPr>
          <w:rFonts w:hint="eastAsia" w:ascii="宋体" w:hAnsi="宋体" w:cs="宋体"/>
          <w:sz w:val="24"/>
          <w:szCs w:val="24"/>
          <w:highlight w:val="none"/>
        </w:rPr>
        <w:t>3.委托人财产使用要求及退还要求</w:t>
      </w:r>
    </w:p>
    <w:p w14:paraId="06AD2729">
      <w:pPr>
        <w:spacing w:line="44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w:t>
      </w:r>
      <w:r>
        <w:rPr>
          <w:rFonts w:hint="eastAsia" w:ascii="宋体" w:hAnsi="宋体" w:cs="宋体"/>
          <w:spacing w:val="-3"/>
          <w:sz w:val="24"/>
          <w:szCs w:val="24"/>
          <w:highlight w:val="none"/>
        </w:rPr>
        <w:t>委托人财产使用要求</w:t>
      </w:r>
      <w:r>
        <w:rPr>
          <w:rFonts w:hint="eastAsia" w:ascii="宋体" w:hAnsi="宋体" w:cs="宋体"/>
          <w:sz w:val="24"/>
          <w:szCs w:val="24"/>
          <w:highlight w:val="none"/>
        </w:rPr>
        <w:t>：</w:t>
      </w:r>
      <w:r>
        <w:rPr>
          <w:rFonts w:hint="eastAsia" w:ascii="宋体" w:hAnsi="宋体" w:cs="宋体"/>
          <w:sz w:val="24"/>
          <w:szCs w:val="24"/>
          <w:highlight w:val="none"/>
          <w:u w:val="single"/>
        </w:rPr>
        <w:t>无。</w:t>
      </w:r>
    </w:p>
    <w:p w14:paraId="1C104657">
      <w:pPr>
        <w:spacing w:line="44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（2）</w:t>
      </w:r>
      <w:r>
        <w:rPr>
          <w:rFonts w:hint="eastAsia" w:ascii="宋体" w:hAnsi="宋体" w:cs="宋体"/>
          <w:spacing w:val="-3"/>
          <w:sz w:val="24"/>
          <w:szCs w:val="24"/>
          <w:highlight w:val="none"/>
        </w:rPr>
        <w:t>委托人财产退还要求</w:t>
      </w:r>
      <w:r>
        <w:rPr>
          <w:rFonts w:hint="eastAsia" w:ascii="宋体" w:hAnsi="宋体" w:cs="宋体"/>
          <w:sz w:val="24"/>
          <w:szCs w:val="24"/>
          <w:highlight w:val="none"/>
        </w:rPr>
        <w:t>：</w:t>
      </w:r>
      <w:r>
        <w:rPr>
          <w:rFonts w:hint="eastAsia" w:ascii="宋体" w:hAnsi="宋体" w:cs="宋体"/>
          <w:sz w:val="24"/>
          <w:szCs w:val="24"/>
          <w:highlight w:val="none"/>
          <w:u w:val="single"/>
        </w:rPr>
        <w:t>无。</w:t>
      </w:r>
    </w:p>
    <w:p w14:paraId="478D963F">
      <w:pPr>
        <w:pStyle w:val="3"/>
        <w:keepLines w:val="0"/>
        <w:jc w:val="left"/>
        <w:rPr>
          <w:rFonts w:hint="eastAsia" w:ascii="宋体" w:hAnsi="宋体" w:cs="宋体"/>
          <w:kern w:val="0"/>
          <w:sz w:val="24"/>
          <w:szCs w:val="24"/>
          <w:highlight w:val="none"/>
        </w:rPr>
      </w:pPr>
      <w:r>
        <w:rPr>
          <w:rFonts w:hint="eastAsia" w:ascii="宋体" w:hAnsi="宋体" w:cs="宋体"/>
          <w:b w:val="0"/>
          <w:kern w:val="0"/>
          <w:sz w:val="24"/>
          <w:szCs w:val="24"/>
          <w:highlight w:val="none"/>
        </w:rPr>
        <w:t>五、委托人提供的便利条件</w:t>
      </w:r>
    </w:p>
    <w:p w14:paraId="5F64E15C">
      <w:pPr>
        <w:spacing w:line="440" w:lineRule="exact"/>
        <w:ind w:firstLine="468" w:firstLineChars="200"/>
        <w:rPr>
          <w:rFonts w:hint="eastAsia" w:ascii="宋体" w:hAnsi="宋体" w:cs="宋体"/>
          <w:sz w:val="24"/>
          <w:szCs w:val="24"/>
          <w:highlight w:val="none"/>
        </w:rPr>
      </w:pPr>
      <w:r>
        <w:rPr>
          <w:rFonts w:hint="eastAsia" w:ascii="宋体" w:hAnsi="宋体" w:cs="宋体"/>
          <w:spacing w:val="-3"/>
          <w:sz w:val="24"/>
          <w:szCs w:val="24"/>
          <w:highlight w:val="none"/>
        </w:rPr>
        <w:t>1.委托人提供的生活条件</w:t>
      </w:r>
      <w:r>
        <w:rPr>
          <w:rFonts w:hint="eastAsia" w:ascii="宋体" w:hAnsi="宋体" w:cs="宋体"/>
          <w:sz w:val="24"/>
          <w:szCs w:val="24"/>
          <w:highlight w:val="none"/>
        </w:rPr>
        <w:t>：</w:t>
      </w:r>
      <w:r>
        <w:rPr>
          <w:rFonts w:hint="eastAsia" w:ascii="宋体" w:hAnsi="宋体" w:cs="宋体"/>
          <w:sz w:val="24"/>
          <w:szCs w:val="24"/>
          <w:highlight w:val="none"/>
          <w:u w:val="single"/>
        </w:rPr>
        <w:t>无</w:t>
      </w:r>
    </w:p>
    <w:p w14:paraId="4CED9A59">
      <w:pPr>
        <w:spacing w:line="440" w:lineRule="exact"/>
        <w:ind w:firstLine="468" w:firstLineChars="200"/>
        <w:rPr>
          <w:rFonts w:hint="eastAsia" w:ascii="宋体" w:hAnsi="宋体" w:cs="宋体"/>
          <w:sz w:val="24"/>
          <w:szCs w:val="24"/>
          <w:highlight w:val="none"/>
        </w:rPr>
      </w:pPr>
      <w:r>
        <w:rPr>
          <w:rFonts w:hint="eastAsia" w:ascii="宋体" w:hAnsi="宋体" w:cs="宋体"/>
          <w:spacing w:val="-3"/>
          <w:sz w:val="24"/>
          <w:szCs w:val="24"/>
          <w:highlight w:val="none"/>
        </w:rPr>
        <w:t>2.委托人提供的交通条件</w:t>
      </w:r>
      <w:r>
        <w:rPr>
          <w:rFonts w:hint="eastAsia" w:ascii="宋体" w:hAnsi="宋体" w:cs="宋体"/>
          <w:sz w:val="24"/>
          <w:szCs w:val="24"/>
          <w:highlight w:val="none"/>
        </w:rPr>
        <w:t>：</w:t>
      </w:r>
      <w:r>
        <w:rPr>
          <w:rFonts w:hint="eastAsia" w:ascii="宋体" w:hAnsi="宋体" w:cs="宋体"/>
          <w:sz w:val="24"/>
          <w:szCs w:val="24"/>
          <w:highlight w:val="none"/>
          <w:u w:val="single"/>
        </w:rPr>
        <w:t>无</w:t>
      </w:r>
    </w:p>
    <w:p w14:paraId="3EF9573C">
      <w:pPr>
        <w:spacing w:line="440" w:lineRule="exact"/>
        <w:ind w:firstLine="468" w:firstLineChars="200"/>
        <w:rPr>
          <w:rFonts w:hint="eastAsia" w:ascii="宋体" w:hAnsi="宋体" w:cs="宋体"/>
          <w:sz w:val="24"/>
          <w:szCs w:val="24"/>
          <w:highlight w:val="none"/>
        </w:rPr>
      </w:pPr>
      <w:r>
        <w:rPr>
          <w:rFonts w:hint="eastAsia" w:ascii="宋体" w:hAnsi="宋体" w:cs="宋体"/>
          <w:spacing w:val="-3"/>
          <w:sz w:val="24"/>
          <w:szCs w:val="24"/>
          <w:highlight w:val="none"/>
        </w:rPr>
        <w:t>3.委托人提供的网络、通讯条件</w:t>
      </w:r>
      <w:r>
        <w:rPr>
          <w:rFonts w:hint="eastAsia" w:ascii="宋体" w:hAnsi="宋体" w:cs="宋体"/>
          <w:sz w:val="24"/>
          <w:szCs w:val="24"/>
          <w:highlight w:val="none"/>
        </w:rPr>
        <w:t>：</w:t>
      </w:r>
      <w:r>
        <w:rPr>
          <w:rFonts w:hint="eastAsia" w:ascii="宋体" w:hAnsi="宋体" w:cs="宋体"/>
          <w:sz w:val="24"/>
          <w:szCs w:val="24"/>
          <w:highlight w:val="none"/>
          <w:u w:val="single"/>
        </w:rPr>
        <w:t>无</w:t>
      </w:r>
    </w:p>
    <w:p w14:paraId="570401A5">
      <w:pPr>
        <w:spacing w:line="440" w:lineRule="exact"/>
        <w:ind w:firstLine="468" w:firstLineChars="200"/>
        <w:rPr>
          <w:rFonts w:hint="eastAsia" w:ascii="宋体" w:hAnsi="宋体" w:cs="宋体"/>
          <w:sz w:val="24"/>
          <w:szCs w:val="24"/>
          <w:highlight w:val="none"/>
        </w:rPr>
      </w:pPr>
      <w:r>
        <w:rPr>
          <w:rFonts w:hint="eastAsia" w:ascii="宋体" w:hAnsi="宋体" w:cs="宋体"/>
          <w:spacing w:val="-3"/>
          <w:sz w:val="24"/>
          <w:szCs w:val="24"/>
          <w:highlight w:val="none"/>
        </w:rPr>
        <w:t>4.委托人提供的协助人员</w:t>
      </w:r>
      <w:r>
        <w:rPr>
          <w:rFonts w:hint="eastAsia" w:ascii="宋体" w:hAnsi="宋体" w:cs="宋体"/>
          <w:sz w:val="24"/>
          <w:szCs w:val="24"/>
          <w:highlight w:val="none"/>
        </w:rPr>
        <w:t>：</w:t>
      </w:r>
      <w:r>
        <w:rPr>
          <w:rFonts w:hint="eastAsia" w:ascii="宋体" w:hAnsi="宋体" w:cs="宋体"/>
          <w:sz w:val="24"/>
          <w:szCs w:val="24"/>
          <w:highlight w:val="none"/>
          <w:u w:val="single"/>
        </w:rPr>
        <w:t>无</w:t>
      </w:r>
    </w:p>
    <w:p w14:paraId="516D53C4">
      <w:pPr>
        <w:pStyle w:val="3"/>
        <w:keepLines w:val="0"/>
        <w:jc w:val="left"/>
        <w:rPr>
          <w:rFonts w:hint="eastAsia" w:ascii="宋体" w:hAnsi="宋体" w:cs="宋体"/>
          <w:kern w:val="0"/>
          <w:sz w:val="24"/>
          <w:szCs w:val="24"/>
          <w:highlight w:val="none"/>
        </w:rPr>
      </w:pPr>
      <w:r>
        <w:rPr>
          <w:rFonts w:hint="eastAsia" w:ascii="宋体" w:hAnsi="宋体" w:cs="宋体"/>
          <w:b w:val="0"/>
          <w:kern w:val="0"/>
          <w:sz w:val="24"/>
          <w:szCs w:val="24"/>
          <w:highlight w:val="none"/>
        </w:rPr>
        <w:t>六、监理人需要自备的工作条件</w:t>
      </w:r>
    </w:p>
    <w:p w14:paraId="37FD846E">
      <w:pPr>
        <w:spacing w:line="440" w:lineRule="exact"/>
        <w:ind w:firstLine="468" w:firstLineChars="200"/>
        <w:rPr>
          <w:rFonts w:hint="eastAsia" w:ascii="宋体" w:hAnsi="宋体" w:cs="宋体"/>
          <w:sz w:val="24"/>
          <w:szCs w:val="24"/>
          <w:highlight w:val="none"/>
        </w:rPr>
      </w:pPr>
      <w:r>
        <w:rPr>
          <w:rFonts w:hint="eastAsia" w:ascii="宋体" w:hAnsi="宋体" w:cs="宋体"/>
          <w:spacing w:val="-3"/>
          <w:sz w:val="24"/>
          <w:szCs w:val="24"/>
          <w:highlight w:val="none"/>
        </w:rPr>
        <w:t>1.监理人自备的工作手册：</w:t>
      </w:r>
      <w:r>
        <w:rPr>
          <w:rFonts w:hint="eastAsia" w:ascii="宋体" w:hAnsi="宋体" w:cs="宋体"/>
          <w:spacing w:val="-3"/>
          <w:sz w:val="24"/>
          <w:szCs w:val="24"/>
          <w:highlight w:val="none"/>
          <w:u w:val="single"/>
        </w:rPr>
        <w:t>本项目必备的规范标准、图集等。</w:t>
      </w:r>
    </w:p>
    <w:p w14:paraId="66BF6CBD">
      <w:pPr>
        <w:spacing w:line="440" w:lineRule="exact"/>
        <w:ind w:firstLine="468" w:firstLineChars="200"/>
        <w:rPr>
          <w:rFonts w:hint="eastAsia" w:ascii="宋体" w:hAnsi="宋体" w:cs="宋体"/>
          <w:sz w:val="24"/>
          <w:szCs w:val="24"/>
          <w:highlight w:val="none"/>
          <w:u w:val="single"/>
        </w:rPr>
      </w:pPr>
      <w:r>
        <w:rPr>
          <w:rFonts w:hint="eastAsia" w:ascii="宋体" w:hAnsi="宋体" w:cs="宋体"/>
          <w:spacing w:val="-3"/>
          <w:sz w:val="24"/>
          <w:szCs w:val="24"/>
          <w:highlight w:val="none"/>
        </w:rPr>
        <w:t>2.监理人自备的办公设备：</w:t>
      </w:r>
      <w:r>
        <w:rPr>
          <w:rFonts w:hint="eastAsia" w:ascii="宋体" w:hAnsi="宋体" w:cs="宋体"/>
          <w:spacing w:val="-3"/>
          <w:sz w:val="24"/>
          <w:szCs w:val="24"/>
          <w:highlight w:val="none"/>
          <w:u w:val="single"/>
        </w:rPr>
        <w:t>电脑、软件、投影、打印机、复印机、照相机等。</w:t>
      </w:r>
    </w:p>
    <w:p w14:paraId="0B5E430D">
      <w:pPr>
        <w:spacing w:line="440" w:lineRule="exact"/>
        <w:ind w:firstLine="468" w:firstLineChars="200"/>
        <w:rPr>
          <w:rFonts w:hint="eastAsia" w:ascii="宋体" w:hAnsi="宋体" w:cs="宋体"/>
          <w:sz w:val="24"/>
          <w:szCs w:val="24"/>
          <w:highlight w:val="none"/>
        </w:rPr>
      </w:pPr>
      <w:r>
        <w:rPr>
          <w:rFonts w:hint="eastAsia" w:ascii="宋体" w:hAnsi="宋体" w:cs="宋体"/>
          <w:spacing w:val="-3"/>
          <w:sz w:val="24"/>
          <w:szCs w:val="24"/>
          <w:highlight w:val="none"/>
        </w:rPr>
        <w:t>3.监理人自备的交通工具：</w:t>
      </w:r>
      <w:r>
        <w:rPr>
          <w:rFonts w:hint="eastAsia" w:ascii="宋体" w:hAnsi="宋体" w:cs="宋体"/>
          <w:spacing w:val="-3"/>
          <w:sz w:val="24"/>
          <w:szCs w:val="24"/>
          <w:highlight w:val="none"/>
          <w:u w:val="single"/>
        </w:rPr>
        <w:t>出行车辆等。</w:t>
      </w:r>
    </w:p>
    <w:p w14:paraId="72476008">
      <w:pPr>
        <w:spacing w:line="440" w:lineRule="exact"/>
        <w:ind w:firstLine="468" w:firstLineChars="200"/>
        <w:rPr>
          <w:rFonts w:hint="eastAsia" w:ascii="宋体" w:hAnsi="宋体" w:cs="宋体"/>
          <w:sz w:val="24"/>
          <w:szCs w:val="24"/>
          <w:highlight w:val="none"/>
        </w:rPr>
      </w:pPr>
      <w:r>
        <w:rPr>
          <w:rFonts w:hint="eastAsia" w:ascii="宋体" w:hAnsi="宋体" w:cs="宋体"/>
          <w:spacing w:val="-3"/>
          <w:sz w:val="24"/>
          <w:szCs w:val="24"/>
          <w:highlight w:val="none"/>
        </w:rPr>
        <w:t>4.监理人自备的现场办公设施：</w:t>
      </w:r>
      <w:r>
        <w:rPr>
          <w:rFonts w:hint="eastAsia" w:ascii="宋体" w:hAnsi="宋体" w:cs="宋体"/>
          <w:spacing w:val="-3"/>
          <w:sz w:val="24"/>
          <w:szCs w:val="24"/>
          <w:highlight w:val="none"/>
          <w:u w:val="single"/>
        </w:rPr>
        <w:t>办公桌椅、文件柜等。</w:t>
      </w:r>
    </w:p>
    <w:p w14:paraId="6D8FA4F7">
      <w:pPr>
        <w:spacing w:line="440" w:lineRule="exact"/>
        <w:ind w:firstLine="468" w:firstLineChars="200"/>
        <w:rPr>
          <w:rFonts w:hint="eastAsia" w:ascii="宋体" w:hAnsi="宋体" w:cs="宋体"/>
          <w:sz w:val="24"/>
          <w:szCs w:val="24"/>
          <w:highlight w:val="none"/>
        </w:rPr>
      </w:pPr>
      <w:r>
        <w:rPr>
          <w:rFonts w:hint="eastAsia" w:ascii="宋体" w:hAnsi="宋体" w:cs="宋体"/>
          <w:spacing w:val="-3"/>
          <w:sz w:val="24"/>
          <w:szCs w:val="24"/>
          <w:highlight w:val="none"/>
        </w:rPr>
        <w:t>5.监理人自备的安全设施：</w:t>
      </w:r>
      <w:r>
        <w:rPr>
          <w:rFonts w:hint="eastAsia" w:ascii="宋体" w:hAnsi="宋体" w:cs="宋体"/>
          <w:spacing w:val="-3"/>
          <w:sz w:val="24"/>
          <w:szCs w:val="24"/>
          <w:highlight w:val="none"/>
          <w:u w:val="single"/>
        </w:rPr>
        <w:t>安全帽、安全鞋、手电筒等。</w:t>
      </w:r>
    </w:p>
    <w:p w14:paraId="54EE2D23">
      <w:pPr>
        <w:spacing w:line="440" w:lineRule="exact"/>
        <w:ind w:firstLine="468" w:firstLineChars="200"/>
        <w:rPr>
          <w:rFonts w:hint="eastAsia" w:ascii="宋体" w:hAnsi="宋体" w:cs="宋体"/>
          <w:sz w:val="24"/>
          <w:szCs w:val="24"/>
          <w:highlight w:val="none"/>
        </w:rPr>
      </w:pPr>
      <w:r>
        <w:rPr>
          <w:rFonts w:hint="eastAsia" w:ascii="宋体" w:hAnsi="宋体" w:cs="宋体"/>
          <w:spacing w:val="-3"/>
          <w:sz w:val="24"/>
          <w:szCs w:val="24"/>
          <w:highlight w:val="none"/>
        </w:rPr>
        <w:t>6.监理人自备的试验检测仪器、设备、工具</w:t>
      </w:r>
      <w:r>
        <w:rPr>
          <w:rFonts w:hint="eastAsia" w:ascii="宋体" w:hAnsi="宋体" w:cs="宋体"/>
          <w:sz w:val="24"/>
          <w:szCs w:val="24"/>
          <w:highlight w:val="none"/>
        </w:rPr>
        <w:t>：</w:t>
      </w:r>
      <w:r>
        <w:rPr>
          <w:rFonts w:hint="eastAsia" w:ascii="宋体" w:hAnsi="宋体" w:cs="宋体"/>
          <w:sz w:val="24"/>
          <w:szCs w:val="24"/>
          <w:highlight w:val="none"/>
          <w:u w:val="single"/>
        </w:rPr>
        <w:t>满足本项目监理服务要求。</w:t>
      </w:r>
    </w:p>
    <w:p w14:paraId="399DE732">
      <w:pPr>
        <w:spacing w:line="440" w:lineRule="exact"/>
        <w:ind w:firstLine="468" w:firstLineChars="200"/>
        <w:rPr>
          <w:rFonts w:hint="eastAsia" w:ascii="宋体" w:hAnsi="宋体" w:cs="宋体"/>
          <w:sz w:val="24"/>
          <w:szCs w:val="24"/>
          <w:highlight w:val="none"/>
        </w:rPr>
      </w:pPr>
      <w:r>
        <w:rPr>
          <w:rFonts w:hint="eastAsia" w:ascii="宋体" w:hAnsi="宋体" w:cs="宋体"/>
          <w:spacing w:val="-3"/>
          <w:sz w:val="24"/>
          <w:szCs w:val="24"/>
          <w:highlight w:val="none"/>
        </w:rPr>
        <w:t>7.监理人自备的试验用房、样品用房：</w:t>
      </w:r>
      <w:r>
        <w:rPr>
          <w:rFonts w:hint="eastAsia" w:ascii="宋体" w:hAnsi="宋体" w:cs="宋体"/>
          <w:sz w:val="24"/>
          <w:szCs w:val="24"/>
          <w:highlight w:val="none"/>
          <w:u w:val="single"/>
        </w:rPr>
        <w:t>满足本项目监理服务要求。</w:t>
      </w:r>
    </w:p>
    <w:p w14:paraId="185052C2">
      <w:pPr>
        <w:pStyle w:val="3"/>
        <w:keepLines w:val="0"/>
        <w:jc w:val="left"/>
        <w:rPr>
          <w:rFonts w:hint="eastAsia" w:ascii="宋体" w:hAnsi="宋体" w:cs="宋体"/>
          <w:kern w:val="0"/>
          <w:sz w:val="24"/>
          <w:szCs w:val="24"/>
          <w:highlight w:val="none"/>
        </w:rPr>
      </w:pPr>
      <w:r>
        <w:rPr>
          <w:rFonts w:hint="eastAsia" w:ascii="宋体" w:hAnsi="宋体" w:cs="宋体"/>
          <w:b w:val="0"/>
          <w:kern w:val="0"/>
          <w:sz w:val="24"/>
          <w:szCs w:val="24"/>
          <w:highlight w:val="none"/>
        </w:rPr>
        <w:t>七、委托人的其他要求</w:t>
      </w:r>
    </w:p>
    <w:p w14:paraId="48DCB726">
      <w:pPr>
        <w:spacing w:line="440" w:lineRule="exact"/>
        <w:ind w:firstLine="468" w:firstLineChars="200"/>
        <w:rPr>
          <w:rFonts w:hint="eastAsia" w:ascii="宋体" w:hAnsi="宋体" w:cs="宋体"/>
          <w:spacing w:val="-3"/>
          <w:sz w:val="24"/>
          <w:szCs w:val="24"/>
          <w:highlight w:val="none"/>
          <w:u w:val="single"/>
        </w:rPr>
      </w:pPr>
      <w:r>
        <w:rPr>
          <w:rFonts w:hint="eastAsia" w:ascii="宋体" w:hAnsi="宋体" w:cs="宋体"/>
          <w:spacing w:val="-3"/>
          <w:sz w:val="24"/>
          <w:szCs w:val="24"/>
          <w:highlight w:val="none"/>
          <w:u w:val="single"/>
        </w:rPr>
        <w:t>其他要求详见按监理合同。</w:t>
      </w:r>
    </w:p>
    <w:p w14:paraId="025F437E">
      <w:pPr>
        <w:tabs>
          <w:tab w:val="left" w:pos="540"/>
        </w:tabs>
        <w:snapToGrid w:val="0"/>
        <w:spacing w:line="360" w:lineRule="auto"/>
        <w:ind w:firstLine="2640" w:firstLineChars="1100"/>
        <w:rPr>
          <w:rFonts w:hint="eastAsia" w:ascii="宋体" w:hAnsi="宋体" w:cs="宋体"/>
          <w:sz w:val="24"/>
          <w:szCs w:val="24"/>
          <w:highlight w:val="none"/>
        </w:rPr>
      </w:pPr>
    </w:p>
    <w:p w14:paraId="10214049">
      <w:pPr>
        <w:pStyle w:val="25"/>
        <w:ind w:left="420" w:firstLine="480"/>
        <w:rPr>
          <w:rFonts w:hint="eastAsia" w:ascii="宋体" w:hAnsi="宋体" w:eastAsia="宋体" w:cs="宋体"/>
          <w:sz w:val="24"/>
          <w:highlight w:val="none"/>
        </w:rPr>
        <w:sectPr>
          <w:footerReference r:id="rId10" w:type="default"/>
          <w:footerReference r:id="rId11" w:type="even"/>
          <w:pgSz w:w="11907" w:h="16840"/>
          <w:pgMar w:top="1417" w:right="1417" w:bottom="1417" w:left="1417" w:header="851" w:footer="850" w:gutter="0"/>
          <w:cols w:space="720" w:num="1"/>
          <w:docGrid w:linePitch="326" w:charSpace="0"/>
        </w:sectPr>
      </w:pPr>
    </w:p>
    <w:bookmarkEnd w:id="116"/>
    <w:p w14:paraId="0C0B3119">
      <w:pPr>
        <w:pStyle w:val="12"/>
        <w:kinsoku w:val="0"/>
        <w:overflowPunct w:val="0"/>
        <w:ind w:left="0"/>
        <w:rPr>
          <w:rFonts w:hint="eastAsia" w:ascii="宋体" w:hAnsi="宋体" w:eastAsia="宋体" w:cs="宋体"/>
          <w:color w:val="auto"/>
          <w:sz w:val="20"/>
          <w:szCs w:val="24"/>
          <w:highlight w:val="none"/>
        </w:rPr>
      </w:pPr>
    </w:p>
    <w:p w14:paraId="314477D5">
      <w:pPr>
        <w:pStyle w:val="2"/>
        <w:keepNext w:val="0"/>
        <w:keepLines w:val="0"/>
        <w:pageBreakBefore w:val="0"/>
        <w:widowControl w:val="0"/>
        <w:wordWrap/>
        <w:topLinePunct w:val="0"/>
        <w:autoSpaceDE w:val="0"/>
        <w:autoSpaceDN w:val="0"/>
        <w:bidi w:val="0"/>
        <w:adjustRightInd w:val="0"/>
        <w:snapToGrid/>
        <w:spacing w:before="0" w:beforeLines="2000"/>
        <w:jc w:val="center"/>
        <w:textAlignment w:val="auto"/>
        <w:rPr>
          <w:rFonts w:hint="eastAsia" w:ascii="宋体" w:hAnsi="宋体" w:eastAsia="宋体" w:cs="宋体"/>
          <w:color w:val="auto"/>
          <w:sz w:val="52"/>
          <w:szCs w:val="52"/>
          <w:highlight w:val="none"/>
        </w:rPr>
      </w:pPr>
      <w:bookmarkStart w:id="117" w:name="bookmark173"/>
      <w:bookmarkEnd w:id="117"/>
      <w:bookmarkStart w:id="118" w:name="_Toc12210"/>
      <w:r>
        <w:rPr>
          <w:rFonts w:hint="eastAsia" w:ascii="宋体" w:hAnsi="宋体" w:eastAsia="宋体" w:cs="宋体"/>
          <w:color w:val="auto"/>
          <w:sz w:val="52"/>
          <w:szCs w:val="52"/>
          <w:highlight w:val="none"/>
        </w:rPr>
        <w:t>第三卷</w:t>
      </w:r>
      <w:bookmarkEnd w:id="118"/>
    </w:p>
    <w:p w14:paraId="23001F82">
      <w:pPr>
        <w:pStyle w:val="2"/>
        <w:keepNext w:val="0"/>
        <w:keepLines w:val="0"/>
        <w:pageBreakBefore w:val="0"/>
        <w:widowControl w:val="0"/>
        <w:wordWrap/>
        <w:topLinePunct w:val="0"/>
        <w:autoSpaceDE w:val="0"/>
        <w:autoSpaceDN w:val="0"/>
        <w:bidi w:val="0"/>
        <w:adjustRightInd w:val="0"/>
        <w:snapToGrid/>
        <w:spacing w:before="0" w:beforeLines="2000"/>
        <w:jc w:val="center"/>
        <w:textAlignment w:val="auto"/>
        <w:rPr>
          <w:rFonts w:hint="eastAsia" w:ascii="宋体" w:hAnsi="宋体" w:eastAsia="宋体" w:cs="宋体"/>
          <w:color w:val="auto"/>
          <w:sz w:val="52"/>
          <w:szCs w:val="52"/>
          <w:highlight w:val="none"/>
        </w:rPr>
        <w:sectPr>
          <w:pgSz w:w="11905" w:h="16838"/>
          <w:pgMar w:top="1417" w:right="1417" w:bottom="1417" w:left="1417" w:header="992" w:footer="992" w:gutter="0"/>
          <w:lnNumType w:countBy="0" w:distance="360"/>
          <w:cols w:space="720" w:num="1"/>
        </w:sectPr>
      </w:pPr>
    </w:p>
    <w:p w14:paraId="0CD3E5C3">
      <w:pPr>
        <w:pStyle w:val="3"/>
        <w:outlineLvl w:val="0"/>
        <w:rPr>
          <w:rFonts w:hint="eastAsia" w:cs="宋体"/>
          <w:color w:val="auto"/>
          <w:sz w:val="44"/>
          <w:szCs w:val="24"/>
          <w:highlight w:val="none"/>
        </w:rPr>
      </w:pPr>
      <w:bookmarkStart w:id="119" w:name="bookmark174"/>
      <w:bookmarkEnd w:id="119"/>
      <w:bookmarkStart w:id="120" w:name="_Toc26661"/>
      <w:r>
        <w:rPr>
          <w:rFonts w:hint="eastAsia" w:cs="宋体"/>
          <w:color w:val="auto"/>
          <w:sz w:val="44"/>
          <w:szCs w:val="24"/>
          <w:highlight w:val="none"/>
        </w:rPr>
        <w:t>第六章</w:t>
      </w:r>
      <w:r>
        <w:rPr>
          <w:rFonts w:hint="eastAsia" w:cs="宋体"/>
          <w:color w:val="auto"/>
          <w:sz w:val="44"/>
          <w:szCs w:val="24"/>
          <w:highlight w:val="none"/>
          <w:lang w:val="en-US" w:eastAsia="zh-CN"/>
        </w:rPr>
        <w:t xml:space="preserve"> </w:t>
      </w:r>
      <w:r>
        <w:rPr>
          <w:rFonts w:hint="eastAsia" w:cs="宋体"/>
          <w:color w:val="auto"/>
          <w:sz w:val="44"/>
          <w:szCs w:val="24"/>
          <w:highlight w:val="none"/>
        </w:rPr>
        <w:t>投标文件格式</w:t>
      </w:r>
      <w:bookmarkEnd w:id="120"/>
    </w:p>
    <w:p w14:paraId="2DCC018B">
      <w:pPr>
        <w:pStyle w:val="3"/>
        <w:outlineLvl w:val="9"/>
        <w:rPr>
          <w:rFonts w:hint="eastAsia" w:ascii="宋体" w:hAnsi="宋体" w:eastAsia="宋体" w:cs="宋体"/>
          <w:color w:val="auto"/>
          <w:sz w:val="30"/>
          <w:szCs w:val="24"/>
          <w:highlight w:val="none"/>
        </w:rPr>
        <w:sectPr>
          <w:pgSz w:w="11905" w:h="16838"/>
          <w:pgMar w:top="1417" w:right="1417" w:bottom="1417" w:left="1417" w:header="992" w:footer="992" w:gutter="0"/>
          <w:lnNumType w:countBy="0" w:distance="360"/>
          <w:cols w:space="720" w:num="1"/>
        </w:sectPr>
      </w:pPr>
    </w:p>
    <w:p w14:paraId="2ED81E8B">
      <w:pPr>
        <w:pStyle w:val="12"/>
        <w:kinsoku w:val="0"/>
        <w:overflowPunct w:val="0"/>
        <w:ind w:left="0"/>
        <w:rPr>
          <w:rFonts w:hint="eastAsia" w:ascii="宋体" w:hAnsi="宋体" w:eastAsia="宋体" w:cs="宋体"/>
          <w:b/>
          <w:color w:val="auto"/>
          <w:sz w:val="20"/>
          <w:szCs w:val="24"/>
          <w:highlight w:val="none"/>
        </w:rPr>
      </w:pPr>
    </w:p>
    <w:p w14:paraId="2E192075">
      <w:pPr>
        <w:pStyle w:val="12"/>
        <w:kinsoku w:val="0"/>
        <w:overflowPunct w:val="0"/>
        <w:ind w:left="0"/>
        <w:rPr>
          <w:rFonts w:hint="eastAsia" w:ascii="宋体" w:hAnsi="宋体" w:eastAsia="宋体" w:cs="宋体"/>
          <w:b/>
          <w:color w:val="auto"/>
          <w:sz w:val="20"/>
          <w:szCs w:val="24"/>
          <w:highlight w:val="none"/>
        </w:rPr>
      </w:pPr>
    </w:p>
    <w:p w14:paraId="4D4CD839">
      <w:pPr>
        <w:pStyle w:val="12"/>
        <w:kinsoku w:val="0"/>
        <w:overflowPunct w:val="0"/>
        <w:spacing w:before="1"/>
        <w:ind w:left="0"/>
        <w:rPr>
          <w:rFonts w:hint="eastAsia" w:ascii="宋体" w:hAnsi="宋体" w:eastAsia="宋体" w:cs="宋体"/>
          <w:b/>
          <w:color w:val="auto"/>
          <w:sz w:val="22"/>
          <w:szCs w:val="24"/>
          <w:highlight w:val="none"/>
        </w:rPr>
      </w:pPr>
    </w:p>
    <w:p w14:paraId="018B4D19">
      <w:pPr>
        <w:jc w:val="center"/>
        <w:rPr>
          <w:rFonts w:hint="eastAsia" w:ascii="宋体" w:hAnsi="宋体" w:eastAsia="宋体" w:cs="宋体"/>
          <w:color w:val="auto"/>
          <w:sz w:val="36"/>
          <w:szCs w:val="24"/>
          <w:highlight w:val="none"/>
          <w:lang w:eastAsia="zh-CN"/>
        </w:rPr>
      </w:pPr>
      <w:r>
        <w:rPr>
          <w:rFonts w:hint="eastAsia" w:ascii="宋体" w:hAnsi="宋体" w:cs="宋体"/>
          <w:color w:val="auto"/>
          <w:sz w:val="36"/>
          <w:szCs w:val="24"/>
          <w:highlight w:val="none"/>
          <w:u w:val="single"/>
          <w:lang w:val="en-US" w:eastAsia="zh-CN"/>
        </w:rPr>
        <w:t xml:space="preserve">                 </w:t>
      </w:r>
      <w:r>
        <w:rPr>
          <w:rFonts w:hint="eastAsia" w:ascii="宋体" w:hAnsi="宋体" w:eastAsia="宋体" w:cs="宋体"/>
          <w:color w:val="auto"/>
          <w:sz w:val="36"/>
          <w:szCs w:val="24"/>
          <w:highlight w:val="none"/>
          <w:u w:val="single"/>
        </w:rPr>
        <w:t>（</w:t>
      </w:r>
      <w:r>
        <w:rPr>
          <w:rFonts w:hint="eastAsia" w:ascii="宋体" w:hAnsi="宋体" w:cs="宋体"/>
          <w:color w:val="auto"/>
          <w:sz w:val="36"/>
          <w:szCs w:val="24"/>
          <w:highlight w:val="none"/>
          <w:u w:val="single"/>
          <w:lang w:eastAsia="zh-CN"/>
        </w:rPr>
        <w:t>标段</w:t>
      </w:r>
      <w:r>
        <w:rPr>
          <w:rFonts w:hint="eastAsia" w:ascii="宋体" w:hAnsi="宋体" w:eastAsia="宋体" w:cs="宋体"/>
          <w:color w:val="auto"/>
          <w:sz w:val="36"/>
          <w:szCs w:val="24"/>
          <w:highlight w:val="none"/>
          <w:u w:val="single"/>
        </w:rPr>
        <w:t>名称）</w:t>
      </w:r>
      <w:r>
        <w:rPr>
          <w:rFonts w:hint="eastAsia" w:ascii="宋体" w:hAnsi="宋体" w:eastAsia="宋体" w:cs="宋体"/>
          <w:color w:val="auto"/>
          <w:sz w:val="36"/>
          <w:szCs w:val="24"/>
          <w:highlight w:val="none"/>
          <w:lang w:val="en-US" w:eastAsia="zh-CN"/>
        </w:rPr>
        <w:t xml:space="preserve"> </w:t>
      </w:r>
    </w:p>
    <w:p w14:paraId="40F166A0">
      <w:pPr>
        <w:pStyle w:val="12"/>
        <w:kinsoku w:val="0"/>
        <w:overflowPunct w:val="0"/>
        <w:ind w:left="0"/>
        <w:rPr>
          <w:rFonts w:hint="eastAsia" w:cs="宋体"/>
          <w:color w:val="auto"/>
          <w:sz w:val="20"/>
          <w:szCs w:val="24"/>
          <w:highlight w:val="none"/>
        </w:rPr>
      </w:pPr>
    </w:p>
    <w:p w14:paraId="6AA83AEC">
      <w:pPr>
        <w:pStyle w:val="12"/>
        <w:kinsoku w:val="0"/>
        <w:overflowPunct w:val="0"/>
        <w:spacing w:before="9"/>
        <w:ind w:left="0"/>
        <w:rPr>
          <w:rFonts w:hint="eastAsia" w:cs="宋体"/>
          <w:color w:val="auto"/>
          <w:sz w:val="15"/>
          <w:szCs w:val="24"/>
          <w:highlight w:val="none"/>
        </w:rPr>
      </w:pPr>
    </w:p>
    <w:p w14:paraId="28F76EFE">
      <w:pPr>
        <w:pStyle w:val="12"/>
        <w:kinsoku w:val="0"/>
        <w:overflowPunct w:val="0"/>
        <w:spacing w:line="539" w:lineRule="exact"/>
        <w:ind w:left="3" w:right="1"/>
        <w:jc w:val="center"/>
        <w:rPr>
          <w:rFonts w:hint="eastAsia" w:cs="宋体"/>
          <w:color w:val="auto"/>
          <w:sz w:val="44"/>
          <w:szCs w:val="24"/>
          <w:highlight w:val="none"/>
        </w:rPr>
      </w:pPr>
    </w:p>
    <w:p w14:paraId="3F52EC20">
      <w:pPr>
        <w:pStyle w:val="12"/>
        <w:kinsoku w:val="0"/>
        <w:overflowPunct w:val="0"/>
        <w:spacing w:line="539" w:lineRule="exact"/>
        <w:ind w:left="3" w:right="1"/>
        <w:jc w:val="center"/>
        <w:rPr>
          <w:rFonts w:hint="eastAsia" w:cs="宋体"/>
          <w:color w:val="auto"/>
          <w:sz w:val="44"/>
          <w:szCs w:val="24"/>
          <w:highlight w:val="none"/>
        </w:rPr>
      </w:pPr>
    </w:p>
    <w:p w14:paraId="31943C0C">
      <w:pPr>
        <w:pStyle w:val="12"/>
        <w:kinsoku w:val="0"/>
        <w:overflowPunct w:val="0"/>
        <w:ind w:left="0"/>
        <w:jc w:val="center"/>
        <w:rPr>
          <w:rFonts w:hint="eastAsia" w:cs="宋体"/>
          <w:color w:val="auto"/>
          <w:sz w:val="44"/>
          <w:szCs w:val="24"/>
          <w:highlight w:val="none"/>
        </w:rPr>
      </w:pPr>
      <w:r>
        <w:rPr>
          <w:rFonts w:hint="eastAsia" w:cs="宋体"/>
          <w:color w:val="auto"/>
          <w:sz w:val="84"/>
          <w:szCs w:val="84"/>
          <w:highlight w:val="none"/>
        </w:rPr>
        <w:t>投标文件</w:t>
      </w:r>
    </w:p>
    <w:p w14:paraId="6A1D2F22">
      <w:pPr>
        <w:pStyle w:val="12"/>
        <w:kinsoku w:val="0"/>
        <w:overflowPunct w:val="0"/>
        <w:ind w:left="0"/>
        <w:rPr>
          <w:rFonts w:hint="eastAsia" w:cs="宋体"/>
          <w:color w:val="auto"/>
          <w:sz w:val="44"/>
          <w:szCs w:val="24"/>
          <w:highlight w:val="none"/>
        </w:rPr>
      </w:pPr>
    </w:p>
    <w:p w14:paraId="1253F007">
      <w:pPr>
        <w:pStyle w:val="12"/>
        <w:kinsoku w:val="0"/>
        <w:overflowPunct w:val="0"/>
        <w:ind w:left="0"/>
        <w:rPr>
          <w:rFonts w:hint="eastAsia" w:cs="宋体"/>
          <w:color w:val="auto"/>
          <w:sz w:val="44"/>
          <w:szCs w:val="24"/>
          <w:highlight w:val="none"/>
        </w:rPr>
      </w:pPr>
    </w:p>
    <w:p w14:paraId="17D1B766">
      <w:pPr>
        <w:pStyle w:val="12"/>
        <w:kinsoku w:val="0"/>
        <w:overflowPunct w:val="0"/>
        <w:ind w:left="0"/>
        <w:rPr>
          <w:rFonts w:hint="eastAsia" w:cs="宋体"/>
          <w:color w:val="auto"/>
          <w:sz w:val="44"/>
          <w:szCs w:val="24"/>
          <w:highlight w:val="none"/>
        </w:rPr>
      </w:pPr>
    </w:p>
    <w:p w14:paraId="005953B0">
      <w:pPr>
        <w:pStyle w:val="12"/>
        <w:kinsoku w:val="0"/>
        <w:overflowPunct w:val="0"/>
        <w:ind w:left="0"/>
        <w:rPr>
          <w:rFonts w:hint="eastAsia" w:cs="宋体"/>
          <w:color w:val="auto"/>
          <w:sz w:val="44"/>
          <w:szCs w:val="24"/>
          <w:highlight w:val="none"/>
        </w:rPr>
      </w:pPr>
    </w:p>
    <w:p w14:paraId="021413AD">
      <w:pPr>
        <w:pStyle w:val="12"/>
        <w:kinsoku w:val="0"/>
        <w:overflowPunct w:val="0"/>
        <w:ind w:left="0"/>
        <w:rPr>
          <w:rFonts w:hint="eastAsia" w:cs="宋体"/>
          <w:color w:val="auto"/>
          <w:sz w:val="44"/>
          <w:szCs w:val="24"/>
          <w:highlight w:val="none"/>
        </w:rPr>
      </w:pPr>
    </w:p>
    <w:p w14:paraId="28D9ED75">
      <w:pPr>
        <w:pStyle w:val="12"/>
        <w:kinsoku w:val="0"/>
        <w:overflowPunct w:val="0"/>
        <w:ind w:left="0"/>
        <w:rPr>
          <w:rFonts w:hint="eastAsia" w:cs="宋体"/>
          <w:color w:val="auto"/>
          <w:sz w:val="44"/>
          <w:szCs w:val="24"/>
          <w:highlight w:val="none"/>
        </w:rPr>
      </w:pPr>
    </w:p>
    <w:p w14:paraId="60CE23ED">
      <w:pPr>
        <w:pStyle w:val="12"/>
        <w:kinsoku w:val="0"/>
        <w:overflowPunct w:val="0"/>
        <w:ind w:left="0"/>
        <w:rPr>
          <w:rFonts w:hint="eastAsia" w:cs="宋体"/>
          <w:color w:val="auto"/>
          <w:sz w:val="44"/>
          <w:szCs w:val="24"/>
          <w:highlight w:val="none"/>
        </w:rPr>
      </w:pPr>
    </w:p>
    <w:p w14:paraId="41F0DFD8">
      <w:pPr>
        <w:pStyle w:val="12"/>
        <w:kinsoku w:val="0"/>
        <w:overflowPunct w:val="0"/>
        <w:ind w:left="0"/>
        <w:rPr>
          <w:rFonts w:hint="eastAsia" w:cs="宋体"/>
          <w:color w:val="auto"/>
          <w:sz w:val="44"/>
          <w:szCs w:val="24"/>
          <w:highlight w:val="none"/>
        </w:rPr>
      </w:pPr>
    </w:p>
    <w:p w14:paraId="71F6B30B">
      <w:pPr>
        <w:pStyle w:val="12"/>
        <w:kinsoku w:val="0"/>
        <w:overflowPunct w:val="0"/>
        <w:ind w:left="0"/>
        <w:rPr>
          <w:rFonts w:hint="eastAsia" w:cs="宋体"/>
          <w:color w:val="auto"/>
          <w:sz w:val="44"/>
          <w:szCs w:val="24"/>
          <w:highlight w:val="none"/>
        </w:rPr>
      </w:pPr>
    </w:p>
    <w:p w14:paraId="50CA3193">
      <w:pPr>
        <w:pStyle w:val="12"/>
        <w:kinsoku w:val="0"/>
        <w:overflowPunct w:val="0"/>
        <w:spacing w:before="3"/>
        <w:ind w:left="0"/>
        <w:rPr>
          <w:rFonts w:hint="eastAsia" w:cs="宋体"/>
          <w:color w:val="auto"/>
          <w:sz w:val="41"/>
          <w:szCs w:val="24"/>
          <w:highlight w:val="none"/>
        </w:rPr>
      </w:pPr>
    </w:p>
    <w:p w14:paraId="6DB12BBF">
      <w:pPr>
        <w:pStyle w:val="12"/>
        <w:tabs>
          <w:tab w:val="left" w:pos="5577"/>
          <w:tab w:val="left" w:pos="6942"/>
        </w:tabs>
        <w:kinsoku w:val="0"/>
        <w:overflowPunct w:val="0"/>
        <w:spacing w:line="357" w:lineRule="auto"/>
        <w:ind w:left="1201" w:right="175"/>
        <w:rPr>
          <w:rFonts w:hint="eastAsia" w:cs="宋体"/>
          <w:color w:val="auto"/>
          <w:spacing w:val="-1"/>
          <w:sz w:val="28"/>
          <w:szCs w:val="24"/>
          <w:highlight w:val="none"/>
        </w:rPr>
      </w:pPr>
      <w:r>
        <w:rPr>
          <w:rFonts w:hint="eastAsia" w:cs="宋体"/>
          <w:color w:val="auto"/>
          <w:sz w:val="28"/>
          <w:szCs w:val="24"/>
          <w:highlight w:val="none"/>
        </w:rPr>
        <w:t>投标人：</w:t>
      </w:r>
      <w:r>
        <w:rPr>
          <w:rFonts w:hint="eastAsia" w:ascii="宋体" w:hAnsi="宋体" w:eastAsia="宋体" w:cs="宋体"/>
          <w:color w:val="auto"/>
          <w:sz w:val="28"/>
          <w:szCs w:val="24"/>
          <w:highlight w:val="none"/>
          <w:u w:val="single"/>
        </w:rPr>
        <w:tab/>
      </w:r>
      <w:r>
        <w:rPr>
          <w:rFonts w:hint="eastAsia" w:ascii="宋体" w:hAnsi="宋体" w:eastAsia="宋体" w:cs="宋体"/>
          <w:color w:val="auto"/>
          <w:sz w:val="28"/>
          <w:szCs w:val="24"/>
          <w:highlight w:val="none"/>
          <w:u w:val="single"/>
        </w:rPr>
        <w:tab/>
      </w:r>
      <w:r>
        <w:rPr>
          <w:rFonts w:hint="eastAsia" w:cs="宋体"/>
          <w:color w:val="auto"/>
          <w:spacing w:val="-1"/>
          <w:sz w:val="28"/>
          <w:szCs w:val="24"/>
          <w:highlight w:val="none"/>
        </w:rPr>
        <w:t>（盖单位章）</w:t>
      </w:r>
      <w:r>
        <w:rPr>
          <w:rFonts w:hint="eastAsia" w:cs="宋体"/>
          <w:color w:val="auto"/>
          <w:spacing w:val="-136"/>
          <w:sz w:val="28"/>
          <w:szCs w:val="24"/>
          <w:highlight w:val="none"/>
        </w:rPr>
        <w:t xml:space="preserve"> </w:t>
      </w:r>
      <w:r>
        <w:rPr>
          <w:rFonts w:hint="eastAsia" w:cs="宋体"/>
          <w:color w:val="auto"/>
          <w:spacing w:val="-1"/>
          <w:sz w:val="28"/>
          <w:szCs w:val="24"/>
          <w:highlight w:val="none"/>
        </w:rPr>
        <w:t>法定代表人或其委托代理人：</w:t>
      </w:r>
      <w:r>
        <w:rPr>
          <w:rFonts w:hint="eastAsia" w:ascii="宋体" w:hAnsi="宋体" w:eastAsia="宋体" w:cs="宋体"/>
          <w:color w:val="auto"/>
          <w:spacing w:val="-1"/>
          <w:sz w:val="28"/>
          <w:szCs w:val="24"/>
          <w:highlight w:val="none"/>
          <w:u w:val="single"/>
        </w:rPr>
        <w:tab/>
      </w:r>
      <w:r>
        <w:rPr>
          <w:rFonts w:hint="eastAsia" w:cs="宋体"/>
          <w:color w:val="auto"/>
          <w:spacing w:val="-1"/>
          <w:sz w:val="28"/>
          <w:szCs w:val="24"/>
          <w:highlight w:val="none"/>
        </w:rPr>
        <w:t>（签字）</w:t>
      </w:r>
    </w:p>
    <w:p w14:paraId="5AD6CE1D">
      <w:pPr>
        <w:pStyle w:val="12"/>
        <w:kinsoku w:val="0"/>
        <w:overflowPunct w:val="0"/>
        <w:spacing w:before="10"/>
        <w:ind w:left="0"/>
        <w:rPr>
          <w:rFonts w:hint="eastAsia" w:cs="宋体"/>
          <w:color w:val="auto"/>
          <w:sz w:val="29"/>
          <w:szCs w:val="24"/>
          <w:highlight w:val="none"/>
        </w:rPr>
      </w:pPr>
    </w:p>
    <w:p w14:paraId="4745A89C">
      <w:pPr>
        <w:pStyle w:val="12"/>
        <w:tabs>
          <w:tab w:val="left" w:pos="3611"/>
          <w:tab w:val="left" w:pos="4626"/>
          <w:tab w:val="left" w:pos="5642"/>
        </w:tabs>
        <w:kinsoku w:val="0"/>
        <w:overflowPunct w:val="0"/>
        <w:spacing w:before="14"/>
        <w:ind w:left="2877" w:right="175"/>
        <w:rPr>
          <w:rFonts w:hint="eastAsia" w:cs="宋体"/>
          <w:color w:val="auto"/>
          <w:sz w:val="28"/>
          <w:szCs w:val="24"/>
          <w:highlight w:val="none"/>
        </w:rPr>
      </w:pPr>
      <w:r>
        <w:rPr>
          <w:rFonts w:hint="eastAsia" w:ascii="宋体" w:hAnsi="宋体" w:eastAsia="宋体" w:cs="宋体"/>
          <w:color w:val="auto"/>
          <w:sz w:val="28"/>
          <w:szCs w:val="24"/>
          <w:highlight w:val="none"/>
          <w:u w:val="single"/>
        </w:rPr>
        <w:t xml:space="preserve"> </w:t>
      </w:r>
      <w:r>
        <w:rPr>
          <w:rFonts w:hint="eastAsia" w:ascii="宋体" w:hAnsi="宋体" w:eastAsia="宋体" w:cs="宋体"/>
          <w:color w:val="auto"/>
          <w:sz w:val="28"/>
          <w:szCs w:val="24"/>
          <w:highlight w:val="none"/>
          <w:u w:val="single"/>
        </w:rPr>
        <w:tab/>
      </w:r>
      <w:r>
        <w:rPr>
          <w:rFonts w:hint="eastAsia" w:cs="宋体"/>
          <w:color w:val="auto"/>
          <w:sz w:val="28"/>
          <w:szCs w:val="24"/>
          <w:highlight w:val="none"/>
        </w:rPr>
        <w:t>年</w:t>
      </w:r>
      <w:r>
        <w:rPr>
          <w:rFonts w:hint="eastAsia" w:ascii="宋体" w:hAnsi="宋体" w:eastAsia="宋体" w:cs="宋体"/>
          <w:color w:val="auto"/>
          <w:sz w:val="28"/>
          <w:szCs w:val="24"/>
          <w:highlight w:val="none"/>
          <w:u w:val="single"/>
        </w:rPr>
        <w:tab/>
      </w:r>
      <w:r>
        <w:rPr>
          <w:rFonts w:hint="eastAsia" w:cs="宋体"/>
          <w:color w:val="auto"/>
          <w:sz w:val="28"/>
          <w:szCs w:val="24"/>
          <w:highlight w:val="none"/>
        </w:rPr>
        <w:t>月</w:t>
      </w:r>
      <w:r>
        <w:rPr>
          <w:rFonts w:hint="eastAsia" w:ascii="宋体" w:hAnsi="宋体" w:eastAsia="宋体" w:cs="宋体"/>
          <w:color w:val="auto"/>
          <w:sz w:val="28"/>
          <w:szCs w:val="24"/>
          <w:highlight w:val="none"/>
          <w:u w:val="single"/>
        </w:rPr>
        <w:tab/>
      </w:r>
      <w:r>
        <w:rPr>
          <w:rFonts w:hint="eastAsia" w:cs="宋体"/>
          <w:color w:val="auto"/>
          <w:sz w:val="28"/>
          <w:szCs w:val="24"/>
          <w:highlight w:val="none"/>
        </w:rPr>
        <w:t>日</w:t>
      </w:r>
    </w:p>
    <w:p w14:paraId="78D484C7">
      <w:pPr>
        <w:pStyle w:val="12"/>
        <w:tabs>
          <w:tab w:val="left" w:pos="3611"/>
          <w:tab w:val="left" w:pos="4626"/>
          <w:tab w:val="left" w:pos="5642"/>
        </w:tabs>
        <w:kinsoku w:val="0"/>
        <w:overflowPunct w:val="0"/>
        <w:spacing w:before="14"/>
        <w:ind w:left="2877" w:right="175"/>
        <w:rPr>
          <w:rFonts w:hint="eastAsia" w:ascii="宋体" w:hAnsi="宋体" w:eastAsia="宋体" w:cs="宋体"/>
          <w:color w:val="auto"/>
          <w:sz w:val="28"/>
          <w:szCs w:val="24"/>
          <w:highlight w:val="none"/>
        </w:rPr>
        <w:sectPr>
          <w:pgSz w:w="11905" w:h="16838"/>
          <w:pgMar w:top="1417" w:right="1417" w:bottom="1417" w:left="1417" w:header="992" w:footer="992" w:gutter="0"/>
          <w:lnNumType w:countBy="0" w:distance="360"/>
          <w:cols w:space="720" w:num="1"/>
        </w:sectPr>
      </w:pPr>
    </w:p>
    <w:p w14:paraId="6EFB67FC">
      <w:pPr>
        <w:pStyle w:val="12"/>
        <w:kinsoku w:val="0"/>
        <w:overflowPunct w:val="0"/>
        <w:spacing w:line="443" w:lineRule="exact"/>
        <w:ind w:left="1244" w:right="1222"/>
        <w:jc w:val="center"/>
        <w:rPr>
          <w:rFonts w:hint="eastAsia" w:ascii="宋体" w:hAnsi="宋体" w:eastAsia="宋体" w:cs="宋体"/>
          <w:color w:val="auto"/>
          <w:sz w:val="32"/>
          <w:szCs w:val="24"/>
          <w:highlight w:val="none"/>
        </w:rPr>
      </w:pPr>
      <w:bookmarkStart w:id="121" w:name="bookmark175"/>
      <w:bookmarkEnd w:id="121"/>
      <w:r>
        <w:rPr>
          <w:rFonts w:hint="eastAsia" w:ascii="宋体" w:hAnsi="宋体" w:eastAsia="宋体" w:cs="宋体"/>
          <w:b/>
          <w:color w:val="auto"/>
          <w:sz w:val="32"/>
          <w:szCs w:val="24"/>
          <w:highlight w:val="none"/>
        </w:rPr>
        <w:t>目录</w:t>
      </w:r>
    </w:p>
    <w:p w14:paraId="42E07873">
      <w:pPr>
        <w:pStyle w:val="12"/>
        <w:kinsoku w:val="0"/>
        <w:overflowPunct w:val="0"/>
        <w:ind w:left="0"/>
        <w:rPr>
          <w:rFonts w:hint="eastAsia" w:ascii="宋体" w:hAnsi="宋体" w:eastAsia="宋体" w:cs="宋体"/>
          <w:b/>
          <w:color w:val="auto"/>
          <w:sz w:val="20"/>
          <w:szCs w:val="24"/>
          <w:highlight w:val="none"/>
        </w:rPr>
      </w:pPr>
    </w:p>
    <w:p w14:paraId="0C7796FE">
      <w:pPr>
        <w:pStyle w:val="12"/>
        <w:kinsoku w:val="0"/>
        <w:overflowPunct w:val="0"/>
        <w:ind w:left="0"/>
        <w:rPr>
          <w:rFonts w:hint="eastAsia" w:ascii="宋体" w:hAnsi="宋体" w:eastAsia="宋体" w:cs="宋体"/>
          <w:b/>
          <w:color w:val="auto"/>
          <w:sz w:val="20"/>
          <w:szCs w:val="24"/>
          <w:highlight w:val="none"/>
        </w:rPr>
      </w:pPr>
    </w:p>
    <w:p w14:paraId="3935E5DD">
      <w:pPr>
        <w:pStyle w:val="12"/>
        <w:kinsoku w:val="0"/>
        <w:overflowPunct w:val="0"/>
        <w:ind w:left="0"/>
        <w:rPr>
          <w:rFonts w:hint="eastAsia" w:ascii="宋体" w:hAnsi="宋体" w:eastAsia="宋体" w:cs="宋体"/>
          <w:b/>
          <w:color w:val="auto"/>
          <w:sz w:val="20"/>
          <w:szCs w:val="24"/>
          <w:highlight w:val="none"/>
        </w:rPr>
      </w:pPr>
    </w:p>
    <w:p w14:paraId="1D678873">
      <w:pPr>
        <w:pStyle w:val="12"/>
        <w:kinsoku w:val="0"/>
        <w:overflowPunct w:val="0"/>
        <w:spacing w:before="6"/>
        <w:ind w:left="0"/>
        <w:rPr>
          <w:rFonts w:hint="eastAsia" w:ascii="宋体" w:hAnsi="宋体" w:eastAsia="宋体" w:cs="宋体"/>
          <w:b/>
          <w:color w:val="auto"/>
          <w:sz w:val="24"/>
          <w:szCs w:val="24"/>
          <w:highlight w:val="none"/>
        </w:rPr>
      </w:pPr>
    </w:p>
    <w:p w14:paraId="60377EF7">
      <w:pPr>
        <w:pStyle w:val="12"/>
        <w:numPr>
          <w:ilvl w:val="0"/>
          <w:numId w:val="0"/>
        </w:numPr>
        <w:kinsoku w:val="0"/>
        <w:overflowPunct w:val="0"/>
        <w:spacing w:before="36" w:line="360" w:lineRule="auto"/>
        <w:ind w:left="0" w:right="2650"/>
        <w:rPr>
          <w:rFonts w:hint="eastAsia" w:cs="宋体"/>
          <w:color w:val="auto"/>
          <w:sz w:val="24"/>
          <w:szCs w:val="24"/>
          <w:highlight w:val="none"/>
        </w:rPr>
      </w:pPr>
      <w:r>
        <w:rPr>
          <w:rFonts w:hint="eastAsia" w:cs="宋体"/>
          <w:color w:val="auto"/>
          <w:sz w:val="24"/>
          <w:szCs w:val="24"/>
          <w:highlight w:val="none"/>
          <w:lang w:val="en-US" w:eastAsia="zh-CN"/>
        </w:rPr>
        <w:t>一、</w:t>
      </w:r>
      <w:r>
        <w:rPr>
          <w:rFonts w:hint="eastAsia" w:cs="宋体"/>
          <w:color w:val="auto"/>
          <w:sz w:val="24"/>
          <w:szCs w:val="24"/>
          <w:highlight w:val="none"/>
        </w:rPr>
        <w:t>投标函及投标函附录</w:t>
      </w:r>
    </w:p>
    <w:p w14:paraId="08F7DF70">
      <w:pPr>
        <w:pStyle w:val="12"/>
        <w:numPr>
          <w:ilvl w:val="0"/>
          <w:numId w:val="0"/>
        </w:numPr>
        <w:kinsoku w:val="0"/>
        <w:overflowPunct w:val="0"/>
        <w:spacing w:before="36" w:line="360" w:lineRule="auto"/>
        <w:ind w:left="0" w:right="2650"/>
        <w:rPr>
          <w:rFonts w:hint="eastAsia" w:cs="宋体"/>
          <w:color w:val="auto"/>
          <w:spacing w:val="-2"/>
          <w:sz w:val="24"/>
          <w:szCs w:val="24"/>
          <w:highlight w:val="none"/>
        </w:rPr>
      </w:pPr>
      <w:r>
        <w:rPr>
          <w:rFonts w:hint="eastAsia" w:cs="宋体"/>
          <w:color w:val="auto"/>
          <w:spacing w:val="-2"/>
          <w:sz w:val="24"/>
          <w:szCs w:val="24"/>
          <w:highlight w:val="none"/>
        </w:rPr>
        <w:t>二、法定代表人身份证明</w:t>
      </w:r>
    </w:p>
    <w:p w14:paraId="08B58469">
      <w:pPr>
        <w:pStyle w:val="12"/>
        <w:numPr>
          <w:ilvl w:val="0"/>
          <w:numId w:val="0"/>
        </w:numPr>
        <w:kinsoku w:val="0"/>
        <w:overflowPunct w:val="0"/>
        <w:spacing w:before="36" w:line="360" w:lineRule="auto"/>
        <w:ind w:left="0" w:right="2650"/>
        <w:rPr>
          <w:rFonts w:hint="eastAsia" w:cs="宋体"/>
          <w:color w:val="auto"/>
          <w:sz w:val="24"/>
          <w:szCs w:val="24"/>
          <w:highlight w:val="none"/>
        </w:rPr>
      </w:pPr>
      <w:r>
        <w:rPr>
          <w:rFonts w:hint="eastAsia" w:cs="宋体"/>
          <w:color w:val="auto"/>
          <w:sz w:val="24"/>
          <w:szCs w:val="24"/>
          <w:highlight w:val="none"/>
        </w:rPr>
        <w:t>二、授权委托书（适用于有委托代理人的情况）</w:t>
      </w:r>
    </w:p>
    <w:p w14:paraId="04226CDF">
      <w:pPr>
        <w:pStyle w:val="3"/>
        <w:spacing w:line="360" w:lineRule="auto"/>
        <w:jc w:val="both"/>
        <w:rPr>
          <w:rFonts w:hint="eastAsia" w:cs="宋体"/>
          <w:color w:val="auto"/>
          <w:spacing w:val="-2"/>
          <w:sz w:val="24"/>
          <w:highlight w:val="none"/>
        </w:rPr>
      </w:pPr>
      <w:r>
        <w:rPr>
          <w:rFonts w:hint="eastAsia" w:cs="宋体"/>
          <w:strike w:val="0"/>
          <w:color w:val="auto"/>
          <w:sz w:val="24"/>
          <w:szCs w:val="24"/>
          <w:highlight w:val="none"/>
        </w:rPr>
        <w:t>三</w:t>
      </w:r>
      <w:r>
        <w:rPr>
          <w:rFonts w:hint="eastAsia" w:cs="宋体"/>
          <w:color w:val="auto"/>
          <w:spacing w:val="-2"/>
          <w:sz w:val="24"/>
          <w:highlight w:val="none"/>
        </w:rPr>
        <w:t>、</w:t>
      </w:r>
      <w:r>
        <w:rPr>
          <w:rFonts w:hint="eastAsia" w:ascii="宋体" w:hAnsi="宋体" w:eastAsia="宋体" w:cs="宋体"/>
          <w:color w:val="auto"/>
          <w:spacing w:val="-2"/>
          <w:sz w:val="24"/>
          <w:highlight w:val="none"/>
          <w:lang w:eastAsia="zh-CN"/>
        </w:rPr>
        <w:t>《</w:t>
      </w:r>
      <w:r>
        <w:rPr>
          <w:rFonts w:hint="eastAsia" w:ascii="宋体" w:hAnsi="宋体" w:eastAsia="宋体" w:cs="宋体"/>
          <w:color w:val="auto"/>
          <w:spacing w:val="-2"/>
          <w:sz w:val="24"/>
          <w:highlight w:val="none"/>
        </w:rPr>
        <w:t>关于投标保证金的承诺</w:t>
      </w:r>
      <w:r>
        <w:rPr>
          <w:rFonts w:hint="eastAsia" w:ascii="宋体" w:hAnsi="宋体" w:eastAsia="宋体" w:cs="宋体"/>
          <w:color w:val="auto"/>
          <w:spacing w:val="-2"/>
          <w:sz w:val="24"/>
          <w:highlight w:val="none"/>
          <w:lang w:eastAsia="zh-CN"/>
        </w:rPr>
        <w:t>》</w:t>
      </w:r>
    </w:p>
    <w:p w14:paraId="71934A19">
      <w:pPr>
        <w:pStyle w:val="12"/>
        <w:numPr>
          <w:ilvl w:val="0"/>
          <w:numId w:val="0"/>
        </w:numPr>
        <w:kinsoku w:val="0"/>
        <w:overflowPunct w:val="0"/>
        <w:spacing w:before="61" w:line="360" w:lineRule="auto"/>
        <w:ind w:left="0" w:right="6220"/>
        <w:rPr>
          <w:rFonts w:hint="eastAsia" w:cs="宋体"/>
          <w:color w:val="auto"/>
          <w:sz w:val="24"/>
          <w:szCs w:val="24"/>
          <w:highlight w:val="none"/>
        </w:rPr>
      </w:pPr>
      <w:r>
        <w:rPr>
          <w:rFonts w:hint="eastAsia" w:eastAsia="宋体" w:cs="宋体"/>
          <w:color w:val="auto"/>
          <w:spacing w:val="-2"/>
          <w:sz w:val="24"/>
          <w:highlight w:val="none"/>
        </w:rPr>
        <w:t>四</w:t>
      </w:r>
      <w:r>
        <w:rPr>
          <w:rFonts w:hint="eastAsia" w:cs="宋体"/>
          <w:color w:val="auto"/>
          <w:spacing w:val="-2"/>
          <w:sz w:val="24"/>
          <w:szCs w:val="24"/>
          <w:highlight w:val="none"/>
        </w:rPr>
        <w:t>、监理报酬清单</w:t>
      </w:r>
    </w:p>
    <w:p w14:paraId="1EE796A5">
      <w:pPr>
        <w:pStyle w:val="12"/>
        <w:numPr>
          <w:ilvl w:val="0"/>
          <w:numId w:val="0"/>
        </w:numPr>
        <w:kinsoku w:val="0"/>
        <w:overflowPunct w:val="0"/>
        <w:spacing w:before="61" w:line="360" w:lineRule="auto"/>
        <w:ind w:left="0" w:right="6220"/>
        <w:rPr>
          <w:rFonts w:hint="eastAsia" w:cs="宋体"/>
          <w:color w:val="auto"/>
          <w:sz w:val="24"/>
          <w:szCs w:val="24"/>
          <w:highlight w:val="none"/>
        </w:rPr>
      </w:pPr>
      <w:r>
        <w:rPr>
          <w:rFonts w:hint="eastAsia" w:cs="宋体"/>
          <w:color w:val="auto"/>
          <w:spacing w:val="-2"/>
          <w:sz w:val="24"/>
          <w:szCs w:val="24"/>
          <w:highlight w:val="none"/>
        </w:rPr>
        <w:t>五</w:t>
      </w:r>
      <w:r>
        <w:rPr>
          <w:rFonts w:hint="eastAsia" w:cs="宋体"/>
          <w:color w:val="auto"/>
          <w:spacing w:val="-90"/>
          <w:sz w:val="24"/>
          <w:szCs w:val="24"/>
          <w:highlight w:val="none"/>
        </w:rPr>
        <w:t xml:space="preserve"> </w:t>
      </w:r>
      <w:r>
        <w:rPr>
          <w:rFonts w:hint="eastAsia" w:cs="宋体"/>
          <w:color w:val="auto"/>
          <w:spacing w:val="-2"/>
          <w:sz w:val="24"/>
          <w:szCs w:val="24"/>
          <w:highlight w:val="none"/>
        </w:rPr>
        <w:t>、资格审查资料</w:t>
      </w:r>
    </w:p>
    <w:p w14:paraId="3276D310">
      <w:pPr>
        <w:pStyle w:val="12"/>
        <w:numPr>
          <w:ilvl w:val="0"/>
          <w:numId w:val="0"/>
        </w:numPr>
        <w:kinsoku w:val="0"/>
        <w:overflowPunct w:val="0"/>
        <w:spacing w:before="61" w:line="360" w:lineRule="auto"/>
        <w:ind w:left="0" w:right="6220"/>
        <w:rPr>
          <w:rFonts w:hint="eastAsia" w:cs="宋体"/>
          <w:color w:val="auto"/>
          <w:sz w:val="24"/>
          <w:szCs w:val="24"/>
          <w:highlight w:val="none"/>
        </w:rPr>
      </w:pPr>
      <w:r>
        <w:rPr>
          <w:rFonts w:hint="eastAsia" w:cs="宋体"/>
          <w:color w:val="auto"/>
          <w:spacing w:val="-2"/>
          <w:sz w:val="24"/>
          <w:szCs w:val="24"/>
          <w:highlight w:val="none"/>
        </w:rPr>
        <w:t>六</w:t>
      </w:r>
      <w:r>
        <w:rPr>
          <w:rFonts w:hint="eastAsia" w:cs="宋体"/>
          <w:color w:val="auto"/>
          <w:sz w:val="24"/>
          <w:szCs w:val="24"/>
          <w:highlight w:val="none"/>
        </w:rPr>
        <w:t xml:space="preserve">、监理大纲 </w:t>
      </w:r>
    </w:p>
    <w:p w14:paraId="2657F2B3">
      <w:pPr>
        <w:pStyle w:val="12"/>
        <w:numPr>
          <w:ilvl w:val="0"/>
          <w:numId w:val="0"/>
        </w:numPr>
        <w:kinsoku w:val="0"/>
        <w:overflowPunct w:val="0"/>
        <w:spacing w:before="61" w:line="360" w:lineRule="auto"/>
        <w:ind w:left="0" w:right="6220"/>
        <w:rPr>
          <w:rFonts w:hint="eastAsia" w:cs="宋体"/>
          <w:color w:val="auto"/>
          <w:sz w:val="24"/>
          <w:szCs w:val="24"/>
          <w:highlight w:val="none"/>
        </w:rPr>
      </w:pPr>
      <w:r>
        <w:rPr>
          <w:rFonts w:hint="eastAsia" w:cs="宋体"/>
          <w:color w:val="auto"/>
          <w:spacing w:val="-90"/>
          <w:sz w:val="24"/>
          <w:szCs w:val="24"/>
          <w:highlight w:val="none"/>
        </w:rPr>
        <w:t xml:space="preserve"> </w:t>
      </w:r>
      <w:r>
        <w:rPr>
          <w:rFonts w:hint="eastAsia" w:cs="宋体"/>
          <w:color w:val="auto"/>
          <w:sz w:val="24"/>
          <w:szCs w:val="24"/>
          <w:highlight w:val="none"/>
        </w:rPr>
        <w:t>七、其他资料</w:t>
      </w:r>
    </w:p>
    <w:p w14:paraId="0C27E6B3">
      <w:pPr>
        <w:pStyle w:val="12"/>
        <w:kinsoku w:val="0"/>
        <w:overflowPunct w:val="0"/>
        <w:spacing w:before="61" w:line="360" w:lineRule="auto"/>
        <w:ind w:left="100" w:right="6220"/>
        <w:rPr>
          <w:rFonts w:hint="eastAsia" w:ascii="宋体" w:hAnsi="宋体" w:eastAsia="宋体" w:cs="宋体"/>
          <w:color w:val="auto"/>
          <w:sz w:val="24"/>
          <w:szCs w:val="24"/>
          <w:highlight w:val="none"/>
        </w:rPr>
        <w:sectPr>
          <w:pgSz w:w="11905" w:h="16838"/>
          <w:pgMar w:top="1417" w:right="1417" w:bottom="1417" w:left="1417" w:header="992" w:footer="992" w:gutter="0"/>
          <w:lnNumType w:countBy="0" w:distance="360"/>
          <w:cols w:space="720" w:num="1"/>
        </w:sectPr>
      </w:pPr>
      <w:r>
        <w:rPr>
          <w:rFonts w:hint="eastAsia" w:ascii="宋体" w:hAnsi="宋体" w:cs="宋体"/>
          <w:color w:val="auto"/>
          <w:sz w:val="24"/>
          <w:szCs w:val="24"/>
          <w:highlight w:val="none"/>
          <w:lang w:eastAsia="zh-CN"/>
        </w:rPr>
        <w:t>八、投标文件（定标部）</w:t>
      </w:r>
    </w:p>
    <w:p w14:paraId="65914356">
      <w:pPr>
        <w:pStyle w:val="4"/>
        <w:jc w:val="center"/>
        <w:outlineLvl w:val="1"/>
        <w:rPr>
          <w:rFonts w:hint="eastAsia" w:cs="宋体"/>
          <w:color w:val="auto"/>
          <w:sz w:val="28"/>
          <w:szCs w:val="24"/>
          <w:highlight w:val="none"/>
        </w:rPr>
      </w:pPr>
      <w:bookmarkStart w:id="122" w:name="bookmark176"/>
      <w:bookmarkEnd w:id="122"/>
      <w:bookmarkStart w:id="123" w:name="_Toc5383"/>
      <w:r>
        <w:rPr>
          <w:rFonts w:hint="eastAsia" w:cs="宋体"/>
          <w:color w:val="auto"/>
          <w:sz w:val="28"/>
          <w:szCs w:val="24"/>
          <w:highlight w:val="none"/>
        </w:rPr>
        <w:t>一、投标函及投标函附录</w:t>
      </w:r>
      <w:bookmarkEnd w:id="123"/>
    </w:p>
    <w:p w14:paraId="61ECB855">
      <w:pPr>
        <w:pStyle w:val="5"/>
        <w:outlineLvl w:val="2"/>
        <w:rPr>
          <w:rFonts w:hint="eastAsia" w:cs="宋体"/>
          <w:b/>
          <w:color w:val="auto"/>
          <w:sz w:val="28"/>
          <w:szCs w:val="24"/>
          <w:highlight w:val="none"/>
        </w:rPr>
      </w:pPr>
      <w:bookmarkStart w:id="124" w:name="bookmark177"/>
      <w:bookmarkEnd w:id="124"/>
      <w:bookmarkStart w:id="125" w:name="_Toc9570"/>
      <w:r>
        <w:rPr>
          <w:rFonts w:hint="eastAsia" w:cs="宋体"/>
          <w:b/>
          <w:color w:val="auto"/>
          <w:sz w:val="28"/>
          <w:szCs w:val="24"/>
          <w:highlight w:val="none"/>
        </w:rPr>
        <w:t>（一）投标函</w:t>
      </w:r>
      <w:bookmarkEnd w:id="125"/>
    </w:p>
    <w:p w14:paraId="200FEE8A">
      <w:pPr>
        <w:pStyle w:val="12"/>
        <w:kinsoku w:val="0"/>
        <w:overflowPunct w:val="0"/>
        <w:spacing w:before="1"/>
        <w:ind w:left="0"/>
        <w:rPr>
          <w:rFonts w:hint="eastAsia" w:cs="宋体"/>
          <w:color w:val="auto"/>
          <w:sz w:val="23"/>
          <w:szCs w:val="24"/>
          <w:highlight w:val="none"/>
        </w:rPr>
      </w:pPr>
    </w:p>
    <w:p w14:paraId="435E9CCF">
      <w:pPr>
        <w:pStyle w:val="12"/>
        <w:tabs>
          <w:tab w:val="left" w:pos="1991"/>
        </w:tabs>
        <w:kinsoku w:val="0"/>
        <w:overflowPunct w:val="0"/>
        <w:ind w:left="100" w:right="113"/>
        <w:rPr>
          <w:rFonts w:hint="eastAsia" w:cs="宋体"/>
          <w:color w:val="auto"/>
          <w:spacing w:val="-15"/>
          <w:sz w:val="21"/>
          <w:szCs w:val="24"/>
          <w:highlight w:val="none"/>
        </w:rPr>
      </w:pPr>
      <w:r>
        <w:rPr>
          <w:rFonts w:hint="eastAsia" w:cs="宋体"/>
          <w:color w:val="auto"/>
          <w:spacing w:val="-15"/>
          <w:sz w:val="21"/>
          <w:szCs w:val="24"/>
          <w:highlight w:val="none"/>
        </w:rPr>
        <w:t>广州市番禺区水务工程建管中心（广州市番禺区水旱灾害防御中心）：</w:t>
      </w:r>
    </w:p>
    <w:p w14:paraId="74D03CFF">
      <w:pPr>
        <w:pStyle w:val="12"/>
        <w:kinsoku w:val="0"/>
        <w:overflowPunct w:val="0"/>
        <w:spacing w:before="13"/>
        <w:ind w:left="0"/>
        <w:rPr>
          <w:rFonts w:hint="eastAsia" w:cs="宋体"/>
          <w:color w:val="auto"/>
          <w:sz w:val="21"/>
          <w:szCs w:val="24"/>
          <w:highlight w:val="none"/>
        </w:rPr>
      </w:pPr>
    </w:p>
    <w:p w14:paraId="3F7478FF">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1．我方已仔细研究了</w:t>
      </w:r>
      <w:r>
        <w:rPr>
          <w:rFonts w:hint="eastAsia" w:ascii="宋体" w:hAnsi="宋体" w:eastAsia="宋体" w:cs="宋体"/>
          <w:color w:val="auto"/>
          <w:kern w:val="2"/>
          <w:sz w:val="21"/>
          <w:szCs w:val="21"/>
          <w:highlight w:val="none"/>
          <w:u w:val="single"/>
          <w:lang w:val="en-US" w:eastAsia="zh-CN" w:bidi="ar-SA"/>
        </w:rPr>
        <w:tab/>
      </w:r>
      <w:r>
        <w:rPr>
          <w:rFonts w:hint="eastAsia" w:ascii="宋体" w:hAnsi="宋体" w:eastAsia="宋体" w:cs="宋体"/>
          <w:color w:val="auto"/>
          <w:kern w:val="2"/>
          <w:sz w:val="21"/>
          <w:szCs w:val="21"/>
          <w:highlight w:val="none"/>
          <w:u w:val="single"/>
          <w:lang w:val="en-US" w:eastAsia="zh-CN" w:bidi="ar-SA"/>
        </w:rPr>
        <w:tab/>
      </w:r>
      <w:r>
        <w:rPr>
          <w:rFonts w:hint="eastAsia" w:ascii="宋体" w:hAnsi="宋体" w:eastAsia="宋体" w:cs="宋体"/>
          <w:color w:val="auto"/>
          <w:kern w:val="2"/>
          <w:sz w:val="21"/>
          <w:szCs w:val="21"/>
          <w:highlight w:val="none"/>
          <w:u w:val="single"/>
          <w:lang w:val="en-US" w:eastAsia="zh-CN" w:bidi="ar-SA"/>
        </w:rPr>
        <w:t>（</w:t>
      </w:r>
      <w:r>
        <w:rPr>
          <w:rFonts w:hint="eastAsia" w:ascii="宋体" w:hAnsi="宋体" w:cs="宋体"/>
          <w:color w:val="auto"/>
          <w:kern w:val="2"/>
          <w:sz w:val="21"/>
          <w:szCs w:val="21"/>
          <w:highlight w:val="none"/>
          <w:u w:val="single"/>
          <w:lang w:val="en-US" w:eastAsia="zh-CN" w:bidi="ar-SA"/>
        </w:rPr>
        <w:t>标段</w:t>
      </w:r>
      <w:r>
        <w:rPr>
          <w:rFonts w:hint="eastAsia" w:ascii="宋体" w:hAnsi="宋体" w:eastAsia="宋体" w:cs="宋体"/>
          <w:color w:val="auto"/>
          <w:kern w:val="2"/>
          <w:sz w:val="21"/>
          <w:szCs w:val="21"/>
          <w:highlight w:val="none"/>
          <w:u w:val="single"/>
          <w:lang w:val="en-US" w:eastAsia="zh-CN" w:bidi="ar-SA"/>
        </w:rPr>
        <w:t xml:space="preserve">名称）  </w:t>
      </w:r>
      <w:r>
        <w:rPr>
          <w:rFonts w:hint="eastAsia" w:ascii="宋体" w:hAnsi="宋体" w:eastAsia="宋体" w:cs="宋体"/>
          <w:color w:val="auto"/>
          <w:kern w:val="2"/>
          <w:sz w:val="21"/>
          <w:szCs w:val="21"/>
          <w:highlight w:val="none"/>
          <w:lang w:val="en-US" w:eastAsia="zh-CN" w:bidi="ar-SA"/>
        </w:rPr>
        <w:t xml:space="preserve"> 招标项目招标文件的全部内容， 愿意以人民币（大写）</w:t>
      </w:r>
      <w:r>
        <w:rPr>
          <w:rFonts w:hint="eastAsia" w:ascii="宋体" w:hAnsi="宋体" w:eastAsia="宋体" w:cs="宋体"/>
          <w:color w:val="auto"/>
          <w:kern w:val="2"/>
          <w:sz w:val="21"/>
          <w:szCs w:val="21"/>
          <w:highlight w:val="none"/>
          <w:u w:val="single"/>
          <w:lang w:val="en-US" w:eastAsia="zh-CN" w:bidi="ar-SA"/>
        </w:rPr>
        <w:tab/>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u w:val="single"/>
          <w:lang w:val="en-US" w:eastAsia="zh-CN" w:bidi="ar-SA"/>
        </w:rPr>
        <w:tab/>
      </w:r>
      <w:r>
        <w:rPr>
          <w:rFonts w:hint="eastAsia" w:ascii="宋体" w:hAnsi="宋体" w:eastAsia="宋体" w:cs="宋体"/>
          <w:color w:val="auto"/>
          <w:kern w:val="2"/>
          <w:sz w:val="21"/>
          <w:szCs w:val="21"/>
          <w:highlight w:val="none"/>
          <w:u w:val="single"/>
          <w:lang w:val="en-US" w:eastAsia="zh-CN" w:bidi="ar-SA"/>
        </w:rPr>
        <w:tab/>
      </w:r>
      <w:r>
        <w:rPr>
          <w:rFonts w:hint="eastAsia" w:ascii="宋体" w:hAnsi="宋体" w:eastAsia="宋体" w:cs="宋体"/>
          <w:color w:val="auto"/>
          <w:kern w:val="2"/>
          <w:sz w:val="21"/>
          <w:szCs w:val="21"/>
          <w:highlight w:val="none"/>
          <w:lang w:val="en-US" w:eastAsia="zh-CN" w:bidi="ar-SA"/>
        </w:rPr>
        <w:t>）的投标总报价，监理服务期限：按招标文件要求，按合同约定完成监理工作。</w:t>
      </w:r>
    </w:p>
    <w:p w14:paraId="651CFD48">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 我方的投标文件包括下列内容：</w:t>
      </w:r>
    </w:p>
    <w:p w14:paraId="5A31C690">
      <w:pPr>
        <w:autoSpaceDE/>
        <w:autoSpaceDN/>
        <w:adjustRightInd/>
        <w:spacing w:line="360" w:lineRule="auto"/>
        <w:ind w:left="585" w:leftChars="200" w:hanging="105" w:hangingChars="5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（1）投标函及投标函附录；</w:t>
      </w:r>
    </w:p>
    <w:p w14:paraId="3268BA0E">
      <w:pPr>
        <w:autoSpaceDE/>
        <w:autoSpaceDN/>
        <w:adjustRightInd/>
        <w:spacing w:line="360" w:lineRule="auto"/>
        <w:ind w:left="585" w:leftChars="200" w:hanging="105" w:hangingChars="5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（2）法定代表人身份证明</w:t>
      </w:r>
      <w:r>
        <w:rPr>
          <w:rFonts w:hint="eastAsia" w:ascii="宋体" w:hAnsi="宋体" w:eastAsia="宋体" w:cs="宋体"/>
          <w:color w:val="auto"/>
          <w:spacing w:val="8"/>
          <w:sz w:val="21"/>
          <w:szCs w:val="21"/>
          <w:highlight w:val="none"/>
        </w:rPr>
        <w:t>或附有法定代表人身份证明的授权委托书</w:t>
      </w:r>
      <w:r>
        <w:rPr>
          <w:rFonts w:hint="eastAsia" w:ascii="宋体" w:hAnsi="宋体" w:eastAsia="宋体" w:cs="宋体"/>
          <w:color w:val="auto"/>
          <w:kern w:val="2"/>
          <w:sz w:val="21"/>
          <w:szCs w:val="21"/>
          <w:highlight w:val="none"/>
          <w:lang w:val="en-US" w:eastAsia="zh-CN" w:bidi="ar-SA"/>
        </w:rPr>
        <w:t>；</w:t>
      </w:r>
    </w:p>
    <w:p w14:paraId="6D103B5B">
      <w:pPr>
        <w:autoSpaceDE/>
        <w:autoSpaceDN/>
        <w:adjustRightInd/>
        <w:spacing w:line="360" w:lineRule="auto"/>
        <w:ind w:left="585" w:leftChars="200" w:hanging="105" w:hangingChars="50"/>
        <w:jc w:val="both"/>
        <w:rPr>
          <w:rFonts w:hint="eastAsia" w:ascii="宋体" w:hAnsi="宋体" w:eastAsia="宋体" w:cs="宋体"/>
          <w:color w:val="auto"/>
          <w:spacing w:val="8"/>
          <w:kern w:val="0"/>
          <w:sz w:val="21"/>
          <w:szCs w:val="21"/>
          <w:highlight w:val="none"/>
          <w:lang w:val="en-US" w:eastAsia="zh-CN" w:bidi="ar-SA"/>
        </w:rPr>
      </w:pPr>
      <w:r>
        <w:rPr>
          <w:rFonts w:hint="eastAsia" w:ascii="宋体" w:hAnsi="宋体" w:eastAsia="宋体" w:cs="宋体"/>
          <w:strike w:val="0"/>
          <w:color w:val="auto"/>
          <w:kern w:val="2"/>
          <w:sz w:val="21"/>
          <w:szCs w:val="21"/>
          <w:highlight w:val="none"/>
          <w:lang w:val="en-US" w:eastAsia="zh-CN" w:bidi="ar-SA"/>
        </w:rPr>
        <w:t>（3）</w:t>
      </w:r>
      <w:r>
        <w:rPr>
          <w:rFonts w:hint="eastAsia" w:ascii="宋体" w:hAnsi="宋体" w:cs="宋体"/>
          <w:color w:val="auto"/>
          <w:spacing w:val="8"/>
          <w:sz w:val="21"/>
          <w:szCs w:val="21"/>
          <w:highlight w:val="none"/>
        </w:rPr>
        <w:t>《关于投标保证金的承诺》</w:t>
      </w:r>
      <w:r>
        <w:rPr>
          <w:rFonts w:hint="eastAsia" w:ascii="宋体" w:hAnsi="宋体" w:eastAsia="宋体" w:cs="宋体"/>
          <w:color w:val="auto"/>
          <w:spacing w:val="8"/>
          <w:kern w:val="0"/>
          <w:sz w:val="21"/>
          <w:szCs w:val="21"/>
          <w:highlight w:val="none"/>
          <w:lang w:val="en-US" w:eastAsia="zh-CN" w:bidi="ar-SA"/>
        </w:rPr>
        <w:t>；</w:t>
      </w:r>
    </w:p>
    <w:p w14:paraId="3EBB0CE2">
      <w:pPr>
        <w:autoSpaceDE/>
        <w:autoSpaceDN/>
        <w:adjustRightInd/>
        <w:spacing w:line="360" w:lineRule="auto"/>
        <w:ind w:left="593" w:leftChars="200" w:hanging="113" w:hangingChars="5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pacing w:val="8"/>
          <w:kern w:val="0"/>
          <w:sz w:val="21"/>
          <w:szCs w:val="21"/>
          <w:highlight w:val="none"/>
          <w:lang w:val="en-US" w:eastAsia="zh-CN" w:bidi="ar-SA"/>
        </w:rPr>
        <w:t>（4）</w:t>
      </w:r>
      <w:r>
        <w:rPr>
          <w:rFonts w:hint="eastAsia" w:ascii="宋体" w:hAnsi="宋体" w:eastAsia="宋体" w:cs="宋体"/>
          <w:color w:val="auto"/>
          <w:kern w:val="2"/>
          <w:sz w:val="21"/>
          <w:szCs w:val="21"/>
          <w:highlight w:val="none"/>
          <w:lang w:val="en-US" w:eastAsia="zh-CN" w:bidi="ar-SA"/>
        </w:rPr>
        <w:t>监理报酬清单；</w:t>
      </w:r>
    </w:p>
    <w:p w14:paraId="096D4D50">
      <w:pPr>
        <w:autoSpaceDE/>
        <w:autoSpaceDN/>
        <w:adjustRightInd/>
        <w:spacing w:line="360" w:lineRule="auto"/>
        <w:ind w:left="585" w:leftChars="200" w:hanging="105" w:hangingChars="5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（5）资格审查资料；</w:t>
      </w:r>
    </w:p>
    <w:p w14:paraId="2B8B6482">
      <w:pPr>
        <w:autoSpaceDE/>
        <w:autoSpaceDN/>
        <w:adjustRightInd/>
        <w:spacing w:line="360" w:lineRule="auto"/>
        <w:ind w:left="585" w:leftChars="200" w:hanging="105" w:hangingChars="5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（6）监理大纲；</w:t>
      </w:r>
    </w:p>
    <w:p w14:paraId="5007BD09">
      <w:pPr>
        <w:autoSpaceDE/>
        <w:autoSpaceDN/>
        <w:adjustRightInd/>
        <w:spacing w:line="360" w:lineRule="auto"/>
        <w:ind w:left="585" w:leftChars="200" w:hanging="105" w:hangingChars="5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（7）其他资料。</w:t>
      </w:r>
    </w:p>
    <w:p w14:paraId="11C37AA4">
      <w:pPr>
        <w:pStyle w:val="12"/>
        <w:kinsoku w:val="0"/>
        <w:overflowPunct w:val="0"/>
        <w:spacing w:line="360" w:lineRule="auto"/>
        <w:ind w:left="522" w:right="2132" w:hanging="17"/>
        <w:rPr>
          <w:rFonts w:hint="eastAsia" w:cs="宋体"/>
          <w:color w:val="auto"/>
          <w:spacing w:val="-2"/>
          <w:sz w:val="21"/>
          <w:szCs w:val="24"/>
          <w:highlight w:val="none"/>
        </w:rPr>
      </w:pPr>
      <w:r>
        <w:rPr>
          <w:rFonts w:hint="eastAsia" w:cs="宋体"/>
          <w:color w:val="auto"/>
          <w:spacing w:val="-2"/>
          <w:sz w:val="21"/>
          <w:szCs w:val="24"/>
          <w:highlight w:val="none"/>
        </w:rPr>
        <w:t>投标文件的上述组成部分如存在内容不一致的，以投标函为准。</w:t>
      </w:r>
    </w:p>
    <w:p w14:paraId="4EC8D5A5">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3．我方承诺在招标文件规定的投标有效期内不撤销投标文件。</w:t>
      </w:r>
    </w:p>
    <w:p w14:paraId="1679531C">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4．如我方中标，我方承诺：</w:t>
      </w:r>
    </w:p>
    <w:p w14:paraId="16A15B0C">
      <w:pPr>
        <w:autoSpaceDE/>
        <w:autoSpaceDN/>
        <w:adjustRightInd/>
        <w:spacing w:line="360" w:lineRule="auto"/>
        <w:ind w:left="585" w:leftChars="200" w:hanging="105" w:hangingChars="5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（1）在收到中标通知书后，在中标通知书规定的期限内与你方签订合同；</w:t>
      </w:r>
    </w:p>
    <w:p w14:paraId="0A0AAE3A">
      <w:pPr>
        <w:autoSpaceDE/>
        <w:autoSpaceDN/>
        <w:adjustRightInd/>
        <w:spacing w:line="360" w:lineRule="auto"/>
        <w:ind w:left="585" w:leftChars="200" w:hanging="105" w:hangingChars="5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（2）在签订合同时不向你方提出附加条件；</w:t>
      </w:r>
    </w:p>
    <w:p w14:paraId="2E3C60A6">
      <w:pPr>
        <w:autoSpaceDE/>
        <w:autoSpaceDN/>
        <w:adjustRightInd/>
        <w:spacing w:line="360" w:lineRule="auto"/>
        <w:ind w:left="585" w:leftChars="200" w:hanging="105" w:hangingChars="5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w:t>
      </w:r>
      <w:r>
        <w:rPr>
          <w:rFonts w:hint="eastAsia" w:ascii="宋体" w:hAnsi="宋体" w:cs="宋体"/>
          <w:color w:val="auto"/>
          <w:kern w:val="2"/>
          <w:sz w:val="21"/>
          <w:szCs w:val="21"/>
          <w:highlight w:val="none"/>
          <w:lang w:val="en-US" w:eastAsia="zh-CN" w:bidi="ar-SA"/>
        </w:rPr>
        <w:t>3</w:t>
      </w:r>
      <w:r>
        <w:rPr>
          <w:rFonts w:hint="eastAsia" w:ascii="宋体" w:hAnsi="宋体" w:eastAsia="宋体" w:cs="宋体"/>
          <w:color w:val="auto"/>
          <w:kern w:val="2"/>
          <w:sz w:val="21"/>
          <w:szCs w:val="21"/>
          <w:highlight w:val="none"/>
          <w:lang w:val="en-US" w:eastAsia="zh-CN" w:bidi="ar-SA"/>
        </w:rPr>
        <w:t>）在合同约定的期限内完成合同规定的全部义务。</w:t>
      </w:r>
    </w:p>
    <w:p w14:paraId="54DEA348">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5．我方在此声明，所递交的投标文件及有关资料内容完整、真实和准确，且不存在第二章 “投标人须知”第 1.4.3 项规定的任何一种情形。</w:t>
      </w:r>
    </w:p>
    <w:p w14:paraId="4F60E696">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w:t>
      </w:r>
      <w:r>
        <w:rPr>
          <w:rFonts w:hint="eastAsia" w:ascii="宋体" w:hAnsi="宋体" w:eastAsia="宋体" w:cs="宋体"/>
          <w:color w:val="auto"/>
          <w:kern w:val="2"/>
          <w:sz w:val="21"/>
          <w:szCs w:val="21"/>
          <w:highlight w:val="none"/>
          <w:u w:val="single"/>
          <w:lang w:val="en-US" w:eastAsia="zh-CN" w:bidi="ar-SA"/>
        </w:rPr>
        <w:tab/>
      </w:r>
      <w:r>
        <w:rPr>
          <w:rFonts w:hint="eastAsia" w:ascii="宋体" w:hAnsi="宋体" w:eastAsia="宋体" w:cs="宋体"/>
          <w:color w:val="auto"/>
          <w:kern w:val="2"/>
          <w:sz w:val="21"/>
          <w:szCs w:val="21"/>
          <w:highlight w:val="none"/>
          <w:lang w:val="en-US" w:eastAsia="zh-CN" w:bidi="ar-SA"/>
        </w:rPr>
        <w:t>（其他补充说明）。</w:t>
      </w:r>
    </w:p>
    <w:p w14:paraId="5631B58B">
      <w:pPr>
        <w:pStyle w:val="12"/>
        <w:tabs>
          <w:tab w:val="left" w:pos="7241"/>
        </w:tabs>
        <w:kinsoku w:val="0"/>
        <w:overflowPunct w:val="0"/>
        <w:spacing w:before="36" w:line="360" w:lineRule="auto"/>
        <w:ind w:left="2621" w:right="113" w:firstLine="1260" w:firstLineChars="600"/>
        <w:rPr>
          <w:rFonts w:hint="eastAsia" w:cs="宋体"/>
          <w:color w:val="auto"/>
          <w:sz w:val="21"/>
          <w:szCs w:val="24"/>
          <w:highlight w:val="none"/>
        </w:rPr>
      </w:pPr>
    </w:p>
    <w:p w14:paraId="7BAE09DC">
      <w:pPr>
        <w:pStyle w:val="12"/>
        <w:tabs>
          <w:tab w:val="left" w:pos="7241"/>
        </w:tabs>
        <w:kinsoku w:val="0"/>
        <w:overflowPunct w:val="0"/>
        <w:spacing w:before="36" w:line="240" w:lineRule="auto"/>
        <w:ind w:left="2621" w:right="113" w:firstLine="1260" w:firstLineChars="600"/>
        <w:rPr>
          <w:rFonts w:hint="eastAsia" w:cs="宋体"/>
          <w:color w:val="auto"/>
          <w:sz w:val="21"/>
          <w:szCs w:val="24"/>
          <w:highlight w:val="none"/>
        </w:rPr>
      </w:pPr>
      <w:r>
        <w:rPr>
          <w:rFonts w:hint="eastAsia" w:cs="宋体"/>
          <w:color w:val="auto"/>
          <w:sz w:val="21"/>
          <w:szCs w:val="24"/>
          <w:highlight w:val="none"/>
        </w:rPr>
        <w:t>投 标</w:t>
      </w:r>
      <w:r>
        <w:rPr>
          <w:rFonts w:hint="eastAsia" w:cs="宋体"/>
          <w:color w:val="auto"/>
          <w:spacing w:val="-1"/>
          <w:sz w:val="21"/>
          <w:szCs w:val="24"/>
          <w:highlight w:val="none"/>
        </w:rPr>
        <w:t xml:space="preserve"> </w:t>
      </w:r>
      <w:r>
        <w:rPr>
          <w:rFonts w:hint="eastAsia" w:cs="宋体"/>
          <w:color w:val="auto"/>
          <w:sz w:val="21"/>
          <w:szCs w:val="24"/>
          <w:highlight w:val="none"/>
        </w:rPr>
        <w:t>人：</w:t>
      </w:r>
      <w:r>
        <w:rPr>
          <w:rFonts w:hint="eastAsia" w:cs="宋体"/>
          <w:color w:val="auto"/>
          <w:sz w:val="21"/>
          <w:szCs w:val="24"/>
          <w:highlight w:val="none"/>
          <w:u w:val="single"/>
          <w:lang w:val="en-US" w:eastAsia="zh-CN"/>
        </w:rPr>
        <w:t xml:space="preserve">                 </w:t>
      </w:r>
      <w:r>
        <w:rPr>
          <w:rFonts w:hint="eastAsia" w:hAnsi="宋体" w:cs="宋体"/>
          <w:color w:val="auto"/>
          <w:sz w:val="21"/>
          <w:szCs w:val="24"/>
          <w:highlight w:val="none"/>
          <w:u w:val="single"/>
          <w:lang w:val="en-US" w:eastAsia="zh-CN"/>
        </w:rPr>
        <w:t xml:space="preserve">       </w:t>
      </w:r>
      <w:r>
        <w:rPr>
          <w:rFonts w:hint="eastAsia" w:cs="宋体"/>
          <w:color w:val="auto"/>
          <w:sz w:val="21"/>
          <w:szCs w:val="24"/>
          <w:highlight w:val="none"/>
        </w:rPr>
        <w:t>（盖单位章）</w:t>
      </w:r>
    </w:p>
    <w:p w14:paraId="07F4DF05">
      <w:pPr>
        <w:widowControl/>
        <w:kinsoku w:val="0"/>
        <w:snapToGrid w:val="0"/>
        <w:spacing w:line="240" w:lineRule="auto"/>
        <w:ind w:left="3840" w:leftChars="1600" w:right="253"/>
        <w:textAlignment w:val="baseline"/>
        <w:rPr>
          <w:rFonts w:hint="eastAsia" w:ascii="宋体" w:hAnsi="宋体" w:eastAsia="宋体" w:cs="宋体"/>
          <w:color w:val="auto"/>
          <w:spacing w:val="-4"/>
          <w:sz w:val="21"/>
          <w:szCs w:val="21"/>
          <w:highlight w:val="none"/>
        </w:rPr>
      </w:pPr>
      <w:r>
        <w:rPr>
          <w:rFonts w:hint="eastAsia" w:ascii="宋体" w:hAnsi="宋体" w:eastAsia="宋体" w:cs="宋体"/>
          <w:color w:val="auto"/>
          <w:spacing w:val="-8"/>
          <w:sz w:val="21"/>
          <w:szCs w:val="21"/>
          <w:highlight w:val="none"/>
        </w:rPr>
        <w:t>法定</w:t>
      </w:r>
      <w:r>
        <w:rPr>
          <w:rFonts w:hint="eastAsia" w:ascii="宋体" w:hAnsi="宋体" w:eastAsia="宋体" w:cs="宋体"/>
          <w:color w:val="auto"/>
          <w:spacing w:val="-4"/>
          <w:sz w:val="21"/>
          <w:szCs w:val="21"/>
          <w:highlight w:val="none"/>
        </w:rPr>
        <w:t>代表人</w:t>
      </w:r>
      <w:r>
        <w:rPr>
          <w:rFonts w:hint="eastAsia" w:ascii="宋体" w:hAnsi="宋体" w:eastAsia="宋体" w:cs="宋体"/>
          <w:color w:val="auto"/>
          <w:spacing w:val="-4"/>
          <w:sz w:val="21"/>
          <w:szCs w:val="21"/>
          <w:highlight w:val="none"/>
          <w:lang w:eastAsia="zh-CN"/>
        </w:rPr>
        <w:t>：</w:t>
      </w:r>
      <w:r>
        <w:rPr>
          <w:rFonts w:hint="eastAsia" w:ascii="宋体" w:hAnsi="宋体" w:eastAsia="宋体" w:cs="宋体"/>
          <w:color w:val="auto"/>
          <w:spacing w:val="-4"/>
          <w:sz w:val="21"/>
          <w:szCs w:val="21"/>
          <w:highlight w:val="none"/>
          <w:u w:val="single" w:color="auto"/>
        </w:rPr>
        <w:t xml:space="preserve">            </w:t>
      </w:r>
      <w:r>
        <w:rPr>
          <w:rFonts w:hint="eastAsia" w:ascii="宋体" w:hAnsi="宋体" w:eastAsia="宋体" w:cs="宋体"/>
          <w:color w:val="auto"/>
          <w:spacing w:val="-4"/>
          <w:sz w:val="21"/>
          <w:szCs w:val="21"/>
          <w:highlight w:val="none"/>
        </w:rPr>
        <w:t>(签字</w:t>
      </w:r>
      <w:r>
        <w:rPr>
          <w:rFonts w:hint="eastAsia" w:ascii="宋体" w:hAnsi="宋体" w:eastAsia="宋体" w:cs="宋体"/>
          <w:color w:val="auto"/>
          <w:spacing w:val="-4"/>
          <w:sz w:val="21"/>
          <w:szCs w:val="21"/>
          <w:highlight w:val="none"/>
          <w:lang w:eastAsia="zh-CN"/>
        </w:rPr>
        <w:t>或盖章</w:t>
      </w:r>
      <w:r>
        <w:rPr>
          <w:rFonts w:hint="eastAsia" w:ascii="宋体" w:hAnsi="宋体" w:eastAsia="宋体" w:cs="宋体"/>
          <w:color w:val="auto"/>
          <w:spacing w:val="-4"/>
          <w:sz w:val="21"/>
          <w:szCs w:val="21"/>
          <w:highlight w:val="none"/>
        </w:rPr>
        <w:t>)</w:t>
      </w:r>
    </w:p>
    <w:p w14:paraId="7DF7EA57">
      <w:pPr>
        <w:widowControl/>
        <w:kinsoku w:val="0"/>
        <w:snapToGrid w:val="0"/>
        <w:spacing w:line="240" w:lineRule="auto"/>
        <w:ind w:left="3840" w:leftChars="1600" w:right="253"/>
        <w:textAlignment w:val="baseline"/>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委托代理人：</w:t>
      </w:r>
      <w:r>
        <w:rPr>
          <w:rFonts w:hint="eastAsia" w:ascii="宋体" w:hAnsi="宋体" w:eastAsia="宋体" w:cs="宋体"/>
          <w:color w:val="auto"/>
          <w:spacing w:val="-4"/>
          <w:sz w:val="21"/>
          <w:szCs w:val="21"/>
          <w:highlight w:val="none"/>
          <w:u w:val="single" w:color="auto"/>
        </w:rPr>
        <w:t xml:space="preserve">            </w:t>
      </w:r>
      <w:r>
        <w:rPr>
          <w:rFonts w:hint="eastAsia" w:ascii="宋体" w:hAnsi="宋体" w:eastAsia="宋体" w:cs="宋体"/>
          <w:color w:val="auto"/>
          <w:spacing w:val="-4"/>
          <w:sz w:val="21"/>
          <w:szCs w:val="21"/>
          <w:highlight w:val="none"/>
        </w:rPr>
        <w:t>(签字</w:t>
      </w:r>
      <w:r>
        <w:rPr>
          <w:rFonts w:hint="eastAsia" w:ascii="宋体" w:hAnsi="宋体" w:eastAsia="宋体" w:cs="宋体"/>
          <w:color w:val="auto"/>
          <w:spacing w:val="-4"/>
          <w:sz w:val="21"/>
          <w:szCs w:val="21"/>
          <w:highlight w:val="none"/>
          <w:lang w:eastAsia="zh-CN"/>
        </w:rPr>
        <w:t>或盖章</w:t>
      </w:r>
      <w:r>
        <w:rPr>
          <w:rFonts w:hint="eastAsia" w:ascii="宋体" w:hAnsi="宋体" w:eastAsia="宋体" w:cs="宋体"/>
          <w:color w:val="auto"/>
          <w:spacing w:val="-4"/>
          <w:sz w:val="21"/>
          <w:szCs w:val="21"/>
          <w:highlight w:val="none"/>
        </w:rPr>
        <w:t>)</w:t>
      </w:r>
    </w:p>
    <w:p w14:paraId="6623E3F3">
      <w:pPr>
        <w:pStyle w:val="39"/>
        <w:widowControl/>
        <w:kinsoku w:val="0"/>
        <w:snapToGrid w:val="0"/>
        <w:spacing w:line="240" w:lineRule="auto"/>
        <w:ind w:left="3840" w:leftChars="1600"/>
        <w:jc w:val="left"/>
        <w:textAlignment w:val="baseline"/>
        <w:rPr>
          <w:rFonts w:hint="eastAsia" w:ascii="宋体" w:hAnsi="宋体" w:eastAsia="宋体" w:cs="宋体"/>
          <w:b w:val="0"/>
          <w:snapToGrid w:val="0"/>
          <w:color w:val="auto"/>
          <w:spacing w:val="-4"/>
          <w:sz w:val="21"/>
          <w:szCs w:val="21"/>
          <w:highlight w:val="none"/>
          <w:lang w:eastAsia="zh-CN"/>
        </w:rPr>
      </w:pPr>
      <w:r>
        <w:rPr>
          <w:rFonts w:hint="eastAsia" w:ascii="宋体" w:hAnsi="宋体" w:eastAsia="宋体" w:cs="宋体"/>
          <w:b w:val="0"/>
          <w:snapToGrid w:val="0"/>
          <w:color w:val="auto"/>
          <w:spacing w:val="-4"/>
          <w:sz w:val="21"/>
          <w:szCs w:val="21"/>
          <w:highlight w:val="none"/>
          <w:lang w:eastAsia="zh-CN"/>
        </w:rPr>
        <w:t>项目负责人</w:t>
      </w:r>
      <w:r>
        <w:rPr>
          <w:rFonts w:hint="eastAsia" w:ascii="宋体" w:hAnsi="宋体" w:cs="宋体"/>
          <w:b w:val="0"/>
          <w:snapToGrid w:val="0"/>
          <w:color w:val="auto"/>
          <w:spacing w:val="-4"/>
          <w:sz w:val="21"/>
          <w:szCs w:val="21"/>
          <w:highlight w:val="none"/>
          <w:lang w:eastAsia="zh-CN"/>
        </w:rPr>
        <w:t>（总监理工程师）</w:t>
      </w:r>
      <w:r>
        <w:rPr>
          <w:rFonts w:hint="eastAsia" w:ascii="宋体" w:hAnsi="宋体" w:eastAsia="宋体" w:cs="宋体"/>
          <w:b w:val="0"/>
          <w:snapToGrid w:val="0"/>
          <w:color w:val="auto"/>
          <w:spacing w:val="-4"/>
          <w:sz w:val="21"/>
          <w:szCs w:val="21"/>
          <w:highlight w:val="none"/>
          <w:lang w:eastAsia="zh-CN"/>
        </w:rPr>
        <w:t>：</w:t>
      </w:r>
      <w:r>
        <w:rPr>
          <w:rFonts w:hint="eastAsia" w:ascii="宋体" w:hAnsi="宋体" w:eastAsia="宋体" w:cs="宋体"/>
          <w:color w:val="auto"/>
          <w:spacing w:val="-4"/>
          <w:sz w:val="21"/>
          <w:szCs w:val="21"/>
          <w:highlight w:val="none"/>
          <w:u w:val="single" w:color="auto"/>
        </w:rPr>
        <w:t xml:space="preserve">         </w:t>
      </w:r>
      <w:r>
        <w:rPr>
          <w:rFonts w:hint="eastAsia" w:ascii="宋体" w:hAnsi="宋体" w:eastAsia="宋体" w:cs="宋体"/>
          <w:color w:val="auto"/>
          <w:spacing w:val="-4"/>
          <w:sz w:val="21"/>
          <w:szCs w:val="21"/>
          <w:highlight w:val="none"/>
          <w:u w:val="single" w:color="auto"/>
          <w:lang w:val="en-US" w:eastAsia="zh-CN"/>
        </w:rPr>
        <w:t xml:space="preserve"> </w:t>
      </w:r>
      <w:r>
        <w:rPr>
          <w:rFonts w:hint="eastAsia" w:ascii="宋体" w:hAnsi="宋体" w:eastAsia="宋体" w:cs="宋体"/>
          <w:color w:val="auto"/>
          <w:spacing w:val="-4"/>
          <w:sz w:val="21"/>
          <w:szCs w:val="21"/>
          <w:highlight w:val="none"/>
          <w:u w:val="single" w:color="auto"/>
        </w:rPr>
        <w:t xml:space="preserve">  </w:t>
      </w:r>
      <w:r>
        <w:rPr>
          <w:rFonts w:hint="eastAsia" w:ascii="宋体" w:hAnsi="宋体" w:eastAsia="宋体" w:cs="宋体"/>
          <w:b w:val="0"/>
          <w:color w:val="auto"/>
          <w:spacing w:val="-4"/>
          <w:sz w:val="21"/>
          <w:szCs w:val="21"/>
          <w:highlight w:val="none"/>
        </w:rPr>
        <w:t>(签字)</w:t>
      </w:r>
    </w:p>
    <w:p w14:paraId="051F2BB7">
      <w:pPr>
        <w:pStyle w:val="12"/>
        <w:tabs>
          <w:tab w:val="left" w:pos="3232"/>
          <w:tab w:val="left" w:pos="8529"/>
        </w:tabs>
        <w:kinsoku w:val="0"/>
        <w:overflowPunct w:val="0"/>
        <w:spacing w:before="36" w:line="240" w:lineRule="auto"/>
        <w:ind w:left="2601" w:firstLine="1260" w:firstLineChars="600"/>
        <w:rPr>
          <w:rFonts w:hint="eastAsia" w:ascii="宋体" w:hAnsi="宋体" w:eastAsia="宋体" w:cs="宋体"/>
          <w:color w:val="auto"/>
          <w:sz w:val="21"/>
          <w:szCs w:val="24"/>
          <w:highlight w:val="none"/>
          <w:lang w:val="en-US" w:eastAsia="zh-CN"/>
        </w:rPr>
      </w:pPr>
      <w:r>
        <w:rPr>
          <w:rFonts w:hint="eastAsia" w:cs="宋体"/>
          <w:color w:val="auto"/>
          <w:sz w:val="21"/>
          <w:szCs w:val="24"/>
          <w:highlight w:val="none"/>
        </w:rPr>
        <w:t>地</w:t>
      </w:r>
      <w:r>
        <w:rPr>
          <w:rFonts w:hint="eastAsia" w:cs="宋体"/>
          <w:color w:val="auto"/>
          <w:sz w:val="21"/>
          <w:szCs w:val="24"/>
          <w:highlight w:val="none"/>
          <w:lang w:val="en-US" w:eastAsia="zh-CN"/>
        </w:rPr>
        <w:t xml:space="preserve">    </w:t>
      </w:r>
      <w:r>
        <w:rPr>
          <w:rFonts w:hint="eastAsia" w:cs="宋体"/>
          <w:color w:val="auto"/>
          <w:sz w:val="21"/>
          <w:szCs w:val="24"/>
          <w:highlight w:val="none"/>
        </w:rPr>
        <w:t>址：</w:t>
      </w:r>
      <w:r>
        <w:rPr>
          <w:rFonts w:hint="eastAsia" w:ascii="宋体" w:hAnsi="宋体" w:eastAsia="宋体" w:cs="宋体"/>
          <w:color w:val="auto"/>
          <w:sz w:val="21"/>
          <w:szCs w:val="24"/>
          <w:highlight w:val="none"/>
          <w:u w:val="single"/>
        </w:rPr>
        <w:t xml:space="preserve"> </w:t>
      </w:r>
      <w:r>
        <w:rPr>
          <w:rFonts w:hint="eastAsia" w:hAnsi="宋体" w:cs="宋体"/>
          <w:color w:val="auto"/>
          <w:sz w:val="21"/>
          <w:szCs w:val="24"/>
          <w:highlight w:val="none"/>
          <w:u w:val="single"/>
          <w:lang w:val="en-US" w:eastAsia="zh-CN"/>
        </w:rPr>
        <w:t xml:space="preserve">                                                  </w:t>
      </w:r>
    </w:p>
    <w:p w14:paraId="575EDB67">
      <w:pPr>
        <w:pStyle w:val="12"/>
        <w:tabs>
          <w:tab w:val="left" w:pos="3232"/>
          <w:tab w:val="left" w:pos="8529"/>
        </w:tabs>
        <w:kinsoku w:val="0"/>
        <w:overflowPunct w:val="0"/>
        <w:spacing w:before="36" w:line="240" w:lineRule="auto"/>
        <w:ind w:firstLine="3360" w:firstLineChars="1600"/>
        <w:rPr>
          <w:rFonts w:hint="eastAsia" w:ascii="宋体" w:hAnsi="宋体" w:eastAsia="宋体" w:cs="宋体"/>
          <w:color w:val="auto"/>
          <w:sz w:val="21"/>
          <w:szCs w:val="24"/>
          <w:highlight w:val="none"/>
          <w:lang w:val="en-US" w:eastAsia="zh-CN"/>
        </w:rPr>
      </w:pPr>
      <w:r>
        <w:rPr>
          <w:rFonts w:hint="eastAsia" w:cs="宋体"/>
          <w:color w:val="auto"/>
          <w:sz w:val="21"/>
          <w:szCs w:val="24"/>
          <w:highlight w:val="none"/>
        </w:rPr>
        <w:t>网</w:t>
      </w:r>
      <w:r>
        <w:rPr>
          <w:rFonts w:hint="eastAsia" w:cs="宋体"/>
          <w:color w:val="auto"/>
          <w:sz w:val="21"/>
          <w:szCs w:val="24"/>
          <w:highlight w:val="none"/>
          <w:lang w:val="en-US" w:eastAsia="zh-CN"/>
        </w:rPr>
        <w:t xml:space="preserve">    </w:t>
      </w:r>
      <w:r>
        <w:rPr>
          <w:rFonts w:hint="eastAsia" w:cs="宋体"/>
          <w:color w:val="auto"/>
          <w:sz w:val="21"/>
          <w:szCs w:val="24"/>
          <w:highlight w:val="none"/>
        </w:rPr>
        <w:t>址：</w:t>
      </w:r>
      <w:r>
        <w:rPr>
          <w:rFonts w:hint="eastAsia" w:ascii="宋体" w:hAnsi="宋体" w:eastAsia="宋体" w:cs="宋体"/>
          <w:color w:val="auto"/>
          <w:sz w:val="21"/>
          <w:szCs w:val="24"/>
          <w:highlight w:val="none"/>
          <w:u w:val="single"/>
        </w:rPr>
        <w:t xml:space="preserve"> </w:t>
      </w:r>
      <w:r>
        <w:rPr>
          <w:rFonts w:hint="eastAsia" w:hAnsi="宋体" w:cs="宋体"/>
          <w:color w:val="auto"/>
          <w:sz w:val="21"/>
          <w:szCs w:val="24"/>
          <w:highlight w:val="none"/>
          <w:u w:val="single"/>
          <w:lang w:val="en-US" w:eastAsia="zh-CN"/>
        </w:rPr>
        <w:t xml:space="preserve">                                                   </w:t>
      </w:r>
    </w:p>
    <w:p w14:paraId="7B60891A">
      <w:pPr>
        <w:pStyle w:val="12"/>
        <w:tabs>
          <w:tab w:val="left" w:pos="3232"/>
          <w:tab w:val="left" w:pos="8529"/>
        </w:tabs>
        <w:kinsoku w:val="0"/>
        <w:overflowPunct w:val="0"/>
        <w:spacing w:before="36" w:line="240" w:lineRule="auto"/>
        <w:ind w:firstLine="3360" w:firstLineChars="1600"/>
        <w:rPr>
          <w:rFonts w:hint="eastAsia" w:ascii="宋体" w:hAnsi="宋体" w:eastAsia="宋体" w:cs="宋体"/>
          <w:color w:val="auto"/>
          <w:sz w:val="21"/>
          <w:szCs w:val="24"/>
          <w:highlight w:val="none"/>
          <w:u w:val="single"/>
          <w:lang w:val="en-US" w:eastAsia="zh-CN"/>
        </w:rPr>
      </w:pPr>
      <w:r>
        <w:rPr>
          <w:rFonts w:hint="eastAsia" w:cs="宋体"/>
          <w:color w:val="auto"/>
          <w:sz w:val="21"/>
          <w:szCs w:val="24"/>
          <w:highlight w:val="none"/>
        </w:rPr>
        <w:t>电</w:t>
      </w:r>
      <w:r>
        <w:rPr>
          <w:rFonts w:hint="eastAsia" w:cs="宋体"/>
          <w:color w:val="auto"/>
          <w:sz w:val="21"/>
          <w:szCs w:val="24"/>
          <w:highlight w:val="none"/>
          <w:lang w:val="en-US" w:eastAsia="zh-CN"/>
        </w:rPr>
        <w:t xml:space="preserve">    </w:t>
      </w:r>
      <w:r>
        <w:rPr>
          <w:rFonts w:hint="eastAsia" w:cs="宋体"/>
          <w:color w:val="auto"/>
          <w:sz w:val="21"/>
          <w:szCs w:val="24"/>
          <w:highlight w:val="none"/>
        </w:rPr>
        <w:t>话：</w:t>
      </w:r>
      <w:r>
        <w:rPr>
          <w:rFonts w:hint="eastAsia" w:cs="宋体"/>
          <w:color w:val="auto"/>
          <w:sz w:val="21"/>
          <w:szCs w:val="24"/>
          <w:highlight w:val="none"/>
          <w:u w:val="single"/>
          <w:lang w:val="en-US" w:eastAsia="zh-CN"/>
        </w:rPr>
        <w:t xml:space="preserve">                          </w:t>
      </w:r>
    </w:p>
    <w:p w14:paraId="6F420A80">
      <w:pPr>
        <w:pStyle w:val="12"/>
        <w:tabs>
          <w:tab w:val="left" w:pos="3232"/>
          <w:tab w:val="left" w:pos="8529"/>
        </w:tabs>
        <w:kinsoku w:val="0"/>
        <w:overflowPunct w:val="0"/>
        <w:spacing w:before="36" w:line="240" w:lineRule="auto"/>
        <w:ind w:firstLine="3360" w:firstLineChars="1600"/>
        <w:rPr>
          <w:rFonts w:hint="eastAsia" w:ascii="宋体" w:hAnsi="宋体" w:eastAsia="宋体" w:cs="宋体"/>
          <w:color w:val="auto"/>
          <w:sz w:val="21"/>
          <w:szCs w:val="24"/>
          <w:highlight w:val="none"/>
          <w:u w:val="single"/>
          <w:lang w:val="en-US" w:eastAsia="zh-CN"/>
        </w:rPr>
      </w:pPr>
      <w:r>
        <w:rPr>
          <w:rFonts w:hint="eastAsia" w:cs="宋体"/>
          <w:color w:val="auto"/>
          <w:sz w:val="21"/>
          <w:szCs w:val="24"/>
          <w:highlight w:val="none"/>
        </w:rPr>
        <w:t>传</w:t>
      </w:r>
      <w:r>
        <w:rPr>
          <w:rFonts w:hint="eastAsia" w:cs="宋体"/>
          <w:color w:val="auto"/>
          <w:sz w:val="21"/>
          <w:szCs w:val="24"/>
          <w:highlight w:val="none"/>
          <w:lang w:val="en-US" w:eastAsia="zh-CN"/>
        </w:rPr>
        <w:t xml:space="preserve">    </w:t>
      </w:r>
      <w:r>
        <w:rPr>
          <w:rFonts w:hint="eastAsia" w:cs="宋体"/>
          <w:color w:val="auto"/>
          <w:sz w:val="21"/>
          <w:szCs w:val="24"/>
          <w:highlight w:val="none"/>
        </w:rPr>
        <w:t>真：</w:t>
      </w:r>
      <w:r>
        <w:rPr>
          <w:rFonts w:hint="eastAsia" w:cs="宋体"/>
          <w:color w:val="auto"/>
          <w:sz w:val="21"/>
          <w:szCs w:val="24"/>
          <w:highlight w:val="none"/>
          <w:u w:val="single"/>
          <w:lang w:val="en-US" w:eastAsia="zh-CN"/>
        </w:rPr>
        <w:t xml:space="preserve">                          </w:t>
      </w:r>
    </w:p>
    <w:p w14:paraId="1A2AD555">
      <w:pPr>
        <w:pStyle w:val="12"/>
        <w:tabs>
          <w:tab w:val="left" w:pos="8529"/>
        </w:tabs>
        <w:kinsoku w:val="0"/>
        <w:overflowPunct w:val="0"/>
        <w:spacing w:before="36" w:line="240" w:lineRule="auto"/>
        <w:ind w:left="2601" w:firstLine="1260" w:firstLineChars="600"/>
        <w:rPr>
          <w:rFonts w:hint="eastAsia" w:ascii="宋体" w:hAnsi="宋体" w:eastAsia="宋体" w:cs="宋体"/>
          <w:color w:val="auto"/>
          <w:sz w:val="21"/>
          <w:szCs w:val="24"/>
          <w:highlight w:val="none"/>
          <w:u w:val="single"/>
          <w:lang w:val="en-US" w:eastAsia="zh-CN"/>
        </w:rPr>
      </w:pPr>
      <w:r>
        <w:rPr>
          <w:rFonts w:hint="eastAsia" w:cs="宋体"/>
          <w:color w:val="auto"/>
          <w:sz w:val="21"/>
          <w:szCs w:val="24"/>
          <w:highlight w:val="none"/>
        </w:rPr>
        <w:t>邮政编码：</w:t>
      </w:r>
      <w:r>
        <w:rPr>
          <w:rFonts w:hint="eastAsia" w:ascii="宋体" w:hAnsi="宋体" w:eastAsia="宋体" w:cs="宋体"/>
          <w:color w:val="auto"/>
          <w:sz w:val="21"/>
          <w:szCs w:val="24"/>
          <w:highlight w:val="none"/>
          <w:u w:val="single"/>
        </w:rPr>
        <w:t xml:space="preserve"> </w:t>
      </w:r>
      <w:r>
        <w:rPr>
          <w:rFonts w:hint="eastAsia" w:hAnsi="宋体" w:cs="宋体"/>
          <w:color w:val="auto"/>
          <w:sz w:val="21"/>
          <w:szCs w:val="24"/>
          <w:highlight w:val="none"/>
          <w:u w:val="single"/>
          <w:lang w:val="en-US" w:eastAsia="zh-CN"/>
        </w:rPr>
        <w:t xml:space="preserve">                                                   </w:t>
      </w:r>
    </w:p>
    <w:p w14:paraId="08B8FE9F">
      <w:pPr>
        <w:pStyle w:val="12"/>
        <w:tabs>
          <w:tab w:val="left" w:pos="8529"/>
        </w:tabs>
        <w:kinsoku w:val="0"/>
        <w:overflowPunct w:val="0"/>
        <w:spacing w:before="36" w:line="240" w:lineRule="auto"/>
        <w:ind w:left="2601"/>
        <w:rPr>
          <w:rFonts w:hint="eastAsia" w:ascii="宋体" w:hAnsi="宋体" w:eastAsia="宋体" w:cs="宋体"/>
          <w:color w:val="auto"/>
          <w:sz w:val="21"/>
          <w:szCs w:val="24"/>
          <w:highlight w:val="none"/>
          <w:u w:val="single"/>
          <w:lang w:val="en-US" w:eastAsia="zh-CN"/>
        </w:rPr>
      </w:pPr>
      <w:r>
        <w:rPr>
          <w:rFonts w:hint="eastAsia" w:hAnsi="宋体" w:cs="宋体"/>
          <w:color w:val="auto"/>
          <w:sz w:val="21"/>
          <w:szCs w:val="24"/>
          <w:highlight w:val="none"/>
          <w:lang w:val="en-US" w:eastAsia="zh-CN"/>
        </w:rPr>
        <w:t xml:space="preserve">                  </w:t>
      </w:r>
      <w:r>
        <w:rPr>
          <w:rFonts w:hint="eastAsia" w:hAnsi="宋体" w:cs="宋体"/>
          <w:color w:val="auto"/>
          <w:sz w:val="21"/>
          <w:szCs w:val="24"/>
          <w:highlight w:val="none"/>
          <w:u w:val="single"/>
          <w:lang w:val="en-US" w:eastAsia="zh-CN"/>
        </w:rPr>
        <w:t xml:space="preserve">       </w:t>
      </w:r>
      <w:r>
        <w:rPr>
          <w:rFonts w:hint="eastAsia" w:hAnsi="宋体" w:cs="宋体"/>
          <w:color w:val="auto"/>
          <w:sz w:val="21"/>
          <w:szCs w:val="24"/>
          <w:highlight w:val="none"/>
          <w:lang w:val="en-US" w:eastAsia="zh-CN"/>
        </w:rPr>
        <w:t>年</w:t>
      </w:r>
      <w:r>
        <w:rPr>
          <w:rFonts w:hint="eastAsia" w:hAnsi="宋体" w:cs="宋体"/>
          <w:color w:val="auto"/>
          <w:sz w:val="21"/>
          <w:szCs w:val="24"/>
          <w:highlight w:val="none"/>
          <w:u w:val="single"/>
          <w:lang w:val="en-US" w:eastAsia="zh-CN"/>
        </w:rPr>
        <w:t xml:space="preserve">       </w:t>
      </w:r>
      <w:r>
        <w:rPr>
          <w:rFonts w:hint="eastAsia" w:hAnsi="宋体" w:cs="宋体"/>
          <w:color w:val="auto"/>
          <w:sz w:val="21"/>
          <w:szCs w:val="24"/>
          <w:highlight w:val="none"/>
          <w:lang w:val="en-US" w:eastAsia="zh-CN"/>
        </w:rPr>
        <w:t>月</w:t>
      </w:r>
      <w:r>
        <w:rPr>
          <w:rFonts w:hint="eastAsia" w:hAnsi="宋体" w:cs="宋体"/>
          <w:color w:val="auto"/>
          <w:sz w:val="21"/>
          <w:szCs w:val="24"/>
          <w:highlight w:val="none"/>
          <w:u w:val="single"/>
          <w:lang w:val="en-US" w:eastAsia="zh-CN"/>
        </w:rPr>
        <w:t xml:space="preserve">      </w:t>
      </w:r>
      <w:r>
        <w:rPr>
          <w:rFonts w:hint="eastAsia" w:hAnsi="宋体" w:cs="宋体"/>
          <w:color w:val="auto"/>
          <w:sz w:val="21"/>
          <w:szCs w:val="24"/>
          <w:highlight w:val="none"/>
          <w:lang w:val="en-US" w:eastAsia="zh-CN"/>
        </w:rPr>
        <w:t>日</w:t>
      </w:r>
    </w:p>
    <w:p w14:paraId="75550448">
      <w:pPr>
        <w:pStyle w:val="12"/>
        <w:tabs>
          <w:tab w:val="left" w:pos="631"/>
          <w:tab w:val="left" w:pos="1471"/>
          <w:tab w:val="left" w:pos="2311"/>
        </w:tabs>
        <w:kinsoku w:val="0"/>
        <w:overflowPunct w:val="0"/>
        <w:spacing w:before="36" w:line="240" w:lineRule="auto"/>
        <w:ind w:left="0" w:right="117"/>
        <w:jc w:val="right"/>
        <w:rPr>
          <w:rFonts w:hint="eastAsia" w:ascii="宋体" w:hAnsi="宋体" w:eastAsia="宋体" w:cs="宋体"/>
          <w:color w:val="auto"/>
          <w:sz w:val="21"/>
          <w:szCs w:val="24"/>
          <w:highlight w:val="none"/>
        </w:rPr>
        <w:sectPr>
          <w:footerReference r:id="rId12" w:type="default"/>
          <w:pgSz w:w="11905" w:h="16838"/>
          <w:pgMar w:top="1417" w:right="1417" w:bottom="1417" w:left="1417" w:header="992" w:footer="992" w:gutter="0"/>
          <w:lnNumType w:countBy="0" w:distance="360"/>
          <w:cols w:space="720" w:num="1"/>
        </w:sectPr>
      </w:pPr>
    </w:p>
    <w:p w14:paraId="27A146EE">
      <w:pPr>
        <w:pStyle w:val="5"/>
        <w:outlineLvl w:val="2"/>
        <w:rPr>
          <w:rFonts w:hint="eastAsia" w:cs="宋体"/>
          <w:b/>
          <w:color w:val="auto"/>
          <w:sz w:val="28"/>
          <w:szCs w:val="24"/>
          <w:highlight w:val="none"/>
        </w:rPr>
      </w:pPr>
      <w:bookmarkStart w:id="126" w:name="bookmark178"/>
      <w:bookmarkEnd w:id="126"/>
      <w:bookmarkStart w:id="127" w:name="_Toc8767"/>
      <w:r>
        <w:rPr>
          <w:rFonts w:hint="eastAsia" w:cs="宋体"/>
          <w:b/>
          <w:color w:val="auto"/>
          <w:sz w:val="28"/>
          <w:szCs w:val="24"/>
          <w:highlight w:val="none"/>
        </w:rPr>
        <w:t>（二）投标函附录</w:t>
      </w:r>
      <w:bookmarkEnd w:id="127"/>
    </w:p>
    <w:p w14:paraId="450C9519">
      <w:pPr>
        <w:pStyle w:val="12"/>
        <w:kinsoku w:val="0"/>
        <w:overflowPunct w:val="0"/>
        <w:ind w:left="0"/>
        <w:rPr>
          <w:rFonts w:hint="eastAsia" w:cs="宋体"/>
          <w:color w:val="auto"/>
          <w:sz w:val="20"/>
          <w:szCs w:val="24"/>
          <w:highlight w:val="none"/>
        </w:rPr>
      </w:pPr>
    </w:p>
    <w:p w14:paraId="5AC0CAC2">
      <w:pPr>
        <w:pStyle w:val="12"/>
        <w:kinsoku w:val="0"/>
        <w:overflowPunct w:val="0"/>
        <w:spacing w:before="11"/>
        <w:ind w:left="0"/>
        <w:rPr>
          <w:rFonts w:hint="eastAsia" w:cs="宋体"/>
          <w:color w:val="auto"/>
          <w:sz w:val="22"/>
          <w:szCs w:val="24"/>
          <w:highlight w:val="none"/>
        </w:rPr>
      </w:pPr>
    </w:p>
    <w:tbl>
      <w:tblPr>
        <w:tblStyle w:val="27"/>
        <w:tblW w:w="96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9"/>
        <w:gridCol w:w="2220"/>
        <w:gridCol w:w="5160"/>
        <w:gridCol w:w="1262"/>
      </w:tblGrid>
      <w:tr w14:paraId="231FD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9" w:type="dxa"/>
            <w:tcBorders>
              <w:top w:val="single" w:color="auto" w:sz="4" w:space="0"/>
              <w:left w:val="single" w:color="auto" w:sz="4" w:space="0"/>
              <w:bottom w:val="single" w:color="auto" w:sz="4" w:space="0"/>
              <w:right w:val="single" w:color="auto" w:sz="4" w:space="0"/>
            </w:tcBorders>
            <w:noWrap w:val="0"/>
            <w:vAlign w:val="center"/>
          </w:tcPr>
          <w:p w14:paraId="67742B7A">
            <w:pPr>
              <w:jc w:val="center"/>
              <w:rPr>
                <w:rFonts w:hint="eastAsia" w:ascii="宋体" w:hAnsi="宋体" w:cs="宋体"/>
                <w:b/>
                <w:sz w:val="24"/>
                <w:szCs w:val="24"/>
                <w:highlight w:val="none"/>
              </w:rPr>
            </w:pPr>
            <w:r>
              <w:rPr>
                <w:rFonts w:hint="eastAsia" w:ascii="宋体" w:hAnsi="宋体" w:cs="宋体"/>
                <w:b/>
                <w:sz w:val="24"/>
                <w:szCs w:val="24"/>
                <w:highlight w:val="none"/>
              </w:rPr>
              <w:t>序号</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1643C927">
            <w:pPr>
              <w:jc w:val="center"/>
              <w:rPr>
                <w:rFonts w:hint="eastAsia" w:ascii="宋体" w:hAnsi="宋体" w:cs="宋体"/>
                <w:b/>
                <w:sz w:val="24"/>
                <w:szCs w:val="24"/>
                <w:highlight w:val="none"/>
              </w:rPr>
            </w:pPr>
            <w:r>
              <w:rPr>
                <w:rFonts w:hint="eastAsia" w:ascii="宋体" w:hAnsi="宋体" w:cs="宋体"/>
                <w:b/>
                <w:sz w:val="24"/>
                <w:szCs w:val="24"/>
                <w:highlight w:val="none"/>
              </w:rPr>
              <w:t>条款名称</w:t>
            </w:r>
          </w:p>
        </w:tc>
        <w:tc>
          <w:tcPr>
            <w:tcW w:w="5160" w:type="dxa"/>
            <w:tcBorders>
              <w:top w:val="single" w:color="auto" w:sz="4" w:space="0"/>
              <w:left w:val="single" w:color="auto" w:sz="4" w:space="0"/>
              <w:bottom w:val="single" w:color="auto" w:sz="4" w:space="0"/>
              <w:right w:val="single" w:color="auto" w:sz="4" w:space="0"/>
            </w:tcBorders>
            <w:noWrap w:val="0"/>
            <w:vAlign w:val="center"/>
          </w:tcPr>
          <w:p w14:paraId="7E6B2A34">
            <w:pPr>
              <w:jc w:val="center"/>
              <w:rPr>
                <w:rFonts w:hint="eastAsia" w:ascii="宋体" w:hAnsi="宋体" w:cs="宋体"/>
                <w:b/>
                <w:sz w:val="24"/>
                <w:szCs w:val="24"/>
                <w:highlight w:val="none"/>
              </w:rPr>
            </w:pPr>
            <w:r>
              <w:rPr>
                <w:rFonts w:hint="eastAsia" w:ascii="宋体" w:hAnsi="宋体" w:cs="宋体"/>
                <w:b/>
                <w:sz w:val="24"/>
                <w:szCs w:val="24"/>
                <w:highlight w:val="none"/>
              </w:rPr>
              <w:t>约定内容</w:t>
            </w:r>
          </w:p>
        </w:tc>
        <w:tc>
          <w:tcPr>
            <w:tcW w:w="1262" w:type="dxa"/>
            <w:tcBorders>
              <w:top w:val="single" w:color="auto" w:sz="4" w:space="0"/>
              <w:left w:val="single" w:color="auto" w:sz="4" w:space="0"/>
              <w:bottom w:val="single" w:color="auto" w:sz="4" w:space="0"/>
              <w:right w:val="single" w:color="auto" w:sz="4" w:space="0"/>
            </w:tcBorders>
            <w:noWrap w:val="0"/>
            <w:vAlign w:val="center"/>
          </w:tcPr>
          <w:p w14:paraId="2A5A6237">
            <w:pPr>
              <w:jc w:val="center"/>
              <w:rPr>
                <w:rFonts w:hint="eastAsia" w:ascii="宋体" w:hAnsi="宋体" w:cs="宋体"/>
                <w:b/>
                <w:sz w:val="24"/>
                <w:szCs w:val="24"/>
                <w:highlight w:val="none"/>
              </w:rPr>
            </w:pPr>
            <w:r>
              <w:rPr>
                <w:rFonts w:hint="eastAsia" w:ascii="宋体" w:hAnsi="宋体" w:cs="宋体"/>
                <w:b/>
                <w:sz w:val="24"/>
                <w:szCs w:val="24"/>
                <w:highlight w:val="none"/>
              </w:rPr>
              <w:t>备注</w:t>
            </w:r>
          </w:p>
        </w:tc>
      </w:tr>
      <w:tr w14:paraId="13858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C2CBDD7">
            <w:pPr>
              <w:jc w:val="center"/>
              <w:rPr>
                <w:rFonts w:hint="eastAsia" w:ascii="宋体" w:hAnsi="宋体" w:cs="宋体"/>
                <w:bCs/>
                <w:kern w:val="2"/>
                <w:sz w:val="24"/>
                <w:szCs w:val="24"/>
                <w:highlight w:val="none"/>
                <w:lang w:val="en-US" w:eastAsia="zh-CN" w:bidi="ar-SA"/>
              </w:rPr>
            </w:pPr>
            <w:r>
              <w:rPr>
                <w:rFonts w:hint="eastAsia" w:ascii="宋体" w:hAnsi="宋体" w:cs="宋体"/>
                <w:bCs/>
                <w:sz w:val="24"/>
                <w:szCs w:val="24"/>
                <w:highlight w:val="none"/>
              </w:rPr>
              <w:t>1</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5BB9A3BA">
            <w:pPr>
              <w:pStyle w:val="34"/>
              <w:kinsoku w:val="0"/>
              <w:overflowPunct w:val="0"/>
              <w:spacing w:before="26"/>
              <w:jc w:val="center"/>
              <w:rPr>
                <w:rFonts w:hint="eastAsia" w:ascii="宋体" w:hAnsi="宋体" w:cs="宋体"/>
                <w:b/>
                <w:sz w:val="24"/>
                <w:szCs w:val="24"/>
                <w:highlight w:val="none"/>
              </w:rPr>
            </w:pPr>
            <w:r>
              <w:rPr>
                <w:rFonts w:hint="eastAsia" w:ascii="宋体" w:hAnsi="宋体" w:cs="宋体"/>
                <w:bCs/>
                <w:color w:val="auto"/>
                <w:sz w:val="24"/>
                <w:szCs w:val="24"/>
                <w:highlight w:val="none"/>
                <w:lang w:eastAsia="zh-CN"/>
              </w:rPr>
              <w:t>标段</w:t>
            </w:r>
            <w:r>
              <w:rPr>
                <w:rFonts w:hint="eastAsia" w:ascii="宋体" w:hAnsi="宋体" w:eastAsia="宋体" w:cs="宋体"/>
                <w:bCs/>
                <w:color w:val="auto"/>
                <w:sz w:val="24"/>
                <w:szCs w:val="24"/>
                <w:highlight w:val="none"/>
                <w:lang w:eastAsia="zh-CN"/>
              </w:rPr>
              <w:t>名称</w:t>
            </w:r>
          </w:p>
        </w:tc>
        <w:tc>
          <w:tcPr>
            <w:tcW w:w="5160" w:type="dxa"/>
            <w:tcBorders>
              <w:top w:val="single" w:color="auto" w:sz="4" w:space="0"/>
              <w:left w:val="single" w:color="auto" w:sz="4" w:space="0"/>
              <w:bottom w:val="single" w:color="auto" w:sz="4" w:space="0"/>
              <w:right w:val="single" w:color="auto" w:sz="4" w:space="0"/>
            </w:tcBorders>
            <w:noWrap w:val="0"/>
            <w:vAlign w:val="center"/>
          </w:tcPr>
          <w:p w14:paraId="2780B251">
            <w:pPr>
              <w:pStyle w:val="34"/>
              <w:kinsoku w:val="0"/>
              <w:overflowPunct w:val="0"/>
              <w:spacing w:before="26"/>
              <w:jc w:val="center"/>
              <w:rPr>
                <w:rFonts w:hint="eastAsia" w:ascii="宋体" w:hAnsi="宋体" w:cs="宋体"/>
                <w:b/>
                <w:sz w:val="24"/>
                <w:szCs w:val="24"/>
                <w:highlight w:val="none"/>
              </w:rPr>
            </w:pPr>
          </w:p>
        </w:tc>
        <w:tc>
          <w:tcPr>
            <w:tcW w:w="1262" w:type="dxa"/>
            <w:tcBorders>
              <w:top w:val="single" w:color="auto" w:sz="4" w:space="0"/>
              <w:left w:val="single" w:color="auto" w:sz="4" w:space="0"/>
              <w:bottom w:val="single" w:color="auto" w:sz="4" w:space="0"/>
              <w:right w:val="single" w:color="auto" w:sz="4" w:space="0"/>
            </w:tcBorders>
            <w:noWrap w:val="0"/>
            <w:vAlign w:val="center"/>
          </w:tcPr>
          <w:p w14:paraId="40FCB881">
            <w:pPr>
              <w:jc w:val="center"/>
              <w:rPr>
                <w:rFonts w:hint="eastAsia" w:ascii="宋体" w:hAnsi="宋体" w:cs="宋体"/>
                <w:b/>
                <w:sz w:val="24"/>
                <w:szCs w:val="24"/>
                <w:highlight w:val="none"/>
              </w:rPr>
            </w:pPr>
          </w:p>
        </w:tc>
      </w:tr>
      <w:tr w14:paraId="0477D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9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8A261BA">
            <w:pPr>
              <w:jc w:val="center"/>
              <w:rPr>
                <w:rFonts w:hint="eastAsia" w:ascii="宋体" w:hAnsi="宋体" w:cs="宋体"/>
                <w:bCs/>
                <w:kern w:val="2"/>
                <w:sz w:val="24"/>
                <w:szCs w:val="24"/>
                <w:highlight w:val="none"/>
                <w:lang w:val="en-US" w:eastAsia="zh-CN" w:bidi="ar-SA"/>
              </w:rPr>
            </w:pPr>
            <w:r>
              <w:rPr>
                <w:rFonts w:hint="eastAsia" w:ascii="宋体" w:hAnsi="宋体" w:cs="宋体"/>
                <w:bCs/>
                <w:sz w:val="24"/>
                <w:szCs w:val="24"/>
                <w:highlight w:val="none"/>
              </w:rPr>
              <w:t>2</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29B01480">
            <w:pPr>
              <w:jc w:val="center"/>
              <w:rPr>
                <w:rFonts w:hint="eastAsia" w:ascii="宋体" w:hAnsi="宋体" w:cs="宋体"/>
                <w:bCs/>
                <w:sz w:val="24"/>
                <w:szCs w:val="24"/>
                <w:highlight w:val="none"/>
              </w:rPr>
            </w:pPr>
            <w:r>
              <w:rPr>
                <w:rFonts w:hint="eastAsia" w:ascii="宋体" w:hAnsi="宋体" w:cs="宋体"/>
                <w:bCs/>
                <w:sz w:val="24"/>
                <w:szCs w:val="24"/>
                <w:highlight w:val="none"/>
              </w:rPr>
              <w:t>总监理工程师</w:t>
            </w:r>
          </w:p>
        </w:tc>
        <w:tc>
          <w:tcPr>
            <w:tcW w:w="5160" w:type="dxa"/>
            <w:tcBorders>
              <w:top w:val="single" w:color="auto" w:sz="4" w:space="0"/>
              <w:left w:val="single" w:color="auto" w:sz="4" w:space="0"/>
              <w:bottom w:val="single" w:color="auto" w:sz="4" w:space="0"/>
              <w:right w:val="single" w:color="auto" w:sz="4" w:space="0"/>
            </w:tcBorders>
            <w:noWrap w:val="0"/>
            <w:vAlign w:val="center"/>
          </w:tcPr>
          <w:p w14:paraId="30289F2C">
            <w:pPr>
              <w:rPr>
                <w:rFonts w:hint="eastAsia" w:ascii="宋体" w:hAnsi="宋体" w:cs="宋体"/>
                <w:bCs/>
                <w:sz w:val="24"/>
                <w:szCs w:val="24"/>
                <w:highlight w:val="none"/>
              </w:rPr>
            </w:pPr>
            <w:r>
              <w:rPr>
                <w:rFonts w:hint="eastAsia" w:ascii="宋体" w:hAnsi="宋体" w:cs="宋体"/>
                <w:bCs/>
                <w:sz w:val="24"/>
                <w:szCs w:val="24"/>
                <w:highlight w:val="none"/>
              </w:rPr>
              <w:t>姓名：</w:t>
            </w:r>
            <w:r>
              <w:rPr>
                <w:rFonts w:hint="eastAsia" w:ascii="宋体" w:hAnsi="宋体" w:cs="宋体"/>
                <w:bCs/>
                <w:sz w:val="24"/>
                <w:szCs w:val="24"/>
                <w:highlight w:val="none"/>
                <w:u w:val="single"/>
              </w:rPr>
              <w:t xml:space="preserve">                        </w:t>
            </w:r>
            <w:r>
              <w:rPr>
                <w:rFonts w:hint="eastAsia" w:ascii="宋体" w:hAnsi="宋体" w:cs="宋体"/>
                <w:bCs/>
                <w:sz w:val="24"/>
                <w:szCs w:val="24"/>
                <w:highlight w:val="none"/>
              </w:rPr>
              <w:t xml:space="preserve">                     </w:t>
            </w:r>
          </w:p>
          <w:p w14:paraId="63FD8B09">
            <w:pPr>
              <w:rPr>
                <w:rFonts w:hint="eastAsia" w:ascii="宋体" w:hAnsi="宋体" w:cs="宋体"/>
                <w:bCs/>
                <w:sz w:val="24"/>
                <w:szCs w:val="24"/>
                <w:highlight w:val="none"/>
              </w:rPr>
            </w:pPr>
            <w:r>
              <w:rPr>
                <w:rFonts w:hint="eastAsia" w:ascii="宋体" w:hAnsi="宋体" w:cs="宋体"/>
                <w:bCs/>
                <w:sz w:val="24"/>
                <w:szCs w:val="24"/>
                <w:highlight w:val="none"/>
              </w:rPr>
              <w:t>技术职称：</w:t>
            </w:r>
            <w:r>
              <w:rPr>
                <w:rFonts w:hint="eastAsia" w:ascii="宋体" w:hAnsi="宋体" w:cs="宋体"/>
                <w:bCs/>
                <w:sz w:val="24"/>
                <w:szCs w:val="24"/>
                <w:highlight w:val="none"/>
                <w:u w:val="single"/>
              </w:rPr>
              <w:t xml:space="preserve">                    </w:t>
            </w:r>
          </w:p>
          <w:p w14:paraId="0A6D5BF6">
            <w:pPr>
              <w:rPr>
                <w:rFonts w:hint="eastAsia" w:ascii="宋体" w:hAnsi="宋体" w:cs="宋体"/>
                <w:bCs/>
                <w:sz w:val="24"/>
                <w:szCs w:val="24"/>
                <w:highlight w:val="none"/>
                <w:u w:val="single"/>
              </w:rPr>
            </w:pPr>
            <w:r>
              <w:rPr>
                <w:rFonts w:hint="eastAsia" w:ascii="宋体" w:hAnsi="宋体" w:cs="宋体"/>
                <w:bCs/>
                <w:sz w:val="24"/>
                <w:szCs w:val="24"/>
                <w:highlight w:val="none"/>
              </w:rPr>
              <w:t>注册证号：</w:t>
            </w:r>
            <w:r>
              <w:rPr>
                <w:rFonts w:hint="eastAsia" w:ascii="宋体" w:hAnsi="宋体" w:cs="宋体"/>
                <w:bCs/>
                <w:sz w:val="24"/>
                <w:szCs w:val="24"/>
                <w:highlight w:val="none"/>
                <w:u w:val="single"/>
              </w:rPr>
              <w:t xml:space="preserve">                    </w:t>
            </w:r>
          </w:p>
        </w:tc>
        <w:tc>
          <w:tcPr>
            <w:tcW w:w="1262" w:type="dxa"/>
            <w:tcBorders>
              <w:top w:val="single" w:color="auto" w:sz="4" w:space="0"/>
              <w:left w:val="single" w:color="auto" w:sz="4" w:space="0"/>
              <w:bottom w:val="single" w:color="auto" w:sz="4" w:space="0"/>
              <w:right w:val="single" w:color="auto" w:sz="4" w:space="0"/>
            </w:tcBorders>
            <w:noWrap w:val="0"/>
            <w:vAlign w:val="center"/>
          </w:tcPr>
          <w:p w14:paraId="38672EB5">
            <w:pPr>
              <w:jc w:val="center"/>
              <w:rPr>
                <w:rFonts w:hint="eastAsia" w:ascii="宋体" w:hAnsi="宋体" w:cs="宋体"/>
                <w:b/>
                <w:sz w:val="24"/>
                <w:szCs w:val="24"/>
                <w:highlight w:val="none"/>
              </w:rPr>
            </w:pPr>
          </w:p>
        </w:tc>
      </w:tr>
      <w:tr w14:paraId="2E7D6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CF33F9A">
            <w:pPr>
              <w:jc w:val="center"/>
              <w:rPr>
                <w:rFonts w:hint="eastAsia" w:ascii="宋体" w:hAnsi="宋体" w:cs="宋体"/>
                <w:bCs/>
                <w:kern w:val="2"/>
                <w:sz w:val="24"/>
                <w:szCs w:val="24"/>
                <w:highlight w:val="none"/>
                <w:lang w:val="en-US" w:eastAsia="zh-CN" w:bidi="ar-SA"/>
              </w:rPr>
            </w:pPr>
            <w:r>
              <w:rPr>
                <w:rFonts w:hint="eastAsia" w:ascii="宋体" w:hAnsi="宋体" w:cs="宋体"/>
                <w:bCs/>
                <w:sz w:val="24"/>
                <w:szCs w:val="24"/>
                <w:highlight w:val="none"/>
              </w:rPr>
              <w:t>3</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4552FBB2">
            <w:pPr>
              <w:jc w:val="center"/>
              <w:rPr>
                <w:rFonts w:hint="eastAsia" w:ascii="宋体" w:hAnsi="宋体" w:cs="宋体"/>
                <w:bCs/>
                <w:sz w:val="24"/>
                <w:szCs w:val="24"/>
                <w:highlight w:val="none"/>
              </w:rPr>
            </w:pPr>
            <w:r>
              <w:rPr>
                <w:rFonts w:hint="eastAsia" w:ascii="宋体" w:hAnsi="宋体" w:cs="宋体"/>
                <w:bCs/>
                <w:sz w:val="24"/>
                <w:szCs w:val="24"/>
                <w:highlight w:val="none"/>
              </w:rPr>
              <w:t>监理服务期限</w:t>
            </w:r>
          </w:p>
        </w:tc>
        <w:tc>
          <w:tcPr>
            <w:tcW w:w="5160" w:type="dxa"/>
            <w:tcBorders>
              <w:top w:val="single" w:color="auto" w:sz="4" w:space="0"/>
              <w:left w:val="single" w:color="auto" w:sz="4" w:space="0"/>
              <w:bottom w:val="single" w:color="auto" w:sz="4" w:space="0"/>
              <w:right w:val="single" w:color="auto" w:sz="4" w:space="0"/>
            </w:tcBorders>
            <w:noWrap w:val="0"/>
            <w:vAlign w:val="center"/>
          </w:tcPr>
          <w:p w14:paraId="71326574">
            <w:pPr>
              <w:jc w:val="center"/>
              <w:rPr>
                <w:rFonts w:hint="eastAsia" w:ascii="宋体" w:hAnsi="宋体" w:cs="宋体"/>
                <w:bCs/>
                <w:sz w:val="24"/>
                <w:szCs w:val="24"/>
                <w:highlight w:val="none"/>
              </w:rPr>
            </w:pPr>
            <w:r>
              <w:rPr>
                <w:rFonts w:hint="eastAsia" w:ascii="宋体" w:hAnsi="宋体" w:cs="宋体"/>
                <w:bCs/>
                <w:sz w:val="24"/>
                <w:szCs w:val="24"/>
                <w:highlight w:val="none"/>
              </w:rPr>
              <w:t>按招标文件要求</w:t>
            </w:r>
          </w:p>
        </w:tc>
        <w:tc>
          <w:tcPr>
            <w:tcW w:w="1262" w:type="dxa"/>
            <w:tcBorders>
              <w:top w:val="single" w:color="auto" w:sz="4" w:space="0"/>
              <w:left w:val="single" w:color="auto" w:sz="4" w:space="0"/>
              <w:bottom w:val="single" w:color="auto" w:sz="4" w:space="0"/>
              <w:right w:val="single" w:color="auto" w:sz="4" w:space="0"/>
            </w:tcBorders>
            <w:noWrap w:val="0"/>
            <w:vAlign w:val="center"/>
          </w:tcPr>
          <w:p w14:paraId="26478FAF">
            <w:pPr>
              <w:jc w:val="center"/>
              <w:rPr>
                <w:rFonts w:hint="eastAsia" w:ascii="宋体" w:hAnsi="宋体" w:cs="宋体"/>
                <w:b/>
                <w:sz w:val="24"/>
                <w:szCs w:val="24"/>
                <w:highlight w:val="none"/>
              </w:rPr>
            </w:pPr>
          </w:p>
        </w:tc>
      </w:tr>
      <w:tr w14:paraId="02674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43A3187">
            <w:pPr>
              <w:jc w:val="center"/>
              <w:rPr>
                <w:rFonts w:hint="eastAsia" w:ascii="宋体" w:hAnsi="宋体" w:cs="宋体"/>
                <w:bCs/>
                <w:kern w:val="2"/>
                <w:sz w:val="24"/>
                <w:szCs w:val="24"/>
                <w:highlight w:val="none"/>
                <w:lang w:val="en-US" w:eastAsia="zh-CN" w:bidi="ar-SA"/>
              </w:rPr>
            </w:pPr>
            <w:r>
              <w:rPr>
                <w:rFonts w:hint="eastAsia" w:ascii="宋体" w:hAnsi="宋体" w:cs="宋体"/>
                <w:bCs/>
                <w:sz w:val="24"/>
                <w:szCs w:val="24"/>
                <w:highlight w:val="none"/>
              </w:rPr>
              <w:t>4</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7F4B58B3">
            <w:pPr>
              <w:jc w:val="center"/>
              <w:rPr>
                <w:rFonts w:hint="eastAsia" w:ascii="宋体" w:hAnsi="宋体" w:cs="宋体"/>
                <w:bCs/>
                <w:sz w:val="24"/>
                <w:szCs w:val="24"/>
                <w:highlight w:val="none"/>
              </w:rPr>
            </w:pPr>
            <w:r>
              <w:rPr>
                <w:rFonts w:hint="eastAsia" w:ascii="宋体" w:hAnsi="宋体" w:cs="宋体"/>
                <w:bCs/>
                <w:sz w:val="24"/>
                <w:szCs w:val="24"/>
                <w:highlight w:val="none"/>
              </w:rPr>
              <w:t>合同价款确定方式</w:t>
            </w:r>
          </w:p>
        </w:tc>
        <w:tc>
          <w:tcPr>
            <w:tcW w:w="5160" w:type="dxa"/>
            <w:tcBorders>
              <w:top w:val="single" w:color="auto" w:sz="4" w:space="0"/>
              <w:left w:val="single" w:color="auto" w:sz="4" w:space="0"/>
              <w:bottom w:val="single" w:color="auto" w:sz="4" w:space="0"/>
              <w:right w:val="single" w:color="auto" w:sz="4" w:space="0"/>
            </w:tcBorders>
            <w:noWrap w:val="0"/>
            <w:vAlign w:val="center"/>
          </w:tcPr>
          <w:p w14:paraId="2A94B93D">
            <w:pPr>
              <w:jc w:val="center"/>
              <w:rPr>
                <w:rFonts w:hint="eastAsia" w:ascii="宋体" w:hAnsi="宋体" w:cs="宋体"/>
                <w:bCs/>
                <w:sz w:val="24"/>
                <w:szCs w:val="24"/>
                <w:highlight w:val="none"/>
              </w:rPr>
            </w:pPr>
            <w:r>
              <w:rPr>
                <w:rFonts w:hint="eastAsia" w:ascii="宋体" w:hAnsi="宋体" w:cs="宋体"/>
                <w:bCs/>
                <w:sz w:val="24"/>
                <w:szCs w:val="24"/>
                <w:highlight w:val="none"/>
              </w:rPr>
              <w:t>暂定价格合同</w:t>
            </w:r>
          </w:p>
        </w:tc>
        <w:tc>
          <w:tcPr>
            <w:tcW w:w="1262" w:type="dxa"/>
            <w:tcBorders>
              <w:top w:val="single" w:color="auto" w:sz="4" w:space="0"/>
              <w:left w:val="single" w:color="auto" w:sz="4" w:space="0"/>
              <w:bottom w:val="single" w:color="auto" w:sz="4" w:space="0"/>
              <w:right w:val="single" w:color="auto" w:sz="4" w:space="0"/>
            </w:tcBorders>
            <w:noWrap w:val="0"/>
            <w:vAlign w:val="center"/>
          </w:tcPr>
          <w:p w14:paraId="2A69CFEB">
            <w:pPr>
              <w:jc w:val="center"/>
              <w:rPr>
                <w:rFonts w:hint="eastAsia" w:ascii="宋体" w:hAnsi="宋体" w:cs="宋体"/>
                <w:b/>
                <w:sz w:val="24"/>
                <w:szCs w:val="24"/>
                <w:highlight w:val="none"/>
              </w:rPr>
            </w:pPr>
          </w:p>
        </w:tc>
      </w:tr>
      <w:tr w14:paraId="73E25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7A919F8">
            <w:pPr>
              <w:jc w:val="center"/>
              <w:rPr>
                <w:rFonts w:hint="eastAsia" w:ascii="宋体" w:hAnsi="宋体" w:cs="宋体"/>
                <w:bCs/>
                <w:kern w:val="2"/>
                <w:sz w:val="24"/>
                <w:szCs w:val="24"/>
                <w:highlight w:val="none"/>
                <w:lang w:val="en-US" w:eastAsia="zh-CN" w:bidi="ar-SA"/>
              </w:rPr>
            </w:pPr>
            <w:r>
              <w:rPr>
                <w:rFonts w:hint="eastAsia" w:ascii="宋体" w:hAnsi="宋体" w:cs="宋体"/>
                <w:bCs/>
                <w:sz w:val="24"/>
                <w:szCs w:val="24"/>
                <w:highlight w:val="none"/>
              </w:rPr>
              <w:t>5</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468724BD">
            <w:pPr>
              <w:jc w:val="center"/>
              <w:rPr>
                <w:rFonts w:hint="eastAsia" w:ascii="宋体" w:hAnsi="宋体" w:cs="宋体"/>
                <w:bCs/>
                <w:sz w:val="24"/>
                <w:szCs w:val="24"/>
                <w:highlight w:val="none"/>
              </w:rPr>
            </w:pPr>
            <w:r>
              <w:rPr>
                <w:rFonts w:hint="eastAsia" w:ascii="宋体" w:hAnsi="宋体" w:cs="宋体"/>
                <w:bCs/>
                <w:sz w:val="24"/>
                <w:szCs w:val="24"/>
                <w:highlight w:val="none"/>
              </w:rPr>
              <w:t>质量标准</w:t>
            </w:r>
          </w:p>
        </w:tc>
        <w:tc>
          <w:tcPr>
            <w:tcW w:w="5160" w:type="dxa"/>
            <w:tcBorders>
              <w:top w:val="single" w:color="auto" w:sz="4" w:space="0"/>
              <w:left w:val="single" w:color="auto" w:sz="4" w:space="0"/>
              <w:bottom w:val="single" w:color="auto" w:sz="4" w:space="0"/>
              <w:right w:val="single" w:color="auto" w:sz="4" w:space="0"/>
            </w:tcBorders>
            <w:noWrap w:val="0"/>
            <w:vAlign w:val="center"/>
          </w:tcPr>
          <w:p w14:paraId="70D4828A">
            <w:pPr>
              <w:jc w:val="center"/>
              <w:rPr>
                <w:rFonts w:hint="eastAsia" w:ascii="宋体" w:hAnsi="宋体" w:cs="宋体"/>
                <w:bCs/>
                <w:sz w:val="24"/>
                <w:szCs w:val="24"/>
                <w:highlight w:val="none"/>
              </w:rPr>
            </w:pPr>
            <w:r>
              <w:rPr>
                <w:rFonts w:hint="eastAsia" w:ascii="宋体" w:hAnsi="宋体" w:cs="宋体"/>
                <w:bCs/>
                <w:sz w:val="24"/>
                <w:szCs w:val="24"/>
                <w:highlight w:val="none"/>
              </w:rPr>
              <w:t>合格</w:t>
            </w:r>
          </w:p>
        </w:tc>
        <w:tc>
          <w:tcPr>
            <w:tcW w:w="1262" w:type="dxa"/>
            <w:tcBorders>
              <w:top w:val="single" w:color="auto" w:sz="4" w:space="0"/>
              <w:left w:val="single" w:color="auto" w:sz="4" w:space="0"/>
              <w:bottom w:val="single" w:color="auto" w:sz="4" w:space="0"/>
              <w:right w:val="single" w:color="auto" w:sz="4" w:space="0"/>
            </w:tcBorders>
            <w:noWrap w:val="0"/>
            <w:vAlign w:val="center"/>
          </w:tcPr>
          <w:p w14:paraId="51011AE7">
            <w:pPr>
              <w:jc w:val="center"/>
              <w:rPr>
                <w:rFonts w:hint="eastAsia" w:ascii="宋体" w:hAnsi="宋体" w:cs="宋体"/>
                <w:b/>
                <w:sz w:val="24"/>
                <w:szCs w:val="24"/>
                <w:highlight w:val="none"/>
              </w:rPr>
            </w:pPr>
          </w:p>
        </w:tc>
      </w:tr>
      <w:tr w14:paraId="05A2B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9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37A7970">
            <w:pPr>
              <w:jc w:val="center"/>
              <w:rPr>
                <w:rFonts w:hint="eastAsia" w:ascii="宋体" w:hAnsi="宋体" w:cs="宋体"/>
                <w:bCs/>
                <w:kern w:val="2"/>
                <w:sz w:val="24"/>
                <w:szCs w:val="24"/>
                <w:highlight w:val="none"/>
                <w:lang w:val="en-US" w:eastAsia="zh-CN" w:bidi="ar-SA"/>
              </w:rPr>
            </w:pPr>
            <w:r>
              <w:rPr>
                <w:rFonts w:hint="eastAsia" w:ascii="宋体" w:hAnsi="宋体" w:cs="宋体"/>
                <w:bCs/>
                <w:sz w:val="24"/>
                <w:szCs w:val="24"/>
                <w:highlight w:val="none"/>
              </w:rPr>
              <w:t>6</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323B3405">
            <w:pPr>
              <w:jc w:val="center"/>
              <w:rPr>
                <w:rFonts w:hint="eastAsia" w:ascii="宋体" w:hAnsi="宋体" w:cs="宋体"/>
                <w:bCs/>
                <w:sz w:val="24"/>
                <w:szCs w:val="24"/>
                <w:highlight w:val="none"/>
              </w:rPr>
            </w:pPr>
            <w:r>
              <w:rPr>
                <w:rFonts w:hint="eastAsia" w:ascii="宋体" w:hAnsi="宋体" w:cs="宋体"/>
                <w:bCs/>
                <w:sz w:val="24"/>
                <w:szCs w:val="24"/>
                <w:highlight w:val="none"/>
              </w:rPr>
              <w:t>监理人员</w:t>
            </w:r>
          </w:p>
        </w:tc>
        <w:tc>
          <w:tcPr>
            <w:tcW w:w="5160" w:type="dxa"/>
            <w:tcBorders>
              <w:top w:val="single" w:color="auto" w:sz="4" w:space="0"/>
              <w:left w:val="single" w:color="auto" w:sz="4" w:space="0"/>
              <w:bottom w:val="single" w:color="auto" w:sz="4" w:space="0"/>
              <w:right w:val="single" w:color="auto" w:sz="4" w:space="0"/>
            </w:tcBorders>
            <w:noWrap w:val="0"/>
            <w:vAlign w:val="center"/>
          </w:tcPr>
          <w:p w14:paraId="120C8B08">
            <w:pPr>
              <w:rPr>
                <w:rFonts w:hint="eastAsia" w:ascii="宋体" w:hAnsi="宋体" w:cs="宋体"/>
                <w:bCs/>
                <w:sz w:val="24"/>
                <w:szCs w:val="24"/>
                <w:highlight w:val="none"/>
              </w:rPr>
            </w:pPr>
            <w:r>
              <w:rPr>
                <w:rFonts w:hint="eastAsia" w:ascii="宋体" w:hAnsi="宋体" w:cs="宋体"/>
                <w:bCs/>
                <w:sz w:val="24"/>
                <w:szCs w:val="24"/>
                <w:highlight w:val="none"/>
              </w:rPr>
              <w:t>驻场监理人数：</w:t>
            </w:r>
          </w:p>
          <w:p w14:paraId="6FD50344">
            <w:pPr>
              <w:rPr>
                <w:rFonts w:hint="eastAsia" w:ascii="宋体" w:hAnsi="宋体" w:cs="宋体"/>
                <w:bCs/>
                <w:sz w:val="24"/>
                <w:szCs w:val="24"/>
                <w:highlight w:val="none"/>
              </w:rPr>
            </w:pPr>
            <w:r>
              <w:rPr>
                <w:rFonts w:hint="eastAsia" w:ascii="宋体" w:hAnsi="宋体" w:cs="宋体"/>
                <w:bCs/>
                <w:sz w:val="24"/>
                <w:szCs w:val="24"/>
                <w:highlight w:val="none"/>
              </w:rPr>
              <w:t>监理工程师人数:</w:t>
            </w:r>
          </w:p>
        </w:tc>
        <w:tc>
          <w:tcPr>
            <w:tcW w:w="1262" w:type="dxa"/>
            <w:tcBorders>
              <w:top w:val="single" w:color="auto" w:sz="4" w:space="0"/>
              <w:left w:val="single" w:color="auto" w:sz="4" w:space="0"/>
              <w:bottom w:val="single" w:color="auto" w:sz="4" w:space="0"/>
              <w:right w:val="single" w:color="auto" w:sz="4" w:space="0"/>
            </w:tcBorders>
            <w:noWrap w:val="0"/>
            <w:vAlign w:val="center"/>
          </w:tcPr>
          <w:p w14:paraId="6A109553">
            <w:pPr>
              <w:jc w:val="center"/>
              <w:rPr>
                <w:rFonts w:hint="eastAsia" w:ascii="宋体" w:hAnsi="宋体" w:cs="宋体"/>
                <w:b/>
                <w:sz w:val="24"/>
                <w:szCs w:val="24"/>
                <w:highlight w:val="none"/>
              </w:rPr>
            </w:pPr>
          </w:p>
        </w:tc>
      </w:tr>
      <w:tr w14:paraId="2645F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9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7CF5B07">
            <w:pPr>
              <w:jc w:val="center"/>
              <w:rPr>
                <w:rFonts w:hint="eastAsia" w:ascii="宋体" w:hAnsi="宋体" w:cs="宋体"/>
                <w:bCs/>
                <w:kern w:val="2"/>
                <w:sz w:val="24"/>
                <w:szCs w:val="24"/>
                <w:highlight w:val="none"/>
                <w:lang w:val="en-US" w:eastAsia="zh-CN" w:bidi="ar-SA"/>
              </w:rPr>
            </w:pPr>
            <w:r>
              <w:rPr>
                <w:rFonts w:hint="eastAsia" w:ascii="宋体" w:hAnsi="宋体" w:cs="宋体"/>
                <w:bCs/>
                <w:sz w:val="24"/>
                <w:szCs w:val="24"/>
                <w:highlight w:val="none"/>
              </w:rPr>
              <w:t>7</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2F1FF811">
            <w:pPr>
              <w:jc w:val="center"/>
              <w:rPr>
                <w:rFonts w:hint="eastAsia" w:ascii="宋体" w:hAnsi="宋体" w:cs="宋体"/>
                <w:bCs/>
                <w:sz w:val="24"/>
                <w:szCs w:val="24"/>
                <w:highlight w:val="none"/>
              </w:rPr>
            </w:pPr>
            <w:r>
              <w:rPr>
                <w:rFonts w:hint="eastAsia" w:ascii="宋体" w:hAnsi="宋体" w:cs="宋体"/>
                <w:bCs/>
                <w:sz w:val="24"/>
                <w:szCs w:val="24"/>
                <w:highlight w:val="none"/>
              </w:rPr>
              <w:t xml:space="preserve">暂定工程费 </w:t>
            </w:r>
          </w:p>
        </w:tc>
        <w:tc>
          <w:tcPr>
            <w:tcW w:w="5160" w:type="dxa"/>
            <w:tcBorders>
              <w:top w:val="single" w:color="auto" w:sz="4" w:space="0"/>
              <w:left w:val="single" w:color="auto" w:sz="4" w:space="0"/>
              <w:bottom w:val="single" w:color="auto" w:sz="4" w:space="0"/>
              <w:right w:val="single" w:color="auto" w:sz="4" w:space="0"/>
            </w:tcBorders>
            <w:noWrap w:val="0"/>
            <w:vAlign w:val="center"/>
          </w:tcPr>
          <w:p w14:paraId="7A77D07E">
            <w:pPr>
              <w:rPr>
                <w:rFonts w:hint="eastAsia" w:ascii="宋体" w:hAnsi="宋体" w:cs="宋体"/>
                <w:bCs/>
                <w:sz w:val="24"/>
                <w:szCs w:val="24"/>
                <w:highlight w:val="none"/>
              </w:rPr>
            </w:pPr>
            <w:r>
              <w:rPr>
                <w:rFonts w:hint="eastAsia" w:ascii="宋体" w:hAnsi="宋体" w:cs="宋体"/>
                <w:sz w:val="24"/>
                <w:szCs w:val="24"/>
                <w:highlight w:val="none"/>
              </w:rPr>
              <w:t>总暂定工程费：</w:t>
            </w:r>
            <w:r>
              <w:rPr>
                <w:rFonts w:hint="default" w:ascii="Times New Roman" w:hAnsi="Times New Roman" w:eastAsia="宋体" w:cs="Times New Roman"/>
                <w:color w:val="000000" w:themeColor="text1"/>
                <w:highlight w:val="none"/>
                <w:u w:val="single"/>
                <w:lang w:val="en-US"/>
                <w14:textFill>
                  <w14:solidFill>
                    <w14:schemeClr w14:val="tx1"/>
                  </w14:solidFill>
                </w14:textFill>
              </w:rPr>
              <w:t>1597638961</w:t>
            </w:r>
            <w:r>
              <w:rPr>
                <w:rFonts w:hint="eastAsia" w:cs="Times New Roman"/>
                <w:color w:val="000000" w:themeColor="text1"/>
                <w:highlight w:val="none"/>
                <w:u w:val="single"/>
                <w:lang w:val="en-US" w:eastAsia="zh-CN"/>
                <w14:textFill>
                  <w14:solidFill>
                    <w14:schemeClr w14:val="tx1"/>
                  </w14:solidFill>
                </w14:textFill>
              </w:rPr>
              <w:t>.</w:t>
            </w:r>
            <w:r>
              <w:rPr>
                <w:rFonts w:hint="default" w:ascii="Times New Roman" w:hAnsi="Times New Roman" w:eastAsia="宋体" w:cs="Times New Roman"/>
                <w:color w:val="000000" w:themeColor="text1"/>
                <w:highlight w:val="none"/>
                <w:u w:val="single"/>
                <w:lang w:val="en-US"/>
                <w14:textFill>
                  <w14:solidFill>
                    <w14:schemeClr w14:val="tx1"/>
                  </w14:solidFill>
                </w14:textFill>
              </w:rPr>
              <w:t>86</w:t>
            </w:r>
            <w:r>
              <w:rPr>
                <w:rFonts w:hint="eastAsia" w:ascii="宋体" w:hAnsi="宋体" w:cs="宋体"/>
                <w:sz w:val="24"/>
                <w:szCs w:val="24"/>
                <w:highlight w:val="none"/>
                <w:u w:val="single"/>
              </w:rPr>
              <w:t>元</w:t>
            </w:r>
          </w:p>
        </w:tc>
        <w:tc>
          <w:tcPr>
            <w:tcW w:w="1262" w:type="dxa"/>
            <w:tcBorders>
              <w:top w:val="single" w:color="auto" w:sz="4" w:space="0"/>
              <w:left w:val="single" w:color="auto" w:sz="4" w:space="0"/>
              <w:bottom w:val="single" w:color="auto" w:sz="4" w:space="0"/>
              <w:right w:val="single" w:color="auto" w:sz="4" w:space="0"/>
            </w:tcBorders>
            <w:noWrap w:val="0"/>
            <w:vAlign w:val="center"/>
          </w:tcPr>
          <w:p w14:paraId="6100EC9F">
            <w:pPr>
              <w:jc w:val="center"/>
              <w:rPr>
                <w:rFonts w:hint="eastAsia" w:ascii="宋体" w:hAnsi="宋体" w:cs="宋体"/>
                <w:b/>
                <w:sz w:val="24"/>
                <w:szCs w:val="24"/>
                <w:highlight w:val="none"/>
              </w:rPr>
            </w:pPr>
          </w:p>
        </w:tc>
      </w:tr>
      <w:tr w14:paraId="66191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9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0D74F1E">
            <w:pPr>
              <w:jc w:val="center"/>
              <w:rPr>
                <w:rFonts w:hint="eastAsia" w:ascii="宋体" w:hAnsi="宋体" w:cs="宋体"/>
                <w:bCs/>
                <w:sz w:val="24"/>
                <w:szCs w:val="24"/>
                <w:highlight w:val="none"/>
              </w:rPr>
            </w:pPr>
          </w:p>
          <w:p w14:paraId="4CC31D15">
            <w:pPr>
              <w:jc w:val="center"/>
              <w:rPr>
                <w:rFonts w:hint="eastAsia" w:ascii="宋体" w:hAnsi="宋体" w:cs="宋体"/>
                <w:bCs/>
                <w:kern w:val="2"/>
                <w:sz w:val="24"/>
                <w:szCs w:val="24"/>
                <w:highlight w:val="none"/>
                <w:lang w:val="en-US" w:eastAsia="zh-CN" w:bidi="ar-SA"/>
              </w:rPr>
            </w:pPr>
            <w:r>
              <w:rPr>
                <w:rFonts w:hint="eastAsia" w:ascii="宋体" w:hAnsi="宋体" w:cs="宋体"/>
                <w:bCs/>
                <w:sz w:val="24"/>
                <w:szCs w:val="24"/>
                <w:highlight w:val="none"/>
              </w:rPr>
              <w:t>8</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3DA1F1AF">
            <w:pPr>
              <w:jc w:val="center"/>
              <w:rPr>
                <w:rFonts w:hint="eastAsia" w:ascii="宋体" w:hAnsi="宋体" w:cs="宋体"/>
                <w:bCs/>
                <w:sz w:val="24"/>
                <w:szCs w:val="24"/>
                <w:highlight w:val="none"/>
              </w:rPr>
            </w:pPr>
            <w:r>
              <w:rPr>
                <w:rFonts w:hint="eastAsia" w:ascii="宋体" w:hAnsi="宋体" w:cs="宋体"/>
                <w:bCs/>
                <w:sz w:val="24"/>
                <w:szCs w:val="24"/>
                <w:highlight w:val="none"/>
              </w:rPr>
              <w:t>投标总报价</w:t>
            </w:r>
          </w:p>
          <w:p w14:paraId="7FED717C">
            <w:pPr>
              <w:jc w:val="center"/>
              <w:rPr>
                <w:rFonts w:hint="eastAsia" w:ascii="宋体" w:hAnsi="宋体" w:cs="宋体"/>
                <w:bCs/>
                <w:sz w:val="24"/>
                <w:szCs w:val="24"/>
                <w:highlight w:val="none"/>
              </w:rPr>
            </w:pPr>
            <w:r>
              <w:rPr>
                <w:rFonts w:hint="eastAsia" w:ascii="宋体" w:hAnsi="宋体" w:cs="宋体"/>
                <w:bCs/>
                <w:sz w:val="24"/>
                <w:szCs w:val="24"/>
                <w:highlight w:val="none"/>
              </w:rPr>
              <w:t>（监理报价）</w:t>
            </w:r>
          </w:p>
        </w:tc>
        <w:tc>
          <w:tcPr>
            <w:tcW w:w="5160" w:type="dxa"/>
            <w:tcBorders>
              <w:top w:val="single" w:color="auto" w:sz="4" w:space="0"/>
              <w:left w:val="single" w:color="auto" w:sz="4" w:space="0"/>
              <w:bottom w:val="single" w:color="auto" w:sz="4" w:space="0"/>
              <w:right w:val="single" w:color="auto" w:sz="4" w:space="0"/>
            </w:tcBorders>
            <w:noWrap w:val="0"/>
            <w:vAlign w:val="center"/>
          </w:tcPr>
          <w:p w14:paraId="0A44FBEC">
            <w:pPr>
              <w:rPr>
                <w:rFonts w:hint="eastAsia" w:ascii="宋体" w:hAnsi="宋体" w:cs="宋体"/>
                <w:bCs/>
                <w:sz w:val="24"/>
                <w:szCs w:val="24"/>
                <w:highlight w:val="none"/>
              </w:rPr>
            </w:pPr>
            <w:r>
              <w:rPr>
                <w:rFonts w:hint="eastAsia" w:ascii="宋体" w:hAnsi="宋体" w:cs="宋体"/>
                <w:sz w:val="24"/>
                <w:szCs w:val="24"/>
                <w:highlight w:val="none"/>
              </w:rPr>
              <w:t>投标总报价（</w:t>
            </w:r>
            <w:r>
              <w:rPr>
                <w:rFonts w:hint="eastAsia" w:ascii="宋体" w:hAnsi="宋体" w:cs="宋体"/>
                <w:sz w:val="24"/>
                <w:szCs w:val="24"/>
                <w:highlight w:val="none"/>
                <w:u w:val="single"/>
              </w:rPr>
              <w:t xml:space="preserve">          </w:t>
            </w:r>
            <w:r>
              <w:rPr>
                <w:rFonts w:hint="eastAsia" w:ascii="宋体" w:hAnsi="宋体" w:cs="宋体"/>
                <w:sz w:val="24"/>
                <w:szCs w:val="24"/>
                <w:highlight w:val="none"/>
              </w:rPr>
              <w:t>元）</w:t>
            </w:r>
          </w:p>
        </w:tc>
        <w:tc>
          <w:tcPr>
            <w:tcW w:w="1262" w:type="dxa"/>
            <w:tcBorders>
              <w:top w:val="single" w:color="auto" w:sz="4" w:space="0"/>
              <w:left w:val="single" w:color="auto" w:sz="4" w:space="0"/>
              <w:bottom w:val="single" w:color="auto" w:sz="4" w:space="0"/>
              <w:right w:val="single" w:color="auto" w:sz="4" w:space="0"/>
            </w:tcBorders>
            <w:noWrap w:val="0"/>
            <w:vAlign w:val="center"/>
          </w:tcPr>
          <w:p w14:paraId="32EA857A">
            <w:pPr>
              <w:jc w:val="center"/>
              <w:rPr>
                <w:rFonts w:hint="eastAsia" w:ascii="宋体" w:hAnsi="宋体" w:cs="宋体"/>
                <w:b/>
                <w:sz w:val="24"/>
                <w:szCs w:val="24"/>
                <w:highlight w:val="none"/>
              </w:rPr>
            </w:pPr>
          </w:p>
        </w:tc>
      </w:tr>
      <w:tr w14:paraId="527DE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9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5D8B00C">
            <w:pPr>
              <w:jc w:val="center"/>
              <w:rPr>
                <w:rFonts w:hint="eastAsia" w:ascii="宋体" w:hAnsi="宋体" w:eastAsia="宋体" w:cs="宋体"/>
                <w:bCs/>
                <w:sz w:val="24"/>
                <w:szCs w:val="24"/>
                <w:highlight w:val="none"/>
                <w:lang w:val="en-US" w:eastAsia="zh-CN"/>
              </w:rPr>
            </w:pPr>
            <w:r>
              <w:rPr>
                <w:rFonts w:hint="eastAsia" w:ascii="宋体" w:hAnsi="宋体" w:cs="宋体"/>
                <w:bCs/>
                <w:sz w:val="24"/>
                <w:szCs w:val="24"/>
                <w:highlight w:val="none"/>
                <w:lang w:val="en-US" w:eastAsia="zh-CN"/>
              </w:rPr>
              <w:t>9</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266C7399">
            <w:pPr>
              <w:jc w:val="center"/>
              <w:rPr>
                <w:rFonts w:hint="default" w:ascii="宋体" w:hAnsi="宋体" w:eastAsia="宋体" w:cs="宋体"/>
                <w:bCs/>
                <w:sz w:val="24"/>
                <w:szCs w:val="24"/>
                <w:highlight w:val="none"/>
                <w:lang w:val="en-US" w:eastAsia="zh-CN"/>
              </w:rPr>
            </w:pPr>
            <w:r>
              <w:rPr>
                <w:rFonts w:hint="eastAsia" w:ascii="宋体" w:hAnsi="宋体" w:cs="宋体"/>
                <w:bCs/>
                <w:sz w:val="24"/>
                <w:szCs w:val="24"/>
                <w:highlight w:val="none"/>
                <w:lang w:val="en-US" w:eastAsia="zh-CN"/>
              </w:rPr>
              <w:t>投标报价下浮率</w:t>
            </w:r>
          </w:p>
        </w:tc>
        <w:tc>
          <w:tcPr>
            <w:tcW w:w="5160" w:type="dxa"/>
            <w:tcBorders>
              <w:top w:val="single" w:color="auto" w:sz="4" w:space="0"/>
              <w:left w:val="single" w:color="auto" w:sz="4" w:space="0"/>
              <w:bottom w:val="single" w:color="auto" w:sz="4" w:space="0"/>
              <w:right w:val="single" w:color="auto" w:sz="4" w:space="0"/>
            </w:tcBorders>
            <w:noWrap w:val="0"/>
            <w:vAlign w:val="center"/>
          </w:tcPr>
          <w:p w14:paraId="73195AD9">
            <w:pP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 xml:space="preserve">      %</w:t>
            </w:r>
          </w:p>
        </w:tc>
        <w:tc>
          <w:tcPr>
            <w:tcW w:w="1262" w:type="dxa"/>
            <w:tcBorders>
              <w:top w:val="single" w:color="auto" w:sz="4" w:space="0"/>
              <w:left w:val="single" w:color="auto" w:sz="4" w:space="0"/>
              <w:bottom w:val="single" w:color="auto" w:sz="4" w:space="0"/>
              <w:right w:val="single" w:color="auto" w:sz="4" w:space="0"/>
            </w:tcBorders>
            <w:noWrap w:val="0"/>
            <w:vAlign w:val="center"/>
          </w:tcPr>
          <w:p w14:paraId="459B829E">
            <w:pPr>
              <w:jc w:val="center"/>
              <w:rPr>
                <w:rFonts w:hint="eastAsia" w:ascii="宋体" w:hAnsi="宋体" w:cs="宋体"/>
                <w:b/>
                <w:sz w:val="24"/>
                <w:szCs w:val="24"/>
                <w:highlight w:val="none"/>
              </w:rPr>
            </w:pPr>
          </w:p>
        </w:tc>
      </w:tr>
      <w:tr w14:paraId="46A54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43F4BAC">
            <w:pPr>
              <w:jc w:val="center"/>
              <w:rPr>
                <w:rFonts w:hint="default" w:ascii="宋体" w:hAnsi="宋体" w:eastAsia="宋体" w:cs="宋体"/>
                <w:bCs/>
                <w:kern w:val="2"/>
                <w:sz w:val="24"/>
                <w:szCs w:val="24"/>
                <w:highlight w:val="none"/>
                <w:lang w:val="en-US" w:eastAsia="zh-CN" w:bidi="ar-SA"/>
              </w:rPr>
            </w:pPr>
            <w:r>
              <w:rPr>
                <w:rFonts w:hint="eastAsia" w:ascii="宋体" w:hAnsi="宋体" w:cs="宋体"/>
                <w:bCs/>
                <w:kern w:val="0"/>
                <w:sz w:val="24"/>
                <w:szCs w:val="24"/>
                <w:highlight w:val="none"/>
                <w:lang w:val="en-US" w:eastAsia="zh-CN"/>
              </w:rPr>
              <w:t>10</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4BA53C6F">
            <w:pPr>
              <w:jc w:val="center"/>
              <w:rPr>
                <w:rFonts w:hint="eastAsia" w:ascii="宋体" w:hAnsi="宋体" w:cs="宋体"/>
                <w:bCs/>
                <w:sz w:val="24"/>
                <w:szCs w:val="24"/>
                <w:highlight w:val="none"/>
              </w:rPr>
            </w:pPr>
            <w:r>
              <w:rPr>
                <w:rFonts w:hint="eastAsia" w:ascii="宋体" w:hAnsi="宋体" w:cs="宋体"/>
                <w:bCs/>
                <w:sz w:val="24"/>
                <w:szCs w:val="24"/>
                <w:highlight w:val="none"/>
              </w:rPr>
              <w:t>投标有效期</w:t>
            </w:r>
          </w:p>
        </w:tc>
        <w:tc>
          <w:tcPr>
            <w:tcW w:w="5160" w:type="dxa"/>
            <w:tcBorders>
              <w:top w:val="single" w:color="auto" w:sz="4" w:space="0"/>
              <w:left w:val="single" w:color="auto" w:sz="4" w:space="0"/>
              <w:bottom w:val="single" w:color="auto" w:sz="4" w:space="0"/>
              <w:right w:val="single" w:color="auto" w:sz="4" w:space="0"/>
            </w:tcBorders>
            <w:noWrap w:val="0"/>
            <w:vAlign w:val="center"/>
          </w:tcPr>
          <w:p w14:paraId="3EDDB398">
            <w:pPr>
              <w:jc w:val="center"/>
              <w:rPr>
                <w:rFonts w:hint="eastAsia" w:ascii="宋体" w:hAnsi="宋体" w:cs="宋体"/>
                <w:bCs/>
                <w:sz w:val="24"/>
                <w:szCs w:val="24"/>
                <w:highlight w:val="none"/>
              </w:rPr>
            </w:pPr>
            <w:r>
              <w:rPr>
                <w:rFonts w:hint="eastAsia" w:ascii="宋体" w:hAnsi="宋体" w:cs="宋体"/>
                <w:bCs/>
                <w:sz w:val="24"/>
                <w:szCs w:val="24"/>
                <w:highlight w:val="none"/>
              </w:rPr>
              <w:t>按招标文件要求</w:t>
            </w:r>
          </w:p>
        </w:tc>
        <w:tc>
          <w:tcPr>
            <w:tcW w:w="1262" w:type="dxa"/>
            <w:tcBorders>
              <w:top w:val="single" w:color="auto" w:sz="4" w:space="0"/>
              <w:left w:val="single" w:color="auto" w:sz="4" w:space="0"/>
              <w:bottom w:val="single" w:color="auto" w:sz="4" w:space="0"/>
              <w:right w:val="single" w:color="auto" w:sz="4" w:space="0"/>
            </w:tcBorders>
            <w:noWrap w:val="0"/>
            <w:vAlign w:val="center"/>
          </w:tcPr>
          <w:p w14:paraId="1D056D7C">
            <w:pPr>
              <w:jc w:val="center"/>
              <w:rPr>
                <w:rFonts w:hint="eastAsia" w:ascii="宋体" w:hAnsi="宋体" w:cs="宋体"/>
                <w:b/>
                <w:sz w:val="24"/>
                <w:szCs w:val="24"/>
                <w:highlight w:val="none"/>
              </w:rPr>
            </w:pPr>
          </w:p>
        </w:tc>
      </w:tr>
    </w:tbl>
    <w:p w14:paraId="1D245FF3">
      <w:pPr>
        <w:pStyle w:val="12"/>
        <w:tabs>
          <w:tab w:val="left" w:pos="631"/>
          <w:tab w:val="left" w:pos="1471"/>
          <w:tab w:val="left" w:pos="2311"/>
        </w:tabs>
        <w:kinsoku w:val="0"/>
        <w:overflowPunct w:val="0"/>
        <w:spacing w:before="36"/>
        <w:ind w:left="0" w:right="177"/>
        <w:jc w:val="right"/>
        <w:rPr>
          <w:rFonts w:hint="eastAsia" w:ascii="宋体" w:hAnsi="宋体" w:eastAsia="宋体" w:cs="宋体"/>
          <w:color w:val="auto"/>
          <w:sz w:val="21"/>
          <w:szCs w:val="24"/>
          <w:highlight w:val="none"/>
        </w:rPr>
        <w:sectPr>
          <w:pgSz w:w="11905" w:h="16838"/>
          <w:pgMar w:top="1417" w:right="1417" w:bottom="1417" w:left="1417" w:header="992" w:footer="992" w:gutter="0"/>
          <w:lnNumType w:countBy="0" w:distance="360"/>
          <w:cols w:space="720" w:num="1"/>
        </w:sectPr>
      </w:pPr>
    </w:p>
    <w:p w14:paraId="49D94EF2">
      <w:pPr>
        <w:pStyle w:val="4"/>
        <w:jc w:val="center"/>
        <w:outlineLvl w:val="1"/>
        <w:rPr>
          <w:rFonts w:hint="eastAsia" w:cs="宋体"/>
          <w:color w:val="auto"/>
          <w:sz w:val="28"/>
          <w:szCs w:val="24"/>
          <w:highlight w:val="none"/>
        </w:rPr>
      </w:pPr>
      <w:bookmarkStart w:id="128" w:name="bookmark179"/>
      <w:bookmarkEnd w:id="128"/>
      <w:bookmarkStart w:id="129" w:name="_Toc2313"/>
      <w:r>
        <w:rPr>
          <w:rFonts w:hint="eastAsia" w:cs="宋体"/>
          <w:color w:val="auto"/>
          <w:sz w:val="28"/>
          <w:szCs w:val="24"/>
          <w:highlight w:val="none"/>
        </w:rPr>
        <w:t>二、法定代表人身份证明</w:t>
      </w:r>
      <w:bookmarkEnd w:id="129"/>
    </w:p>
    <w:p w14:paraId="2BEEC027">
      <w:pPr>
        <w:pStyle w:val="12"/>
        <w:kinsoku w:val="0"/>
        <w:overflowPunct w:val="0"/>
        <w:ind w:left="0"/>
        <w:rPr>
          <w:rFonts w:hint="eastAsia" w:ascii="宋体" w:hAnsi="宋体" w:eastAsia="宋体" w:cs="宋体"/>
          <w:b/>
          <w:color w:val="auto"/>
          <w:sz w:val="32"/>
          <w:szCs w:val="24"/>
          <w:highlight w:val="none"/>
        </w:rPr>
      </w:pPr>
    </w:p>
    <w:p w14:paraId="7D823604">
      <w:pPr>
        <w:pStyle w:val="12"/>
        <w:kinsoku w:val="0"/>
        <w:overflowPunct w:val="0"/>
        <w:ind w:left="0"/>
        <w:rPr>
          <w:rFonts w:hint="eastAsia" w:ascii="宋体" w:hAnsi="宋体" w:eastAsia="宋体" w:cs="宋体"/>
          <w:b/>
          <w:color w:val="auto"/>
          <w:sz w:val="32"/>
          <w:szCs w:val="24"/>
          <w:highlight w:val="none"/>
        </w:rPr>
      </w:pPr>
    </w:p>
    <w:p w14:paraId="1EF05329">
      <w:pPr>
        <w:pStyle w:val="12"/>
        <w:kinsoku w:val="0"/>
        <w:overflowPunct w:val="0"/>
        <w:spacing w:before="8"/>
        <w:ind w:left="0"/>
        <w:rPr>
          <w:rFonts w:hint="eastAsia" w:ascii="宋体" w:hAnsi="宋体" w:eastAsia="宋体" w:cs="宋体"/>
          <w:b/>
          <w:color w:val="auto"/>
          <w:sz w:val="25"/>
          <w:szCs w:val="24"/>
          <w:highlight w:val="none"/>
        </w:rPr>
      </w:pPr>
    </w:p>
    <w:p w14:paraId="347AC3F9">
      <w:pPr>
        <w:pStyle w:val="12"/>
        <w:tabs>
          <w:tab w:val="left" w:pos="3928"/>
        </w:tabs>
        <w:kinsoku w:val="0"/>
        <w:overflowPunct w:val="0"/>
        <w:ind w:left="100"/>
        <w:rPr>
          <w:rFonts w:hint="eastAsia" w:ascii="宋体" w:hAnsi="宋体" w:eastAsia="宋体" w:cs="宋体"/>
          <w:color w:val="auto"/>
          <w:sz w:val="24"/>
          <w:szCs w:val="24"/>
          <w:highlight w:val="none"/>
        </w:rPr>
      </w:pPr>
      <w:r>
        <w:rPr>
          <w:rFonts w:hint="eastAsia" w:cs="宋体"/>
          <w:color w:val="auto"/>
          <w:sz w:val="24"/>
          <w:szCs w:val="24"/>
          <w:highlight w:val="none"/>
        </w:rPr>
        <w:t>投标人名称：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p>
    <w:p w14:paraId="5ABD708C">
      <w:pPr>
        <w:pStyle w:val="12"/>
        <w:kinsoku w:val="0"/>
        <w:overflowPunct w:val="0"/>
        <w:spacing w:before="2"/>
        <w:ind w:left="0"/>
        <w:rPr>
          <w:rFonts w:hint="eastAsia" w:ascii="宋体" w:hAnsi="宋体" w:eastAsia="宋体" w:cs="宋体"/>
          <w:color w:val="auto"/>
          <w:sz w:val="24"/>
          <w:szCs w:val="24"/>
          <w:highlight w:val="none"/>
        </w:rPr>
      </w:pPr>
    </w:p>
    <w:p w14:paraId="137390B2">
      <w:pPr>
        <w:pStyle w:val="12"/>
        <w:tabs>
          <w:tab w:val="left" w:pos="2412"/>
          <w:tab w:val="left" w:pos="3883"/>
          <w:tab w:val="left" w:pos="5352"/>
          <w:tab w:val="left" w:pos="6869"/>
        </w:tabs>
        <w:kinsoku w:val="0"/>
        <w:overflowPunct w:val="0"/>
        <w:spacing w:before="36"/>
        <w:ind w:left="100"/>
        <w:rPr>
          <w:rFonts w:hint="eastAsia" w:ascii="宋体" w:hAnsi="宋体" w:eastAsia="宋体" w:cs="宋体"/>
          <w:color w:val="auto"/>
          <w:sz w:val="24"/>
          <w:szCs w:val="24"/>
          <w:highlight w:val="none"/>
        </w:rPr>
      </w:pPr>
      <w:r>
        <w:rPr>
          <w:rFonts w:hint="eastAsia" w:cs="宋体"/>
          <w:color w:val="auto"/>
          <w:spacing w:val="-1"/>
          <w:sz w:val="24"/>
          <w:szCs w:val="24"/>
          <w:highlight w:val="none"/>
        </w:rPr>
        <w:t>姓名：</w:t>
      </w:r>
      <w:r>
        <w:rPr>
          <w:rFonts w:hint="eastAsia" w:ascii="宋体" w:hAnsi="宋体" w:eastAsia="宋体" w:cs="宋体"/>
          <w:color w:val="auto"/>
          <w:spacing w:val="-1"/>
          <w:sz w:val="24"/>
          <w:szCs w:val="24"/>
          <w:highlight w:val="none"/>
          <w:u w:val="single"/>
        </w:rPr>
        <w:tab/>
      </w:r>
      <w:r>
        <w:rPr>
          <w:rFonts w:hint="eastAsia" w:cs="宋体"/>
          <w:color w:val="auto"/>
          <w:spacing w:val="-1"/>
          <w:sz w:val="24"/>
          <w:szCs w:val="24"/>
          <w:highlight w:val="none"/>
        </w:rPr>
        <w:t>性别：</w:t>
      </w:r>
      <w:r>
        <w:rPr>
          <w:rFonts w:hint="eastAsia" w:ascii="宋体" w:hAnsi="宋体" w:eastAsia="宋体" w:cs="宋体"/>
          <w:color w:val="auto"/>
          <w:spacing w:val="-1"/>
          <w:sz w:val="24"/>
          <w:szCs w:val="24"/>
          <w:highlight w:val="none"/>
          <w:u w:val="single"/>
        </w:rPr>
        <w:tab/>
      </w:r>
      <w:r>
        <w:rPr>
          <w:rFonts w:hint="eastAsia" w:cs="宋体"/>
          <w:color w:val="auto"/>
          <w:spacing w:val="-2"/>
          <w:sz w:val="24"/>
          <w:szCs w:val="24"/>
          <w:highlight w:val="none"/>
        </w:rPr>
        <w:t>年龄：</w:t>
      </w:r>
      <w:r>
        <w:rPr>
          <w:rFonts w:hint="eastAsia" w:ascii="宋体" w:hAnsi="宋体" w:eastAsia="宋体" w:cs="宋体"/>
          <w:color w:val="auto"/>
          <w:spacing w:val="-2"/>
          <w:sz w:val="24"/>
          <w:szCs w:val="24"/>
          <w:highlight w:val="none"/>
          <w:u w:val="single"/>
        </w:rPr>
        <w:tab/>
      </w:r>
      <w:r>
        <w:rPr>
          <w:rFonts w:hint="eastAsia" w:cs="宋体"/>
          <w:color w:val="auto"/>
          <w:spacing w:val="-2"/>
          <w:sz w:val="24"/>
          <w:szCs w:val="24"/>
          <w:highlight w:val="none"/>
        </w:rPr>
        <w:t>职务：</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p>
    <w:p w14:paraId="09AD7D92">
      <w:pPr>
        <w:pStyle w:val="12"/>
        <w:kinsoku w:val="0"/>
        <w:overflowPunct w:val="0"/>
        <w:spacing w:before="5"/>
        <w:ind w:left="0"/>
        <w:rPr>
          <w:rFonts w:hint="eastAsia" w:ascii="宋体" w:hAnsi="宋体" w:eastAsia="宋体" w:cs="宋体"/>
          <w:color w:val="auto"/>
          <w:sz w:val="24"/>
          <w:szCs w:val="24"/>
          <w:highlight w:val="none"/>
        </w:rPr>
      </w:pPr>
    </w:p>
    <w:p w14:paraId="79A5EDE5">
      <w:pPr>
        <w:pStyle w:val="12"/>
        <w:tabs>
          <w:tab w:val="left" w:pos="2832"/>
        </w:tabs>
        <w:kinsoku w:val="0"/>
        <w:overflowPunct w:val="0"/>
        <w:spacing w:before="36"/>
        <w:ind w:left="100"/>
        <w:rPr>
          <w:rFonts w:hint="eastAsia" w:cs="宋体"/>
          <w:color w:val="auto"/>
          <w:spacing w:val="-2"/>
          <w:sz w:val="24"/>
          <w:szCs w:val="24"/>
          <w:highlight w:val="none"/>
        </w:rPr>
      </w:pPr>
      <w:r>
        <w:rPr>
          <w:rFonts w:hint="eastAsia" w:cs="宋体"/>
          <w:color w:val="auto"/>
          <w:spacing w:val="-1"/>
          <w:sz w:val="24"/>
          <w:szCs w:val="24"/>
          <w:highlight w:val="none"/>
        </w:rPr>
        <w:t>系</w:t>
      </w:r>
      <w:r>
        <w:rPr>
          <w:rFonts w:hint="eastAsia" w:ascii="宋体" w:hAnsi="宋体" w:eastAsia="宋体" w:cs="宋体"/>
          <w:color w:val="auto"/>
          <w:spacing w:val="-1"/>
          <w:sz w:val="24"/>
          <w:szCs w:val="24"/>
          <w:highlight w:val="none"/>
          <w:u w:val="single"/>
        </w:rPr>
        <w:tab/>
      </w:r>
      <w:r>
        <w:rPr>
          <w:rFonts w:hint="eastAsia" w:cs="宋体"/>
          <w:color w:val="auto"/>
          <w:spacing w:val="-2"/>
          <w:sz w:val="24"/>
          <w:szCs w:val="24"/>
          <w:highlight w:val="none"/>
        </w:rPr>
        <w:t>（投标人名称）的法定代表人。</w:t>
      </w:r>
    </w:p>
    <w:p w14:paraId="5E30A262">
      <w:pPr>
        <w:pStyle w:val="12"/>
        <w:kinsoku w:val="0"/>
        <w:overflowPunct w:val="0"/>
        <w:spacing w:before="10"/>
        <w:ind w:left="0"/>
        <w:rPr>
          <w:rFonts w:hint="eastAsia" w:cs="宋体"/>
          <w:color w:val="auto"/>
          <w:sz w:val="24"/>
          <w:szCs w:val="24"/>
          <w:highlight w:val="none"/>
        </w:rPr>
      </w:pPr>
    </w:p>
    <w:p w14:paraId="656A63C3">
      <w:pPr>
        <w:pStyle w:val="12"/>
        <w:kinsoku w:val="0"/>
        <w:overflowPunct w:val="0"/>
        <w:spacing w:before="36"/>
        <w:ind w:left="100" w:firstLine="419"/>
        <w:rPr>
          <w:rFonts w:hint="eastAsia" w:cs="宋体"/>
          <w:color w:val="auto"/>
          <w:sz w:val="24"/>
          <w:szCs w:val="24"/>
          <w:highlight w:val="none"/>
        </w:rPr>
      </w:pPr>
      <w:r>
        <w:rPr>
          <w:rFonts w:hint="eastAsia" w:cs="宋体"/>
          <w:color w:val="auto"/>
          <w:sz w:val="24"/>
          <w:szCs w:val="24"/>
          <w:highlight w:val="none"/>
        </w:rPr>
        <w:t>特此证明。</w:t>
      </w:r>
    </w:p>
    <w:p w14:paraId="1C08D5FC">
      <w:pPr>
        <w:pStyle w:val="12"/>
        <w:kinsoku w:val="0"/>
        <w:overflowPunct w:val="0"/>
        <w:ind w:left="0"/>
        <w:rPr>
          <w:rFonts w:hint="eastAsia" w:cs="宋体"/>
          <w:color w:val="auto"/>
          <w:sz w:val="24"/>
          <w:szCs w:val="24"/>
          <w:highlight w:val="none"/>
        </w:rPr>
      </w:pPr>
    </w:p>
    <w:p w14:paraId="2B21F80B">
      <w:pPr>
        <w:pStyle w:val="12"/>
        <w:kinsoku w:val="0"/>
        <w:overflowPunct w:val="0"/>
        <w:spacing w:before="4"/>
        <w:ind w:left="0"/>
        <w:rPr>
          <w:rFonts w:hint="eastAsia" w:cs="宋体"/>
          <w:color w:val="auto"/>
          <w:sz w:val="24"/>
          <w:szCs w:val="24"/>
          <w:highlight w:val="none"/>
        </w:rPr>
      </w:pPr>
    </w:p>
    <w:p w14:paraId="1E0EA4FF">
      <w:pPr>
        <w:pStyle w:val="12"/>
        <w:kinsoku w:val="0"/>
        <w:overflowPunct w:val="0"/>
        <w:ind w:left="100"/>
        <w:rPr>
          <w:rFonts w:hint="eastAsia" w:cs="宋体"/>
          <w:color w:val="auto"/>
          <w:sz w:val="24"/>
          <w:szCs w:val="24"/>
          <w:highlight w:val="none"/>
        </w:rPr>
      </w:pPr>
      <w:r>
        <w:rPr>
          <w:rFonts w:hint="eastAsia" w:cs="宋体"/>
          <w:color w:val="auto"/>
          <w:sz w:val="24"/>
          <w:szCs w:val="24"/>
          <w:highlight w:val="none"/>
        </w:rPr>
        <w:t>附：法定代表人身份证</w:t>
      </w:r>
      <w:r>
        <w:rPr>
          <w:rFonts w:hint="eastAsia" w:cs="宋体"/>
          <w:color w:val="auto"/>
          <w:sz w:val="24"/>
          <w:szCs w:val="24"/>
          <w:highlight w:val="none"/>
          <w:lang w:eastAsia="zh-CN"/>
        </w:rPr>
        <w:t>正反面扫描</w:t>
      </w:r>
      <w:r>
        <w:rPr>
          <w:rFonts w:hint="eastAsia" w:cs="宋体"/>
          <w:color w:val="auto"/>
          <w:sz w:val="24"/>
          <w:szCs w:val="24"/>
          <w:highlight w:val="none"/>
        </w:rPr>
        <w:t>件。</w:t>
      </w:r>
    </w:p>
    <w:p w14:paraId="75D36F44">
      <w:pPr>
        <w:pStyle w:val="12"/>
        <w:kinsoku w:val="0"/>
        <w:overflowPunct w:val="0"/>
        <w:ind w:left="0"/>
        <w:rPr>
          <w:rFonts w:hint="eastAsia" w:cs="宋体"/>
          <w:color w:val="auto"/>
          <w:sz w:val="24"/>
          <w:szCs w:val="24"/>
          <w:highlight w:val="none"/>
        </w:rPr>
      </w:pPr>
    </w:p>
    <w:p w14:paraId="0B41C344">
      <w:pPr>
        <w:pStyle w:val="12"/>
        <w:kinsoku w:val="0"/>
        <w:overflowPunct w:val="0"/>
        <w:spacing w:before="2"/>
        <w:ind w:left="0"/>
        <w:rPr>
          <w:rFonts w:hint="eastAsia" w:cs="宋体"/>
          <w:color w:val="auto"/>
          <w:sz w:val="24"/>
          <w:szCs w:val="24"/>
          <w:highlight w:val="none"/>
        </w:rPr>
      </w:pPr>
    </w:p>
    <w:p w14:paraId="70CC1E34">
      <w:pPr>
        <w:pStyle w:val="12"/>
        <w:kinsoku w:val="0"/>
        <w:overflowPunct w:val="0"/>
        <w:ind w:left="0"/>
        <w:rPr>
          <w:rFonts w:hint="eastAsia" w:cs="宋体"/>
          <w:color w:val="auto"/>
          <w:sz w:val="24"/>
          <w:szCs w:val="24"/>
          <w:highlight w:val="none"/>
        </w:rPr>
      </w:pPr>
    </w:p>
    <w:p w14:paraId="111AFEE6">
      <w:pPr>
        <w:pStyle w:val="12"/>
        <w:kinsoku w:val="0"/>
        <w:overflowPunct w:val="0"/>
        <w:ind w:left="0"/>
        <w:rPr>
          <w:rFonts w:hint="eastAsia" w:cs="宋体"/>
          <w:color w:val="auto"/>
          <w:sz w:val="24"/>
          <w:szCs w:val="24"/>
          <w:highlight w:val="none"/>
        </w:rPr>
      </w:pPr>
    </w:p>
    <w:p w14:paraId="745A274A">
      <w:pPr>
        <w:pStyle w:val="12"/>
        <w:kinsoku w:val="0"/>
        <w:overflowPunct w:val="0"/>
        <w:ind w:left="0"/>
        <w:rPr>
          <w:rFonts w:hint="eastAsia" w:cs="宋体"/>
          <w:color w:val="auto"/>
          <w:sz w:val="24"/>
          <w:szCs w:val="24"/>
          <w:highlight w:val="none"/>
        </w:rPr>
      </w:pPr>
    </w:p>
    <w:p w14:paraId="1DC14110">
      <w:pPr>
        <w:pStyle w:val="12"/>
        <w:kinsoku w:val="0"/>
        <w:overflowPunct w:val="0"/>
        <w:spacing w:before="2"/>
        <w:ind w:left="0"/>
        <w:rPr>
          <w:rFonts w:hint="eastAsia" w:cs="宋体"/>
          <w:color w:val="auto"/>
          <w:sz w:val="24"/>
          <w:szCs w:val="24"/>
          <w:highlight w:val="none"/>
        </w:rPr>
      </w:pPr>
    </w:p>
    <w:p w14:paraId="097A7605">
      <w:pPr>
        <w:pStyle w:val="12"/>
        <w:tabs>
          <w:tab w:val="left" w:pos="6521"/>
        </w:tabs>
        <w:kinsoku w:val="0"/>
        <w:overflowPunct w:val="0"/>
        <w:spacing w:before="36"/>
        <w:ind w:left="4212"/>
        <w:rPr>
          <w:rFonts w:hint="eastAsia" w:cs="宋体"/>
          <w:color w:val="auto"/>
          <w:spacing w:val="-1"/>
          <w:sz w:val="24"/>
          <w:szCs w:val="24"/>
          <w:highlight w:val="none"/>
        </w:rPr>
      </w:pPr>
      <w:r>
        <w:rPr>
          <w:rFonts w:hint="eastAsia" w:cs="宋体"/>
          <w:color w:val="auto"/>
          <w:spacing w:val="-2"/>
          <w:sz w:val="24"/>
          <w:szCs w:val="24"/>
          <w:highlight w:val="none"/>
        </w:rPr>
        <w:t>投标人：</w:t>
      </w:r>
      <w:r>
        <w:rPr>
          <w:rFonts w:hint="eastAsia" w:ascii="宋体" w:hAnsi="宋体" w:eastAsia="宋体" w:cs="宋体"/>
          <w:color w:val="auto"/>
          <w:spacing w:val="-2"/>
          <w:sz w:val="24"/>
          <w:szCs w:val="24"/>
          <w:highlight w:val="none"/>
          <w:u w:val="single"/>
        </w:rPr>
        <w:tab/>
      </w:r>
      <w:r>
        <w:rPr>
          <w:rFonts w:hint="eastAsia" w:cs="宋体"/>
          <w:color w:val="auto"/>
          <w:spacing w:val="-1"/>
          <w:sz w:val="24"/>
          <w:szCs w:val="24"/>
          <w:highlight w:val="none"/>
        </w:rPr>
        <w:t>（盖单位章）</w:t>
      </w:r>
    </w:p>
    <w:p w14:paraId="3E564E9A">
      <w:pPr>
        <w:pStyle w:val="12"/>
        <w:kinsoku w:val="0"/>
        <w:overflowPunct w:val="0"/>
        <w:ind w:left="0"/>
        <w:rPr>
          <w:rFonts w:hint="eastAsia" w:cs="宋体"/>
          <w:color w:val="auto"/>
          <w:sz w:val="24"/>
          <w:szCs w:val="24"/>
          <w:highlight w:val="none"/>
        </w:rPr>
      </w:pPr>
    </w:p>
    <w:p w14:paraId="3F5E2CD7">
      <w:pPr>
        <w:pStyle w:val="12"/>
        <w:kinsoku w:val="0"/>
        <w:overflowPunct w:val="0"/>
        <w:spacing w:before="7"/>
        <w:ind w:left="0"/>
        <w:rPr>
          <w:rFonts w:hint="eastAsia" w:cs="宋体"/>
          <w:color w:val="auto"/>
          <w:sz w:val="24"/>
          <w:szCs w:val="24"/>
          <w:highlight w:val="none"/>
        </w:rPr>
      </w:pPr>
    </w:p>
    <w:p w14:paraId="1F66B691">
      <w:pPr>
        <w:pStyle w:val="12"/>
        <w:tabs>
          <w:tab w:val="left" w:pos="5352"/>
          <w:tab w:val="left" w:pos="6192"/>
          <w:tab w:val="left" w:pos="7032"/>
        </w:tabs>
        <w:kinsoku w:val="0"/>
        <w:overflowPunct w:val="0"/>
        <w:spacing w:before="36"/>
        <w:ind w:left="4721"/>
        <w:rPr>
          <w:rFonts w:hint="eastAsia"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cs="宋体"/>
          <w:color w:val="auto"/>
          <w:sz w:val="24"/>
          <w:szCs w:val="24"/>
          <w:highlight w:val="none"/>
        </w:rPr>
        <w:t>年</w:t>
      </w:r>
      <w:r>
        <w:rPr>
          <w:rFonts w:hint="eastAsia" w:ascii="宋体" w:hAnsi="宋体" w:eastAsia="宋体" w:cs="宋体"/>
          <w:color w:val="auto"/>
          <w:sz w:val="24"/>
          <w:szCs w:val="24"/>
          <w:highlight w:val="none"/>
          <w:u w:val="single"/>
        </w:rPr>
        <w:tab/>
      </w:r>
      <w:r>
        <w:rPr>
          <w:rFonts w:hint="eastAsia" w:cs="宋体"/>
          <w:color w:val="auto"/>
          <w:sz w:val="24"/>
          <w:szCs w:val="24"/>
          <w:highlight w:val="none"/>
        </w:rPr>
        <w:t>月</w:t>
      </w:r>
      <w:r>
        <w:rPr>
          <w:rFonts w:hint="eastAsia" w:ascii="宋体" w:hAnsi="宋体" w:eastAsia="宋体" w:cs="宋体"/>
          <w:color w:val="auto"/>
          <w:sz w:val="24"/>
          <w:szCs w:val="24"/>
          <w:highlight w:val="none"/>
          <w:u w:val="single"/>
        </w:rPr>
        <w:tab/>
      </w:r>
      <w:r>
        <w:rPr>
          <w:rFonts w:hint="eastAsia" w:cs="宋体"/>
          <w:color w:val="auto"/>
          <w:sz w:val="24"/>
          <w:szCs w:val="24"/>
          <w:highlight w:val="none"/>
        </w:rPr>
        <w:t>日</w:t>
      </w:r>
    </w:p>
    <w:p w14:paraId="64469EDB">
      <w:pPr>
        <w:pStyle w:val="12"/>
        <w:tabs>
          <w:tab w:val="left" w:pos="5352"/>
          <w:tab w:val="left" w:pos="6192"/>
          <w:tab w:val="left" w:pos="7032"/>
        </w:tabs>
        <w:kinsoku w:val="0"/>
        <w:overflowPunct w:val="0"/>
        <w:spacing w:before="36"/>
        <w:ind w:left="4721"/>
        <w:rPr>
          <w:rFonts w:hint="eastAsia" w:ascii="宋体" w:hAnsi="宋体" w:eastAsia="宋体" w:cs="宋体"/>
          <w:color w:val="auto"/>
          <w:sz w:val="24"/>
          <w:szCs w:val="24"/>
          <w:highlight w:val="none"/>
        </w:rPr>
        <w:sectPr>
          <w:pgSz w:w="11905" w:h="16838"/>
          <w:pgMar w:top="1417" w:right="1417" w:bottom="1417" w:left="1417" w:header="992" w:footer="992" w:gutter="0"/>
          <w:lnNumType w:countBy="0" w:distance="360"/>
          <w:cols w:space="720" w:num="1"/>
        </w:sectPr>
      </w:pPr>
    </w:p>
    <w:p w14:paraId="77E8BB21">
      <w:pPr>
        <w:pStyle w:val="4"/>
        <w:jc w:val="center"/>
        <w:outlineLvl w:val="1"/>
        <w:rPr>
          <w:rFonts w:hint="eastAsia" w:cs="宋体"/>
          <w:color w:val="auto"/>
          <w:sz w:val="28"/>
          <w:szCs w:val="24"/>
          <w:highlight w:val="none"/>
        </w:rPr>
      </w:pPr>
      <w:bookmarkStart w:id="130" w:name="bookmark180"/>
      <w:bookmarkEnd w:id="130"/>
      <w:bookmarkStart w:id="131" w:name="_Toc18172"/>
      <w:r>
        <w:rPr>
          <w:rFonts w:hint="eastAsia" w:cs="宋体"/>
          <w:color w:val="auto"/>
          <w:sz w:val="28"/>
          <w:szCs w:val="24"/>
          <w:highlight w:val="none"/>
        </w:rPr>
        <w:t>二、授权委托书</w:t>
      </w:r>
      <w:bookmarkEnd w:id="131"/>
    </w:p>
    <w:p w14:paraId="4A5FAFEB">
      <w:pPr>
        <w:pStyle w:val="12"/>
        <w:kinsoku w:val="0"/>
        <w:overflowPunct w:val="0"/>
        <w:ind w:left="0"/>
        <w:rPr>
          <w:rFonts w:hint="eastAsia" w:ascii="宋体" w:hAnsi="宋体" w:eastAsia="宋体" w:cs="宋体"/>
          <w:b/>
          <w:color w:val="auto"/>
          <w:sz w:val="32"/>
          <w:szCs w:val="24"/>
          <w:highlight w:val="none"/>
        </w:rPr>
      </w:pPr>
    </w:p>
    <w:p w14:paraId="51E1C676">
      <w:pPr>
        <w:pStyle w:val="12"/>
        <w:kinsoku w:val="0"/>
        <w:overflowPunct w:val="0"/>
        <w:spacing w:before="4"/>
        <w:ind w:left="0"/>
        <w:rPr>
          <w:rFonts w:hint="eastAsia" w:ascii="宋体" w:hAnsi="宋体" w:eastAsia="宋体" w:cs="宋体"/>
          <w:b/>
          <w:color w:val="auto"/>
          <w:sz w:val="32"/>
          <w:szCs w:val="24"/>
          <w:highlight w:val="none"/>
        </w:rPr>
      </w:pPr>
    </w:p>
    <w:p w14:paraId="56CEACDF">
      <w:pPr>
        <w:pStyle w:val="12"/>
        <w:tabs>
          <w:tab w:val="left" w:pos="3928"/>
        </w:tabs>
        <w:kinsoku w:val="0"/>
        <w:overflowPunct w:val="0"/>
        <w:spacing w:line="360" w:lineRule="auto"/>
        <w:ind w:left="0" w:firstLine="480" w:firstLineChars="200"/>
        <w:rPr>
          <w:rFonts w:hint="eastAsia" w:cs="宋体"/>
          <w:color w:val="auto"/>
          <w:sz w:val="24"/>
          <w:szCs w:val="24"/>
          <w:highlight w:val="none"/>
        </w:rPr>
      </w:pPr>
      <w:r>
        <w:rPr>
          <w:rFonts w:hint="eastAsia" w:cs="宋体"/>
          <w:color w:val="auto"/>
          <w:sz w:val="24"/>
          <w:szCs w:val="24"/>
          <w:highlight w:val="none"/>
        </w:rPr>
        <w:t>本人</w:t>
      </w:r>
      <w:r>
        <w:rPr>
          <w:rFonts w:hint="eastAsia" w:cs="宋体"/>
          <w:color w:val="auto"/>
          <w:sz w:val="24"/>
          <w:szCs w:val="24"/>
          <w:highlight w:val="none"/>
          <w:u w:val="single"/>
          <w:lang w:val="en-US" w:eastAsia="zh-CN"/>
        </w:rPr>
        <w:t xml:space="preserve">   </w:t>
      </w:r>
      <w:r>
        <w:rPr>
          <w:rFonts w:hint="eastAsia" w:cs="宋体"/>
          <w:color w:val="auto"/>
          <w:sz w:val="24"/>
          <w:szCs w:val="24"/>
          <w:highlight w:val="none"/>
        </w:rPr>
        <w:t>（姓名）系</w:t>
      </w:r>
      <w:r>
        <w:rPr>
          <w:rFonts w:hint="eastAsia" w:cs="宋体"/>
          <w:color w:val="auto"/>
          <w:sz w:val="24"/>
          <w:szCs w:val="24"/>
          <w:highlight w:val="none"/>
          <w:lang w:val="en-US" w:eastAsia="zh-CN"/>
        </w:rPr>
        <w:t xml:space="preserve"> </w:t>
      </w:r>
      <w:r>
        <w:rPr>
          <w:rFonts w:hint="eastAsia" w:cs="宋体"/>
          <w:color w:val="auto"/>
          <w:sz w:val="24"/>
          <w:szCs w:val="24"/>
          <w:highlight w:val="none"/>
          <w:u w:val="single"/>
          <w:lang w:val="en-US" w:eastAsia="zh-CN"/>
        </w:rPr>
        <w:t xml:space="preserve">    </w:t>
      </w:r>
      <w:r>
        <w:rPr>
          <w:rFonts w:hint="eastAsia" w:cs="宋体"/>
          <w:color w:val="auto"/>
          <w:sz w:val="24"/>
          <w:szCs w:val="24"/>
          <w:highlight w:val="none"/>
        </w:rPr>
        <w:t>（投标人名称）的法定代表人，现委托</w:t>
      </w:r>
      <w:r>
        <w:rPr>
          <w:rFonts w:hint="eastAsia" w:cs="宋体"/>
          <w:color w:val="auto"/>
          <w:sz w:val="24"/>
          <w:szCs w:val="24"/>
          <w:highlight w:val="none"/>
          <w:u w:val="single"/>
        </w:rPr>
        <w:tab/>
      </w:r>
      <w:r>
        <w:rPr>
          <w:rFonts w:hint="eastAsia" w:cs="宋体"/>
          <w:color w:val="auto"/>
          <w:sz w:val="24"/>
          <w:szCs w:val="24"/>
          <w:highlight w:val="none"/>
          <w:u w:val="single"/>
          <w:lang w:val="en-US" w:eastAsia="zh-CN"/>
        </w:rPr>
        <w:t xml:space="preserve"> </w:t>
      </w:r>
      <w:r>
        <w:rPr>
          <w:rFonts w:hint="eastAsia" w:cs="宋体"/>
          <w:color w:val="auto"/>
          <w:sz w:val="24"/>
          <w:szCs w:val="24"/>
          <w:highlight w:val="none"/>
        </w:rPr>
        <w:t xml:space="preserve">（姓名）为我方代理人。代理人根据授权，以我方名义签署、澄清确认、递交、撤回、修改监理招标项目投标文件、签订合同和处理有关事宜，其法律后果由我方承担。 </w:t>
      </w:r>
    </w:p>
    <w:p w14:paraId="52B16139">
      <w:pPr>
        <w:pStyle w:val="12"/>
        <w:tabs>
          <w:tab w:val="left" w:pos="3928"/>
        </w:tabs>
        <w:kinsoku w:val="0"/>
        <w:overflowPunct w:val="0"/>
        <w:spacing w:line="360" w:lineRule="auto"/>
        <w:ind w:left="0"/>
        <w:rPr>
          <w:rFonts w:hint="eastAsia" w:cs="宋体"/>
          <w:color w:val="auto"/>
          <w:sz w:val="24"/>
          <w:szCs w:val="24"/>
          <w:highlight w:val="none"/>
        </w:rPr>
      </w:pPr>
      <w:r>
        <w:rPr>
          <w:rFonts w:hint="eastAsia" w:cs="宋体"/>
          <w:color w:val="auto"/>
          <w:sz w:val="24"/>
          <w:szCs w:val="24"/>
          <w:highlight w:val="none"/>
        </w:rPr>
        <w:t>委托期限：</w:t>
      </w:r>
      <w:r>
        <w:rPr>
          <w:rFonts w:hint="eastAsia" w:cs="宋体"/>
          <w:color w:val="auto"/>
          <w:sz w:val="24"/>
          <w:szCs w:val="24"/>
          <w:highlight w:val="none"/>
          <w:u w:val="single"/>
        </w:rPr>
        <w:tab/>
      </w:r>
      <w:r>
        <w:rPr>
          <w:rFonts w:hint="eastAsia" w:cs="宋体"/>
          <w:color w:val="auto"/>
          <w:sz w:val="24"/>
          <w:szCs w:val="24"/>
          <w:highlight w:val="none"/>
        </w:rPr>
        <w:t>。</w:t>
      </w:r>
    </w:p>
    <w:p w14:paraId="4E3DBD03">
      <w:pPr>
        <w:pStyle w:val="12"/>
        <w:tabs>
          <w:tab w:val="left" w:pos="3928"/>
        </w:tabs>
        <w:kinsoku w:val="0"/>
        <w:overflowPunct w:val="0"/>
        <w:spacing w:line="360" w:lineRule="auto"/>
        <w:ind w:left="0" w:firstLine="480" w:firstLineChars="200"/>
        <w:rPr>
          <w:rFonts w:hint="eastAsia" w:eastAsia="宋体" w:cs="宋体"/>
          <w:color w:val="auto"/>
          <w:sz w:val="24"/>
          <w:szCs w:val="24"/>
          <w:highlight w:val="none"/>
          <w:lang w:eastAsia="zh-CN"/>
        </w:rPr>
      </w:pPr>
      <w:r>
        <w:rPr>
          <w:rFonts w:hint="eastAsia" w:cs="宋体"/>
          <w:color w:val="auto"/>
          <w:sz w:val="24"/>
          <w:szCs w:val="24"/>
          <w:highlight w:val="none"/>
        </w:rPr>
        <w:t>代理人无转委托权。代理人为投标人正式职工</w:t>
      </w:r>
      <w:r>
        <w:rPr>
          <w:rFonts w:hint="eastAsia" w:cs="宋体"/>
          <w:color w:val="auto"/>
          <w:sz w:val="24"/>
          <w:szCs w:val="24"/>
          <w:highlight w:val="none"/>
          <w:lang w:eastAsia="zh-CN"/>
        </w:rPr>
        <w:t>，</w:t>
      </w:r>
      <w:r>
        <w:rPr>
          <w:rFonts w:hint="eastAsia" w:cs="宋体"/>
          <w:color w:val="auto"/>
          <w:sz w:val="24"/>
          <w:highlight w:val="none"/>
          <w:lang w:eastAsia="zh-CN"/>
        </w:rPr>
        <w:t>必须具有离投标截止时间最近的至少1个月在本单位缴纳的社保证明文件。</w:t>
      </w:r>
    </w:p>
    <w:p w14:paraId="2D359E82">
      <w:pPr>
        <w:pStyle w:val="12"/>
        <w:tabs>
          <w:tab w:val="left" w:pos="3928"/>
        </w:tabs>
        <w:kinsoku w:val="0"/>
        <w:overflowPunct w:val="0"/>
        <w:spacing w:line="360" w:lineRule="auto"/>
        <w:ind w:left="100"/>
        <w:rPr>
          <w:rFonts w:hint="eastAsia" w:cs="宋体"/>
          <w:color w:val="auto"/>
          <w:sz w:val="24"/>
          <w:szCs w:val="24"/>
          <w:highlight w:val="none"/>
        </w:rPr>
      </w:pPr>
    </w:p>
    <w:p w14:paraId="3F3DBD75">
      <w:pPr>
        <w:pStyle w:val="12"/>
        <w:kinsoku w:val="0"/>
        <w:overflowPunct w:val="0"/>
        <w:spacing w:before="4"/>
        <w:ind w:left="0"/>
        <w:rPr>
          <w:rFonts w:hint="eastAsia" w:cs="宋体"/>
          <w:color w:val="auto"/>
          <w:sz w:val="24"/>
          <w:szCs w:val="24"/>
          <w:highlight w:val="none"/>
        </w:rPr>
      </w:pPr>
    </w:p>
    <w:p w14:paraId="2870620E">
      <w:pPr>
        <w:pStyle w:val="12"/>
        <w:kinsoku w:val="0"/>
        <w:overflowPunct w:val="0"/>
        <w:ind w:left="100" w:right="113"/>
        <w:rPr>
          <w:rFonts w:hint="eastAsia" w:cs="宋体"/>
          <w:color w:val="auto"/>
          <w:sz w:val="24"/>
          <w:szCs w:val="24"/>
          <w:highlight w:val="none"/>
        </w:rPr>
      </w:pPr>
      <w:r>
        <w:rPr>
          <w:rFonts w:hint="eastAsia" w:cs="宋体"/>
          <w:color w:val="auto"/>
          <w:sz w:val="24"/>
          <w:szCs w:val="24"/>
          <w:highlight w:val="none"/>
        </w:rPr>
        <w:t>附：</w:t>
      </w:r>
      <w:r>
        <w:rPr>
          <w:rFonts w:hint="eastAsia" w:cs="宋体"/>
          <w:color w:val="auto"/>
          <w:sz w:val="24"/>
          <w:szCs w:val="24"/>
          <w:highlight w:val="none"/>
          <w:lang w:eastAsia="zh-CN"/>
        </w:rPr>
        <w:t>委托代理人身份证正反面和社保证明扫描件（</w:t>
      </w:r>
      <w:r>
        <w:rPr>
          <w:rFonts w:hint="eastAsia" w:cs="宋体"/>
          <w:color w:val="auto"/>
          <w:sz w:val="24"/>
          <w:szCs w:val="24"/>
          <w:highlight w:val="none"/>
          <w:lang w:val="en-US" w:eastAsia="zh-CN"/>
        </w:rPr>
        <w:t>社保要求详见投标人须知前附表10.4</w:t>
      </w:r>
      <w:r>
        <w:rPr>
          <w:rFonts w:hint="eastAsia" w:cs="宋体"/>
          <w:color w:val="auto"/>
          <w:sz w:val="24"/>
          <w:szCs w:val="24"/>
          <w:highlight w:val="none"/>
          <w:lang w:eastAsia="zh-CN"/>
        </w:rPr>
        <w:t>）。</w:t>
      </w:r>
    </w:p>
    <w:p w14:paraId="419A26A0">
      <w:pPr>
        <w:pStyle w:val="12"/>
        <w:kinsoku w:val="0"/>
        <w:overflowPunct w:val="0"/>
        <w:ind w:left="0"/>
        <w:rPr>
          <w:rFonts w:hint="eastAsia" w:cs="宋体"/>
          <w:color w:val="auto"/>
          <w:sz w:val="24"/>
          <w:szCs w:val="24"/>
          <w:highlight w:val="none"/>
        </w:rPr>
      </w:pPr>
    </w:p>
    <w:p w14:paraId="0D97F3E8">
      <w:pPr>
        <w:pStyle w:val="12"/>
        <w:kinsoku w:val="0"/>
        <w:overflowPunct w:val="0"/>
        <w:spacing w:before="2"/>
        <w:ind w:left="0"/>
        <w:rPr>
          <w:rFonts w:hint="eastAsia" w:cs="宋体"/>
          <w:color w:val="auto"/>
          <w:sz w:val="24"/>
          <w:szCs w:val="24"/>
          <w:highlight w:val="none"/>
        </w:rPr>
      </w:pPr>
    </w:p>
    <w:p w14:paraId="3A4C9C1C">
      <w:pPr>
        <w:pStyle w:val="12"/>
        <w:kinsoku w:val="0"/>
        <w:overflowPunct w:val="0"/>
        <w:ind w:left="0"/>
        <w:rPr>
          <w:rFonts w:hint="eastAsia" w:cs="宋体"/>
          <w:color w:val="auto"/>
          <w:sz w:val="24"/>
          <w:szCs w:val="24"/>
          <w:highlight w:val="none"/>
        </w:rPr>
      </w:pPr>
    </w:p>
    <w:p w14:paraId="5C8CA46E">
      <w:pPr>
        <w:pStyle w:val="12"/>
        <w:kinsoku w:val="0"/>
        <w:overflowPunct w:val="0"/>
        <w:spacing w:before="4"/>
        <w:ind w:left="0"/>
        <w:rPr>
          <w:rFonts w:hint="eastAsia" w:cs="宋体"/>
          <w:color w:val="auto"/>
          <w:sz w:val="24"/>
          <w:szCs w:val="24"/>
          <w:highlight w:val="none"/>
        </w:rPr>
      </w:pPr>
    </w:p>
    <w:p w14:paraId="6FD3D3C3">
      <w:pPr>
        <w:pStyle w:val="12"/>
        <w:tabs>
          <w:tab w:val="left" w:pos="3216"/>
          <w:tab w:val="left" w:pos="3636"/>
          <w:tab w:val="left" w:pos="7241"/>
        </w:tabs>
        <w:kinsoku w:val="0"/>
        <w:overflowPunct w:val="0"/>
        <w:ind w:left="2793" w:right="113"/>
        <w:rPr>
          <w:rFonts w:hint="eastAsia" w:cs="宋体"/>
          <w:color w:val="auto"/>
          <w:sz w:val="24"/>
          <w:szCs w:val="24"/>
          <w:highlight w:val="none"/>
        </w:rPr>
      </w:pPr>
      <w:r>
        <w:rPr>
          <w:rFonts w:hint="eastAsia" w:cs="宋体"/>
          <w:color w:val="auto"/>
          <w:sz w:val="24"/>
          <w:szCs w:val="24"/>
          <w:highlight w:val="none"/>
        </w:rPr>
        <w:t>投</w:t>
      </w:r>
      <w:r>
        <w:rPr>
          <w:rFonts w:hint="eastAsia" w:cs="宋体"/>
          <w:color w:val="auto"/>
          <w:sz w:val="24"/>
          <w:szCs w:val="24"/>
          <w:highlight w:val="none"/>
        </w:rPr>
        <w:tab/>
      </w:r>
      <w:r>
        <w:rPr>
          <w:rFonts w:hint="eastAsia" w:cs="宋体"/>
          <w:color w:val="auto"/>
          <w:sz w:val="24"/>
          <w:szCs w:val="24"/>
          <w:highlight w:val="none"/>
        </w:rPr>
        <w:t>标</w:t>
      </w:r>
      <w:r>
        <w:rPr>
          <w:rFonts w:hint="eastAsia" w:cs="宋体"/>
          <w:color w:val="auto"/>
          <w:sz w:val="24"/>
          <w:szCs w:val="24"/>
          <w:highlight w:val="none"/>
        </w:rPr>
        <w:tab/>
      </w:r>
      <w:r>
        <w:rPr>
          <w:rFonts w:hint="eastAsia" w:cs="宋体"/>
          <w:color w:val="auto"/>
          <w:spacing w:val="-3"/>
          <w:sz w:val="24"/>
          <w:szCs w:val="24"/>
          <w:highlight w:val="none"/>
        </w:rPr>
        <w:t>人：</w:t>
      </w:r>
      <w:r>
        <w:rPr>
          <w:rFonts w:hint="eastAsia" w:hAnsi="宋体" w:cs="宋体"/>
          <w:color w:val="auto"/>
          <w:spacing w:val="-3"/>
          <w:sz w:val="24"/>
          <w:szCs w:val="24"/>
          <w:highlight w:val="none"/>
          <w:u w:val="single"/>
          <w:lang w:val="en-US" w:eastAsia="zh-CN"/>
        </w:rPr>
        <w:t xml:space="preserve">                       </w:t>
      </w:r>
      <w:r>
        <w:rPr>
          <w:rFonts w:hint="eastAsia" w:cs="宋体"/>
          <w:color w:val="auto"/>
          <w:sz w:val="24"/>
          <w:szCs w:val="24"/>
          <w:highlight w:val="none"/>
        </w:rPr>
        <w:t>（盖单位章）</w:t>
      </w:r>
    </w:p>
    <w:p w14:paraId="47D5A3CE">
      <w:pPr>
        <w:pStyle w:val="12"/>
        <w:kinsoku w:val="0"/>
        <w:overflowPunct w:val="0"/>
        <w:ind w:left="0"/>
        <w:rPr>
          <w:rFonts w:hint="eastAsia" w:cs="宋体"/>
          <w:color w:val="auto"/>
          <w:sz w:val="24"/>
          <w:szCs w:val="24"/>
          <w:highlight w:val="none"/>
        </w:rPr>
      </w:pPr>
    </w:p>
    <w:p w14:paraId="3A2AD8B1">
      <w:pPr>
        <w:pStyle w:val="12"/>
        <w:tabs>
          <w:tab w:val="left" w:pos="6401"/>
        </w:tabs>
        <w:kinsoku w:val="0"/>
        <w:overflowPunct w:val="0"/>
        <w:spacing w:before="36"/>
        <w:ind w:left="2791" w:right="113"/>
        <w:rPr>
          <w:rFonts w:hint="eastAsia" w:cs="宋体"/>
          <w:color w:val="auto"/>
          <w:spacing w:val="-1"/>
          <w:sz w:val="24"/>
          <w:szCs w:val="24"/>
          <w:highlight w:val="none"/>
        </w:rPr>
      </w:pPr>
      <w:r>
        <w:rPr>
          <w:rFonts w:hint="eastAsia" w:cs="宋体"/>
          <w:color w:val="auto"/>
          <w:spacing w:val="-2"/>
          <w:sz w:val="24"/>
          <w:szCs w:val="24"/>
          <w:highlight w:val="none"/>
        </w:rPr>
        <w:t>法定代表人：</w:t>
      </w:r>
      <w:r>
        <w:rPr>
          <w:rFonts w:hint="eastAsia" w:ascii="宋体" w:hAnsi="宋体" w:eastAsia="宋体" w:cs="宋体"/>
          <w:color w:val="auto"/>
          <w:spacing w:val="-2"/>
          <w:sz w:val="24"/>
          <w:szCs w:val="24"/>
          <w:highlight w:val="none"/>
          <w:u w:val="single"/>
        </w:rPr>
        <w:tab/>
      </w:r>
      <w:r>
        <w:rPr>
          <w:rFonts w:hint="eastAsia" w:hAnsi="宋体" w:cs="宋体"/>
          <w:color w:val="auto"/>
          <w:spacing w:val="-2"/>
          <w:sz w:val="24"/>
          <w:szCs w:val="24"/>
          <w:highlight w:val="none"/>
          <w:u w:val="single"/>
          <w:lang w:val="en-US" w:eastAsia="zh-CN"/>
        </w:rPr>
        <w:t xml:space="preserve">    </w:t>
      </w:r>
      <w:r>
        <w:rPr>
          <w:rFonts w:hint="eastAsia" w:cs="宋体"/>
          <w:color w:val="auto"/>
          <w:spacing w:val="-1"/>
          <w:sz w:val="24"/>
          <w:szCs w:val="24"/>
          <w:highlight w:val="none"/>
        </w:rPr>
        <w:t>（签字）</w:t>
      </w:r>
    </w:p>
    <w:p w14:paraId="29BD970A">
      <w:pPr>
        <w:pStyle w:val="12"/>
        <w:kinsoku w:val="0"/>
        <w:overflowPunct w:val="0"/>
        <w:ind w:left="0"/>
        <w:rPr>
          <w:rFonts w:hint="eastAsia" w:cs="宋体"/>
          <w:color w:val="auto"/>
          <w:sz w:val="24"/>
          <w:szCs w:val="24"/>
          <w:highlight w:val="none"/>
        </w:rPr>
      </w:pPr>
    </w:p>
    <w:p w14:paraId="635CE038">
      <w:pPr>
        <w:pStyle w:val="12"/>
        <w:tabs>
          <w:tab w:val="left" w:pos="8549"/>
        </w:tabs>
        <w:kinsoku w:val="0"/>
        <w:overflowPunct w:val="0"/>
        <w:spacing w:before="36"/>
        <w:ind w:left="2793" w:right="113"/>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rPr>
        <w:t>身份证号码：</w:t>
      </w:r>
      <w:r>
        <w:rPr>
          <w:rFonts w:hint="eastAsia" w:ascii="宋体" w:hAnsi="宋体" w:eastAsia="宋体" w:cs="宋体"/>
          <w:color w:val="auto"/>
          <w:sz w:val="24"/>
          <w:szCs w:val="24"/>
          <w:highlight w:val="none"/>
          <w:u w:val="single"/>
        </w:rPr>
        <w:t xml:space="preserve"> </w:t>
      </w:r>
      <w:r>
        <w:rPr>
          <w:rFonts w:hint="eastAsia" w:hAnsi="宋体" w:cs="宋体"/>
          <w:color w:val="auto"/>
          <w:sz w:val="24"/>
          <w:szCs w:val="24"/>
          <w:highlight w:val="none"/>
          <w:u w:val="single"/>
          <w:lang w:val="en-US" w:eastAsia="zh-CN"/>
        </w:rPr>
        <w:t xml:space="preserve">                        </w:t>
      </w:r>
      <w:r>
        <w:rPr>
          <w:rFonts w:hint="eastAsia" w:hAnsi="宋体" w:cs="宋体"/>
          <w:color w:val="auto"/>
          <w:sz w:val="24"/>
          <w:szCs w:val="24"/>
          <w:highlight w:val="none"/>
          <w:lang w:val="en-US" w:eastAsia="zh-CN"/>
        </w:rPr>
        <w:t xml:space="preserve">               </w:t>
      </w:r>
    </w:p>
    <w:p w14:paraId="1EE6B074">
      <w:pPr>
        <w:pStyle w:val="12"/>
        <w:kinsoku w:val="0"/>
        <w:overflowPunct w:val="0"/>
        <w:ind w:left="0"/>
        <w:rPr>
          <w:rFonts w:hint="eastAsia" w:ascii="宋体" w:hAnsi="宋体" w:eastAsia="宋体" w:cs="宋体"/>
          <w:color w:val="auto"/>
          <w:sz w:val="24"/>
          <w:szCs w:val="24"/>
          <w:highlight w:val="none"/>
        </w:rPr>
      </w:pPr>
    </w:p>
    <w:p w14:paraId="40F94D39">
      <w:pPr>
        <w:pStyle w:val="12"/>
        <w:tabs>
          <w:tab w:val="left" w:pos="7661"/>
        </w:tabs>
        <w:kinsoku w:val="0"/>
        <w:overflowPunct w:val="0"/>
        <w:spacing w:before="36"/>
        <w:ind w:left="2793" w:right="113"/>
        <w:rPr>
          <w:rFonts w:hint="eastAsia" w:cs="宋体"/>
          <w:color w:val="auto"/>
          <w:spacing w:val="-1"/>
          <w:sz w:val="24"/>
          <w:szCs w:val="24"/>
          <w:highlight w:val="none"/>
        </w:rPr>
      </w:pPr>
      <w:r>
        <w:rPr>
          <w:rFonts w:hint="eastAsia" w:cs="宋体"/>
          <w:color w:val="auto"/>
          <w:spacing w:val="-2"/>
          <w:sz w:val="24"/>
          <w:szCs w:val="24"/>
          <w:highlight w:val="none"/>
        </w:rPr>
        <w:t>委托代理人：</w:t>
      </w:r>
      <w:r>
        <w:rPr>
          <w:rFonts w:hint="eastAsia" w:cs="宋体"/>
          <w:color w:val="auto"/>
          <w:spacing w:val="-2"/>
          <w:sz w:val="24"/>
          <w:szCs w:val="24"/>
          <w:highlight w:val="none"/>
          <w:u w:val="single"/>
          <w:lang w:val="en-US" w:eastAsia="zh-CN"/>
        </w:rPr>
        <w:t xml:space="preserve">                         </w:t>
      </w:r>
      <w:r>
        <w:rPr>
          <w:rFonts w:hint="eastAsia" w:cs="宋体"/>
          <w:color w:val="auto"/>
          <w:spacing w:val="-1"/>
          <w:sz w:val="24"/>
          <w:szCs w:val="24"/>
          <w:highlight w:val="none"/>
        </w:rPr>
        <w:t>（签字）</w:t>
      </w:r>
    </w:p>
    <w:p w14:paraId="712B91D9">
      <w:pPr>
        <w:pStyle w:val="12"/>
        <w:kinsoku w:val="0"/>
        <w:overflowPunct w:val="0"/>
        <w:ind w:left="0"/>
        <w:rPr>
          <w:rFonts w:hint="eastAsia" w:cs="宋体"/>
          <w:color w:val="auto"/>
          <w:sz w:val="24"/>
          <w:szCs w:val="24"/>
          <w:highlight w:val="none"/>
        </w:rPr>
      </w:pPr>
    </w:p>
    <w:p w14:paraId="490019D0">
      <w:pPr>
        <w:pStyle w:val="12"/>
        <w:tabs>
          <w:tab w:val="left" w:pos="8549"/>
        </w:tabs>
        <w:kinsoku w:val="0"/>
        <w:overflowPunct w:val="0"/>
        <w:spacing w:before="36"/>
        <w:ind w:left="2793" w:right="113"/>
        <w:rPr>
          <w:rFonts w:hint="eastAsia" w:ascii="宋体" w:hAnsi="宋体" w:eastAsia="宋体" w:cs="宋体"/>
          <w:color w:val="auto"/>
          <w:sz w:val="24"/>
          <w:szCs w:val="24"/>
          <w:highlight w:val="none"/>
          <w:u w:val="single"/>
        </w:rPr>
      </w:pPr>
      <w:r>
        <w:rPr>
          <w:rFonts w:hint="eastAsia" w:cs="宋体"/>
          <w:color w:val="auto"/>
          <w:sz w:val="24"/>
          <w:szCs w:val="24"/>
          <w:highlight w:val="none"/>
        </w:rPr>
        <w:t>身份证号码：</w:t>
      </w:r>
      <w:r>
        <w:rPr>
          <w:rFonts w:hint="eastAsia" w:ascii="宋体" w:hAnsi="宋体" w:eastAsia="宋体" w:cs="宋体"/>
          <w:color w:val="auto"/>
          <w:sz w:val="24"/>
          <w:szCs w:val="24"/>
          <w:highlight w:val="none"/>
          <w:u w:val="single"/>
        </w:rPr>
        <w:t xml:space="preserve"> </w:t>
      </w:r>
      <w:r>
        <w:rPr>
          <w:rFonts w:hint="eastAsia" w:hAnsi="宋体" w:cs="宋体"/>
          <w:color w:val="auto"/>
          <w:sz w:val="24"/>
          <w:szCs w:val="24"/>
          <w:highlight w:val="none"/>
          <w:u w:val="single"/>
          <w:lang w:val="en-US" w:eastAsia="zh-CN"/>
        </w:rPr>
        <w:t xml:space="preserve">                        </w:t>
      </w:r>
      <w:r>
        <w:rPr>
          <w:rFonts w:hint="eastAsia" w:hAnsi="宋体" w:cs="宋体"/>
          <w:color w:val="auto"/>
          <w:sz w:val="24"/>
          <w:szCs w:val="24"/>
          <w:highlight w:val="none"/>
          <w:lang w:val="en-US" w:eastAsia="zh-CN"/>
        </w:rPr>
        <w:t xml:space="preserve">               </w:t>
      </w:r>
    </w:p>
    <w:p w14:paraId="41B5EC98">
      <w:pPr>
        <w:pStyle w:val="12"/>
        <w:kinsoku w:val="0"/>
        <w:overflowPunct w:val="0"/>
        <w:spacing w:before="9"/>
        <w:ind w:left="0"/>
        <w:rPr>
          <w:rFonts w:hint="eastAsia" w:ascii="宋体" w:hAnsi="宋体" w:eastAsia="宋体" w:cs="宋体"/>
          <w:color w:val="auto"/>
          <w:sz w:val="24"/>
          <w:szCs w:val="24"/>
          <w:highlight w:val="none"/>
        </w:rPr>
      </w:pPr>
    </w:p>
    <w:p w14:paraId="0B30E64E">
      <w:pPr>
        <w:pStyle w:val="12"/>
        <w:tabs>
          <w:tab w:val="left" w:pos="736"/>
          <w:tab w:val="left" w:pos="1682"/>
          <w:tab w:val="left" w:pos="2626"/>
        </w:tabs>
        <w:kinsoku w:val="0"/>
        <w:overflowPunct w:val="0"/>
        <w:spacing w:before="36"/>
        <w:ind w:left="0" w:right="113"/>
        <w:jc w:val="both"/>
        <w:rPr>
          <w:rFonts w:hint="eastAsia" w:cs="宋体"/>
          <w:color w:val="auto"/>
          <w:sz w:val="24"/>
          <w:szCs w:val="24"/>
          <w:highlight w:val="none"/>
          <w:u w:val="single"/>
          <w:lang w:val="en-US" w:eastAsia="zh-CN"/>
        </w:rPr>
      </w:pPr>
      <w:r>
        <w:rPr>
          <w:rFonts w:hint="eastAsia" w:cs="宋体"/>
          <w:color w:val="auto"/>
          <w:sz w:val="24"/>
          <w:szCs w:val="24"/>
          <w:highlight w:val="none"/>
          <w:lang w:val="en-US" w:eastAsia="zh-CN"/>
        </w:rPr>
        <w:t xml:space="preserve">                                  </w:t>
      </w:r>
      <w:r>
        <w:rPr>
          <w:rFonts w:hint="eastAsia" w:cs="宋体"/>
          <w:color w:val="auto"/>
          <w:sz w:val="24"/>
          <w:szCs w:val="24"/>
          <w:highlight w:val="none"/>
          <w:u w:val="single"/>
          <w:lang w:val="en-US" w:eastAsia="zh-CN"/>
        </w:rPr>
        <w:t xml:space="preserve">        </w:t>
      </w:r>
      <w:r>
        <w:rPr>
          <w:rFonts w:hint="eastAsia" w:cs="宋体"/>
          <w:color w:val="auto"/>
          <w:sz w:val="24"/>
          <w:szCs w:val="24"/>
          <w:highlight w:val="none"/>
          <w:lang w:val="en-US" w:eastAsia="zh-CN"/>
        </w:rPr>
        <w:t>年</w:t>
      </w:r>
      <w:r>
        <w:rPr>
          <w:rFonts w:hint="eastAsia" w:cs="宋体"/>
          <w:color w:val="auto"/>
          <w:sz w:val="24"/>
          <w:szCs w:val="24"/>
          <w:highlight w:val="none"/>
          <w:u w:val="single"/>
          <w:lang w:val="en-US" w:eastAsia="zh-CN"/>
        </w:rPr>
        <w:t xml:space="preserve">     </w:t>
      </w:r>
      <w:r>
        <w:rPr>
          <w:rFonts w:hint="eastAsia" w:cs="宋体"/>
          <w:color w:val="auto"/>
          <w:sz w:val="24"/>
          <w:szCs w:val="24"/>
          <w:highlight w:val="none"/>
          <w:lang w:val="en-US" w:eastAsia="zh-CN"/>
        </w:rPr>
        <w:t>月</w:t>
      </w:r>
      <w:r>
        <w:rPr>
          <w:rFonts w:hint="eastAsia" w:cs="宋体"/>
          <w:color w:val="auto"/>
          <w:sz w:val="24"/>
          <w:szCs w:val="24"/>
          <w:highlight w:val="none"/>
          <w:u w:val="single"/>
          <w:lang w:val="en-US" w:eastAsia="zh-CN"/>
        </w:rPr>
        <w:t xml:space="preserve">     </w:t>
      </w:r>
      <w:r>
        <w:rPr>
          <w:rFonts w:hint="eastAsia" w:cs="宋体"/>
          <w:color w:val="auto"/>
          <w:sz w:val="24"/>
          <w:szCs w:val="24"/>
          <w:highlight w:val="none"/>
          <w:lang w:val="en-US" w:eastAsia="zh-CN"/>
        </w:rPr>
        <w:t>日</w:t>
      </w:r>
    </w:p>
    <w:p w14:paraId="2A96712A">
      <w:pPr>
        <w:pStyle w:val="12"/>
        <w:tabs>
          <w:tab w:val="left" w:pos="736"/>
          <w:tab w:val="left" w:pos="1682"/>
          <w:tab w:val="left" w:pos="2626"/>
        </w:tabs>
        <w:kinsoku w:val="0"/>
        <w:overflowPunct w:val="0"/>
        <w:spacing w:before="36"/>
        <w:ind w:left="0"/>
        <w:jc w:val="right"/>
        <w:rPr>
          <w:rFonts w:hint="eastAsia" w:ascii="宋体" w:hAnsi="宋体" w:eastAsia="宋体" w:cs="宋体"/>
          <w:color w:val="auto"/>
          <w:sz w:val="24"/>
          <w:szCs w:val="24"/>
          <w:highlight w:val="none"/>
        </w:rPr>
      </w:pPr>
    </w:p>
    <w:p w14:paraId="5CED817D">
      <w:pPr>
        <w:pStyle w:val="12"/>
        <w:tabs>
          <w:tab w:val="left" w:pos="736"/>
          <w:tab w:val="left" w:pos="1682"/>
          <w:tab w:val="left" w:pos="2626"/>
        </w:tabs>
        <w:kinsoku w:val="0"/>
        <w:overflowPunct w:val="0"/>
        <w:spacing w:before="36"/>
        <w:ind w:left="0"/>
        <w:jc w:val="right"/>
        <w:rPr>
          <w:rFonts w:hint="eastAsia" w:ascii="宋体" w:hAnsi="宋体" w:eastAsia="宋体" w:cs="宋体"/>
          <w:color w:val="auto"/>
          <w:sz w:val="24"/>
          <w:szCs w:val="24"/>
          <w:highlight w:val="none"/>
        </w:rPr>
      </w:pPr>
    </w:p>
    <w:p w14:paraId="11F7EF9F">
      <w:pPr>
        <w:pStyle w:val="12"/>
        <w:tabs>
          <w:tab w:val="left" w:pos="736"/>
          <w:tab w:val="left" w:pos="1682"/>
          <w:tab w:val="left" w:pos="2626"/>
        </w:tabs>
        <w:kinsoku w:val="0"/>
        <w:overflowPunct w:val="0"/>
        <w:spacing w:before="36"/>
        <w:ind w:left="0"/>
        <w:jc w:val="right"/>
        <w:rPr>
          <w:rFonts w:hint="eastAsia" w:ascii="宋体" w:hAnsi="宋体" w:eastAsia="宋体" w:cs="宋体"/>
          <w:color w:val="auto"/>
          <w:sz w:val="24"/>
          <w:szCs w:val="24"/>
          <w:highlight w:val="none"/>
        </w:rPr>
      </w:pPr>
    </w:p>
    <w:p w14:paraId="0AC6AA79">
      <w:pPr>
        <w:pStyle w:val="12"/>
        <w:tabs>
          <w:tab w:val="left" w:pos="736"/>
          <w:tab w:val="left" w:pos="1682"/>
          <w:tab w:val="left" w:pos="2626"/>
        </w:tabs>
        <w:kinsoku w:val="0"/>
        <w:overflowPunct w:val="0"/>
        <w:spacing w:before="36"/>
        <w:ind w:left="0"/>
        <w:jc w:val="right"/>
        <w:rPr>
          <w:rFonts w:hint="eastAsia" w:ascii="宋体" w:hAnsi="宋体" w:eastAsia="宋体" w:cs="宋体"/>
          <w:color w:val="auto"/>
          <w:sz w:val="24"/>
          <w:szCs w:val="24"/>
          <w:highlight w:val="none"/>
        </w:rPr>
      </w:pPr>
    </w:p>
    <w:p w14:paraId="2C7AC641">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335C50EA">
      <w:pPr>
        <w:pStyle w:val="3"/>
        <w:jc w:val="center"/>
        <w:rPr>
          <w:rFonts w:hint="eastAsia" w:cs="宋体"/>
          <w:highlight w:val="none"/>
        </w:rPr>
      </w:pPr>
      <w:r>
        <w:rPr>
          <w:rFonts w:hint="eastAsia" w:cs="宋体"/>
          <w:highlight w:val="none"/>
          <w:lang w:eastAsia="zh-CN"/>
        </w:rPr>
        <w:t>三</w:t>
      </w:r>
      <w:r>
        <w:rPr>
          <w:rFonts w:hint="eastAsia" w:cs="宋体"/>
          <w:highlight w:val="none"/>
        </w:rPr>
        <w:t>、关于投标保证金的承诺</w:t>
      </w:r>
    </w:p>
    <w:p w14:paraId="4B6BF456">
      <w:pPr>
        <w:pStyle w:val="16"/>
        <w:spacing w:line="560" w:lineRule="exact"/>
        <w:ind w:firstLine="560" w:firstLineChars="200"/>
        <w:rPr>
          <w:rFonts w:hint="eastAsia" w:hAnsi="宋体" w:cs="宋体"/>
          <w:sz w:val="28"/>
          <w:szCs w:val="28"/>
          <w:highlight w:val="none"/>
        </w:rPr>
      </w:pPr>
    </w:p>
    <w:p w14:paraId="1CF48BDD">
      <w:pPr>
        <w:spacing w:line="360" w:lineRule="auto"/>
        <w:jc w:val="left"/>
        <w:rPr>
          <w:rFonts w:hint="eastAsia" w:ascii="宋体" w:hAnsi="宋体" w:cs="宋体"/>
          <w:strike w:val="0"/>
          <w:color w:val="000000" w:themeColor="text1"/>
          <w:sz w:val="28"/>
          <w:szCs w:val="28"/>
          <w:highlight w:val="none"/>
          <w14:textFill>
            <w14:solidFill>
              <w14:schemeClr w14:val="tx1"/>
            </w14:solidFill>
          </w14:textFill>
        </w:rPr>
      </w:pPr>
      <w:r>
        <w:rPr>
          <w:rFonts w:hint="eastAsia" w:ascii="宋体" w:hAnsi="宋体" w:cs="宋体"/>
          <w:strike w:val="0"/>
          <w:color w:val="000000" w:themeColor="text1"/>
          <w:sz w:val="28"/>
          <w:szCs w:val="28"/>
          <w:highlight w:val="none"/>
          <w14:textFill>
            <w14:solidFill>
              <w14:schemeClr w14:val="tx1"/>
            </w14:solidFill>
          </w14:textFill>
        </w:rPr>
        <w:t>本招标项目招标人及招标监管机构：</w:t>
      </w:r>
    </w:p>
    <w:p w14:paraId="431A540D">
      <w:pPr>
        <w:spacing w:line="360" w:lineRule="auto"/>
        <w:ind w:firstLine="560" w:firstLineChars="200"/>
        <w:jc w:val="left"/>
        <w:outlineLvl w:val="2"/>
        <w:rPr>
          <w:rFonts w:hint="eastAsia" w:ascii="宋体" w:hAnsi="宋体" w:cs="宋体"/>
          <w:strike w:val="0"/>
          <w:color w:val="auto"/>
          <w:sz w:val="28"/>
          <w:szCs w:val="28"/>
          <w:highlight w:val="none"/>
          <w:lang w:val="en-US" w:eastAsia="zh-CN"/>
        </w:rPr>
      </w:pPr>
      <w:r>
        <w:rPr>
          <w:rFonts w:hint="eastAsia" w:ascii="宋体" w:hAnsi="宋体" w:cs="宋体"/>
          <w:strike w:val="0"/>
          <w:color w:val="auto"/>
          <w:sz w:val="28"/>
          <w:szCs w:val="28"/>
          <w:highlight w:val="none"/>
          <w:lang w:val="en-US" w:eastAsia="zh-CN"/>
        </w:rPr>
        <w:t>本公司就参加</w:t>
      </w:r>
      <w:r>
        <w:rPr>
          <w:rFonts w:hint="eastAsia" w:ascii="宋体" w:hAnsi="宋体" w:cs="宋体"/>
          <w:strike w:val="0"/>
          <w:color w:val="auto"/>
          <w:sz w:val="28"/>
          <w:szCs w:val="28"/>
          <w:highlight w:val="none"/>
          <w:u w:val="single"/>
          <w:lang w:val="en-US" w:eastAsia="zh-CN"/>
        </w:rPr>
        <w:t xml:space="preserve">           （标段名称）</w:t>
      </w:r>
      <w:r>
        <w:rPr>
          <w:rFonts w:hint="eastAsia" w:ascii="宋体" w:hAnsi="宋体" w:cs="宋体"/>
          <w:strike w:val="0"/>
          <w:color w:val="auto"/>
          <w:sz w:val="28"/>
          <w:szCs w:val="28"/>
          <w:highlight w:val="none"/>
          <w:lang w:val="en-US" w:eastAsia="zh-CN"/>
        </w:rPr>
        <w:t>的投标工作，作出郑重声明：</w:t>
      </w:r>
    </w:p>
    <w:p w14:paraId="74B71145">
      <w:pPr>
        <w:spacing w:line="360" w:lineRule="auto"/>
        <w:ind w:firstLine="560" w:firstLineChars="200"/>
        <w:jc w:val="left"/>
        <w:outlineLvl w:val="2"/>
        <w:rPr>
          <w:rFonts w:hint="eastAsia" w:ascii="宋体" w:hAnsi="宋体" w:cs="宋体"/>
          <w:strike w:val="0"/>
          <w:color w:val="auto"/>
          <w:sz w:val="28"/>
          <w:szCs w:val="28"/>
          <w:highlight w:val="none"/>
          <w:lang w:val="en-US" w:eastAsia="zh-CN"/>
        </w:rPr>
      </w:pPr>
      <w:r>
        <w:rPr>
          <w:rFonts w:hint="eastAsia" w:ascii="宋体" w:hAnsi="宋体" w:cs="宋体"/>
          <w:strike w:val="0"/>
          <w:color w:val="auto"/>
          <w:sz w:val="28"/>
          <w:szCs w:val="28"/>
          <w:highlight w:val="none"/>
          <w:lang w:val="en-US" w:eastAsia="zh-CN"/>
        </w:rPr>
        <w:t>本公司在投标时未提交投标保证金。我司理解在投标时免交投标保证金是为企业减负的举措，并未免除我司的投标义务，本公司一旦发生符合招标文件规定的不予退还投标保证金情形的，将按照招标人的要求，在规定的时间内向招标人足额补交投标保证金。</w:t>
      </w:r>
    </w:p>
    <w:p w14:paraId="3B7A9E67">
      <w:pPr>
        <w:spacing w:line="360" w:lineRule="auto"/>
        <w:ind w:firstLine="560" w:firstLineChars="200"/>
        <w:jc w:val="left"/>
        <w:outlineLvl w:val="2"/>
        <w:rPr>
          <w:rFonts w:hint="eastAsia" w:ascii="宋体" w:hAnsi="宋体" w:cs="宋体"/>
          <w:strike w:val="0"/>
          <w:color w:val="auto"/>
          <w:sz w:val="28"/>
          <w:szCs w:val="28"/>
          <w:highlight w:val="none"/>
          <w:lang w:val="en-US" w:eastAsia="zh-CN"/>
        </w:rPr>
      </w:pPr>
      <w:r>
        <w:rPr>
          <w:rFonts w:hint="eastAsia" w:ascii="宋体" w:hAnsi="宋体" w:cs="宋体"/>
          <w:strike w:val="0"/>
          <w:color w:val="auto"/>
          <w:sz w:val="28"/>
          <w:szCs w:val="28"/>
          <w:highlight w:val="none"/>
          <w:lang w:val="en-US" w:eastAsia="zh-CN"/>
        </w:rPr>
        <w:t>本公司违反上述保证的，将被视为虚假承诺，按相关规定进行信用记录。本公司对失信行为产生的一切后果已知悉，并承担由此产生的相应责任。</w:t>
      </w:r>
    </w:p>
    <w:p w14:paraId="59B03B01">
      <w:pPr>
        <w:spacing w:line="360" w:lineRule="auto"/>
        <w:ind w:firstLine="560" w:firstLineChars="200"/>
        <w:jc w:val="left"/>
        <w:outlineLvl w:val="2"/>
        <w:rPr>
          <w:rFonts w:hint="eastAsia" w:ascii="宋体" w:hAnsi="宋体" w:cs="宋体"/>
          <w:strike w:val="0"/>
          <w:color w:val="auto"/>
          <w:sz w:val="28"/>
          <w:szCs w:val="28"/>
          <w:highlight w:val="none"/>
          <w:lang w:val="en-US" w:eastAsia="zh-CN"/>
        </w:rPr>
      </w:pPr>
      <w:r>
        <w:rPr>
          <w:rFonts w:hint="eastAsia" w:ascii="宋体" w:hAnsi="宋体" w:cs="宋体"/>
          <w:strike w:val="0"/>
          <w:color w:val="auto"/>
          <w:sz w:val="28"/>
          <w:szCs w:val="28"/>
          <w:highlight w:val="none"/>
          <w:lang w:val="en-US" w:eastAsia="zh-CN"/>
        </w:rPr>
        <w:t>特此承诺。</w:t>
      </w:r>
    </w:p>
    <w:p w14:paraId="1CC0E368">
      <w:pPr>
        <w:jc w:val="left"/>
        <w:rPr>
          <w:rFonts w:hint="eastAsia" w:ascii="宋体" w:hAnsi="宋体" w:cs="宋体"/>
          <w:spacing w:val="4"/>
          <w:kern w:val="0"/>
          <w:szCs w:val="21"/>
          <w:highlight w:val="none"/>
        </w:rPr>
      </w:pPr>
    </w:p>
    <w:p w14:paraId="311CC83D">
      <w:pPr>
        <w:jc w:val="left"/>
        <w:rPr>
          <w:rFonts w:hint="eastAsia" w:ascii="宋体" w:hAnsi="宋体" w:cs="宋体"/>
          <w:spacing w:val="4"/>
          <w:kern w:val="0"/>
          <w:szCs w:val="21"/>
          <w:highlight w:val="none"/>
        </w:rPr>
      </w:pPr>
    </w:p>
    <w:p w14:paraId="1A02B149">
      <w:pPr>
        <w:pStyle w:val="12"/>
        <w:rPr>
          <w:rFonts w:hint="eastAsia" w:ascii="宋体" w:hAnsi="宋体" w:cs="宋体"/>
          <w:spacing w:val="4"/>
          <w:szCs w:val="21"/>
          <w:highlight w:val="none"/>
        </w:rPr>
      </w:pPr>
    </w:p>
    <w:p w14:paraId="7F4885E9">
      <w:pPr>
        <w:rPr>
          <w:rFonts w:hint="eastAsia" w:ascii="宋体" w:hAnsi="宋体" w:cs="宋体"/>
          <w:szCs w:val="24"/>
          <w:highlight w:val="none"/>
        </w:rPr>
      </w:pPr>
    </w:p>
    <w:p w14:paraId="1E345BF6">
      <w:pPr>
        <w:spacing w:line="360" w:lineRule="auto"/>
        <w:ind w:firstLine="3120" w:firstLineChars="1300"/>
        <w:jc w:val="left"/>
        <w:rPr>
          <w:rFonts w:hint="eastAsia" w:ascii="宋体" w:hAnsi="宋体" w:cs="宋体"/>
          <w:strike w:val="0"/>
          <w:color w:val="000000" w:themeColor="text1"/>
          <w:sz w:val="24"/>
          <w:highlight w:val="none"/>
          <w14:textFill>
            <w14:solidFill>
              <w14:schemeClr w14:val="tx1"/>
            </w14:solidFill>
          </w14:textFill>
        </w:rPr>
      </w:pPr>
      <w:bookmarkStart w:id="132" w:name="_Toc22758"/>
      <w:r>
        <w:rPr>
          <w:rFonts w:hint="eastAsia" w:ascii="宋体" w:hAnsi="宋体" w:cs="宋体"/>
          <w:strike w:val="0"/>
          <w:color w:val="000000" w:themeColor="text1"/>
          <w:sz w:val="24"/>
          <w:highlight w:val="none"/>
          <w:lang w:val="en-US" w:eastAsia="zh-CN"/>
          <w14:textFill>
            <w14:solidFill>
              <w14:schemeClr w14:val="tx1"/>
            </w14:solidFill>
          </w14:textFill>
        </w:rPr>
        <w:t>单位名称</w:t>
      </w:r>
      <w:r>
        <w:rPr>
          <w:rFonts w:hint="eastAsia" w:ascii="宋体" w:hAnsi="宋体" w:cs="宋体"/>
          <w:strike w:val="0"/>
          <w:color w:val="000000" w:themeColor="text1"/>
          <w:sz w:val="24"/>
          <w:highlight w:val="none"/>
          <w14:textFill>
            <w14:solidFill>
              <w14:schemeClr w14:val="tx1"/>
            </w14:solidFill>
          </w14:textFill>
        </w:rPr>
        <w:t>：　　（盖章）</w:t>
      </w:r>
    </w:p>
    <w:p w14:paraId="7AAB775F">
      <w:pPr>
        <w:pStyle w:val="12"/>
        <w:tabs>
          <w:tab w:val="left" w:pos="736"/>
          <w:tab w:val="left" w:pos="1682"/>
          <w:tab w:val="left" w:pos="2626"/>
        </w:tabs>
        <w:kinsoku w:val="0"/>
        <w:overflowPunct w:val="0"/>
        <w:spacing w:before="36"/>
        <w:ind w:left="0" w:right="113" w:firstLine="3120" w:firstLineChars="1300"/>
        <w:jc w:val="both"/>
        <w:rPr>
          <w:rFonts w:hint="default"/>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u w:val="none"/>
          <w:lang w:val="en-US" w:eastAsia="zh-CN"/>
          <w14:textFill>
            <w14:solidFill>
              <w14:schemeClr w14:val="tx1"/>
            </w14:solidFill>
          </w14:textFill>
        </w:rPr>
        <w:t xml:space="preserve">日  期：   </w:t>
      </w:r>
      <w:r>
        <w:rPr>
          <w:rFonts w:hint="default"/>
          <w:color w:val="000000" w:themeColor="text1"/>
          <w:sz w:val="24"/>
          <w:szCs w:val="24"/>
          <w:highlight w:val="none"/>
          <w:lang w:val="en-US" w:eastAsia="zh-CN"/>
          <w14:textFill>
            <w14:solidFill>
              <w14:schemeClr w14:val="tx1"/>
            </w14:solidFill>
          </w14:textFill>
        </w:rPr>
        <w:t>年</w:t>
      </w:r>
      <w:r>
        <w:rPr>
          <w:rFonts w:hint="eastAsia"/>
          <w:color w:val="000000" w:themeColor="text1"/>
          <w:sz w:val="24"/>
          <w:szCs w:val="24"/>
          <w:highlight w:val="none"/>
          <w:u w:val="none"/>
          <w:lang w:val="en-US" w:eastAsia="zh-CN"/>
          <w14:textFill>
            <w14:solidFill>
              <w14:schemeClr w14:val="tx1"/>
            </w14:solidFill>
          </w14:textFill>
        </w:rPr>
        <w:t xml:space="preserve">   </w:t>
      </w:r>
      <w:r>
        <w:rPr>
          <w:rFonts w:hint="default"/>
          <w:color w:val="000000" w:themeColor="text1"/>
          <w:sz w:val="24"/>
          <w:szCs w:val="24"/>
          <w:highlight w:val="none"/>
          <w:lang w:val="en-US" w:eastAsia="zh-CN"/>
          <w14:textFill>
            <w14:solidFill>
              <w14:schemeClr w14:val="tx1"/>
            </w14:solidFill>
          </w14:textFill>
        </w:rPr>
        <w:t>月</w:t>
      </w:r>
      <w:r>
        <w:rPr>
          <w:rFonts w:hint="eastAsia"/>
          <w:color w:val="000000" w:themeColor="text1"/>
          <w:sz w:val="24"/>
          <w:szCs w:val="24"/>
          <w:highlight w:val="none"/>
          <w:u w:val="none"/>
          <w:lang w:val="en-US" w:eastAsia="zh-CN"/>
          <w14:textFill>
            <w14:solidFill>
              <w14:schemeClr w14:val="tx1"/>
            </w14:solidFill>
          </w14:textFill>
        </w:rPr>
        <w:t xml:space="preserve">   </w:t>
      </w:r>
      <w:r>
        <w:rPr>
          <w:rFonts w:hint="default"/>
          <w:color w:val="000000" w:themeColor="text1"/>
          <w:sz w:val="24"/>
          <w:szCs w:val="24"/>
          <w:highlight w:val="none"/>
          <w:lang w:val="en-US" w:eastAsia="zh-CN"/>
          <w14:textFill>
            <w14:solidFill>
              <w14:schemeClr w14:val="tx1"/>
            </w14:solidFill>
          </w14:textFill>
        </w:rPr>
        <w:t>日</w:t>
      </w:r>
    </w:p>
    <w:p w14:paraId="6DCBCF38">
      <w:pPr>
        <w:rPr>
          <w:rFonts w:hint="default"/>
          <w:color w:val="000000" w:themeColor="text1"/>
          <w:sz w:val="24"/>
          <w:szCs w:val="24"/>
          <w:highlight w:val="none"/>
          <w:lang w:val="en-US" w:eastAsia="zh-CN"/>
          <w14:textFill>
            <w14:solidFill>
              <w14:schemeClr w14:val="tx1"/>
            </w14:solidFill>
          </w14:textFill>
        </w:rPr>
      </w:pPr>
      <w:r>
        <w:rPr>
          <w:rFonts w:hint="default"/>
          <w:color w:val="000000" w:themeColor="text1"/>
          <w:sz w:val="24"/>
          <w:szCs w:val="24"/>
          <w:highlight w:val="none"/>
          <w:lang w:val="en-US" w:eastAsia="zh-CN"/>
          <w14:textFill>
            <w14:solidFill>
              <w14:schemeClr w14:val="tx1"/>
            </w14:solidFill>
          </w14:textFill>
        </w:rPr>
        <w:br w:type="page"/>
      </w:r>
    </w:p>
    <w:p w14:paraId="1411B724">
      <w:pPr>
        <w:pStyle w:val="12"/>
        <w:tabs>
          <w:tab w:val="left" w:pos="736"/>
          <w:tab w:val="left" w:pos="1682"/>
          <w:tab w:val="left" w:pos="2626"/>
        </w:tabs>
        <w:kinsoku w:val="0"/>
        <w:overflowPunct w:val="0"/>
        <w:spacing w:before="36"/>
        <w:ind w:left="0" w:right="113" w:firstLine="3120" w:firstLineChars="1300"/>
        <w:jc w:val="both"/>
        <w:rPr>
          <w:rFonts w:hint="default"/>
          <w:color w:val="000000" w:themeColor="text1"/>
          <w:sz w:val="24"/>
          <w:szCs w:val="24"/>
          <w:highlight w:val="none"/>
          <w:lang w:val="en-US" w:eastAsia="zh-CN"/>
          <w14:textFill>
            <w14:solidFill>
              <w14:schemeClr w14:val="tx1"/>
            </w14:solidFill>
          </w14:textFill>
        </w:rPr>
      </w:pPr>
    </w:p>
    <w:p w14:paraId="401B03F4">
      <w:pPr>
        <w:pStyle w:val="4"/>
        <w:jc w:val="center"/>
        <w:outlineLvl w:val="1"/>
        <w:rPr>
          <w:rFonts w:hint="eastAsia" w:eastAsia="宋体" w:cs="宋体"/>
          <w:color w:val="auto"/>
          <w:sz w:val="28"/>
          <w:szCs w:val="24"/>
          <w:highlight w:val="none"/>
          <w:lang w:eastAsia="zh-CN"/>
        </w:rPr>
      </w:pPr>
      <w:r>
        <w:rPr>
          <w:rFonts w:hint="eastAsia" w:cs="宋体"/>
          <w:color w:val="auto"/>
          <w:sz w:val="28"/>
          <w:szCs w:val="24"/>
          <w:highlight w:val="none"/>
          <w:lang w:eastAsia="zh-CN"/>
        </w:rPr>
        <w:t>四</w:t>
      </w:r>
      <w:r>
        <w:rPr>
          <w:rFonts w:hint="eastAsia" w:cs="宋体"/>
          <w:color w:val="auto"/>
          <w:sz w:val="28"/>
          <w:szCs w:val="24"/>
          <w:highlight w:val="none"/>
        </w:rPr>
        <w:t>、监理报酬清单</w:t>
      </w:r>
      <w:bookmarkEnd w:id="132"/>
    </w:p>
    <w:p w14:paraId="4AE5F017">
      <w:pPr>
        <w:pStyle w:val="12"/>
        <w:kinsoku w:val="0"/>
        <w:overflowPunct w:val="0"/>
        <w:ind w:left="0"/>
        <w:rPr>
          <w:rFonts w:hint="eastAsia" w:cs="宋体"/>
          <w:color w:val="auto"/>
          <w:sz w:val="20"/>
          <w:szCs w:val="24"/>
          <w:highlight w:val="none"/>
        </w:rPr>
      </w:pPr>
    </w:p>
    <w:p w14:paraId="12E9B319">
      <w:pPr>
        <w:spacing w:line="440" w:lineRule="exact"/>
        <w:rPr>
          <w:rFonts w:hint="eastAsia" w:ascii="宋体" w:hAnsi="宋体" w:eastAsia="宋体" w:cs="宋体"/>
          <w:strike w:val="0"/>
          <w:color w:val="auto"/>
          <w:sz w:val="21"/>
          <w:szCs w:val="21"/>
          <w:highlight w:val="none"/>
          <w:lang w:val="en-US" w:eastAsia="zh-CN"/>
        </w:rPr>
      </w:pPr>
      <w:r>
        <w:rPr>
          <w:rFonts w:hint="eastAsia" w:ascii="宋体" w:hAnsi="宋体" w:cs="宋体"/>
          <w:strike w:val="0"/>
          <w:color w:val="auto"/>
          <w:sz w:val="21"/>
          <w:szCs w:val="21"/>
          <w:highlight w:val="none"/>
          <w:lang w:eastAsia="zh-CN"/>
        </w:rPr>
        <w:t>标段</w:t>
      </w:r>
      <w:r>
        <w:rPr>
          <w:rFonts w:hint="eastAsia" w:ascii="宋体" w:hAnsi="宋体" w:eastAsia="宋体" w:cs="宋体"/>
          <w:strike w:val="0"/>
          <w:color w:val="auto"/>
          <w:sz w:val="21"/>
          <w:szCs w:val="21"/>
          <w:highlight w:val="none"/>
          <w:lang w:eastAsia="zh-CN"/>
        </w:rPr>
        <w:t>名称</w:t>
      </w:r>
      <w:r>
        <w:rPr>
          <w:rFonts w:hint="eastAsia" w:ascii="宋体" w:hAnsi="宋体" w:eastAsia="宋体" w:cs="宋体"/>
          <w:strike w:val="0"/>
          <w:color w:val="auto"/>
          <w:sz w:val="21"/>
          <w:szCs w:val="21"/>
          <w:highlight w:val="none"/>
        </w:rPr>
        <w:t>：</w:t>
      </w:r>
      <w:r>
        <w:rPr>
          <w:rFonts w:hint="eastAsia" w:ascii="宋体" w:hAnsi="宋体" w:eastAsia="宋体" w:cs="宋体"/>
          <w:strike w:val="0"/>
          <w:color w:val="auto"/>
          <w:sz w:val="21"/>
          <w:szCs w:val="21"/>
          <w:highlight w:val="none"/>
          <w:u w:val="single"/>
          <w:lang w:val="en-US" w:eastAsia="zh-CN"/>
        </w:rPr>
        <w:t xml:space="preserve">                 </w:t>
      </w:r>
      <w:r>
        <w:rPr>
          <w:rFonts w:hint="eastAsia" w:ascii="宋体" w:hAnsi="宋体" w:eastAsia="宋体" w:cs="宋体"/>
          <w:strike w:val="0"/>
          <w:color w:val="auto"/>
          <w:sz w:val="21"/>
          <w:szCs w:val="21"/>
          <w:highlight w:val="none"/>
          <w:lang w:val="en-US" w:eastAsia="zh-CN"/>
        </w:rPr>
        <w:t xml:space="preserve"> </w:t>
      </w:r>
    </w:p>
    <w:tbl>
      <w:tblPr>
        <w:tblStyle w:val="27"/>
        <w:tblW w:w="90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565"/>
        <w:gridCol w:w="1822"/>
        <w:gridCol w:w="1822"/>
        <w:gridCol w:w="992"/>
      </w:tblGrid>
      <w:tr w14:paraId="33261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8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5DB4EAD">
            <w:pPr>
              <w:jc w:val="center"/>
              <w:rPr>
                <w:rFonts w:hint="eastAsia" w:ascii="宋体" w:hAnsi="宋体" w:eastAsia="宋体" w:cs="宋体"/>
                <w:b/>
                <w:strike w:val="0"/>
                <w:color w:val="auto"/>
                <w:sz w:val="21"/>
                <w:szCs w:val="21"/>
                <w:highlight w:val="none"/>
              </w:rPr>
            </w:pPr>
            <w:r>
              <w:rPr>
                <w:rFonts w:hint="eastAsia" w:ascii="宋体" w:hAnsi="宋体" w:eastAsia="宋体" w:cs="宋体"/>
                <w:b/>
                <w:strike w:val="0"/>
                <w:color w:val="auto"/>
                <w:sz w:val="21"/>
                <w:szCs w:val="21"/>
                <w:highlight w:val="none"/>
              </w:rPr>
              <w:t>序号</w:t>
            </w:r>
          </w:p>
        </w:tc>
        <w:tc>
          <w:tcPr>
            <w:tcW w:w="35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F36BD2D">
            <w:pPr>
              <w:jc w:val="center"/>
              <w:rPr>
                <w:rFonts w:hint="eastAsia" w:ascii="宋体" w:hAnsi="宋体" w:eastAsia="宋体" w:cs="宋体"/>
                <w:strike w:val="0"/>
                <w:color w:val="auto"/>
                <w:sz w:val="21"/>
                <w:szCs w:val="21"/>
                <w:highlight w:val="none"/>
              </w:rPr>
            </w:pPr>
            <w:r>
              <w:rPr>
                <w:rFonts w:hint="eastAsia" w:ascii="宋体" w:hAnsi="宋体" w:eastAsia="宋体" w:cs="宋体"/>
                <w:b/>
                <w:strike w:val="0"/>
                <w:color w:val="auto"/>
                <w:sz w:val="21"/>
                <w:szCs w:val="21"/>
                <w:highlight w:val="none"/>
              </w:rPr>
              <w:t>监理子项目名称</w:t>
            </w:r>
          </w:p>
        </w:tc>
        <w:tc>
          <w:tcPr>
            <w:tcW w:w="18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05B1093">
            <w:pPr>
              <w:jc w:val="center"/>
              <w:rPr>
                <w:rFonts w:hint="eastAsia" w:ascii="宋体" w:hAnsi="宋体" w:eastAsia="宋体" w:cs="宋体"/>
                <w:b/>
                <w:strike w:val="0"/>
                <w:color w:val="auto"/>
                <w:sz w:val="21"/>
                <w:szCs w:val="21"/>
                <w:highlight w:val="none"/>
                <w:lang w:eastAsia="zh-CN"/>
              </w:rPr>
            </w:pPr>
            <w:r>
              <w:rPr>
                <w:rFonts w:hint="eastAsia" w:ascii="宋体" w:hAnsi="宋体" w:eastAsia="宋体" w:cs="宋体"/>
                <w:b/>
                <w:strike w:val="0"/>
                <w:color w:val="auto"/>
                <w:sz w:val="21"/>
                <w:szCs w:val="21"/>
                <w:highlight w:val="none"/>
              </w:rPr>
              <w:t>投标下浮率(%)</w:t>
            </w:r>
          </w:p>
        </w:tc>
        <w:tc>
          <w:tcPr>
            <w:tcW w:w="18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94E4833">
            <w:pPr>
              <w:jc w:val="center"/>
              <w:rPr>
                <w:rFonts w:hint="eastAsia" w:ascii="宋体" w:hAnsi="宋体" w:eastAsia="宋体" w:cs="宋体"/>
                <w:b/>
                <w:strike w:val="0"/>
                <w:color w:val="auto"/>
                <w:sz w:val="21"/>
                <w:szCs w:val="21"/>
                <w:highlight w:val="none"/>
              </w:rPr>
            </w:pPr>
            <w:r>
              <w:rPr>
                <w:rFonts w:hint="eastAsia" w:ascii="宋体" w:hAnsi="宋体" w:eastAsia="宋体" w:cs="宋体"/>
                <w:b/>
                <w:strike w:val="0"/>
                <w:color w:val="auto"/>
                <w:sz w:val="21"/>
                <w:szCs w:val="21"/>
                <w:highlight w:val="none"/>
                <w:lang w:eastAsia="zh-CN"/>
              </w:rPr>
              <w:t>投标报价</w:t>
            </w:r>
            <w:r>
              <w:rPr>
                <w:rFonts w:hint="eastAsia" w:ascii="宋体" w:hAnsi="宋体" w:eastAsia="宋体" w:cs="宋体"/>
                <w:b/>
                <w:strike w:val="0"/>
                <w:color w:val="auto"/>
                <w:sz w:val="21"/>
                <w:szCs w:val="21"/>
                <w:highlight w:val="none"/>
              </w:rPr>
              <w:t>（元）</w:t>
            </w:r>
          </w:p>
        </w:tc>
        <w:tc>
          <w:tcPr>
            <w:tcW w:w="99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F899442">
            <w:pPr>
              <w:jc w:val="center"/>
              <w:rPr>
                <w:rFonts w:hint="eastAsia" w:ascii="宋体" w:hAnsi="宋体" w:eastAsia="宋体" w:cs="宋体"/>
                <w:b/>
                <w:strike w:val="0"/>
                <w:color w:val="auto"/>
                <w:sz w:val="21"/>
                <w:szCs w:val="21"/>
                <w:highlight w:val="none"/>
              </w:rPr>
            </w:pPr>
            <w:r>
              <w:rPr>
                <w:rFonts w:hint="eastAsia" w:ascii="宋体" w:hAnsi="宋体" w:eastAsia="宋体" w:cs="宋体"/>
                <w:b/>
                <w:strike w:val="0"/>
                <w:color w:val="auto"/>
                <w:sz w:val="21"/>
                <w:szCs w:val="21"/>
                <w:highlight w:val="none"/>
              </w:rPr>
              <w:t>备注</w:t>
            </w:r>
          </w:p>
        </w:tc>
      </w:tr>
      <w:tr w14:paraId="0AFCC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8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B321F32">
            <w:pPr>
              <w:spacing w:line="360" w:lineRule="auto"/>
              <w:jc w:val="center"/>
              <w:rPr>
                <w:rFonts w:hint="eastAsia" w:ascii="宋体" w:hAnsi="宋体" w:eastAsia="宋体" w:cs="宋体"/>
                <w:strike/>
                <w:color w:val="auto"/>
                <w:sz w:val="21"/>
                <w:szCs w:val="21"/>
                <w:highlight w:val="none"/>
              </w:rPr>
            </w:pPr>
          </w:p>
        </w:tc>
        <w:tc>
          <w:tcPr>
            <w:tcW w:w="35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AE00328">
            <w:pPr>
              <w:rPr>
                <w:rFonts w:hint="eastAsia" w:ascii="宋体" w:hAnsi="宋体" w:eastAsia="宋体" w:cs="宋体"/>
                <w:strike/>
                <w:color w:val="auto"/>
                <w:sz w:val="21"/>
                <w:szCs w:val="21"/>
                <w:highlight w:val="none"/>
              </w:rPr>
            </w:pPr>
          </w:p>
        </w:tc>
        <w:tc>
          <w:tcPr>
            <w:tcW w:w="1822"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15121C8C">
            <w:pPr>
              <w:spacing w:line="360" w:lineRule="auto"/>
              <w:jc w:val="center"/>
              <w:rPr>
                <w:rFonts w:hint="eastAsia" w:ascii="宋体" w:hAnsi="宋体" w:eastAsia="宋体" w:cs="宋体"/>
                <w:strike/>
                <w:color w:val="auto"/>
                <w:sz w:val="21"/>
                <w:szCs w:val="21"/>
                <w:highlight w:val="none"/>
              </w:rPr>
            </w:pPr>
          </w:p>
        </w:tc>
        <w:tc>
          <w:tcPr>
            <w:tcW w:w="18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129AFBA">
            <w:pPr>
              <w:spacing w:line="360" w:lineRule="auto"/>
              <w:jc w:val="center"/>
              <w:rPr>
                <w:rFonts w:hint="eastAsia" w:ascii="宋体" w:hAnsi="宋体" w:eastAsia="宋体" w:cs="宋体"/>
                <w:strike/>
                <w:color w:val="auto"/>
                <w:sz w:val="21"/>
                <w:szCs w:val="21"/>
                <w:highlight w:val="none"/>
              </w:rPr>
            </w:pPr>
          </w:p>
        </w:tc>
        <w:tc>
          <w:tcPr>
            <w:tcW w:w="99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24A9693">
            <w:pPr>
              <w:spacing w:line="360" w:lineRule="auto"/>
              <w:jc w:val="center"/>
              <w:rPr>
                <w:rFonts w:hint="eastAsia" w:ascii="宋体" w:hAnsi="宋体" w:eastAsia="宋体" w:cs="宋体"/>
                <w:strike/>
                <w:color w:val="auto"/>
                <w:sz w:val="21"/>
                <w:szCs w:val="21"/>
                <w:highlight w:val="none"/>
              </w:rPr>
            </w:pPr>
          </w:p>
        </w:tc>
      </w:tr>
      <w:tr w14:paraId="6433A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8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ECCF2FA">
            <w:pPr>
              <w:spacing w:line="360" w:lineRule="auto"/>
              <w:jc w:val="center"/>
              <w:rPr>
                <w:rFonts w:hint="eastAsia" w:ascii="宋体" w:hAnsi="宋体" w:eastAsia="宋体" w:cs="宋体"/>
                <w:strike/>
                <w:color w:val="auto"/>
                <w:sz w:val="21"/>
                <w:szCs w:val="21"/>
                <w:highlight w:val="none"/>
              </w:rPr>
            </w:pPr>
          </w:p>
        </w:tc>
        <w:tc>
          <w:tcPr>
            <w:tcW w:w="35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064A0A9">
            <w:pPr>
              <w:rPr>
                <w:rFonts w:hint="eastAsia" w:ascii="宋体" w:hAnsi="宋体" w:eastAsia="宋体" w:cs="宋体"/>
                <w:strike/>
                <w:color w:val="auto"/>
                <w:sz w:val="21"/>
                <w:szCs w:val="21"/>
                <w:highlight w:val="none"/>
              </w:rPr>
            </w:pPr>
          </w:p>
        </w:tc>
        <w:tc>
          <w:tcPr>
            <w:tcW w:w="182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18E94A7">
            <w:pPr>
              <w:spacing w:line="360" w:lineRule="auto"/>
              <w:jc w:val="center"/>
              <w:rPr>
                <w:rFonts w:hint="eastAsia" w:ascii="宋体" w:hAnsi="宋体" w:eastAsia="宋体" w:cs="宋体"/>
                <w:strike/>
                <w:color w:val="auto"/>
                <w:sz w:val="21"/>
                <w:szCs w:val="21"/>
                <w:highlight w:val="none"/>
              </w:rPr>
            </w:pPr>
          </w:p>
        </w:tc>
        <w:tc>
          <w:tcPr>
            <w:tcW w:w="18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7502BD7">
            <w:pPr>
              <w:spacing w:line="360" w:lineRule="auto"/>
              <w:jc w:val="center"/>
              <w:rPr>
                <w:rFonts w:hint="eastAsia" w:ascii="宋体" w:hAnsi="宋体" w:eastAsia="宋体" w:cs="宋体"/>
                <w:strike/>
                <w:color w:val="auto"/>
                <w:sz w:val="21"/>
                <w:szCs w:val="21"/>
                <w:highlight w:val="none"/>
              </w:rPr>
            </w:pPr>
          </w:p>
        </w:tc>
        <w:tc>
          <w:tcPr>
            <w:tcW w:w="99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63A3A5E">
            <w:pPr>
              <w:spacing w:line="360" w:lineRule="auto"/>
              <w:jc w:val="center"/>
              <w:rPr>
                <w:rFonts w:hint="eastAsia" w:ascii="宋体" w:hAnsi="宋体" w:eastAsia="宋体" w:cs="宋体"/>
                <w:strike/>
                <w:color w:val="auto"/>
                <w:sz w:val="21"/>
                <w:szCs w:val="21"/>
                <w:highlight w:val="none"/>
              </w:rPr>
            </w:pPr>
          </w:p>
        </w:tc>
      </w:tr>
      <w:tr w14:paraId="33337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438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01F5C0E5">
            <w:pPr>
              <w:jc w:val="center"/>
              <w:rPr>
                <w:rFonts w:hint="eastAsia" w:ascii="宋体" w:hAnsi="宋体" w:eastAsia="宋体" w:cs="宋体"/>
                <w:b/>
                <w:strike/>
                <w:color w:val="auto"/>
                <w:sz w:val="21"/>
                <w:szCs w:val="21"/>
                <w:highlight w:val="none"/>
              </w:rPr>
            </w:pPr>
            <w:r>
              <w:rPr>
                <w:rFonts w:hint="eastAsia" w:ascii="宋体" w:hAnsi="宋体" w:eastAsia="宋体" w:cs="宋体"/>
                <w:b/>
                <w:strike w:val="0"/>
                <w:color w:val="auto"/>
                <w:sz w:val="21"/>
                <w:szCs w:val="21"/>
                <w:highlight w:val="none"/>
              </w:rPr>
              <w:t>合计报价</w:t>
            </w:r>
          </w:p>
        </w:tc>
        <w:tc>
          <w:tcPr>
            <w:tcW w:w="18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0F71C6C">
            <w:pPr>
              <w:spacing w:line="360" w:lineRule="auto"/>
              <w:jc w:val="center"/>
              <w:rPr>
                <w:rFonts w:hint="eastAsia" w:ascii="宋体" w:hAnsi="宋体" w:eastAsia="宋体" w:cs="宋体"/>
                <w:strike/>
                <w:color w:val="auto"/>
                <w:sz w:val="21"/>
                <w:szCs w:val="21"/>
                <w:highlight w:val="none"/>
              </w:rPr>
            </w:pPr>
          </w:p>
        </w:tc>
        <w:tc>
          <w:tcPr>
            <w:tcW w:w="18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43CCE89">
            <w:pPr>
              <w:spacing w:line="360" w:lineRule="auto"/>
              <w:jc w:val="center"/>
              <w:rPr>
                <w:rFonts w:hint="eastAsia" w:ascii="宋体" w:hAnsi="宋体" w:eastAsia="宋体" w:cs="宋体"/>
                <w:strike/>
                <w:color w:val="auto"/>
                <w:sz w:val="21"/>
                <w:szCs w:val="21"/>
                <w:highlight w:val="none"/>
              </w:rPr>
            </w:pPr>
          </w:p>
        </w:tc>
        <w:tc>
          <w:tcPr>
            <w:tcW w:w="99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8457DD2">
            <w:pPr>
              <w:spacing w:line="360" w:lineRule="auto"/>
              <w:jc w:val="center"/>
              <w:rPr>
                <w:rFonts w:hint="eastAsia" w:ascii="宋体" w:hAnsi="宋体" w:eastAsia="宋体" w:cs="宋体"/>
                <w:strike/>
                <w:color w:val="auto"/>
                <w:sz w:val="21"/>
                <w:szCs w:val="21"/>
                <w:highlight w:val="none"/>
              </w:rPr>
            </w:pPr>
          </w:p>
        </w:tc>
      </w:tr>
    </w:tbl>
    <w:p w14:paraId="1C2B3055">
      <w:pPr>
        <w:pStyle w:val="38"/>
        <w:spacing w:line="240" w:lineRule="auto"/>
        <w:ind w:firstLine="0" w:firstLineChars="0"/>
        <w:rPr>
          <w:rFonts w:hint="eastAsia" w:ascii="宋体" w:hAnsi="宋体" w:cs="宋体"/>
          <w:strike/>
          <w:color w:val="auto"/>
          <w:sz w:val="21"/>
          <w:szCs w:val="21"/>
          <w:highlight w:val="none"/>
        </w:rPr>
      </w:pPr>
    </w:p>
    <w:p w14:paraId="0DE1FB93">
      <w:pPr>
        <w:pStyle w:val="38"/>
        <w:spacing w:line="240" w:lineRule="auto"/>
        <w:ind w:firstLine="0" w:firstLineChars="0"/>
        <w:rPr>
          <w:rFonts w:hint="eastAsia" w:ascii="宋体" w:hAnsi="宋体" w:cs="宋体"/>
          <w:strike w:val="0"/>
          <w:color w:val="auto"/>
          <w:sz w:val="21"/>
          <w:szCs w:val="21"/>
          <w:highlight w:val="none"/>
        </w:rPr>
      </w:pPr>
      <w:r>
        <w:rPr>
          <w:rFonts w:hint="eastAsia" w:ascii="宋体" w:hAnsi="宋体" w:cs="宋体"/>
          <w:strike w:val="0"/>
          <w:color w:val="auto"/>
          <w:sz w:val="21"/>
          <w:szCs w:val="21"/>
          <w:highlight w:val="none"/>
        </w:rPr>
        <w:t>注：</w:t>
      </w:r>
    </w:p>
    <w:p w14:paraId="3A9CAA4A">
      <w:pPr>
        <w:pStyle w:val="38"/>
        <w:ind w:firstLine="436"/>
        <w:rPr>
          <w:rFonts w:hint="eastAsia" w:ascii="宋体" w:hAnsi="宋体" w:cs="宋体"/>
          <w:strike w:val="0"/>
          <w:color w:val="auto"/>
          <w:sz w:val="21"/>
          <w:szCs w:val="21"/>
          <w:highlight w:val="none"/>
        </w:rPr>
      </w:pPr>
      <w:r>
        <w:rPr>
          <w:rFonts w:hint="eastAsia" w:ascii="宋体" w:hAnsi="宋体" w:cs="宋体"/>
          <w:strike w:val="0"/>
          <w:color w:val="auto"/>
          <w:sz w:val="21"/>
          <w:szCs w:val="21"/>
          <w:highlight w:val="none"/>
          <w:lang w:val="en-US" w:eastAsia="zh-CN"/>
        </w:rPr>
        <w:t>1、</w:t>
      </w:r>
      <w:r>
        <w:rPr>
          <w:rFonts w:hint="eastAsia" w:ascii="宋体" w:hAnsi="宋体" w:cs="宋体"/>
          <w:strike w:val="0"/>
          <w:color w:val="auto"/>
          <w:sz w:val="21"/>
          <w:szCs w:val="21"/>
          <w:highlight w:val="none"/>
          <w:lang w:val="zh-CN"/>
        </w:rPr>
        <w:t>投标下浮率以百分比为单位，保留到小数点后</w:t>
      </w:r>
      <w:r>
        <w:rPr>
          <w:rFonts w:hint="eastAsia" w:ascii="宋体" w:hAnsi="宋体" w:cs="宋体"/>
          <w:strike w:val="0"/>
          <w:color w:val="auto"/>
          <w:sz w:val="21"/>
          <w:szCs w:val="21"/>
          <w:highlight w:val="none"/>
          <w:u w:val="single"/>
          <w:lang w:val="en-US" w:eastAsia="zh-CN"/>
        </w:rPr>
        <w:t>2</w:t>
      </w:r>
      <w:r>
        <w:rPr>
          <w:rFonts w:hint="eastAsia" w:ascii="宋体" w:hAnsi="宋体" w:cs="宋体"/>
          <w:strike w:val="0"/>
          <w:color w:val="auto"/>
          <w:sz w:val="21"/>
          <w:szCs w:val="21"/>
          <w:highlight w:val="none"/>
          <w:lang w:val="zh-CN"/>
        </w:rPr>
        <w:t>位</w:t>
      </w:r>
      <w:r>
        <w:rPr>
          <w:rFonts w:hint="eastAsia" w:ascii="宋体" w:hAnsi="宋体" w:cs="宋体"/>
          <w:strike w:val="0"/>
          <w:color w:val="auto"/>
          <w:sz w:val="21"/>
          <w:szCs w:val="21"/>
          <w:highlight w:val="none"/>
        </w:rPr>
        <w:t>，投标报价填报保留小数点后</w:t>
      </w:r>
      <w:r>
        <w:rPr>
          <w:rFonts w:hint="eastAsia" w:ascii="宋体" w:hAnsi="宋体" w:cs="宋体"/>
          <w:strike w:val="0"/>
          <w:color w:val="auto"/>
          <w:sz w:val="21"/>
          <w:szCs w:val="21"/>
          <w:highlight w:val="none"/>
          <w:u w:val="single"/>
          <w:lang w:val="en-US" w:eastAsia="zh-CN"/>
        </w:rPr>
        <w:t>2</w:t>
      </w:r>
      <w:r>
        <w:rPr>
          <w:rFonts w:hint="eastAsia" w:ascii="宋体" w:hAnsi="宋体" w:cs="宋体"/>
          <w:strike w:val="0"/>
          <w:color w:val="auto"/>
          <w:sz w:val="21"/>
          <w:szCs w:val="21"/>
          <w:highlight w:val="none"/>
        </w:rPr>
        <w:t>位。</w:t>
      </w:r>
    </w:p>
    <w:p w14:paraId="7CAE9E6E">
      <w:pPr>
        <w:pStyle w:val="38"/>
        <w:ind w:firstLine="436"/>
        <w:rPr>
          <w:rFonts w:hint="eastAsia" w:ascii="宋体" w:hAnsi="宋体" w:cs="宋体"/>
          <w:strike w:val="0"/>
          <w:color w:val="auto"/>
          <w:sz w:val="21"/>
          <w:szCs w:val="21"/>
          <w:highlight w:val="none"/>
        </w:rPr>
      </w:pPr>
      <w:r>
        <w:rPr>
          <w:rFonts w:hint="eastAsia" w:ascii="宋体" w:hAnsi="宋体" w:cs="宋体"/>
          <w:strike w:val="0"/>
          <w:color w:val="auto"/>
          <w:sz w:val="21"/>
          <w:szCs w:val="21"/>
          <w:highlight w:val="none"/>
          <w:lang w:val="en-US" w:eastAsia="zh-CN"/>
        </w:rPr>
        <w:t>2</w:t>
      </w:r>
      <w:r>
        <w:rPr>
          <w:rFonts w:hint="eastAsia" w:ascii="宋体" w:hAnsi="宋体" w:cs="宋体"/>
          <w:strike w:val="0"/>
          <w:color w:val="auto"/>
          <w:sz w:val="21"/>
          <w:szCs w:val="21"/>
          <w:highlight w:val="none"/>
        </w:rPr>
        <w:t>、监理费投标下浮率=（监理费最高投标限价-监理费投标报价）/监理费最高投标限价*100%。</w:t>
      </w:r>
    </w:p>
    <w:p w14:paraId="0D61D995">
      <w:pPr>
        <w:pStyle w:val="38"/>
        <w:ind w:firstLine="436"/>
        <w:rPr>
          <w:rFonts w:hint="eastAsia" w:ascii="宋体" w:hAnsi="宋体" w:cs="宋体"/>
          <w:strike w:val="0"/>
          <w:color w:val="auto"/>
          <w:sz w:val="21"/>
          <w:szCs w:val="21"/>
          <w:highlight w:val="none"/>
        </w:rPr>
      </w:pPr>
      <w:bookmarkStart w:id="133" w:name="_Toc6894"/>
      <w:r>
        <w:rPr>
          <w:rFonts w:hint="eastAsia" w:ascii="宋体" w:hAnsi="宋体" w:cs="宋体"/>
          <w:strike w:val="0"/>
          <w:color w:val="auto"/>
          <w:sz w:val="21"/>
          <w:szCs w:val="21"/>
          <w:highlight w:val="none"/>
          <w:lang w:val="en-US" w:eastAsia="zh-CN"/>
        </w:rPr>
        <w:t>3、</w:t>
      </w:r>
      <w:r>
        <w:rPr>
          <w:rFonts w:hint="eastAsia" w:ascii="宋体" w:hAnsi="宋体" w:cs="宋体"/>
          <w:strike w:val="0"/>
          <w:color w:val="auto"/>
          <w:sz w:val="21"/>
          <w:szCs w:val="21"/>
          <w:highlight w:val="none"/>
        </w:rPr>
        <w:t>投标报价与投标下浮率不符时，以投标下浮率为准</w:t>
      </w:r>
      <w:r>
        <w:rPr>
          <w:rFonts w:hint="eastAsia" w:ascii="宋体" w:hAnsi="宋体" w:cs="宋体"/>
          <w:strike w:val="0"/>
          <w:color w:val="auto"/>
          <w:sz w:val="21"/>
          <w:szCs w:val="21"/>
          <w:highlight w:val="none"/>
          <w:lang w:eastAsia="zh-CN"/>
        </w:rPr>
        <w:t>修正总价</w:t>
      </w:r>
      <w:r>
        <w:rPr>
          <w:rFonts w:hint="eastAsia" w:ascii="宋体" w:hAnsi="宋体" w:cs="宋体"/>
          <w:strike w:val="0"/>
          <w:color w:val="auto"/>
          <w:sz w:val="21"/>
          <w:szCs w:val="21"/>
          <w:highlight w:val="none"/>
        </w:rPr>
        <w:t>。</w:t>
      </w:r>
      <w:bookmarkEnd w:id="133"/>
    </w:p>
    <w:p w14:paraId="650D9807">
      <w:pPr>
        <w:pStyle w:val="38"/>
        <w:ind w:firstLine="436"/>
        <w:rPr>
          <w:rFonts w:hint="eastAsia" w:ascii="宋体" w:hAnsi="宋体" w:cs="宋体"/>
          <w:color w:val="auto"/>
          <w:sz w:val="21"/>
          <w:szCs w:val="21"/>
          <w:highlight w:val="none"/>
        </w:rPr>
      </w:pPr>
    </w:p>
    <w:p w14:paraId="64A6E8CE">
      <w:pPr>
        <w:spacing w:line="240" w:lineRule="auto"/>
        <w:rPr>
          <w:rFonts w:hint="eastAsia" w:ascii="宋体" w:hAnsi="宋体" w:cs="宋体"/>
          <w:sz w:val="24"/>
          <w:szCs w:val="24"/>
          <w:highlight w:val="none"/>
        </w:rPr>
      </w:pPr>
      <w:r>
        <w:rPr>
          <w:rFonts w:hint="eastAsia" w:ascii="宋体" w:hAnsi="宋体" w:cs="宋体"/>
          <w:sz w:val="24"/>
          <w:szCs w:val="24"/>
          <w:highlight w:val="none"/>
        </w:rPr>
        <w:br w:type="page"/>
      </w:r>
    </w:p>
    <w:p w14:paraId="697161EA">
      <w:pPr>
        <w:pStyle w:val="4"/>
        <w:kinsoku w:val="0"/>
        <w:overflowPunct w:val="0"/>
        <w:spacing w:line="456" w:lineRule="exact"/>
        <w:ind w:right="1"/>
        <w:jc w:val="center"/>
        <w:outlineLvl w:val="1"/>
        <w:rPr>
          <w:rFonts w:hint="eastAsia" w:cs="宋体"/>
          <w:b w:val="0"/>
          <w:color w:val="auto"/>
          <w:sz w:val="28"/>
          <w:szCs w:val="24"/>
          <w:highlight w:val="none"/>
        </w:rPr>
      </w:pPr>
      <w:bookmarkStart w:id="134" w:name="bookmark184"/>
      <w:bookmarkEnd w:id="134"/>
      <w:bookmarkStart w:id="135" w:name="_Toc10013"/>
      <w:r>
        <w:rPr>
          <w:rFonts w:hint="eastAsia" w:cs="宋体"/>
          <w:color w:val="auto"/>
          <w:sz w:val="28"/>
          <w:szCs w:val="24"/>
          <w:highlight w:val="none"/>
          <w:lang w:eastAsia="zh-CN"/>
        </w:rPr>
        <w:t>五</w:t>
      </w:r>
      <w:r>
        <w:rPr>
          <w:rFonts w:hint="eastAsia" w:cs="宋体"/>
          <w:color w:val="auto"/>
          <w:sz w:val="28"/>
          <w:szCs w:val="24"/>
          <w:highlight w:val="none"/>
        </w:rPr>
        <w:t>、资格审查资料</w:t>
      </w:r>
      <w:bookmarkEnd w:id="135"/>
    </w:p>
    <w:p w14:paraId="1068F789">
      <w:pPr>
        <w:pStyle w:val="12"/>
        <w:kinsoku w:val="0"/>
        <w:overflowPunct w:val="0"/>
        <w:spacing w:before="10"/>
        <w:ind w:left="0"/>
        <w:rPr>
          <w:rFonts w:hint="eastAsia" w:ascii="宋体" w:hAnsi="宋体" w:eastAsia="宋体" w:cs="宋体"/>
          <w:b/>
          <w:color w:val="auto"/>
          <w:sz w:val="15"/>
          <w:szCs w:val="24"/>
          <w:highlight w:val="none"/>
        </w:rPr>
      </w:pPr>
    </w:p>
    <w:p w14:paraId="6CCC89A3">
      <w:pPr>
        <w:pStyle w:val="5"/>
        <w:outlineLvl w:val="2"/>
        <w:rPr>
          <w:rFonts w:hint="eastAsia" w:cs="宋体"/>
          <w:b/>
          <w:color w:val="auto"/>
          <w:sz w:val="24"/>
          <w:szCs w:val="24"/>
          <w:highlight w:val="none"/>
        </w:rPr>
      </w:pPr>
      <w:bookmarkStart w:id="136" w:name="bookmark185"/>
      <w:bookmarkEnd w:id="136"/>
      <w:bookmarkStart w:id="137" w:name="_Toc28818"/>
      <w:r>
        <w:rPr>
          <w:rFonts w:hint="eastAsia" w:cs="宋体"/>
          <w:b/>
          <w:color w:val="auto"/>
          <w:sz w:val="24"/>
          <w:szCs w:val="24"/>
          <w:highlight w:val="none"/>
        </w:rPr>
        <w:t>（一）</w:t>
      </w:r>
      <w:r>
        <w:rPr>
          <w:rFonts w:hint="eastAsia" w:cs="宋体"/>
          <w:b/>
          <w:color w:val="auto"/>
          <w:sz w:val="24"/>
          <w:szCs w:val="24"/>
          <w:highlight w:val="none"/>
          <w:lang w:val="en-US" w:eastAsia="zh-CN"/>
        </w:rPr>
        <w:t>投标人</w:t>
      </w:r>
      <w:r>
        <w:rPr>
          <w:rFonts w:hint="eastAsia" w:cs="宋体"/>
          <w:b/>
          <w:color w:val="auto"/>
          <w:sz w:val="24"/>
          <w:szCs w:val="24"/>
          <w:highlight w:val="none"/>
        </w:rPr>
        <w:t>基本情况表</w:t>
      </w:r>
      <w:bookmarkEnd w:id="137"/>
    </w:p>
    <w:p w14:paraId="09BD41D5">
      <w:pPr>
        <w:pStyle w:val="12"/>
        <w:kinsoku w:val="0"/>
        <w:overflowPunct w:val="0"/>
        <w:ind w:left="0"/>
        <w:rPr>
          <w:rFonts w:hint="eastAsia" w:cs="宋体"/>
          <w:color w:val="auto"/>
          <w:sz w:val="23"/>
          <w:szCs w:val="24"/>
          <w:highlight w:val="none"/>
        </w:rPr>
      </w:pPr>
    </w:p>
    <w:tbl>
      <w:tblPr>
        <w:tblStyle w:val="27"/>
        <w:tblW w:w="9212" w:type="dxa"/>
        <w:tblInd w:w="-1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70"/>
        <w:gridCol w:w="898"/>
        <w:gridCol w:w="1027"/>
        <w:gridCol w:w="1287"/>
        <w:gridCol w:w="415"/>
        <w:gridCol w:w="872"/>
        <w:gridCol w:w="669"/>
        <w:gridCol w:w="444"/>
        <w:gridCol w:w="1230"/>
      </w:tblGrid>
      <w:tr w14:paraId="3BB2F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exact"/>
        </w:trPr>
        <w:tc>
          <w:tcPr>
            <w:tcW w:w="23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25C600">
            <w:pPr>
              <w:pStyle w:val="34"/>
              <w:kinsoku w:val="0"/>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投标人名称</w:t>
            </w:r>
          </w:p>
        </w:tc>
        <w:tc>
          <w:tcPr>
            <w:tcW w:w="6842" w:type="dxa"/>
            <w:gridSpan w:val="8"/>
            <w:tcBorders>
              <w:top w:val="single" w:color="000000" w:sz="4" w:space="0"/>
              <w:left w:val="single" w:color="000000" w:sz="4" w:space="0"/>
              <w:bottom w:val="single" w:color="000000" w:sz="4" w:space="0"/>
              <w:right w:val="single" w:color="000000" w:sz="4" w:space="0"/>
              <w:tl2br w:val="nil"/>
              <w:tr2bl w:val="nil"/>
            </w:tcBorders>
            <w:noWrap w:val="0"/>
            <w:vAlign w:val="top"/>
          </w:tcPr>
          <w:p w14:paraId="34F6F90B">
            <w:pPr>
              <w:rPr>
                <w:rFonts w:hint="eastAsia" w:ascii="宋体" w:hAnsi="宋体" w:eastAsia="宋体" w:cs="宋体"/>
                <w:color w:val="auto"/>
                <w:sz w:val="21"/>
                <w:szCs w:val="21"/>
                <w:highlight w:val="none"/>
              </w:rPr>
            </w:pPr>
          </w:p>
        </w:tc>
      </w:tr>
      <w:tr w14:paraId="6A213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exact"/>
        </w:trPr>
        <w:tc>
          <w:tcPr>
            <w:tcW w:w="23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8FC973">
            <w:pPr>
              <w:pStyle w:val="34"/>
              <w:kinsoku w:val="0"/>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注册地址</w:t>
            </w:r>
          </w:p>
        </w:tc>
        <w:tc>
          <w:tcPr>
            <w:tcW w:w="3212" w:type="dxa"/>
            <w:gridSpan w:val="3"/>
            <w:tcBorders>
              <w:top w:val="single" w:color="000000" w:sz="4" w:space="0"/>
              <w:left w:val="single" w:color="000000" w:sz="4" w:space="0"/>
              <w:bottom w:val="single" w:color="000000" w:sz="4" w:space="0"/>
              <w:right w:val="single" w:color="000000" w:sz="4" w:space="0"/>
              <w:tl2br w:val="nil"/>
              <w:tr2bl w:val="nil"/>
            </w:tcBorders>
            <w:noWrap w:val="0"/>
            <w:vAlign w:val="top"/>
          </w:tcPr>
          <w:p w14:paraId="3B4D87F2">
            <w:pPr>
              <w:rPr>
                <w:rFonts w:hint="eastAsia" w:ascii="宋体" w:hAnsi="宋体" w:eastAsia="宋体" w:cs="宋体"/>
                <w:color w:val="auto"/>
                <w:sz w:val="21"/>
                <w:szCs w:val="21"/>
                <w:highlight w:val="none"/>
              </w:rPr>
            </w:pPr>
          </w:p>
        </w:tc>
        <w:tc>
          <w:tcPr>
            <w:tcW w:w="1287"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2571D5FD">
            <w:pPr>
              <w:pStyle w:val="34"/>
              <w:kinsoku w:val="0"/>
              <w:overflowPunct w:val="0"/>
              <w:spacing w:before="107"/>
              <w:ind w:left="21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p>
        </w:tc>
        <w:tc>
          <w:tcPr>
            <w:tcW w:w="2343" w:type="dxa"/>
            <w:gridSpan w:val="3"/>
            <w:tcBorders>
              <w:top w:val="single" w:color="000000" w:sz="4" w:space="0"/>
              <w:left w:val="single" w:color="000000" w:sz="4" w:space="0"/>
              <w:bottom w:val="single" w:color="000000" w:sz="4" w:space="0"/>
              <w:right w:val="single" w:color="000000" w:sz="4" w:space="0"/>
              <w:tl2br w:val="nil"/>
              <w:tr2bl w:val="nil"/>
            </w:tcBorders>
            <w:noWrap w:val="0"/>
            <w:vAlign w:val="top"/>
          </w:tcPr>
          <w:p w14:paraId="01DEA7E3">
            <w:pPr>
              <w:rPr>
                <w:rFonts w:hint="eastAsia" w:ascii="宋体" w:hAnsi="宋体" w:eastAsia="宋体" w:cs="宋体"/>
                <w:color w:val="auto"/>
                <w:sz w:val="21"/>
                <w:szCs w:val="21"/>
                <w:highlight w:val="none"/>
              </w:rPr>
            </w:pPr>
          </w:p>
        </w:tc>
      </w:tr>
      <w:tr w14:paraId="29D07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exact"/>
        </w:trPr>
        <w:tc>
          <w:tcPr>
            <w:tcW w:w="237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7E2A92">
            <w:pPr>
              <w:pStyle w:val="34"/>
              <w:kinsoku w:val="0"/>
              <w:overflowPunct w:val="0"/>
              <w:jc w:val="center"/>
              <w:rPr>
                <w:rFonts w:hint="eastAsia" w:ascii="宋体" w:hAnsi="宋体" w:eastAsia="宋体" w:cs="宋体"/>
                <w:color w:val="auto"/>
                <w:sz w:val="21"/>
                <w:szCs w:val="21"/>
                <w:highlight w:val="none"/>
              </w:rPr>
            </w:pPr>
          </w:p>
          <w:p w14:paraId="139454A9">
            <w:pPr>
              <w:pStyle w:val="34"/>
              <w:kinsoku w:val="0"/>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联系方式</w:t>
            </w:r>
          </w:p>
        </w:tc>
        <w:tc>
          <w:tcPr>
            <w:tcW w:w="89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1C821E7">
            <w:pPr>
              <w:pStyle w:val="34"/>
              <w:kinsoku w:val="0"/>
              <w:overflowPunct w:val="0"/>
              <w:spacing w:before="10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w:t>
            </w:r>
          </w:p>
        </w:tc>
        <w:tc>
          <w:tcPr>
            <w:tcW w:w="2314"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4A716A87">
            <w:pPr>
              <w:rPr>
                <w:rFonts w:hint="eastAsia" w:ascii="宋体" w:hAnsi="宋体" w:eastAsia="宋体" w:cs="宋体"/>
                <w:color w:val="auto"/>
                <w:sz w:val="21"/>
                <w:szCs w:val="21"/>
                <w:highlight w:val="none"/>
              </w:rPr>
            </w:pPr>
          </w:p>
        </w:tc>
        <w:tc>
          <w:tcPr>
            <w:tcW w:w="1287"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15653FED">
            <w:pPr>
              <w:pStyle w:val="34"/>
              <w:kinsoku w:val="0"/>
              <w:overflowPunct w:val="0"/>
              <w:spacing w:before="107"/>
              <w:ind w:left="37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z w:val="21"/>
                <w:szCs w:val="21"/>
                <w:highlight w:val="none"/>
              </w:rPr>
              <w:t>话</w:t>
            </w:r>
          </w:p>
        </w:tc>
        <w:tc>
          <w:tcPr>
            <w:tcW w:w="2343" w:type="dxa"/>
            <w:gridSpan w:val="3"/>
            <w:tcBorders>
              <w:top w:val="single" w:color="000000" w:sz="4" w:space="0"/>
              <w:left w:val="single" w:color="000000" w:sz="4" w:space="0"/>
              <w:bottom w:val="single" w:color="000000" w:sz="4" w:space="0"/>
              <w:right w:val="single" w:color="000000" w:sz="4" w:space="0"/>
              <w:tl2br w:val="nil"/>
              <w:tr2bl w:val="nil"/>
            </w:tcBorders>
            <w:noWrap w:val="0"/>
            <w:vAlign w:val="top"/>
          </w:tcPr>
          <w:p w14:paraId="208BA3B2">
            <w:pPr>
              <w:rPr>
                <w:rFonts w:hint="eastAsia" w:ascii="宋体" w:hAnsi="宋体" w:eastAsia="宋体" w:cs="宋体"/>
                <w:color w:val="auto"/>
                <w:sz w:val="21"/>
                <w:szCs w:val="21"/>
                <w:highlight w:val="none"/>
              </w:rPr>
            </w:pPr>
          </w:p>
        </w:tc>
      </w:tr>
      <w:tr w14:paraId="4FC10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exact"/>
        </w:trPr>
        <w:tc>
          <w:tcPr>
            <w:tcW w:w="237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88D8DA">
            <w:pPr>
              <w:jc w:val="center"/>
              <w:rPr>
                <w:rFonts w:hint="eastAsia" w:ascii="宋体" w:hAnsi="宋体" w:eastAsia="宋体" w:cs="宋体"/>
                <w:color w:val="auto"/>
                <w:sz w:val="21"/>
                <w:szCs w:val="21"/>
                <w:highlight w:val="none"/>
              </w:rPr>
            </w:pPr>
          </w:p>
        </w:tc>
        <w:tc>
          <w:tcPr>
            <w:tcW w:w="89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049FFBF">
            <w:pPr>
              <w:pStyle w:val="34"/>
              <w:tabs>
                <w:tab w:val="left" w:pos="550"/>
              </w:tabs>
              <w:kinsoku w:val="0"/>
              <w:overflowPunct w:val="0"/>
              <w:spacing w:before="10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w:t>
            </w:r>
            <w:r>
              <w:rPr>
                <w:rFonts w:hint="eastAsia" w:ascii="宋体" w:hAnsi="宋体" w:eastAsia="宋体" w:cs="宋体"/>
                <w:color w:val="auto"/>
                <w:sz w:val="21"/>
                <w:szCs w:val="21"/>
                <w:highlight w:val="none"/>
                <w:lang w:val="en-US" w:eastAsia="zh-CN"/>
              </w:rPr>
              <w:t>真</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真</w:t>
            </w:r>
          </w:p>
        </w:tc>
        <w:tc>
          <w:tcPr>
            <w:tcW w:w="2314"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7734244B">
            <w:pPr>
              <w:rPr>
                <w:rFonts w:hint="eastAsia" w:ascii="宋体" w:hAnsi="宋体" w:eastAsia="宋体" w:cs="宋体"/>
                <w:color w:val="auto"/>
                <w:sz w:val="21"/>
                <w:szCs w:val="21"/>
                <w:highlight w:val="none"/>
              </w:rPr>
            </w:pPr>
          </w:p>
        </w:tc>
        <w:tc>
          <w:tcPr>
            <w:tcW w:w="1287"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1ACC67FB">
            <w:pPr>
              <w:pStyle w:val="34"/>
              <w:kinsoku w:val="0"/>
              <w:overflowPunct w:val="0"/>
              <w:spacing w:before="108"/>
              <w:ind w:left="37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网</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z w:val="21"/>
                <w:szCs w:val="21"/>
                <w:highlight w:val="none"/>
              </w:rPr>
              <w:t>址</w:t>
            </w:r>
          </w:p>
        </w:tc>
        <w:tc>
          <w:tcPr>
            <w:tcW w:w="2343" w:type="dxa"/>
            <w:gridSpan w:val="3"/>
            <w:tcBorders>
              <w:top w:val="single" w:color="000000" w:sz="4" w:space="0"/>
              <w:left w:val="single" w:color="000000" w:sz="4" w:space="0"/>
              <w:bottom w:val="single" w:color="000000" w:sz="4" w:space="0"/>
              <w:right w:val="single" w:color="000000" w:sz="4" w:space="0"/>
              <w:tl2br w:val="nil"/>
              <w:tr2bl w:val="nil"/>
            </w:tcBorders>
            <w:noWrap w:val="0"/>
            <w:vAlign w:val="top"/>
          </w:tcPr>
          <w:p w14:paraId="70C51C22">
            <w:pPr>
              <w:rPr>
                <w:rFonts w:hint="eastAsia" w:ascii="宋体" w:hAnsi="宋体" w:eastAsia="宋体" w:cs="宋体"/>
                <w:color w:val="auto"/>
                <w:sz w:val="21"/>
                <w:szCs w:val="21"/>
                <w:highlight w:val="none"/>
              </w:rPr>
            </w:pPr>
          </w:p>
        </w:tc>
      </w:tr>
      <w:tr w14:paraId="027BD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exact"/>
        </w:trPr>
        <w:tc>
          <w:tcPr>
            <w:tcW w:w="23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8F05B6">
            <w:pPr>
              <w:pStyle w:val="34"/>
              <w:kinsoku w:val="0"/>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p>
        </w:tc>
        <w:tc>
          <w:tcPr>
            <w:tcW w:w="89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1657DAF">
            <w:pPr>
              <w:pStyle w:val="34"/>
              <w:kinsoku w:val="0"/>
              <w:overflowPunct w:val="0"/>
              <w:spacing w:before="10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102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A4BE9DD">
            <w:pPr>
              <w:rPr>
                <w:rFonts w:hint="eastAsia" w:ascii="宋体" w:hAnsi="宋体" w:eastAsia="宋体" w:cs="宋体"/>
                <w:color w:val="auto"/>
                <w:sz w:val="21"/>
                <w:szCs w:val="21"/>
                <w:highlight w:val="none"/>
              </w:rPr>
            </w:pPr>
          </w:p>
        </w:tc>
        <w:tc>
          <w:tcPr>
            <w:tcW w:w="128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00187FE">
            <w:pPr>
              <w:pStyle w:val="34"/>
              <w:kinsoku w:val="0"/>
              <w:overflowPunct w:val="0"/>
              <w:spacing w:before="10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技术职称</w:t>
            </w:r>
          </w:p>
        </w:tc>
        <w:tc>
          <w:tcPr>
            <w:tcW w:w="1287"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71302500">
            <w:pPr>
              <w:rPr>
                <w:rFonts w:hint="eastAsia" w:ascii="宋体" w:hAnsi="宋体" w:eastAsia="宋体" w:cs="宋体"/>
                <w:color w:val="auto"/>
                <w:sz w:val="21"/>
                <w:szCs w:val="21"/>
                <w:highlight w:val="none"/>
              </w:rPr>
            </w:pPr>
          </w:p>
        </w:tc>
        <w:tc>
          <w:tcPr>
            <w:tcW w:w="1113"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59F20BD0">
            <w:pPr>
              <w:pStyle w:val="34"/>
              <w:kinsoku w:val="0"/>
              <w:overflowPunct w:val="0"/>
              <w:spacing w:before="10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p>
        </w:tc>
        <w:tc>
          <w:tcPr>
            <w:tcW w:w="123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986E7BA">
            <w:pPr>
              <w:rPr>
                <w:rFonts w:hint="eastAsia" w:ascii="宋体" w:hAnsi="宋体" w:eastAsia="宋体" w:cs="宋体"/>
                <w:color w:val="auto"/>
                <w:sz w:val="21"/>
                <w:szCs w:val="21"/>
                <w:highlight w:val="none"/>
              </w:rPr>
            </w:pPr>
          </w:p>
        </w:tc>
      </w:tr>
      <w:tr w14:paraId="3CCAD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exact"/>
        </w:trPr>
        <w:tc>
          <w:tcPr>
            <w:tcW w:w="23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5CB25F">
            <w:pPr>
              <w:pStyle w:val="34"/>
              <w:kinsoku w:val="0"/>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技术负责人</w:t>
            </w:r>
          </w:p>
        </w:tc>
        <w:tc>
          <w:tcPr>
            <w:tcW w:w="89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DD7F539">
            <w:pPr>
              <w:pStyle w:val="34"/>
              <w:kinsoku w:val="0"/>
              <w:overflowPunct w:val="0"/>
              <w:spacing w:before="10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102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891163D">
            <w:pPr>
              <w:rPr>
                <w:rFonts w:hint="eastAsia" w:ascii="宋体" w:hAnsi="宋体" w:eastAsia="宋体" w:cs="宋体"/>
                <w:color w:val="auto"/>
                <w:sz w:val="21"/>
                <w:szCs w:val="21"/>
                <w:highlight w:val="none"/>
              </w:rPr>
            </w:pPr>
          </w:p>
        </w:tc>
        <w:tc>
          <w:tcPr>
            <w:tcW w:w="128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AF0A8E1">
            <w:pPr>
              <w:pStyle w:val="34"/>
              <w:kinsoku w:val="0"/>
              <w:overflowPunct w:val="0"/>
              <w:spacing w:before="10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技术职称</w:t>
            </w:r>
          </w:p>
        </w:tc>
        <w:tc>
          <w:tcPr>
            <w:tcW w:w="1287"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0B3FF157">
            <w:pPr>
              <w:rPr>
                <w:rFonts w:hint="eastAsia" w:ascii="宋体" w:hAnsi="宋体" w:eastAsia="宋体" w:cs="宋体"/>
                <w:color w:val="auto"/>
                <w:sz w:val="21"/>
                <w:szCs w:val="21"/>
                <w:highlight w:val="none"/>
              </w:rPr>
            </w:pPr>
          </w:p>
        </w:tc>
        <w:tc>
          <w:tcPr>
            <w:tcW w:w="1113"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1F3A8349">
            <w:pPr>
              <w:pStyle w:val="34"/>
              <w:kinsoku w:val="0"/>
              <w:overflowPunct w:val="0"/>
              <w:spacing w:before="10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p>
        </w:tc>
        <w:tc>
          <w:tcPr>
            <w:tcW w:w="123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AE5AC5A">
            <w:pPr>
              <w:rPr>
                <w:rFonts w:hint="eastAsia" w:ascii="宋体" w:hAnsi="宋体" w:eastAsia="宋体" w:cs="宋体"/>
                <w:color w:val="auto"/>
                <w:sz w:val="21"/>
                <w:szCs w:val="21"/>
                <w:highlight w:val="none"/>
              </w:rPr>
            </w:pPr>
          </w:p>
        </w:tc>
      </w:tr>
      <w:tr w14:paraId="4C0AD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exact"/>
        </w:trPr>
        <w:tc>
          <w:tcPr>
            <w:tcW w:w="23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7D8F9B">
            <w:pPr>
              <w:pStyle w:val="34"/>
              <w:kinsoku w:val="0"/>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企业监理资质证书</w:t>
            </w:r>
          </w:p>
        </w:tc>
        <w:tc>
          <w:tcPr>
            <w:tcW w:w="6842" w:type="dxa"/>
            <w:gridSpan w:val="8"/>
            <w:tcBorders>
              <w:top w:val="single" w:color="000000" w:sz="4" w:space="0"/>
              <w:left w:val="single" w:color="000000" w:sz="4" w:space="0"/>
              <w:bottom w:val="single" w:color="000000" w:sz="4" w:space="0"/>
              <w:right w:val="single" w:color="000000" w:sz="4" w:space="0"/>
              <w:tl2br w:val="nil"/>
              <w:tr2bl w:val="nil"/>
            </w:tcBorders>
            <w:noWrap w:val="0"/>
            <w:vAlign w:val="top"/>
          </w:tcPr>
          <w:p w14:paraId="0AFDCB68">
            <w:pPr>
              <w:pStyle w:val="34"/>
              <w:tabs>
                <w:tab w:val="left" w:pos="3785"/>
                <w:tab w:val="left" w:pos="5045"/>
              </w:tabs>
              <w:kinsoku w:val="0"/>
              <w:overflowPunct w:val="0"/>
              <w:spacing w:before="107"/>
              <w:ind w:left="105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类型：</w:t>
            </w:r>
            <w:r>
              <w:rPr>
                <w:rFonts w:hint="eastAsia" w:ascii="宋体" w:hAnsi="宋体" w:eastAsia="宋体" w:cs="宋体"/>
                <w:color w:val="auto"/>
                <w:sz w:val="21"/>
                <w:szCs w:val="21"/>
                <w:highlight w:val="none"/>
              </w:rPr>
              <w:tab/>
            </w:r>
            <w:r>
              <w:rPr>
                <w:rFonts w:hint="eastAsia" w:ascii="宋体" w:hAnsi="宋体" w:eastAsia="宋体" w:cs="宋体"/>
                <w:color w:val="auto"/>
                <w:spacing w:val="-1"/>
                <w:sz w:val="21"/>
                <w:szCs w:val="21"/>
                <w:highlight w:val="none"/>
              </w:rPr>
              <w:t>等级：</w:t>
            </w:r>
            <w:r>
              <w:rPr>
                <w:rFonts w:hint="eastAsia" w:ascii="宋体" w:hAnsi="宋体" w:eastAsia="宋体" w:cs="宋体"/>
                <w:color w:val="auto"/>
                <w:spacing w:val="-1"/>
                <w:sz w:val="21"/>
                <w:szCs w:val="21"/>
                <w:highlight w:val="none"/>
              </w:rPr>
              <w:tab/>
            </w:r>
            <w:r>
              <w:rPr>
                <w:rFonts w:hint="eastAsia" w:ascii="宋体" w:hAnsi="宋体" w:eastAsia="宋体" w:cs="宋体"/>
                <w:color w:val="auto"/>
                <w:spacing w:val="-2"/>
                <w:sz w:val="21"/>
                <w:szCs w:val="21"/>
                <w:highlight w:val="none"/>
              </w:rPr>
              <w:t>证书号：</w:t>
            </w:r>
          </w:p>
        </w:tc>
      </w:tr>
      <w:tr w14:paraId="07220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5" w:hRule="exact"/>
        </w:trPr>
        <w:tc>
          <w:tcPr>
            <w:tcW w:w="23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BEE4DB">
            <w:pPr>
              <w:pStyle w:val="34"/>
              <w:kinsoku w:val="0"/>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质量管理体系证书</w:t>
            </w:r>
          </w:p>
          <w:p w14:paraId="4656C227">
            <w:pPr>
              <w:pStyle w:val="34"/>
              <w:kinsoku w:val="0"/>
              <w:overflowPunct w:val="0"/>
              <w:ind w:right="10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（如有）</w:t>
            </w:r>
          </w:p>
        </w:tc>
        <w:tc>
          <w:tcPr>
            <w:tcW w:w="6842" w:type="dxa"/>
            <w:gridSpan w:val="8"/>
            <w:tcBorders>
              <w:top w:val="single" w:color="000000" w:sz="4" w:space="0"/>
              <w:left w:val="single" w:color="000000" w:sz="4" w:space="0"/>
              <w:bottom w:val="single" w:color="000000" w:sz="4" w:space="0"/>
              <w:right w:val="single" w:color="000000" w:sz="4" w:space="0"/>
              <w:tl2br w:val="nil"/>
              <w:tr2bl w:val="nil"/>
            </w:tcBorders>
            <w:noWrap w:val="0"/>
            <w:vAlign w:val="top"/>
          </w:tcPr>
          <w:p w14:paraId="6CFAA943">
            <w:pPr>
              <w:pStyle w:val="34"/>
              <w:kinsoku w:val="0"/>
              <w:overflowPunct w:val="0"/>
              <w:spacing w:before="1"/>
              <w:rPr>
                <w:rFonts w:hint="eastAsia" w:ascii="宋体" w:hAnsi="宋体" w:eastAsia="宋体" w:cs="宋体"/>
                <w:color w:val="auto"/>
                <w:sz w:val="21"/>
                <w:szCs w:val="21"/>
                <w:highlight w:val="none"/>
              </w:rPr>
            </w:pPr>
          </w:p>
          <w:p w14:paraId="2BB201DE">
            <w:pPr>
              <w:pStyle w:val="34"/>
              <w:tabs>
                <w:tab w:val="left" w:pos="3785"/>
                <w:tab w:val="left" w:pos="5045"/>
              </w:tabs>
              <w:kinsoku w:val="0"/>
              <w:overflowPunct w:val="0"/>
              <w:ind w:left="105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类型：</w:t>
            </w:r>
            <w:r>
              <w:rPr>
                <w:rFonts w:hint="eastAsia" w:ascii="宋体" w:hAnsi="宋体" w:eastAsia="宋体" w:cs="宋体"/>
                <w:color w:val="auto"/>
                <w:sz w:val="21"/>
                <w:szCs w:val="21"/>
                <w:highlight w:val="none"/>
              </w:rPr>
              <w:tab/>
            </w:r>
            <w:r>
              <w:rPr>
                <w:rFonts w:hint="eastAsia" w:ascii="宋体" w:hAnsi="宋体" w:eastAsia="宋体" w:cs="宋体"/>
                <w:color w:val="auto"/>
                <w:spacing w:val="-1"/>
                <w:sz w:val="21"/>
                <w:szCs w:val="21"/>
                <w:highlight w:val="none"/>
              </w:rPr>
              <w:t>等级：</w:t>
            </w:r>
            <w:r>
              <w:rPr>
                <w:rFonts w:hint="eastAsia" w:ascii="宋体" w:hAnsi="宋体" w:eastAsia="宋体" w:cs="宋体"/>
                <w:color w:val="auto"/>
                <w:spacing w:val="-1"/>
                <w:sz w:val="21"/>
                <w:szCs w:val="21"/>
                <w:highlight w:val="none"/>
              </w:rPr>
              <w:tab/>
            </w:r>
            <w:r>
              <w:rPr>
                <w:rFonts w:hint="eastAsia" w:ascii="宋体" w:hAnsi="宋体" w:eastAsia="宋体" w:cs="宋体"/>
                <w:color w:val="auto"/>
                <w:spacing w:val="-2"/>
                <w:sz w:val="21"/>
                <w:szCs w:val="21"/>
                <w:highlight w:val="none"/>
              </w:rPr>
              <w:t>证书号：</w:t>
            </w:r>
          </w:p>
        </w:tc>
      </w:tr>
      <w:tr w14:paraId="17647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exact"/>
        </w:trPr>
        <w:tc>
          <w:tcPr>
            <w:tcW w:w="23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2FAEE5">
            <w:pPr>
              <w:pStyle w:val="34"/>
              <w:kinsoku w:val="0"/>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营业执照号</w:t>
            </w:r>
          </w:p>
        </w:tc>
        <w:tc>
          <w:tcPr>
            <w:tcW w:w="3212" w:type="dxa"/>
            <w:gridSpan w:val="3"/>
            <w:tcBorders>
              <w:top w:val="single" w:color="000000" w:sz="4" w:space="0"/>
              <w:left w:val="single" w:color="000000" w:sz="4" w:space="0"/>
              <w:bottom w:val="single" w:color="000000" w:sz="4" w:space="0"/>
              <w:right w:val="single" w:color="000000" w:sz="4" w:space="0"/>
              <w:tl2br w:val="nil"/>
              <w:tr2bl w:val="nil"/>
            </w:tcBorders>
            <w:noWrap w:val="0"/>
            <w:vAlign w:val="top"/>
          </w:tcPr>
          <w:p w14:paraId="25F491FA">
            <w:pPr>
              <w:rPr>
                <w:rFonts w:hint="eastAsia" w:ascii="宋体" w:hAnsi="宋体" w:eastAsia="宋体" w:cs="宋体"/>
                <w:color w:val="auto"/>
                <w:sz w:val="21"/>
                <w:szCs w:val="21"/>
                <w:highlight w:val="none"/>
              </w:rPr>
            </w:pPr>
          </w:p>
        </w:tc>
        <w:tc>
          <w:tcPr>
            <w:tcW w:w="3630" w:type="dxa"/>
            <w:gridSpan w:val="5"/>
            <w:tcBorders>
              <w:top w:val="single" w:color="000000" w:sz="4" w:space="0"/>
              <w:left w:val="single" w:color="000000" w:sz="4" w:space="0"/>
              <w:bottom w:val="single" w:color="000000" w:sz="4" w:space="0"/>
              <w:right w:val="single" w:color="000000" w:sz="4" w:space="0"/>
              <w:tl2br w:val="nil"/>
              <w:tr2bl w:val="nil"/>
            </w:tcBorders>
            <w:noWrap w:val="0"/>
            <w:vAlign w:val="top"/>
          </w:tcPr>
          <w:p w14:paraId="6D9276E5">
            <w:pPr>
              <w:pStyle w:val="34"/>
              <w:kinsoku w:val="0"/>
              <w:overflowPunct w:val="0"/>
              <w:spacing w:before="107"/>
              <w:ind w:left="117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员工总人数：</w:t>
            </w:r>
          </w:p>
        </w:tc>
      </w:tr>
      <w:tr w14:paraId="6C7E1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2" w:hRule="exact"/>
        </w:trPr>
        <w:tc>
          <w:tcPr>
            <w:tcW w:w="23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83F2ED">
            <w:pPr>
              <w:pStyle w:val="34"/>
              <w:kinsoku w:val="0"/>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注册资本</w:t>
            </w:r>
          </w:p>
        </w:tc>
        <w:tc>
          <w:tcPr>
            <w:tcW w:w="3212" w:type="dxa"/>
            <w:gridSpan w:val="3"/>
            <w:tcBorders>
              <w:top w:val="single" w:color="000000" w:sz="4" w:space="0"/>
              <w:left w:val="single" w:color="000000" w:sz="4" w:space="0"/>
              <w:bottom w:val="single" w:color="000000" w:sz="4" w:space="0"/>
              <w:right w:val="single" w:color="000000" w:sz="4" w:space="0"/>
              <w:tl2br w:val="nil"/>
              <w:tr2bl w:val="nil"/>
            </w:tcBorders>
            <w:noWrap w:val="0"/>
            <w:vAlign w:val="top"/>
          </w:tcPr>
          <w:p w14:paraId="0D233934">
            <w:pPr>
              <w:rPr>
                <w:rFonts w:hint="eastAsia" w:ascii="宋体" w:hAnsi="宋体" w:eastAsia="宋体" w:cs="宋体"/>
                <w:color w:val="auto"/>
                <w:sz w:val="21"/>
                <w:szCs w:val="21"/>
                <w:highlight w:val="none"/>
              </w:rPr>
            </w:pPr>
          </w:p>
        </w:tc>
        <w:tc>
          <w:tcPr>
            <w:tcW w:w="415"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ACCFB5">
            <w:pPr>
              <w:pStyle w:val="34"/>
              <w:kinsoku w:val="0"/>
              <w:overflowPunct w:val="0"/>
              <w:spacing w:line="384" w:lineRule="auto"/>
              <w:ind w:right="8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 中</w:t>
            </w:r>
          </w:p>
        </w:tc>
        <w:tc>
          <w:tcPr>
            <w:tcW w:w="154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E8B48C">
            <w:pPr>
              <w:pStyle w:val="34"/>
              <w:kinsoku w:val="0"/>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高级职称人员</w:t>
            </w:r>
          </w:p>
        </w:tc>
        <w:tc>
          <w:tcPr>
            <w:tcW w:w="1674"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021621B4">
            <w:pPr>
              <w:rPr>
                <w:rFonts w:hint="eastAsia" w:ascii="宋体" w:hAnsi="宋体" w:eastAsia="宋体" w:cs="宋体"/>
                <w:color w:val="auto"/>
                <w:sz w:val="21"/>
                <w:szCs w:val="21"/>
                <w:highlight w:val="none"/>
              </w:rPr>
            </w:pPr>
          </w:p>
        </w:tc>
      </w:tr>
      <w:tr w14:paraId="5BEDF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exact"/>
        </w:trPr>
        <w:tc>
          <w:tcPr>
            <w:tcW w:w="23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78E038">
            <w:pPr>
              <w:pStyle w:val="34"/>
              <w:kinsoku w:val="0"/>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成立日期</w:t>
            </w:r>
          </w:p>
        </w:tc>
        <w:tc>
          <w:tcPr>
            <w:tcW w:w="3212" w:type="dxa"/>
            <w:gridSpan w:val="3"/>
            <w:tcBorders>
              <w:top w:val="single" w:color="000000" w:sz="4" w:space="0"/>
              <w:left w:val="single" w:color="000000" w:sz="4" w:space="0"/>
              <w:bottom w:val="single" w:color="000000" w:sz="4" w:space="0"/>
              <w:right w:val="single" w:color="000000" w:sz="4" w:space="0"/>
              <w:tl2br w:val="nil"/>
              <w:tr2bl w:val="nil"/>
            </w:tcBorders>
            <w:noWrap w:val="0"/>
            <w:vAlign w:val="top"/>
          </w:tcPr>
          <w:p w14:paraId="13045089">
            <w:pPr>
              <w:rPr>
                <w:rFonts w:hint="eastAsia" w:ascii="宋体" w:hAnsi="宋体" w:eastAsia="宋体" w:cs="宋体"/>
                <w:color w:val="auto"/>
                <w:sz w:val="21"/>
                <w:szCs w:val="21"/>
                <w:highlight w:val="none"/>
              </w:rPr>
            </w:pPr>
          </w:p>
        </w:tc>
        <w:tc>
          <w:tcPr>
            <w:tcW w:w="41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0923E020">
            <w:pPr>
              <w:rPr>
                <w:rFonts w:hint="eastAsia" w:ascii="宋体" w:hAnsi="宋体" w:eastAsia="宋体" w:cs="宋体"/>
                <w:color w:val="auto"/>
                <w:sz w:val="21"/>
                <w:szCs w:val="21"/>
                <w:highlight w:val="none"/>
              </w:rPr>
            </w:pPr>
          </w:p>
        </w:tc>
        <w:tc>
          <w:tcPr>
            <w:tcW w:w="154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748088">
            <w:pPr>
              <w:pStyle w:val="34"/>
              <w:kinsoku w:val="0"/>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中级职称人员</w:t>
            </w:r>
          </w:p>
        </w:tc>
        <w:tc>
          <w:tcPr>
            <w:tcW w:w="1674"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5099BF60">
            <w:pPr>
              <w:rPr>
                <w:rFonts w:hint="eastAsia" w:ascii="宋体" w:hAnsi="宋体" w:eastAsia="宋体" w:cs="宋体"/>
                <w:color w:val="auto"/>
                <w:sz w:val="21"/>
                <w:szCs w:val="21"/>
                <w:highlight w:val="none"/>
              </w:rPr>
            </w:pPr>
          </w:p>
        </w:tc>
      </w:tr>
      <w:tr w14:paraId="44949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exact"/>
        </w:trPr>
        <w:tc>
          <w:tcPr>
            <w:tcW w:w="23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826414">
            <w:pPr>
              <w:pStyle w:val="34"/>
              <w:kinsoku w:val="0"/>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基本账户开户银行</w:t>
            </w:r>
          </w:p>
        </w:tc>
        <w:tc>
          <w:tcPr>
            <w:tcW w:w="3212" w:type="dxa"/>
            <w:gridSpan w:val="3"/>
            <w:tcBorders>
              <w:top w:val="single" w:color="000000" w:sz="4" w:space="0"/>
              <w:left w:val="single" w:color="000000" w:sz="4" w:space="0"/>
              <w:bottom w:val="single" w:color="000000" w:sz="4" w:space="0"/>
              <w:right w:val="single" w:color="000000" w:sz="4" w:space="0"/>
              <w:tl2br w:val="nil"/>
              <w:tr2bl w:val="nil"/>
            </w:tcBorders>
            <w:noWrap w:val="0"/>
            <w:vAlign w:val="top"/>
          </w:tcPr>
          <w:p w14:paraId="7736DF69">
            <w:pPr>
              <w:rPr>
                <w:rFonts w:hint="eastAsia" w:ascii="宋体" w:hAnsi="宋体" w:eastAsia="宋体" w:cs="宋体"/>
                <w:color w:val="auto"/>
                <w:sz w:val="21"/>
                <w:szCs w:val="21"/>
                <w:highlight w:val="none"/>
              </w:rPr>
            </w:pPr>
          </w:p>
        </w:tc>
        <w:tc>
          <w:tcPr>
            <w:tcW w:w="41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72DF7E0F">
            <w:pPr>
              <w:rPr>
                <w:rFonts w:hint="eastAsia" w:ascii="宋体" w:hAnsi="宋体" w:eastAsia="宋体" w:cs="宋体"/>
                <w:color w:val="auto"/>
                <w:sz w:val="21"/>
                <w:szCs w:val="21"/>
                <w:highlight w:val="none"/>
              </w:rPr>
            </w:pPr>
          </w:p>
        </w:tc>
        <w:tc>
          <w:tcPr>
            <w:tcW w:w="154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8EFF24">
            <w:pPr>
              <w:pStyle w:val="34"/>
              <w:kinsoku w:val="0"/>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技术人员数量</w:t>
            </w:r>
          </w:p>
        </w:tc>
        <w:tc>
          <w:tcPr>
            <w:tcW w:w="1674"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102D5E0B">
            <w:pPr>
              <w:rPr>
                <w:rFonts w:hint="eastAsia" w:ascii="宋体" w:hAnsi="宋体" w:eastAsia="宋体" w:cs="宋体"/>
                <w:color w:val="auto"/>
                <w:sz w:val="21"/>
                <w:szCs w:val="21"/>
                <w:highlight w:val="none"/>
              </w:rPr>
            </w:pPr>
          </w:p>
        </w:tc>
      </w:tr>
      <w:tr w14:paraId="0BAC1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exact"/>
        </w:trPr>
        <w:tc>
          <w:tcPr>
            <w:tcW w:w="23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26B968">
            <w:pPr>
              <w:pStyle w:val="34"/>
              <w:kinsoku w:val="0"/>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基本账户银行账号</w:t>
            </w:r>
          </w:p>
        </w:tc>
        <w:tc>
          <w:tcPr>
            <w:tcW w:w="3212" w:type="dxa"/>
            <w:gridSpan w:val="3"/>
            <w:tcBorders>
              <w:top w:val="single" w:color="000000" w:sz="4" w:space="0"/>
              <w:left w:val="single" w:color="000000" w:sz="4" w:space="0"/>
              <w:bottom w:val="single" w:color="000000" w:sz="4" w:space="0"/>
              <w:right w:val="single" w:color="000000" w:sz="4" w:space="0"/>
              <w:tl2br w:val="nil"/>
              <w:tr2bl w:val="nil"/>
            </w:tcBorders>
            <w:noWrap w:val="0"/>
            <w:vAlign w:val="top"/>
          </w:tcPr>
          <w:p w14:paraId="38847C1D">
            <w:pPr>
              <w:rPr>
                <w:rFonts w:hint="eastAsia" w:ascii="宋体" w:hAnsi="宋体" w:eastAsia="宋体" w:cs="宋体"/>
                <w:color w:val="auto"/>
                <w:sz w:val="21"/>
                <w:szCs w:val="21"/>
                <w:highlight w:val="none"/>
              </w:rPr>
            </w:pPr>
          </w:p>
        </w:tc>
        <w:tc>
          <w:tcPr>
            <w:tcW w:w="41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23FA0ACD">
            <w:pPr>
              <w:rPr>
                <w:rFonts w:hint="eastAsia" w:ascii="宋体" w:hAnsi="宋体" w:eastAsia="宋体" w:cs="宋体"/>
                <w:color w:val="auto"/>
                <w:sz w:val="21"/>
                <w:szCs w:val="21"/>
                <w:highlight w:val="none"/>
              </w:rPr>
            </w:pPr>
          </w:p>
        </w:tc>
        <w:tc>
          <w:tcPr>
            <w:tcW w:w="154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B542AB">
            <w:pPr>
              <w:pStyle w:val="34"/>
              <w:kinsoku w:val="0"/>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各类注册人员</w:t>
            </w:r>
          </w:p>
        </w:tc>
        <w:tc>
          <w:tcPr>
            <w:tcW w:w="1674"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4CDF4FD4">
            <w:pPr>
              <w:rPr>
                <w:rFonts w:hint="eastAsia" w:ascii="宋体" w:hAnsi="宋体" w:eastAsia="宋体" w:cs="宋体"/>
                <w:color w:val="auto"/>
                <w:sz w:val="21"/>
                <w:szCs w:val="21"/>
                <w:highlight w:val="none"/>
              </w:rPr>
            </w:pPr>
          </w:p>
        </w:tc>
      </w:tr>
      <w:tr w14:paraId="27CC3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6" w:hRule="exact"/>
        </w:trPr>
        <w:tc>
          <w:tcPr>
            <w:tcW w:w="23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A56151">
            <w:pPr>
              <w:pStyle w:val="34"/>
              <w:kinsoku w:val="0"/>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经营范围</w:t>
            </w:r>
          </w:p>
        </w:tc>
        <w:tc>
          <w:tcPr>
            <w:tcW w:w="6842" w:type="dxa"/>
            <w:gridSpan w:val="8"/>
            <w:tcBorders>
              <w:top w:val="single" w:color="000000" w:sz="4" w:space="0"/>
              <w:left w:val="single" w:color="000000" w:sz="4" w:space="0"/>
              <w:bottom w:val="single" w:color="000000" w:sz="4" w:space="0"/>
              <w:right w:val="single" w:color="000000" w:sz="4" w:space="0"/>
              <w:tl2br w:val="nil"/>
              <w:tr2bl w:val="nil"/>
            </w:tcBorders>
            <w:noWrap w:val="0"/>
            <w:vAlign w:val="top"/>
          </w:tcPr>
          <w:p w14:paraId="69A1C655">
            <w:pPr>
              <w:rPr>
                <w:rFonts w:hint="eastAsia" w:ascii="宋体" w:hAnsi="宋体" w:eastAsia="宋体" w:cs="宋体"/>
                <w:color w:val="auto"/>
                <w:sz w:val="21"/>
                <w:szCs w:val="21"/>
                <w:highlight w:val="none"/>
              </w:rPr>
            </w:pPr>
          </w:p>
        </w:tc>
      </w:tr>
      <w:tr w14:paraId="75E63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16" w:hRule="exact"/>
        </w:trPr>
        <w:tc>
          <w:tcPr>
            <w:tcW w:w="23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1CDE5D">
            <w:pPr>
              <w:pStyle w:val="34"/>
              <w:kinsoku w:val="0"/>
              <w:overflowPunct w:val="0"/>
              <w:ind w:right="96"/>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投标人关联企业情</w:t>
            </w:r>
            <w:r>
              <w:rPr>
                <w:rFonts w:hint="eastAsia" w:ascii="宋体" w:hAnsi="宋体" w:eastAsia="宋体" w:cs="宋体"/>
                <w:color w:val="auto"/>
                <w:spacing w:val="-8"/>
                <w:sz w:val="21"/>
                <w:szCs w:val="21"/>
                <w:highlight w:val="none"/>
              </w:rPr>
              <w:t>况（包括但不限于与</w:t>
            </w:r>
            <w:r>
              <w:rPr>
                <w:rFonts w:hint="eastAsia" w:ascii="宋体" w:hAnsi="宋体" w:eastAsia="宋体" w:cs="宋体"/>
                <w:color w:val="auto"/>
                <w:spacing w:val="-102"/>
                <w:sz w:val="21"/>
                <w:szCs w:val="21"/>
                <w:highlight w:val="none"/>
              </w:rPr>
              <w:t xml:space="preserve"> </w:t>
            </w:r>
            <w:r>
              <w:rPr>
                <w:rFonts w:hint="eastAsia" w:ascii="宋体" w:hAnsi="宋体" w:eastAsia="宋体" w:cs="宋体"/>
                <w:color w:val="auto"/>
                <w:sz w:val="21"/>
                <w:szCs w:val="21"/>
                <w:highlight w:val="none"/>
              </w:rPr>
              <w:t>投标人法定代表人为同一人或者存在</w:t>
            </w:r>
            <w:r>
              <w:rPr>
                <w:rFonts w:hint="eastAsia" w:ascii="宋体" w:hAnsi="宋体" w:eastAsia="宋体" w:cs="宋体"/>
                <w:color w:val="auto"/>
                <w:spacing w:val="-8"/>
                <w:sz w:val="21"/>
                <w:szCs w:val="21"/>
                <w:highlight w:val="none"/>
              </w:rPr>
              <w:t>控股、管理关系的不</w:t>
            </w:r>
            <w:r>
              <w:rPr>
                <w:rFonts w:hint="eastAsia" w:ascii="宋体" w:hAnsi="宋体" w:eastAsia="宋体" w:cs="宋体"/>
                <w:color w:val="auto"/>
                <w:sz w:val="21"/>
                <w:szCs w:val="21"/>
                <w:highlight w:val="none"/>
              </w:rPr>
              <w:t>同单位）</w:t>
            </w:r>
          </w:p>
        </w:tc>
        <w:tc>
          <w:tcPr>
            <w:tcW w:w="6842" w:type="dxa"/>
            <w:gridSpan w:val="8"/>
            <w:tcBorders>
              <w:top w:val="single" w:color="000000" w:sz="4" w:space="0"/>
              <w:left w:val="single" w:color="000000" w:sz="4" w:space="0"/>
              <w:bottom w:val="single" w:color="000000" w:sz="4" w:space="0"/>
              <w:right w:val="single" w:color="000000" w:sz="4" w:space="0"/>
              <w:tl2br w:val="nil"/>
              <w:tr2bl w:val="nil"/>
            </w:tcBorders>
            <w:noWrap w:val="0"/>
            <w:vAlign w:val="top"/>
          </w:tcPr>
          <w:p w14:paraId="43C485CB">
            <w:pPr>
              <w:rPr>
                <w:rFonts w:hint="eastAsia" w:ascii="宋体" w:hAnsi="宋体" w:eastAsia="宋体" w:cs="宋体"/>
                <w:color w:val="auto"/>
                <w:sz w:val="21"/>
                <w:szCs w:val="21"/>
                <w:highlight w:val="none"/>
              </w:rPr>
            </w:pPr>
          </w:p>
        </w:tc>
      </w:tr>
      <w:tr w14:paraId="7D35A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exact"/>
        </w:trPr>
        <w:tc>
          <w:tcPr>
            <w:tcW w:w="23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788A65">
            <w:pPr>
              <w:pStyle w:val="34"/>
              <w:kinsoku w:val="0"/>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c>
          <w:tcPr>
            <w:tcW w:w="6842" w:type="dxa"/>
            <w:gridSpan w:val="8"/>
            <w:tcBorders>
              <w:top w:val="single" w:color="000000" w:sz="4" w:space="0"/>
              <w:left w:val="single" w:color="000000" w:sz="4" w:space="0"/>
              <w:bottom w:val="single" w:color="000000" w:sz="4" w:space="0"/>
              <w:right w:val="single" w:color="000000" w:sz="4" w:space="0"/>
              <w:tl2br w:val="nil"/>
              <w:tr2bl w:val="nil"/>
            </w:tcBorders>
            <w:noWrap w:val="0"/>
            <w:vAlign w:val="top"/>
          </w:tcPr>
          <w:p w14:paraId="2F9F25AA">
            <w:pPr>
              <w:rPr>
                <w:rFonts w:hint="eastAsia" w:ascii="宋体" w:hAnsi="宋体" w:eastAsia="宋体" w:cs="宋体"/>
                <w:color w:val="auto"/>
                <w:sz w:val="21"/>
                <w:szCs w:val="21"/>
                <w:highlight w:val="none"/>
              </w:rPr>
            </w:pPr>
          </w:p>
        </w:tc>
      </w:tr>
    </w:tbl>
    <w:p w14:paraId="20B7D9DB">
      <w:pPr>
        <w:pStyle w:val="12"/>
        <w:kinsoku w:val="0"/>
        <w:overflowPunct w:val="0"/>
        <w:spacing w:before="6"/>
        <w:ind w:left="0"/>
        <w:rPr>
          <w:rFonts w:hint="eastAsia" w:cs="宋体"/>
          <w:color w:val="auto"/>
          <w:sz w:val="24"/>
          <w:szCs w:val="24"/>
          <w:highlight w:val="none"/>
        </w:rPr>
      </w:pPr>
      <w:r>
        <w:rPr>
          <w:rFonts w:hint="eastAsia" w:cs="宋体"/>
          <w:color w:val="auto"/>
          <w:spacing w:val="-5"/>
          <w:sz w:val="21"/>
          <w:szCs w:val="21"/>
          <w:highlight w:val="none"/>
        </w:rPr>
        <w:t>注：</w:t>
      </w:r>
      <w:r>
        <w:rPr>
          <w:rFonts w:hint="eastAsia" w:cs="宋体"/>
          <w:color w:val="auto"/>
          <w:sz w:val="21"/>
          <w:szCs w:val="24"/>
          <w:highlight w:val="none"/>
        </w:rPr>
        <w:t>投标人应附营业执照、资质证书等相关证明材料。</w:t>
      </w:r>
    </w:p>
    <w:p w14:paraId="10ED5B2F">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3113E208">
      <w:pPr>
        <w:pStyle w:val="12"/>
        <w:tabs>
          <w:tab w:val="left" w:pos="736"/>
          <w:tab w:val="left" w:pos="1682"/>
          <w:tab w:val="left" w:pos="2626"/>
        </w:tabs>
        <w:kinsoku w:val="0"/>
        <w:overflowPunct w:val="0"/>
        <w:spacing w:before="36"/>
        <w:ind w:left="0"/>
        <w:jc w:val="right"/>
        <w:rPr>
          <w:rFonts w:hint="eastAsia" w:ascii="宋体" w:hAnsi="宋体" w:eastAsia="宋体" w:cs="宋体"/>
          <w:color w:val="auto"/>
          <w:sz w:val="24"/>
          <w:szCs w:val="24"/>
          <w:highlight w:val="none"/>
        </w:rPr>
        <w:sectPr>
          <w:pgSz w:w="11905" w:h="16838"/>
          <w:pgMar w:top="1417" w:right="1417" w:bottom="1417" w:left="1417" w:header="992" w:footer="992" w:gutter="0"/>
          <w:lnNumType w:countBy="0" w:distance="360"/>
          <w:cols w:space="720" w:num="1"/>
        </w:sectPr>
      </w:pPr>
    </w:p>
    <w:p w14:paraId="4073F6DE">
      <w:pPr>
        <w:pStyle w:val="5"/>
        <w:outlineLvl w:val="2"/>
        <w:rPr>
          <w:rFonts w:hint="eastAsia" w:cs="宋体"/>
          <w:b/>
          <w:color w:val="auto"/>
          <w:sz w:val="24"/>
          <w:szCs w:val="24"/>
          <w:highlight w:val="none"/>
        </w:rPr>
      </w:pPr>
      <w:bookmarkStart w:id="138" w:name="bookmark190"/>
      <w:bookmarkEnd w:id="138"/>
      <w:bookmarkStart w:id="139" w:name="bookmark183"/>
      <w:bookmarkEnd w:id="139"/>
      <w:bookmarkStart w:id="140" w:name="bookmark188"/>
      <w:bookmarkEnd w:id="140"/>
      <w:bookmarkStart w:id="141" w:name="bookmark181"/>
      <w:bookmarkEnd w:id="141"/>
      <w:bookmarkStart w:id="142" w:name="bookmark189"/>
      <w:bookmarkEnd w:id="142"/>
      <w:bookmarkStart w:id="143" w:name="_Toc12109"/>
      <w:r>
        <w:rPr>
          <w:rFonts w:hint="eastAsia" w:cs="宋体"/>
          <w:b/>
          <w:color w:val="auto"/>
          <w:sz w:val="24"/>
          <w:szCs w:val="24"/>
          <w:highlight w:val="none"/>
        </w:rPr>
        <w:t>（</w:t>
      </w:r>
      <w:r>
        <w:rPr>
          <w:rFonts w:hint="eastAsia" w:cs="宋体"/>
          <w:b/>
          <w:color w:val="auto"/>
          <w:sz w:val="24"/>
          <w:szCs w:val="24"/>
          <w:highlight w:val="none"/>
          <w:lang w:eastAsia="zh-CN"/>
        </w:rPr>
        <w:t>二</w:t>
      </w:r>
      <w:r>
        <w:rPr>
          <w:rFonts w:hint="eastAsia" w:cs="宋体"/>
          <w:b/>
          <w:color w:val="auto"/>
          <w:sz w:val="24"/>
          <w:szCs w:val="24"/>
          <w:highlight w:val="none"/>
        </w:rPr>
        <w:t>）</w:t>
      </w:r>
      <w:bookmarkStart w:id="144" w:name="_Toc64883719"/>
      <w:r>
        <w:rPr>
          <w:rFonts w:hint="eastAsia" w:cs="宋体"/>
          <w:b/>
          <w:bCs/>
          <w:highlight w:val="none"/>
        </w:rPr>
        <w:t>监理项目管理团队实名信息采集表</w:t>
      </w:r>
      <w:bookmarkEnd w:id="143"/>
      <w:bookmarkEnd w:id="144"/>
    </w:p>
    <w:p w14:paraId="0079CF33">
      <w:pPr>
        <w:pStyle w:val="12"/>
        <w:kinsoku w:val="0"/>
        <w:overflowPunct w:val="0"/>
        <w:ind w:left="0"/>
        <w:rPr>
          <w:rFonts w:hint="eastAsia" w:cs="宋体"/>
          <w:color w:val="auto"/>
          <w:sz w:val="20"/>
          <w:szCs w:val="24"/>
          <w:highlight w:val="none"/>
        </w:rPr>
      </w:pPr>
    </w:p>
    <w:p w14:paraId="2518E21C">
      <w:pPr>
        <w:pStyle w:val="12"/>
        <w:kinsoku w:val="0"/>
        <w:overflowPunct w:val="0"/>
        <w:spacing w:before="11"/>
        <w:ind w:left="0"/>
        <w:rPr>
          <w:rFonts w:hint="eastAsia" w:cs="宋体"/>
          <w:color w:val="auto"/>
          <w:sz w:val="22"/>
          <w:szCs w:val="24"/>
          <w:highlight w:val="none"/>
        </w:rPr>
      </w:pP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8"/>
        <w:gridCol w:w="1276"/>
        <w:gridCol w:w="1205"/>
        <w:gridCol w:w="1654"/>
        <w:gridCol w:w="3189"/>
      </w:tblGrid>
      <w:tr w14:paraId="02B3D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1818" w:type="dxa"/>
            <w:noWrap w:val="0"/>
            <w:vAlign w:val="center"/>
          </w:tcPr>
          <w:p w14:paraId="1AFB0E83">
            <w:pPr>
              <w:spacing w:line="440" w:lineRule="exact"/>
              <w:jc w:val="center"/>
              <w:rPr>
                <w:rFonts w:hint="eastAsia" w:ascii="宋体" w:hAnsi="宋体" w:cs="宋体"/>
                <w:highlight w:val="none"/>
              </w:rPr>
            </w:pPr>
            <w:r>
              <w:rPr>
                <w:rFonts w:hint="eastAsia" w:ascii="宋体" w:hAnsi="宋体" w:cs="宋体"/>
                <w:highlight w:val="none"/>
              </w:rPr>
              <w:t>序号</w:t>
            </w:r>
          </w:p>
        </w:tc>
        <w:tc>
          <w:tcPr>
            <w:tcW w:w="1276" w:type="dxa"/>
            <w:noWrap w:val="0"/>
            <w:vAlign w:val="center"/>
          </w:tcPr>
          <w:p w14:paraId="48F2EC91">
            <w:pPr>
              <w:spacing w:line="440" w:lineRule="exact"/>
              <w:jc w:val="center"/>
              <w:rPr>
                <w:rFonts w:hint="eastAsia" w:ascii="宋体" w:hAnsi="宋体" w:cs="宋体"/>
                <w:highlight w:val="none"/>
              </w:rPr>
            </w:pPr>
            <w:r>
              <w:rPr>
                <w:rFonts w:hint="eastAsia" w:ascii="宋体" w:hAnsi="宋体" w:cs="宋体"/>
                <w:highlight w:val="none"/>
              </w:rPr>
              <w:t>姓名</w:t>
            </w:r>
          </w:p>
        </w:tc>
        <w:tc>
          <w:tcPr>
            <w:tcW w:w="1205" w:type="dxa"/>
            <w:noWrap w:val="0"/>
            <w:vAlign w:val="center"/>
          </w:tcPr>
          <w:p w14:paraId="50CDE6C1">
            <w:pPr>
              <w:spacing w:line="440" w:lineRule="exact"/>
              <w:jc w:val="center"/>
              <w:rPr>
                <w:rFonts w:hint="eastAsia" w:ascii="宋体" w:hAnsi="宋体" w:cs="宋体"/>
                <w:highlight w:val="none"/>
              </w:rPr>
            </w:pPr>
            <w:r>
              <w:rPr>
                <w:rFonts w:hint="eastAsia" w:ascii="宋体" w:hAnsi="宋体" w:cs="宋体"/>
                <w:highlight w:val="none"/>
              </w:rPr>
              <w:t>岗位</w:t>
            </w:r>
          </w:p>
        </w:tc>
        <w:tc>
          <w:tcPr>
            <w:tcW w:w="1654" w:type="dxa"/>
            <w:noWrap w:val="0"/>
            <w:vAlign w:val="center"/>
          </w:tcPr>
          <w:p w14:paraId="21D51438">
            <w:pPr>
              <w:spacing w:line="440" w:lineRule="exact"/>
              <w:jc w:val="center"/>
              <w:rPr>
                <w:rFonts w:hint="eastAsia" w:ascii="宋体" w:hAnsi="宋体" w:cs="宋体"/>
                <w:highlight w:val="none"/>
              </w:rPr>
            </w:pPr>
            <w:r>
              <w:rPr>
                <w:rFonts w:hint="eastAsia" w:ascii="宋体" w:hAnsi="宋体" w:cs="宋体"/>
                <w:highlight w:val="none"/>
              </w:rPr>
              <w:t>职称</w:t>
            </w:r>
          </w:p>
        </w:tc>
        <w:tc>
          <w:tcPr>
            <w:tcW w:w="3189" w:type="dxa"/>
            <w:noWrap w:val="0"/>
            <w:vAlign w:val="center"/>
          </w:tcPr>
          <w:p w14:paraId="3CD633BA">
            <w:pPr>
              <w:spacing w:line="440" w:lineRule="exact"/>
              <w:jc w:val="center"/>
              <w:rPr>
                <w:rFonts w:hint="eastAsia" w:ascii="宋体" w:hAnsi="宋体" w:cs="宋体"/>
                <w:highlight w:val="none"/>
              </w:rPr>
            </w:pPr>
            <w:r>
              <w:rPr>
                <w:rFonts w:hint="eastAsia" w:ascii="宋体" w:hAnsi="宋体" w:cs="宋体"/>
                <w:highlight w:val="none"/>
              </w:rPr>
              <w:t>职称证书或资格证书编号</w:t>
            </w:r>
          </w:p>
        </w:tc>
      </w:tr>
      <w:tr w14:paraId="7B0AE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8" w:type="dxa"/>
            <w:noWrap w:val="0"/>
            <w:vAlign w:val="center"/>
          </w:tcPr>
          <w:p w14:paraId="37B9508B">
            <w:pPr>
              <w:spacing w:line="440" w:lineRule="exact"/>
              <w:jc w:val="center"/>
              <w:rPr>
                <w:rFonts w:hint="eastAsia" w:ascii="宋体" w:hAnsi="宋体" w:cs="宋体"/>
                <w:highlight w:val="none"/>
              </w:rPr>
            </w:pPr>
            <w:r>
              <w:rPr>
                <w:rFonts w:hint="eastAsia" w:ascii="宋体" w:hAnsi="宋体" w:cs="宋体"/>
                <w:highlight w:val="none"/>
              </w:rPr>
              <w:t>1</w:t>
            </w:r>
          </w:p>
        </w:tc>
        <w:tc>
          <w:tcPr>
            <w:tcW w:w="1276" w:type="dxa"/>
            <w:noWrap w:val="0"/>
            <w:vAlign w:val="center"/>
          </w:tcPr>
          <w:p w14:paraId="06C2AC2B">
            <w:pPr>
              <w:spacing w:line="440" w:lineRule="exact"/>
              <w:jc w:val="center"/>
              <w:rPr>
                <w:rFonts w:hint="eastAsia" w:ascii="宋体" w:hAnsi="宋体" w:cs="宋体"/>
                <w:highlight w:val="none"/>
              </w:rPr>
            </w:pPr>
          </w:p>
        </w:tc>
        <w:tc>
          <w:tcPr>
            <w:tcW w:w="1205" w:type="dxa"/>
            <w:noWrap w:val="0"/>
            <w:vAlign w:val="center"/>
          </w:tcPr>
          <w:p w14:paraId="660FF35A">
            <w:pPr>
              <w:spacing w:line="440" w:lineRule="exact"/>
              <w:jc w:val="center"/>
              <w:rPr>
                <w:rFonts w:hint="eastAsia" w:ascii="宋体" w:hAnsi="宋体" w:cs="宋体"/>
                <w:highlight w:val="none"/>
              </w:rPr>
            </w:pPr>
          </w:p>
        </w:tc>
        <w:tc>
          <w:tcPr>
            <w:tcW w:w="1654" w:type="dxa"/>
            <w:noWrap w:val="0"/>
            <w:vAlign w:val="center"/>
          </w:tcPr>
          <w:p w14:paraId="54BC5E0A">
            <w:pPr>
              <w:spacing w:line="440" w:lineRule="exact"/>
              <w:jc w:val="center"/>
              <w:rPr>
                <w:rFonts w:hint="eastAsia" w:ascii="宋体" w:hAnsi="宋体" w:cs="宋体"/>
                <w:highlight w:val="none"/>
              </w:rPr>
            </w:pPr>
          </w:p>
        </w:tc>
        <w:tc>
          <w:tcPr>
            <w:tcW w:w="3189" w:type="dxa"/>
            <w:noWrap w:val="0"/>
            <w:vAlign w:val="center"/>
          </w:tcPr>
          <w:p w14:paraId="458C822B">
            <w:pPr>
              <w:spacing w:line="440" w:lineRule="exact"/>
              <w:jc w:val="center"/>
              <w:rPr>
                <w:rFonts w:hint="eastAsia" w:ascii="宋体" w:hAnsi="宋体" w:cs="宋体"/>
                <w:highlight w:val="none"/>
              </w:rPr>
            </w:pPr>
          </w:p>
        </w:tc>
      </w:tr>
      <w:tr w14:paraId="69061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818" w:type="dxa"/>
            <w:noWrap w:val="0"/>
            <w:vAlign w:val="top"/>
          </w:tcPr>
          <w:p w14:paraId="7BD0E257">
            <w:pPr>
              <w:spacing w:line="440" w:lineRule="exact"/>
              <w:jc w:val="center"/>
              <w:rPr>
                <w:rFonts w:hint="eastAsia" w:ascii="宋体" w:hAnsi="宋体" w:cs="宋体"/>
                <w:highlight w:val="none"/>
              </w:rPr>
            </w:pPr>
            <w:r>
              <w:rPr>
                <w:rFonts w:hint="eastAsia" w:ascii="宋体" w:hAnsi="宋体" w:cs="宋体"/>
                <w:highlight w:val="none"/>
              </w:rPr>
              <w:t>2</w:t>
            </w:r>
          </w:p>
        </w:tc>
        <w:tc>
          <w:tcPr>
            <w:tcW w:w="1276" w:type="dxa"/>
            <w:noWrap w:val="0"/>
            <w:vAlign w:val="top"/>
          </w:tcPr>
          <w:p w14:paraId="21AC3B74">
            <w:pPr>
              <w:spacing w:line="440" w:lineRule="exact"/>
              <w:jc w:val="center"/>
              <w:rPr>
                <w:rFonts w:hint="eastAsia" w:ascii="宋体" w:hAnsi="宋体" w:cs="宋体"/>
                <w:highlight w:val="none"/>
              </w:rPr>
            </w:pPr>
          </w:p>
        </w:tc>
        <w:tc>
          <w:tcPr>
            <w:tcW w:w="1205" w:type="dxa"/>
            <w:noWrap w:val="0"/>
            <w:vAlign w:val="top"/>
          </w:tcPr>
          <w:p w14:paraId="2694C68C">
            <w:pPr>
              <w:spacing w:line="440" w:lineRule="exact"/>
              <w:jc w:val="center"/>
              <w:rPr>
                <w:rFonts w:hint="eastAsia" w:ascii="宋体" w:hAnsi="宋体" w:cs="宋体"/>
                <w:highlight w:val="none"/>
              </w:rPr>
            </w:pPr>
          </w:p>
        </w:tc>
        <w:tc>
          <w:tcPr>
            <w:tcW w:w="1654" w:type="dxa"/>
            <w:noWrap w:val="0"/>
            <w:vAlign w:val="top"/>
          </w:tcPr>
          <w:p w14:paraId="4C2EC6EE">
            <w:pPr>
              <w:spacing w:line="440" w:lineRule="exact"/>
              <w:jc w:val="center"/>
              <w:rPr>
                <w:rFonts w:hint="eastAsia" w:ascii="宋体" w:hAnsi="宋体" w:cs="宋体"/>
                <w:highlight w:val="none"/>
              </w:rPr>
            </w:pPr>
          </w:p>
        </w:tc>
        <w:tc>
          <w:tcPr>
            <w:tcW w:w="3189" w:type="dxa"/>
            <w:noWrap w:val="0"/>
            <w:vAlign w:val="top"/>
          </w:tcPr>
          <w:p w14:paraId="64652CD5">
            <w:pPr>
              <w:spacing w:line="440" w:lineRule="exact"/>
              <w:jc w:val="center"/>
              <w:rPr>
                <w:rFonts w:hint="eastAsia" w:ascii="宋体" w:hAnsi="宋体" w:cs="宋体"/>
                <w:highlight w:val="none"/>
              </w:rPr>
            </w:pPr>
          </w:p>
        </w:tc>
      </w:tr>
      <w:tr w14:paraId="11B5F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8" w:type="dxa"/>
            <w:noWrap w:val="0"/>
            <w:vAlign w:val="top"/>
          </w:tcPr>
          <w:p w14:paraId="04AE2EB4">
            <w:pPr>
              <w:spacing w:line="440" w:lineRule="exact"/>
              <w:jc w:val="center"/>
              <w:rPr>
                <w:rFonts w:hint="eastAsia" w:ascii="宋体" w:hAnsi="宋体" w:cs="宋体"/>
                <w:highlight w:val="none"/>
              </w:rPr>
            </w:pPr>
            <w:r>
              <w:rPr>
                <w:rFonts w:hint="eastAsia" w:ascii="宋体" w:hAnsi="宋体" w:cs="宋体"/>
                <w:highlight w:val="none"/>
              </w:rPr>
              <w:t>3</w:t>
            </w:r>
          </w:p>
        </w:tc>
        <w:tc>
          <w:tcPr>
            <w:tcW w:w="1276" w:type="dxa"/>
            <w:noWrap w:val="0"/>
            <w:vAlign w:val="top"/>
          </w:tcPr>
          <w:p w14:paraId="6E11DD98">
            <w:pPr>
              <w:spacing w:line="440" w:lineRule="exact"/>
              <w:jc w:val="center"/>
              <w:rPr>
                <w:rFonts w:hint="eastAsia" w:ascii="宋体" w:hAnsi="宋体" w:cs="宋体"/>
                <w:highlight w:val="none"/>
              </w:rPr>
            </w:pPr>
          </w:p>
        </w:tc>
        <w:tc>
          <w:tcPr>
            <w:tcW w:w="1205" w:type="dxa"/>
            <w:noWrap w:val="0"/>
            <w:vAlign w:val="top"/>
          </w:tcPr>
          <w:p w14:paraId="49666106">
            <w:pPr>
              <w:spacing w:line="440" w:lineRule="exact"/>
              <w:jc w:val="center"/>
              <w:rPr>
                <w:rFonts w:hint="eastAsia" w:ascii="宋体" w:hAnsi="宋体" w:cs="宋体"/>
                <w:highlight w:val="none"/>
              </w:rPr>
            </w:pPr>
          </w:p>
        </w:tc>
        <w:tc>
          <w:tcPr>
            <w:tcW w:w="1654" w:type="dxa"/>
            <w:noWrap w:val="0"/>
            <w:vAlign w:val="top"/>
          </w:tcPr>
          <w:p w14:paraId="2345FE74">
            <w:pPr>
              <w:spacing w:line="440" w:lineRule="exact"/>
              <w:jc w:val="center"/>
              <w:rPr>
                <w:rFonts w:hint="eastAsia" w:ascii="宋体" w:hAnsi="宋体" w:cs="宋体"/>
                <w:highlight w:val="none"/>
              </w:rPr>
            </w:pPr>
          </w:p>
        </w:tc>
        <w:tc>
          <w:tcPr>
            <w:tcW w:w="3189" w:type="dxa"/>
            <w:noWrap w:val="0"/>
            <w:vAlign w:val="top"/>
          </w:tcPr>
          <w:p w14:paraId="43679499">
            <w:pPr>
              <w:spacing w:line="440" w:lineRule="exact"/>
              <w:jc w:val="center"/>
              <w:rPr>
                <w:rFonts w:hint="eastAsia" w:ascii="宋体" w:hAnsi="宋体" w:cs="宋体"/>
                <w:highlight w:val="none"/>
              </w:rPr>
            </w:pPr>
          </w:p>
        </w:tc>
      </w:tr>
      <w:tr w14:paraId="07015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8" w:type="dxa"/>
            <w:noWrap w:val="0"/>
            <w:vAlign w:val="top"/>
          </w:tcPr>
          <w:p w14:paraId="0A5FCEA6">
            <w:pPr>
              <w:spacing w:line="440" w:lineRule="exact"/>
              <w:jc w:val="center"/>
              <w:rPr>
                <w:rFonts w:hint="eastAsia" w:ascii="宋体" w:hAnsi="宋体" w:cs="宋体"/>
                <w:highlight w:val="none"/>
              </w:rPr>
            </w:pPr>
            <w:r>
              <w:rPr>
                <w:rFonts w:hint="eastAsia" w:ascii="宋体" w:hAnsi="宋体" w:cs="宋体"/>
                <w:highlight w:val="none"/>
              </w:rPr>
              <w:t>4</w:t>
            </w:r>
          </w:p>
        </w:tc>
        <w:tc>
          <w:tcPr>
            <w:tcW w:w="1276" w:type="dxa"/>
            <w:noWrap w:val="0"/>
            <w:vAlign w:val="top"/>
          </w:tcPr>
          <w:p w14:paraId="7F05157C">
            <w:pPr>
              <w:spacing w:line="440" w:lineRule="exact"/>
              <w:jc w:val="center"/>
              <w:rPr>
                <w:rFonts w:hint="eastAsia" w:ascii="宋体" w:hAnsi="宋体" w:cs="宋体"/>
                <w:highlight w:val="none"/>
              </w:rPr>
            </w:pPr>
          </w:p>
        </w:tc>
        <w:tc>
          <w:tcPr>
            <w:tcW w:w="1205" w:type="dxa"/>
            <w:noWrap w:val="0"/>
            <w:vAlign w:val="top"/>
          </w:tcPr>
          <w:p w14:paraId="143CB3E5">
            <w:pPr>
              <w:spacing w:line="440" w:lineRule="exact"/>
              <w:jc w:val="center"/>
              <w:rPr>
                <w:rFonts w:hint="eastAsia" w:ascii="宋体" w:hAnsi="宋体" w:cs="宋体"/>
                <w:highlight w:val="none"/>
              </w:rPr>
            </w:pPr>
          </w:p>
        </w:tc>
        <w:tc>
          <w:tcPr>
            <w:tcW w:w="1654" w:type="dxa"/>
            <w:noWrap w:val="0"/>
            <w:vAlign w:val="top"/>
          </w:tcPr>
          <w:p w14:paraId="4EF190DA">
            <w:pPr>
              <w:spacing w:line="440" w:lineRule="exact"/>
              <w:jc w:val="center"/>
              <w:rPr>
                <w:rFonts w:hint="eastAsia" w:ascii="宋体" w:hAnsi="宋体" w:cs="宋体"/>
                <w:highlight w:val="none"/>
              </w:rPr>
            </w:pPr>
          </w:p>
        </w:tc>
        <w:tc>
          <w:tcPr>
            <w:tcW w:w="3189" w:type="dxa"/>
            <w:noWrap w:val="0"/>
            <w:vAlign w:val="top"/>
          </w:tcPr>
          <w:p w14:paraId="60F45741">
            <w:pPr>
              <w:spacing w:line="440" w:lineRule="exact"/>
              <w:jc w:val="center"/>
              <w:rPr>
                <w:rFonts w:hint="eastAsia" w:ascii="宋体" w:hAnsi="宋体" w:cs="宋体"/>
                <w:highlight w:val="none"/>
              </w:rPr>
            </w:pPr>
          </w:p>
        </w:tc>
      </w:tr>
      <w:tr w14:paraId="02865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8" w:type="dxa"/>
            <w:noWrap w:val="0"/>
            <w:vAlign w:val="top"/>
          </w:tcPr>
          <w:p w14:paraId="1B839880">
            <w:pPr>
              <w:spacing w:line="440" w:lineRule="exact"/>
              <w:jc w:val="center"/>
              <w:rPr>
                <w:rFonts w:hint="eastAsia" w:ascii="宋体" w:hAnsi="宋体" w:cs="宋体"/>
                <w:highlight w:val="none"/>
              </w:rPr>
            </w:pPr>
            <w:r>
              <w:rPr>
                <w:rFonts w:hint="eastAsia" w:ascii="宋体" w:hAnsi="宋体" w:cs="宋体"/>
                <w:highlight w:val="none"/>
              </w:rPr>
              <w:t>….</w:t>
            </w:r>
          </w:p>
        </w:tc>
        <w:tc>
          <w:tcPr>
            <w:tcW w:w="1276" w:type="dxa"/>
            <w:noWrap w:val="0"/>
            <w:vAlign w:val="top"/>
          </w:tcPr>
          <w:p w14:paraId="4B2B6D82">
            <w:pPr>
              <w:spacing w:line="440" w:lineRule="exact"/>
              <w:jc w:val="center"/>
              <w:rPr>
                <w:rFonts w:hint="eastAsia" w:ascii="宋体" w:hAnsi="宋体" w:cs="宋体"/>
                <w:highlight w:val="none"/>
              </w:rPr>
            </w:pPr>
          </w:p>
        </w:tc>
        <w:tc>
          <w:tcPr>
            <w:tcW w:w="1205" w:type="dxa"/>
            <w:noWrap w:val="0"/>
            <w:vAlign w:val="top"/>
          </w:tcPr>
          <w:p w14:paraId="7D63A11C">
            <w:pPr>
              <w:spacing w:line="440" w:lineRule="exact"/>
              <w:jc w:val="center"/>
              <w:rPr>
                <w:rFonts w:hint="eastAsia" w:ascii="宋体" w:hAnsi="宋体" w:cs="宋体"/>
                <w:highlight w:val="none"/>
              </w:rPr>
            </w:pPr>
          </w:p>
        </w:tc>
        <w:tc>
          <w:tcPr>
            <w:tcW w:w="1654" w:type="dxa"/>
            <w:noWrap w:val="0"/>
            <w:vAlign w:val="top"/>
          </w:tcPr>
          <w:p w14:paraId="4DA7EAE2">
            <w:pPr>
              <w:spacing w:line="440" w:lineRule="exact"/>
              <w:jc w:val="center"/>
              <w:rPr>
                <w:rFonts w:hint="eastAsia" w:ascii="宋体" w:hAnsi="宋体" w:cs="宋体"/>
                <w:highlight w:val="none"/>
              </w:rPr>
            </w:pPr>
          </w:p>
        </w:tc>
        <w:tc>
          <w:tcPr>
            <w:tcW w:w="3189" w:type="dxa"/>
            <w:noWrap w:val="0"/>
            <w:vAlign w:val="top"/>
          </w:tcPr>
          <w:p w14:paraId="5853D199">
            <w:pPr>
              <w:spacing w:line="440" w:lineRule="exact"/>
              <w:jc w:val="center"/>
              <w:rPr>
                <w:rFonts w:hint="eastAsia" w:ascii="宋体" w:hAnsi="宋体" w:cs="宋体"/>
                <w:highlight w:val="none"/>
              </w:rPr>
            </w:pPr>
          </w:p>
        </w:tc>
      </w:tr>
      <w:tr w14:paraId="16257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8" w:type="dxa"/>
            <w:noWrap w:val="0"/>
            <w:vAlign w:val="top"/>
          </w:tcPr>
          <w:p w14:paraId="4671C61C">
            <w:pPr>
              <w:spacing w:line="440" w:lineRule="exact"/>
              <w:jc w:val="center"/>
              <w:rPr>
                <w:rFonts w:hint="eastAsia" w:ascii="宋体" w:hAnsi="宋体" w:cs="宋体"/>
                <w:highlight w:val="none"/>
              </w:rPr>
            </w:pPr>
          </w:p>
        </w:tc>
        <w:tc>
          <w:tcPr>
            <w:tcW w:w="1276" w:type="dxa"/>
            <w:noWrap w:val="0"/>
            <w:vAlign w:val="top"/>
          </w:tcPr>
          <w:p w14:paraId="6F42CF17">
            <w:pPr>
              <w:spacing w:line="440" w:lineRule="exact"/>
              <w:jc w:val="center"/>
              <w:rPr>
                <w:rFonts w:hint="eastAsia" w:ascii="宋体" w:hAnsi="宋体" w:cs="宋体"/>
                <w:highlight w:val="none"/>
              </w:rPr>
            </w:pPr>
          </w:p>
        </w:tc>
        <w:tc>
          <w:tcPr>
            <w:tcW w:w="1205" w:type="dxa"/>
            <w:noWrap w:val="0"/>
            <w:vAlign w:val="top"/>
          </w:tcPr>
          <w:p w14:paraId="74EF6027">
            <w:pPr>
              <w:spacing w:line="440" w:lineRule="exact"/>
              <w:jc w:val="center"/>
              <w:rPr>
                <w:rFonts w:hint="eastAsia" w:ascii="宋体" w:hAnsi="宋体" w:cs="宋体"/>
                <w:highlight w:val="none"/>
              </w:rPr>
            </w:pPr>
          </w:p>
        </w:tc>
        <w:tc>
          <w:tcPr>
            <w:tcW w:w="1654" w:type="dxa"/>
            <w:noWrap w:val="0"/>
            <w:vAlign w:val="top"/>
          </w:tcPr>
          <w:p w14:paraId="34E71209">
            <w:pPr>
              <w:spacing w:line="440" w:lineRule="exact"/>
              <w:jc w:val="center"/>
              <w:rPr>
                <w:rFonts w:hint="eastAsia" w:ascii="宋体" w:hAnsi="宋体" w:cs="宋体"/>
                <w:highlight w:val="none"/>
              </w:rPr>
            </w:pPr>
          </w:p>
        </w:tc>
        <w:tc>
          <w:tcPr>
            <w:tcW w:w="3189" w:type="dxa"/>
            <w:noWrap w:val="0"/>
            <w:vAlign w:val="top"/>
          </w:tcPr>
          <w:p w14:paraId="63D30639">
            <w:pPr>
              <w:spacing w:line="440" w:lineRule="exact"/>
              <w:jc w:val="center"/>
              <w:rPr>
                <w:rFonts w:hint="eastAsia" w:ascii="宋体" w:hAnsi="宋体" w:cs="宋体"/>
                <w:highlight w:val="none"/>
              </w:rPr>
            </w:pPr>
          </w:p>
        </w:tc>
      </w:tr>
      <w:tr w14:paraId="48B81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8" w:type="dxa"/>
            <w:noWrap w:val="0"/>
            <w:vAlign w:val="top"/>
          </w:tcPr>
          <w:p w14:paraId="760A6C4E">
            <w:pPr>
              <w:spacing w:line="440" w:lineRule="exact"/>
              <w:jc w:val="center"/>
              <w:rPr>
                <w:rFonts w:hint="eastAsia" w:ascii="宋体" w:hAnsi="宋体" w:cs="宋体"/>
                <w:highlight w:val="none"/>
              </w:rPr>
            </w:pPr>
          </w:p>
        </w:tc>
        <w:tc>
          <w:tcPr>
            <w:tcW w:w="1276" w:type="dxa"/>
            <w:noWrap w:val="0"/>
            <w:vAlign w:val="top"/>
          </w:tcPr>
          <w:p w14:paraId="63270E2D">
            <w:pPr>
              <w:spacing w:line="440" w:lineRule="exact"/>
              <w:jc w:val="center"/>
              <w:rPr>
                <w:rFonts w:hint="eastAsia" w:ascii="宋体" w:hAnsi="宋体" w:cs="宋体"/>
                <w:highlight w:val="none"/>
              </w:rPr>
            </w:pPr>
          </w:p>
        </w:tc>
        <w:tc>
          <w:tcPr>
            <w:tcW w:w="1205" w:type="dxa"/>
            <w:noWrap w:val="0"/>
            <w:vAlign w:val="top"/>
          </w:tcPr>
          <w:p w14:paraId="115D93BF">
            <w:pPr>
              <w:spacing w:line="440" w:lineRule="exact"/>
              <w:jc w:val="center"/>
              <w:rPr>
                <w:rFonts w:hint="eastAsia" w:ascii="宋体" w:hAnsi="宋体" w:cs="宋体"/>
                <w:highlight w:val="none"/>
              </w:rPr>
            </w:pPr>
          </w:p>
        </w:tc>
        <w:tc>
          <w:tcPr>
            <w:tcW w:w="1654" w:type="dxa"/>
            <w:noWrap w:val="0"/>
            <w:vAlign w:val="top"/>
          </w:tcPr>
          <w:p w14:paraId="392AB8CA">
            <w:pPr>
              <w:spacing w:line="440" w:lineRule="exact"/>
              <w:jc w:val="center"/>
              <w:rPr>
                <w:rFonts w:hint="eastAsia" w:ascii="宋体" w:hAnsi="宋体" w:cs="宋体"/>
                <w:highlight w:val="none"/>
              </w:rPr>
            </w:pPr>
          </w:p>
        </w:tc>
        <w:tc>
          <w:tcPr>
            <w:tcW w:w="3189" w:type="dxa"/>
            <w:noWrap w:val="0"/>
            <w:vAlign w:val="top"/>
          </w:tcPr>
          <w:p w14:paraId="3B106BD8">
            <w:pPr>
              <w:spacing w:line="440" w:lineRule="exact"/>
              <w:jc w:val="center"/>
              <w:rPr>
                <w:rFonts w:hint="eastAsia" w:ascii="宋体" w:hAnsi="宋体" w:cs="宋体"/>
                <w:highlight w:val="none"/>
              </w:rPr>
            </w:pPr>
          </w:p>
        </w:tc>
      </w:tr>
      <w:tr w14:paraId="4037A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8" w:type="dxa"/>
            <w:noWrap w:val="0"/>
            <w:vAlign w:val="top"/>
          </w:tcPr>
          <w:p w14:paraId="70C41E8F">
            <w:pPr>
              <w:spacing w:line="440" w:lineRule="exact"/>
              <w:jc w:val="center"/>
              <w:rPr>
                <w:rFonts w:hint="eastAsia" w:ascii="宋体" w:hAnsi="宋体" w:cs="宋体"/>
                <w:highlight w:val="none"/>
              </w:rPr>
            </w:pPr>
          </w:p>
        </w:tc>
        <w:tc>
          <w:tcPr>
            <w:tcW w:w="1276" w:type="dxa"/>
            <w:noWrap w:val="0"/>
            <w:vAlign w:val="top"/>
          </w:tcPr>
          <w:p w14:paraId="6DA105D3">
            <w:pPr>
              <w:spacing w:line="440" w:lineRule="exact"/>
              <w:jc w:val="center"/>
              <w:rPr>
                <w:rFonts w:hint="eastAsia" w:ascii="宋体" w:hAnsi="宋体" w:cs="宋体"/>
                <w:highlight w:val="none"/>
              </w:rPr>
            </w:pPr>
          </w:p>
        </w:tc>
        <w:tc>
          <w:tcPr>
            <w:tcW w:w="1205" w:type="dxa"/>
            <w:noWrap w:val="0"/>
            <w:vAlign w:val="top"/>
          </w:tcPr>
          <w:p w14:paraId="5094A41B">
            <w:pPr>
              <w:spacing w:line="440" w:lineRule="exact"/>
              <w:jc w:val="center"/>
              <w:rPr>
                <w:rFonts w:hint="eastAsia" w:ascii="宋体" w:hAnsi="宋体" w:cs="宋体"/>
                <w:highlight w:val="none"/>
              </w:rPr>
            </w:pPr>
          </w:p>
        </w:tc>
        <w:tc>
          <w:tcPr>
            <w:tcW w:w="1654" w:type="dxa"/>
            <w:noWrap w:val="0"/>
            <w:vAlign w:val="top"/>
          </w:tcPr>
          <w:p w14:paraId="627B6DBF">
            <w:pPr>
              <w:spacing w:line="440" w:lineRule="exact"/>
              <w:jc w:val="center"/>
              <w:rPr>
                <w:rFonts w:hint="eastAsia" w:ascii="宋体" w:hAnsi="宋体" w:cs="宋体"/>
                <w:highlight w:val="none"/>
              </w:rPr>
            </w:pPr>
          </w:p>
        </w:tc>
        <w:tc>
          <w:tcPr>
            <w:tcW w:w="3189" w:type="dxa"/>
            <w:noWrap w:val="0"/>
            <w:vAlign w:val="top"/>
          </w:tcPr>
          <w:p w14:paraId="2064D55D">
            <w:pPr>
              <w:spacing w:line="440" w:lineRule="exact"/>
              <w:jc w:val="center"/>
              <w:rPr>
                <w:rFonts w:hint="eastAsia" w:ascii="宋体" w:hAnsi="宋体" w:cs="宋体"/>
                <w:highlight w:val="none"/>
              </w:rPr>
            </w:pPr>
          </w:p>
        </w:tc>
      </w:tr>
      <w:tr w14:paraId="7D395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8" w:type="dxa"/>
            <w:noWrap w:val="0"/>
            <w:vAlign w:val="top"/>
          </w:tcPr>
          <w:p w14:paraId="54501FF1">
            <w:pPr>
              <w:spacing w:line="440" w:lineRule="exact"/>
              <w:jc w:val="center"/>
              <w:rPr>
                <w:rFonts w:hint="eastAsia" w:ascii="宋体" w:hAnsi="宋体" w:cs="宋体"/>
                <w:highlight w:val="none"/>
              </w:rPr>
            </w:pPr>
          </w:p>
        </w:tc>
        <w:tc>
          <w:tcPr>
            <w:tcW w:w="1276" w:type="dxa"/>
            <w:noWrap w:val="0"/>
            <w:vAlign w:val="top"/>
          </w:tcPr>
          <w:p w14:paraId="26BA7808">
            <w:pPr>
              <w:spacing w:line="440" w:lineRule="exact"/>
              <w:jc w:val="center"/>
              <w:rPr>
                <w:rFonts w:hint="eastAsia" w:ascii="宋体" w:hAnsi="宋体" w:cs="宋体"/>
                <w:highlight w:val="none"/>
              </w:rPr>
            </w:pPr>
          </w:p>
        </w:tc>
        <w:tc>
          <w:tcPr>
            <w:tcW w:w="1205" w:type="dxa"/>
            <w:noWrap w:val="0"/>
            <w:vAlign w:val="top"/>
          </w:tcPr>
          <w:p w14:paraId="2A5863EC">
            <w:pPr>
              <w:spacing w:line="440" w:lineRule="exact"/>
              <w:jc w:val="center"/>
              <w:rPr>
                <w:rFonts w:hint="eastAsia" w:ascii="宋体" w:hAnsi="宋体" w:cs="宋体"/>
                <w:highlight w:val="none"/>
              </w:rPr>
            </w:pPr>
          </w:p>
        </w:tc>
        <w:tc>
          <w:tcPr>
            <w:tcW w:w="1654" w:type="dxa"/>
            <w:noWrap w:val="0"/>
            <w:vAlign w:val="top"/>
          </w:tcPr>
          <w:p w14:paraId="5D7C9DAA">
            <w:pPr>
              <w:spacing w:line="440" w:lineRule="exact"/>
              <w:jc w:val="center"/>
              <w:rPr>
                <w:rFonts w:hint="eastAsia" w:ascii="宋体" w:hAnsi="宋体" w:cs="宋体"/>
                <w:highlight w:val="none"/>
              </w:rPr>
            </w:pPr>
          </w:p>
        </w:tc>
        <w:tc>
          <w:tcPr>
            <w:tcW w:w="3189" w:type="dxa"/>
            <w:noWrap w:val="0"/>
            <w:vAlign w:val="top"/>
          </w:tcPr>
          <w:p w14:paraId="358EC197">
            <w:pPr>
              <w:spacing w:line="440" w:lineRule="exact"/>
              <w:jc w:val="center"/>
              <w:rPr>
                <w:rFonts w:hint="eastAsia" w:ascii="宋体" w:hAnsi="宋体" w:cs="宋体"/>
                <w:highlight w:val="none"/>
              </w:rPr>
            </w:pPr>
          </w:p>
        </w:tc>
      </w:tr>
      <w:tr w14:paraId="7021B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8" w:type="dxa"/>
            <w:noWrap w:val="0"/>
            <w:vAlign w:val="top"/>
          </w:tcPr>
          <w:p w14:paraId="7780A0AE">
            <w:pPr>
              <w:spacing w:line="440" w:lineRule="exact"/>
              <w:jc w:val="center"/>
              <w:rPr>
                <w:rFonts w:hint="eastAsia" w:ascii="宋体" w:hAnsi="宋体" w:cs="宋体"/>
                <w:highlight w:val="none"/>
              </w:rPr>
            </w:pPr>
          </w:p>
        </w:tc>
        <w:tc>
          <w:tcPr>
            <w:tcW w:w="1276" w:type="dxa"/>
            <w:noWrap w:val="0"/>
            <w:vAlign w:val="top"/>
          </w:tcPr>
          <w:p w14:paraId="24AAA278">
            <w:pPr>
              <w:spacing w:line="440" w:lineRule="exact"/>
              <w:jc w:val="center"/>
              <w:rPr>
                <w:rFonts w:hint="eastAsia" w:ascii="宋体" w:hAnsi="宋体" w:cs="宋体"/>
                <w:highlight w:val="none"/>
              </w:rPr>
            </w:pPr>
          </w:p>
        </w:tc>
        <w:tc>
          <w:tcPr>
            <w:tcW w:w="1205" w:type="dxa"/>
            <w:noWrap w:val="0"/>
            <w:vAlign w:val="top"/>
          </w:tcPr>
          <w:p w14:paraId="618CDBFB">
            <w:pPr>
              <w:spacing w:line="440" w:lineRule="exact"/>
              <w:jc w:val="center"/>
              <w:rPr>
                <w:rFonts w:hint="eastAsia" w:ascii="宋体" w:hAnsi="宋体" w:cs="宋体"/>
                <w:highlight w:val="none"/>
              </w:rPr>
            </w:pPr>
          </w:p>
        </w:tc>
        <w:tc>
          <w:tcPr>
            <w:tcW w:w="1654" w:type="dxa"/>
            <w:noWrap w:val="0"/>
            <w:vAlign w:val="top"/>
          </w:tcPr>
          <w:p w14:paraId="7E3B1898">
            <w:pPr>
              <w:spacing w:line="440" w:lineRule="exact"/>
              <w:jc w:val="center"/>
              <w:rPr>
                <w:rFonts w:hint="eastAsia" w:ascii="宋体" w:hAnsi="宋体" w:cs="宋体"/>
                <w:highlight w:val="none"/>
              </w:rPr>
            </w:pPr>
          </w:p>
        </w:tc>
        <w:tc>
          <w:tcPr>
            <w:tcW w:w="3189" w:type="dxa"/>
            <w:noWrap w:val="0"/>
            <w:vAlign w:val="top"/>
          </w:tcPr>
          <w:p w14:paraId="5DFF2106">
            <w:pPr>
              <w:spacing w:line="440" w:lineRule="exact"/>
              <w:jc w:val="center"/>
              <w:rPr>
                <w:rFonts w:hint="eastAsia" w:ascii="宋体" w:hAnsi="宋体" w:cs="宋体"/>
                <w:highlight w:val="none"/>
              </w:rPr>
            </w:pPr>
          </w:p>
        </w:tc>
      </w:tr>
      <w:tr w14:paraId="64538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8" w:type="dxa"/>
            <w:noWrap w:val="0"/>
            <w:vAlign w:val="top"/>
          </w:tcPr>
          <w:p w14:paraId="08A824CA">
            <w:pPr>
              <w:spacing w:line="440" w:lineRule="exact"/>
              <w:jc w:val="center"/>
              <w:rPr>
                <w:rFonts w:hint="eastAsia" w:ascii="宋体" w:hAnsi="宋体" w:cs="宋体"/>
                <w:highlight w:val="none"/>
              </w:rPr>
            </w:pPr>
          </w:p>
        </w:tc>
        <w:tc>
          <w:tcPr>
            <w:tcW w:w="1276" w:type="dxa"/>
            <w:noWrap w:val="0"/>
            <w:vAlign w:val="top"/>
          </w:tcPr>
          <w:p w14:paraId="4901732C">
            <w:pPr>
              <w:spacing w:line="440" w:lineRule="exact"/>
              <w:jc w:val="center"/>
              <w:rPr>
                <w:rFonts w:hint="eastAsia" w:ascii="宋体" w:hAnsi="宋体" w:cs="宋体"/>
                <w:highlight w:val="none"/>
              </w:rPr>
            </w:pPr>
          </w:p>
        </w:tc>
        <w:tc>
          <w:tcPr>
            <w:tcW w:w="1205" w:type="dxa"/>
            <w:noWrap w:val="0"/>
            <w:vAlign w:val="top"/>
          </w:tcPr>
          <w:p w14:paraId="457BE0EE">
            <w:pPr>
              <w:spacing w:line="440" w:lineRule="exact"/>
              <w:jc w:val="center"/>
              <w:rPr>
                <w:rFonts w:hint="eastAsia" w:ascii="宋体" w:hAnsi="宋体" w:cs="宋体"/>
                <w:highlight w:val="none"/>
              </w:rPr>
            </w:pPr>
          </w:p>
        </w:tc>
        <w:tc>
          <w:tcPr>
            <w:tcW w:w="1654" w:type="dxa"/>
            <w:noWrap w:val="0"/>
            <w:vAlign w:val="top"/>
          </w:tcPr>
          <w:p w14:paraId="7F47BA90">
            <w:pPr>
              <w:spacing w:line="440" w:lineRule="exact"/>
              <w:jc w:val="center"/>
              <w:rPr>
                <w:rFonts w:hint="eastAsia" w:ascii="宋体" w:hAnsi="宋体" w:cs="宋体"/>
                <w:highlight w:val="none"/>
              </w:rPr>
            </w:pPr>
          </w:p>
        </w:tc>
        <w:tc>
          <w:tcPr>
            <w:tcW w:w="3189" w:type="dxa"/>
            <w:noWrap w:val="0"/>
            <w:vAlign w:val="top"/>
          </w:tcPr>
          <w:p w14:paraId="59967CD1">
            <w:pPr>
              <w:spacing w:line="440" w:lineRule="exact"/>
              <w:jc w:val="center"/>
              <w:rPr>
                <w:rFonts w:hint="eastAsia" w:ascii="宋体" w:hAnsi="宋体" w:cs="宋体"/>
                <w:highlight w:val="none"/>
              </w:rPr>
            </w:pPr>
          </w:p>
        </w:tc>
      </w:tr>
      <w:tr w14:paraId="1D1D7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8" w:type="dxa"/>
            <w:noWrap w:val="0"/>
            <w:vAlign w:val="top"/>
          </w:tcPr>
          <w:p w14:paraId="7FDD68F9">
            <w:pPr>
              <w:spacing w:line="440" w:lineRule="exact"/>
              <w:jc w:val="center"/>
              <w:rPr>
                <w:rFonts w:hint="eastAsia" w:ascii="宋体" w:hAnsi="宋体" w:cs="宋体"/>
                <w:highlight w:val="none"/>
              </w:rPr>
            </w:pPr>
          </w:p>
        </w:tc>
        <w:tc>
          <w:tcPr>
            <w:tcW w:w="1276" w:type="dxa"/>
            <w:noWrap w:val="0"/>
            <w:vAlign w:val="top"/>
          </w:tcPr>
          <w:p w14:paraId="504DA2C5">
            <w:pPr>
              <w:spacing w:line="440" w:lineRule="exact"/>
              <w:jc w:val="center"/>
              <w:rPr>
                <w:rFonts w:hint="eastAsia" w:ascii="宋体" w:hAnsi="宋体" w:cs="宋体"/>
                <w:highlight w:val="none"/>
              </w:rPr>
            </w:pPr>
          </w:p>
        </w:tc>
        <w:tc>
          <w:tcPr>
            <w:tcW w:w="1205" w:type="dxa"/>
            <w:noWrap w:val="0"/>
            <w:vAlign w:val="top"/>
          </w:tcPr>
          <w:p w14:paraId="64603A55">
            <w:pPr>
              <w:spacing w:line="440" w:lineRule="exact"/>
              <w:jc w:val="center"/>
              <w:rPr>
                <w:rFonts w:hint="eastAsia" w:ascii="宋体" w:hAnsi="宋体" w:cs="宋体"/>
                <w:highlight w:val="none"/>
              </w:rPr>
            </w:pPr>
          </w:p>
        </w:tc>
        <w:tc>
          <w:tcPr>
            <w:tcW w:w="1654" w:type="dxa"/>
            <w:noWrap w:val="0"/>
            <w:vAlign w:val="top"/>
          </w:tcPr>
          <w:p w14:paraId="5953BCB0">
            <w:pPr>
              <w:spacing w:line="440" w:lineRule="exact"/>
              <w:jc w:val="center"/>
              <w:rPr>
                <w:rFonts w:hint="eastAsia" w:ascii="宋体" w:hAnsi="宋体" w:cs="宋体"/>
                <w:highlight w:val="none"/>
              </w:rPr>
            </w:pPr>
          </w:p>
        </w:tc>
        <w:tc>
          <w:tcPr>
            <w:tcW w:w="3189" w:type="dxa"/>
            <w:noWrap w:val="0"/>
            <w:vAlign w:val="top"/>
          </w:tcPr>
          <w:p w14:paraId="27D43DC4">
            <w:pPr>
              <w:spacing w:line="440" w:lineRule="exact"/>
              <w:jc w:val="center"/>
              <w:rPr>
                <w:rFonts w:hint="eastAsia" w:ascii="宋体" w:hAnsi="宋体" w:cs="宋体"/>
                <w:highlight w:val="none"/>
              </w:rPr>
            </w:pPr>
          </w:p>
        </w:tc>
      </w:tr>
      <w:tr w14:paraId="53D6C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8" w:type="dxa"/>
            <w:noWrap w:val="0"/>
            <w:vAlign w:val="top"/>
          </w:tcPr>
          <w:p w14:paraId="06926126">
            <w:pPr>
              <w:spacing w:line="440" w:lineRule="exact"/>
              <w:jc w:val="center"/>
              <w:rPr>
                <w:rFonts w:hint="eastAsia" w:ascii="宋体" w:hAnsi="宋体" w:cs="宋体"/>
                <w:highlight w:val="none"/>
              </w:rPr>
            </w:pPr>
          </w:p>
        </w:tc>
        <w:tc>
          <w:tcPr>
            <w:tcW w:w="1276" w:type="dxa"/>
            <w:noWrap w:val="0"/>
            <w:vAlign w:val="top"/>
          </w:tcPr>
          <w:p w14:paraId="315EC3D8">
            <w:pPr>
              <w:spacing w:line="440" w:lineRule="exact"/>
              <w:jc w:val="center"/>
              <w:rPr>
                <w:rFonts w:hint="eastAsia" w:ascii="宋体" w:hAnsi="宋体" w:cs="宋体"/>
                <w:highlight w:val="none"/>
              </w:rPr>
            </w:pPr>
          </w:p>
        </w:tc>
        <w:tc>
          <w:tcPr>
            <w:tcW w:w="1205" w:type="dxa"/>
            <w:noWrap w:val="0"/>
            <w:vAlign w:val="top"/>
          </w:tcPr>
          <w:p w14:paraId="238AEBB9">
            <w:pPr>
              <w:spacing w:line="440" w:lineRule="exact"/>
              <w:jc w:val="center"/>
              <w:rPr>
                <w:rFonts w:hint="eastAsia" w:ascii="宋体" w:hAnsi="宋体" w:cs="宋体"/>
                <w:highlight w:val="none"/>
              </w:rPr>
            </w:pPr>
          </w:p>
        </w:tc>
        <w:tc>
          <w:tcPr>
            <w:tcW w:w="1654" w:type="dxa"/>
            <w:noWrap w:val="0"/>
            <w:vAlign w:val="top"/>
          </w:tcPr>
          <w:p w14:paraId="4105B3F9">
            <w:pPr>
              <w:spacing w:line="440" w:lineRule="exact"/>
              <w:jc w:val="center"/>
              <w:rPr>
                <w:rFonts w:hint="eastAsia" w:ascii="宋体" w:hAnsi="宋体" w:cs="宋体"/>
                <w:highlight w:val="none"/>
              </w:rPr>
            </w:pPr>
          </w:p>
        </w:tc>
        <w:tc>
          <w:tcPr>
            <w:tcW w:w="3189" w:type="dxa"/>
            <w:noWrap w:val="0"/>
            <w:vAlign w:val="top"/>
          </w:tcPr>
          <w:p w14:paraId="1A6F375B">
            <w:pPr>
              <w:spacing w:line="440" w:lineRule="exact"/>
              <w:jc w:val="center"/>
              <w:rPr>
                <w:rFonts w:hint="eastAsia" w:ascii="宋体" w:hAnsi="宋体" w:cs="宋体"/>
                <w:highlight w:val="none"/>
              </w:rPr>
            </w:pPr>
          </w:p>
        </w:tc>
      </w:tr>
      <w:tr w14:paraId="0C641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8" w:type="dxa"/>
            <w:noWrap w:val="0"/>
            <w:vAlign w:val="top"/>
          </w:tcPr>
          <w:p w14:paraId="6F4E7988">
            <w:pPr>
              <w:spacing w:line="440" w:lineRule="exact"/>
              <w:jc w:val="center"/>
              <w:rPr>
                <w:rFonts w:hint="eastAsia" w:ascii="宋体" w:hAnsi="宋体" w:cs="宋体"/>
                <w:highlight w:val="none"/>
              </w:rPr>
            </w:pPr>
          </w:p>
        </w:tc>
        <w:tc>
          <w:tcPr>
            <w:tcW w:w="1276" w:type="dxa"/>
            <w:noWrap w:val="0"/>
            <w:vAlign w:val="top"/>
          </w:tcPr>
          <w:p w14:paraId="5F0B614B">
            <w:pPr>
              <w:spacing w:line="440" w:lineRule="exact"/>
              <w:jc w:val="center"/>
              <w:rPr>
                <w:rFonts w:hint="eastAsia" w:ascii="宋体" w:hAnsi="宋体" w:cs="宋体"/>
                <w:highlight w:val="none"/>
              </w:rPr>
            </w:pPr>
          </w:p>
        </w:tc>
        <w:tc>
          <w:tcPr>
            <w:tcW w:w="1205" w:type="dxa"/>
            <w:noWrap w:val="0"/>
            <w:vAlign w:val="top"/>
          </w:tcPr>
          <w:p w14:paraId="0D2F5273">
            <w:pPr>
              <w:spacing w:line="440" w:lineRule="exact"/>
              <w:jc w:val="center"/>
              <w:rPr>
                <w:rFonts w:hint="eastAsia" w:ascii="宋体" w:hAnsi="宋体" w:cs="宋体"/>
                <w:highlight w:val="none"/>
              </w:rPr>
            </w:pPr>
          </w:p>
        </w:tc>
        <w:tc>
          <w:tcPr>
            <w:tcW w:w="1654" w:type="dxa"/>
            <w:noWrap w:val="0"/>
            <w:vAlign w:val="top"/>
          </w:tcPr>
          <w:p w14:paraId="23063C53">
            <w:pPr>
              <w:spacing w:line="440" w:lineRule="exact"/>
              <w:jc w:val="center"/>
              <w:rPr>
                <w:rFonts w:hint="eastAsia" w:ascii="宋体" w:hAnsi="宋体" w:cs="宋体"/>
                <w:highlight w:val="none"/>
              </w:rPr>
            </w:pPr>
          </w:p>
        </w:tc>
        <w:tc>
          <w:tcPr>
            <w:tcW w:w="3189" w:type="dxa"/>
            <w:noWrap w:val="0"/>
            <w:vAlign w:val="top"/>
          </w:tcPr>
          <w:p w14:paraId="32BC1D1D">
            <w:pPr>
              <w:spacing w:line="440" w:lineRule="exact"/>
              <w:jc w:val="center"/>
              <w:rPr>
                <w:rFonts w:hint="eastAsia" w:ascii="宋体" w:hAnsi="宋体" w:cs="宋体"/>
                <w:highlight w:val="none"/>
              </w:rPr>
            </w:pPr>
          </w:p>
        </w:tc>
      </w:tr>
      <w:tr w14:paraId="28753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42" w:type="dxa"/>
            <w:gridSpan w:val="5"/>
            <w:noWrap w:val="0"/>
            <w:vAlign w:val="top"/>
          </w:tcPr>
          <w:p w14:paraId="616CE80F">
            <w:pPr>
              <w:spacing w:line="440" w:lineRule="exact"/>
              <w:rPr>
                <w:rFonts w:hint="eastAsia" w:ascii="宋体" w:hAnsi="宋体" w:cs="宋体"/>
                <w:highlight w:val="none"/>
              </w:rPr>
            </w:pPr>
            <w:r>
              <w:rPr>
                <w:rFonts w:hint="eastAsia" w:ascii="宋体" w:hAnsi="宋体" w:cs="宋体"/>
                <w:highlight w:val="none"/>
              </w:rPr>
              <w:t>备注：</w:t>
            </w:r>
          </w:p>
          <w:p w14:paraId="71FCEC56">
            <w:pPr>
              <w:spacing w:line="440" w:lineRule="exact"/>
              <w:rPr>
                <w:rFonts w:hint="eastAsia" w:ascii="宋体" w:hAnsi="宋体" w:cs="宋体"/>
                <w:highlight w:val="none"/>
              </w:rPr>
            </w:pPr>
            <w:r>
              <w:rPr>
                <w:rFonts w:hint="eastAsia" w:ascii="宋体" w:hAnsi="宋体" w:cs="宋体"/>
                <w:highlight w:val="none"/>
              </w:rPr>
              <w:t>1、“岗位”要求（总监理工程师除外）由招标人根据项目管理需要在本表备注中明确提出，如：拟派驻施工现场的总监理工程师代表、专业监理工程师、监理员等。以上项目管理团队实名信息将由交易系统提取后供各相关单位在履约时比对、查核。</w:t>
            </w:r>
          </w:p>
          <w:p w14:paraId="4B175E5D">
            <w:pPr>
              <w:spacing w:line="440" w:lineRule="exact"/>
              <w:rPr>
                <w:rFonts w:hint="eastAsia" w:ascii="宋体" w:hAnsi="宋体" w:cs="宋体"/>
                <w:highlight w:val="none"/>
              </w:rPr>
            </w:pPr>
            <w:r>
              <w:rPr>
                <w:rFonts w:hint="eastAsia" w:ascii="宋体" w:hAnsi="宋体" w:cs="宋体"/>
                <w:highlight w:val="none"/>
              </w:rPr>
              <w:t>2、投标人应根据本表备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投标登记方能成功(投标截止时间前可以补充、修改、替代)。</w:t>
            </w:r>
          </w:p>
          <w:p w14:paraId="083B9D1C">
            <w:pPr>
              <w:spacing w:line="440" w:lineRule="exact"/>
              <w:rPr>
                <w:rFonts w:hint="eastAsia" w:ascii="宋体" w:hAnsi="宋体" w:cs="宋体"/>
                <w:highlight w:val="none"/>
              </w:rPr>
            </w:pPr>
            <w:r>
              <w:rPr>
                <w:rFonts w:hint="eastAsia" w:ascii="宋体" w:hAnsi="宋体" w:cs="宋体"/>
                <w:highlight w:val="none"/>
              </w:rPr>
              <w:t>3、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p>
        </w:tc>
      </w:tr>
    </w:tbl>
    <w:p w14:paraId="1E929B94">
      <w:pPr>
        <w:rPr>
          <w:rFonts w:hint="eastAsia" w:ascii="宋体" w:hAnsi="宋体" w:eastAsia="宋体" w:cs="宋体"/>
          <w:color w:val="auto"/>
          <w:sz w:val="24"/>
          <w:szCs w:val="24"/>
          <w:highlight w:val="none"/>
        </w:rPr>
        <w:sectPr>
          <w:headerReference r:id="rId13" w:type="default"/>
          <w:footerReference r:id="rId14" w:type="default"/>
          <w:pgSz w:w="11905" w:h="16838"/>
          <w:pgMar w:top="1417" w:right="1417" w:bottom="1417" w:left="1417" w:header="992" w:footer="992" w:gutter="0"/>
          <w:lnNumType w:countBy="0" w:distance="360"/>
          <w:cols w:space="720" w:num="1"/>
        </w:sectPr>
      </w:pPr>
    </w:p>
    <w:p w14:paraId="64AA4E63">
      <w:pPr>
        <w:spacing w:after="120" w:afterLines="50"/>
        <w:jc w:val="center"/>
        <w:outlineLvl w:val="0"/>
        <w:rPr>
          <w:rFonts w:hint="eastAsia" w:ascii="宋体" w:hAnsi="宋体" w:cs="宋体"/>
          <w:b/>
          <w:sz w:val="28"/>
          <w:szCs w:val="28"/>
          <w:highlight w:val="none"/>
        </w:rPr>
      </w:pPr>
      <w:bookmarkStart w:id="145" w:name="bookmark191"/>
      <w:bookmarkEnd w:id="145"/>
      <w:bookmarkStart w:id="146" w:name="_Toc30346"/>
      <w:r>
        <w:rPr>
          <w:rFonts w:hint="eastAsia" w:ascii="宋体" w:hAnsi="宋体" w:cs="宋体"/>
          <w:b/>
          <w:color w:val="auto"/>
          <w:sz w:val="22"/>
          <w:szCs w:val="22"/>
          <w:highlight w:val="none"/>
        </w:rPr>
        <w:t>（</w:t>
      </w:r>
      <w:r>
        <w:rPr>
          <w:rFonts w:hint="eastAsia" w:ascii="宋体" w:hAnsi="宋体" w:cs="宋体"/>
          <w:b/>
          <w:color w:val="auto"/>
          <w:sz w:val="22"/>
          <w:szCs w:val="22"/>
          <w:highlight w:val="none"/>
          <w:lang w:eastAsia="zh-CN"/>
        </w:rPr>
        <w:t>三</w:t>
      </w:r>
      <w:r>
        <w:rPr>
          <w:rFonts w:hint="eastAsia" w:ascii="宋体" w:hAnsi="宋体" w:cs="宋体"/>
          <w:b/>
          <w:color w:val="auto"/>
          <w:sz w:val="22"/>
          <w:szCs w:val="22"/>
          <w:highlight w:val="none"/>
        </w:rPr>
        <w:t>）</w:t>
      </w:r>
      <w:r>
        <w:rPr>
          <w:rFonts w:hint="eastAsia" w:ascii="宋体" w:hAnsi="宋体" w:cs="宋体"/>
          <w:b/>
          <w:sz w:val="24"/>
          <w:szCs w:val="24"/>
          <w:highlight w:val="none"/>
        </w:rPr>
        <w:t>项目监理机构人员进场计划表</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0"/>
        <w:gridCol w:w="323"/>
        <w:gridCol w:w="3110"/>
        <w:gridCol w:w="1645"/>
        <w:gridCol w:w="1260"/>
        <w:gridCol w:w="2160"/>
      </w:tblGrid>
      <w:tr w14:paraId="03CFB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330" w:type="dxa"/>
            <w:noWrap w:val="0"/>
            <w:vAlign w:val="center"/>
          </w:tcPr>
          <w:p w14:paraId="159857ED">
            <w:pPr>
              <w:widowControl/>
              <w:spacing w:line="360" w:lineRule="exact"/>
              <w:jc w:val="center"/>
              <w:rPr>
                <w:rFonts w:hint="eastAsia" w:ascii="宋体" w:hAnsi="宋体" w:cs="宋体"/>
                <w:kern w:val="0"/>
                <w:sz w:val="24"/>
                <w:highlight w:val="none"/>
              </w:rPr>
            </w:pPr>
            <w:r>
              <w:rPr>
                <w:rFonts w:hint="eastAsia" w:ascii="宋体" w:hAnsi="宋体" w:cs="宋体"/>
                <w:kern w:val="0"/>
                <w:sz w:val="24"/>
                <w:highlight w:val="none"/>
              </w:rPr>
              <w:t>工程名称</w:t>
            </w:r>
          </w:p>
        </w:tc>
        <w:tc>
          <w:tcPr>
            <w:tcW w:w="3433" w:type="dxa"/>
            <w:gridSpan w:val="2"/>
            <w:noWrap w:val="0"/>
            <w:vAlign w:val="center"/>
          </w:tcPr>
          <w:p w14:paraId="73ADBA7A">
            <w:pPr>
              <w:widowControl/>
              <w:spacing w:line="360" w:lineRule="exact"/>
              <w:jc w:val="center"/>
              <w:rPr>
                <w:rFonts w:hint="eastAsia" w:ascii="宋体" w:hAnsi="宋体" w:cs="宋体"/>
                <w:kern w:val="0"/>
                <w:sz w:val="24"/>
                <w:highlight w:val="none"/>
              </w:rPr>
            </w:pPr>
          </w:p>
        </w:tc>
        <w:tc>
          <w:tcPr>
            <w:tcW w:w="2905" w:type="dxa"/>
            <w:gridSpan w:val="2"/>
            <w:noWrap w:val="0"/>
            <w:vAlign w:val="center"/>
          </w:tcPr>
          <w:p w14:paraId="3BFA03FC">
            <w:pPr>
              <w:widowControl/>
              <w:spacing w:line="360" w:lineRule="exact"/>
              <w:jc w:val="center"/>
              <w:rPr>
                <w:rFonts w:hint="eastAsia" w:ascii="宋体" w:hAnsi="宋体" w:cs="宋体"/>
                <w:kern w:val="0"/>
                <w:sz w:val="24"/>
                <w:highlight w:val="none"/>
              </w:rPr>
            </w:pPr>
            <w:r>
              <w:rPr>
                <w:rFonts w:hint="eastAsia" w:ascii="宋体" w:hAnsi="宋体" w:cs="宋体"/>
                <w:kern w:val="0"/>
                <w:sz w:val="24"/>
                <w:highlight w:val="none"/>
              </w:rPr>
              <w:t>工程类别</w:t>
            </w:r>
          </w:p>
        </w:tc>
        <w:tc>
          <w:tcPr>
            <w:tcW w:w="2160" w:type="dxa"/>
            <w:noWrap w:val="0"/>
            <w:vAlign w:val="center"/>
          </w:tcPr>
          <w:p w14:paraId="229A38DD">
            <w:pPr>
              <w:widowControl/>
              <w:spacing w:line="360" w:lineRule="exact"/>
              <w:jc w:val="center"/>
              <w:rPr>
                <w:rFonts w:hint="eastAsia" w:ascii="宋体" w:hAnsi="宋体" w:cs="宋体"/>
                <w:kern w:val="0"/>
                <w:sz w:val="24"/>
                <w:highlight w:val="none"/>
              </w:rPr>
            </w:pPr>
            <w:r>
              <w:rPr>
                <w:rFonts w:hint="eastAsia" w:ascii="宋体" w:hAnsi="宋体" w:cs="宋体"/>
                <w:kern w:val="0"/>
                <w:sz w:val="24"/>
                <w:highlight w:val="none"/>
              </w:rPr>
              <w:t>市政</w:t>
            </w:r>
          </w:p>
        </w:tc>
      </w:tr>
      <w:tr w14:paraId="6AAD7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330" w:type="dxa"/>
            <w:noWrap w:val="0"/>
            <w:vAlign w:val="center"/>
          </w:tcPr>
          <w:p w14:paraId="5E79C5CB">
            <w:pPr>
              <w:widowControl/>
              <w:spacing w:line="360" w:lineRule="exact"/>
              <w:jc w:val="center"/>
              <w:rPr>
                <w:rFonts w:hint="eastAsia" w:ascii="宋体" w:hAnsi="宋体" w:cs="宋体"/>
                <w:kern w:val="0"/>
                <w:sz w:val="24"/>
                <w:highlight w:val="none"/>
              </w:rPr>
            </w:pPr>
            <w:r>
              <w:rPr>
                <w:rFonts w:hint="eastAsia" w:ascii="宋体" w:hAnsi="宋体" w:cs="宋体"/>
                <w:kern w:val="0"/>
                <w:sz w:val="24"/>
                <w:highlight w:val="none"/>
              </w:rPr>
              <w:t>项目总监</w:t>
            </w:r>
          </w:p>
        </w:tc>
        <w:tc>
          <w:tcPr>
            <w:tcW w:w="3433" w:type="dxa"/>
            <w:gridSpan w:val="2"/>
            <w:noWrap w:val="0"/>
            <w:vAlign w:val="center"/>
          </w:tcPr>
          <w:p w14:paraId="2ED8997E">
            <w:pPr>
              <w:widowControl/>
              <w:spacing w:line="360" w:lineRule="exact"/>
              <w:jc w:val="center"/>
              <w:rPr>
                <w:rFonts w:hint="eastAsia" w:ascii="宋体" w:hAnsi="宋体" w:cs="宋体"/>
                <w:kern w:val="0"/>
                <w:sz w:val="24"/>
                <w:highlight w:val="none"/>
              </w:rPr>
            </w:pPr>
          </w:p>
        </w:tc>
        <w:tc>
          <w:tcPr>
            <w:tcW w:w="2905" w:type="dxa"/>
            <w:gridSpan w:val="2"/>
            <w:noWrap w:val="0"/>
            <w:vAlign w:val="center"/>
          </w:tcPr>
          <w:p w14:paraId="0776A48B">
            <w:pPr>
              <w:widowControl/>
              <w:spacing w:line="360" w:lineRule="exact"/>
              <w:jc w:val="center"/>
              <w:rPr>
                <w:rFonts w:hint="eastAsia" w:ascii="宋体" w:hAnsi="宋体" w:cs="宋体"/>
                <w:kern w:val="0"/>
                <w:sz w:val="24"/>
                <w:highlight w:val="none"/>
              </w:rPr>
            </w:pPr>
            <w:r>
              <w:rPr>
                <w:rFonts w:hint="eastAsia" w:ascii="宋体" w:hAnsi="宋体" w:cs="宋体"/>
                <w:kern w:val="0"/>
                <w:sz w:val="24"/>
                <w:highlight w:val="none"/>
              </w:rPr>
              <w:t>现场安全负责人</w:t>
            </w:r>
          </w:p>
        </w:tc>
        <w:tc>
          <w:tcPr>
            <w:tcW w:w="2160" w:type="dxa"/>
            <w:noWrap w:val="0"/>
            <w:vAlign w:val="center"/>
          </w:tcPr>
          <w:p w14:paraId="633CB7EE">
            <w:pPr>
              <w:widowControl/>
              <w:spacing w:line="360" w:lineRule="exact"/>
              <w:jc w:val="center"/>
              <w:rPr>
                <w:rFonts w:hint="eastAsia" w:ascii="宋体" w:hAnsi="宋体" w:cs="宋体"/>
                <w:kern w:val="0"/>
                <w:sz w:val="24"/>
                <w:highlight w:val="none"/>
              </w:rPr>
            </w:pPr>
          </w:p>
        </w:tc>
      </w:tr>
      <w:tr w14:paraId="13D16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330" w:type="dxa"/>
            <w:noWrap w:val="0"/>
            <w:vAlign w:val="center"/>
          </w:tcPr>
          <w:p w14:paraId="299C9D6D">
            <w:pPr>
              <w:widowControl/>
              <w:spacing w:line="360" w:lineRule="exact"/>
              <w:jc w:val="center"/>
              <w:rPr>
                <w:rFonts w:hint="eastAsia" w:ascii="宋体" w:hAnsi="宋体" w:cs="宋体"/>
                <w:kern w:val="0"/>
                <w:sz w:val="24"/>
                <w:highlight w:val="none"/>
              </w:rPr>
            </w:pPr>
            <w:r>
              <w:rPr>
                <w:rFonts w:hint="eastAsia" w:ascii="宋体" w:hAnsi="宋体" w:cs="宋体"/>
                <w:kern w:val="0"/>
                <w:sz w:val="24"/>
                <w:highlight w:val="none"/>
              </w:rPr>
              <w:t>现场监理</w:t>
            </w:r>
          </w:p>
        </w:tc>
        <w:tc>
          <w:tcPr>
            <w:tcW w:w="3433" w:type="dxa"/>
            <w:gridSpan w:val="2"/>
            <w:noWrap w:val="0"/>
            <w:vAlign w:val="center"/>
          </w:tcPr>
          <w:p w14:paraId="2643CF0D">
            <w:pPr>
              <w:widowControl/>
              <w:spacing w:line="360" w:lineRule="exact"/>
              <w:jc w:val="center"/>
              <w:rPr>
                <w:rFonts w:hint="eastAsia" w:ascii="宋体" w:hAnsi="宋体" w:cs="宋体"/>
                <w:kern w:val="0"/>
                <w:sz w:val="24"/>
                <w:highlight w:val="none"/>
              </w:rPr>
            </w:pPr>
          </w:p>
        </w:tc>
        <w:tc>
          <w:tcPr>
            <w:tcW w:w="2905" w:type="dxa"/>
            <w:gridSpan w:val="2"/>
            <w:noWrap w:val="0"/>
            <w:vAlign w:val="center"/>
          </w:tcPr>
          <w:p w14:paraId="463B45F4">
            <w:pPr>
              <w:widowControl/>
              <w:spacing w:line="360" w:lineRule="exact"/>
              <w:jc w:val="center"/>
              <w:rPr>
                <w:rFonts w:hint="eastAsia" w:ascii="宋体" w:hAnsi="宋体" w:cs="宋体"/>
                <w:kern w:val="0"/>
                <w:sz w:val="24"/>
                <w:highlight w:val="none"/>
              </w:rPr>
            </w:pPr>
          </w:p>
        </w:tc>
        <w:tc>
          <w:tcPr>
            <w:tcW w:w="2160" w:type="dxa"/>
            <w:noWrap w:val="0"/>
            <w:vAlign w:val="center"/>
          </w:tcPr>
          <w:p w14:paraId="796A5E9F">
            <w:pPr>
              <w:widowControl/>
              <w:spacing w:line="360" w:lineRule="exact"/>
              <w:jc w:val="center"/>
              <w:rPr>
                <w:rFonts w:hint="eastAsia" w:ascii="宋体" w:hAnsi="宋体" w:cs="宋体"/>
                <w:kern w:val="0"/>
                <w:sz w:val="24"/>
                <w:highlight w:val="none"/>
              </w:rPr>
            </w:pPr>
          </w:p>
        </w:tc>
      </w:tr>
      <w:tr w14:paraId="1C3F8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9828" w:type="dxa"/>
            <w:gridSpan w:val="6"/>
            <w:noWrap w:val="0"/>
            <w:vAlign w:val="center"/>
          </w:tcPr>
          <w:p w14:paraId="382CC81C">
            <w:pPr>
              <w:widowControl/>
              <w:spacing w:line="360" w:lineRule="exact"/>
              <w:jc w:val="center"/>
              <w:rPr>
                <w:rFonts w:hint="eastAsia" w:ascii="宋体" w:hAnsi="宋体" w:cs="宋体"/>
                <w:sz w:val="24"/>
                <w:highlight w:val="none"/>
              </w:rPr>
            </w:pPr>
            <w:r>
              <w:rPr>
                <w:rFonts w:hint="eastAsia" w:ascii="宋体" w:hAnsi="宋体" w:cs="宋体"/>
                <w:kern w:val="0"/>
                <w:sz w:val="24"/>
                <w:highlight w:val="none"/>
              </w:rPr>
              <w:t>基 础 阶 段 监 理 人 员 （共  人）</w:t>
            </w:r>
          </w:p>
        </w:tc>
      </w:tr>
      <w:tr w14:paraId="7C2ED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653" w:type="dxa"/>
            <w:gridSpan w:val="2"/>
            <w:noWrap w:val="0"/>
            <w:vAlign w:val="center"/>
          </w:tcPr>
          <w:p w14:paraId="09F7B235">
            <w:pPr>
              <w:widowControl/>
              <w:spacing w:line="360" w:lineRule="exact"/>
              <w:jc w:val="center"/>
              <w:rPr>
                <w:rFonts w:hint="eastAsia" w:ascii="宋体" w:hAnsi="宋体" w:cs="宋体"/>
                <w:kern w:val="0"/>
                <w:sz w:val="24"/>
                <w:highlight w:val="none"/>
              </w:rPr>
            </w:pPr>
            <w:r>
              <w:rPr>
                <w:rFonts w:hint="eastAsia" w:ascii="宋体" w:hAnsi="宋体" w:cs="宋体"/>
                <w:kern w:val="0"/>
                <w:sz w:val="24"/>
                <w:highlight w:val="none"/>
              </w:rPr>
              <w:t>姓名</w:t>
            </w:r>
          </w:p>
        </w:tc>
        <w:tc>
          <w:tcPr>
            <w:tcW w:w="3110" w:type="dxa"/>
            <w:noWrap w:val="0"/>
            <w:vAlign w:val="center"/>
          </w:tcPr>
          <w:p w14:paraId="5D194CC5">
            <w:pPr>
              <w:widowControl/>
              <w:spacing w:line="360" w:lineRule="exact"/>
              <w:jc w:val="center"/>
              <w:rPr>
                <w:rFonts w:hint="eastAsia" w:ascii="宋体" w:hAnsi="宋体" w:cs="宋体"/>
                <w:kern w:val="0"/>
                <w:sz w:val="24"/>
                <w:highlight w:val="none"/>
              </w:rPr>
            </w:pPr>
            <w:r>
              <w:rPr>
                <w:rFonts w:hint="eastAsia" w:ascii="宋体" w:hAnsi="宋体" w:cs="宋体"/>
                <w:kern w:val="0"/>
                <w:sz w:val="24"/>
                <w:highlight w:val="none"/>
              </w:rPr>
              <w:t>岗位职务</w:t>
            </w:r>
          </w:p>
        </w:tc>
        <w:tc>
          <w:tcPr>
            <w:tcW w:w="1645" w:type="dxa"/>
            <w:noWrap w:val="0"/>
            <w:vAlign w:val="center"/>
          </w:tcPr>
          <w:p w14:paraId="7D1553A7">
            <w:pPr>
              <w:widowControl/>
              <w:spacing w:line="360" w:lineRule="exact"/>
              <w:jc w:val="center"/>
              <w:rPr>
                <w:rFonts w:hint="eastAsia" w:ascii="宋体" w:hAnsi="宋体" w:cs="宋体"/>
                <w:kern w:val="0"/>
                <w:sz w:val="24"/>
                <w:highlight w:val="none"/>
              </w:rPr>
            </w:pPr>
            <w:r>
              <w:rPr>
                <w:rFonts w:hint="eastAsia" w:ascii="宋体" w:hAnsi="宋体" w:cs="宋体"/>
                <w:kern w:val="0"/>
                <w:sz w:val="24"/>
                <w:highlight w:val="none"/>
              </w:rPr>
              <w:t>职称</w:t>
            </w:r>
          </w:p>
        </w:tc>
        <w:tc>
          <w:tcPr>
            <w:tcW w:w="1260" w:type="dxa"/>
            <w:noWrap w:val="0"/>
            <w:vAlign w:val="center"/>
          </w:tcPr>
          <w:p w14:paraId="7C9AD360">
            <w:pPr>
              <w:widowControl/>
              <w:spacing w:line="360" w:lineRule="exact"/>
              <w:jc w:val="center"/>
              <w:rPr>
                <w:rFonts w:hint="eastAsia" w:ascii="宋体" w:hAnsi="宋体" w:cs="宋体"/>
                <w:kern w:val="0"/>
                <w:sz w:val="24"/>
                <w:highlight w:val="none"/>
              </w:rPr>
            </w:pPr>
            <w:r>
              <w:rPr>
                <w:rFonts w:hint="eastAsia" w:ascii="宋体" w:hAnsi="宋体" w:cs="宋体"/>
                <w:kern w:val="0"/>
                <w:sz w:val="24"/>
                <w:highlight w:val="none"/>
              </w:rPr>
              <w:t>专业</w:t>
            </w:r>
          </w:p>
        </w:tc>
        <w:tc>
          <w:tcPr>
            <w:tcW w:w="2160" w:type="dxa"/>
            <w:noWrap w:val="0"/>
            <w:vAlign w:val="center"/>
          </w:tcPr>
          <w:p w14:paraId="0D7C8440">
            <w:pPr>
              <w:widowControl/>
              <w:spacing w:line="360" w:lineRule="exact"/>
              <w:jc w:val="center"/>
              <w:rPr>
                <w:rFonts w:hint="eastAsia" w:ascii="宋体" w:hAnsi="宋体" w:cs="宋体"/>
                <w:kern w:val="0"/>
                <w:sz w:val="24"/>
                <w:highlight w:val="none"/>
              </w:rPr>
            </w:pPr>
            <w:r>
              <w:rPr>
                <w:rFonts w:hint="eastAsia" w:ascii="宋体" w:hAnsi="宋体" w:cs="宋体"/>
                <w:kern w:val="0"/>
                <w:szCs w:val="21"/>
                <w:highlight w:val="none"/>
              </w:rPr>
              <w:t>身份证号码/执业资格证号/上岗证号</w:t>
            </w:r>
          </w:p>
        </w:tc>
      </w:tr>
      <w:tr w14:paraId="6954C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653" w:type="dxa"/>
            <w:gridSpan w:val="2"/>
            <w:noWrap w:val="0"/>
            <w:vAlign w:val="center"/>
          </w:tcPr>
          <w:p w14:paraId="178C092D">
            <w:pPr>
              <w:widowControl/>
              <w:spacing w:line="360" w:lineRule="exact"/>
              <w:jc w:val="center"/>
              <w:rPr>
                <w:rFonts w:hint="eastAsia" w:ascii="宋体" w:hAnsi="宋体" w:cs="宋体"/>
                <w:kern w:val="0"/>
                <w:sz w:val="24"/>
                <w:highlight w:val="none"/>
              </w:rPr>
            </w:pPr>
          </w:p>
        </w:tc>
        <w:tc>
          <w:tcPr>
            <w:tcW w:w="3110" w:type="dxa"/>
            <w:noWrap w:val="0"/>
            <w:vAlign w:val="center"/>
          </w:tcPr>
          <w:p w14:paraId="3EC41A82">
            <w:pPr>
              <w:widowControl/>
              <w:spacing w:line="360" w:lineRule="exact"/>
              <w:jc w:val="center"/>
              <w:rPr>
                <w:rFonts w:hint="eastAsia" w:ascii="宋体" w:hAnsi="宋体" w:cs="宋体"/>
                <w:kern w:val="0"/>
                <w:sz w:val="24"/>
                <w:highlight w:val="none"/>
              </w:rPr>
            </w:pPr>
          </w:p>
        </w:tc>
        <w:tc>
          <w:tcPr>
            <w:tcW w:w="1645" w:type="dxa"/>
            <w:noWrap w:val="0"/>
            <w:vAlign w:val="center"/>
          </w:tcPr>
          <w:p w14:paraId="42C1963A">
            <w:pPr>
              <w:spacing w:line="360" w:lineRule="exact"/>
              <w:jc w:val="center"/>
              <w:rPr>
                <w:rFonts w:hint="eastAsia" w:ascii="宋体" w:hAnsi="宋体" w:cs="宋体"/>
                <w:sz w:val="24"/>
                <w:highlight w:val="none"/>
              </w:rPr>
            </w:pPr>
          </w:p>
        </w:tc>
        <w:tc>
          <w:tcPr>
            <w:tcW w:w="1260" w:type="dxa"/>
            <w:noWrap w:val="0"/>
            <w:vAlign w:val="center"/>
          </w:tcPr>
          <w:p w14:paraId="36C3D044">
            <w:pPr>
              <w:widowControl/>
              <w:spacing w:line="360" w:lineRule="exact"/>
              <w:jc w:val="center"/>
              <w:rPr>
                <w:rFonts w:hint="eastAsia" w:ascii="宋体" w:hAnsi="宋体" w:cs="宋体"/>
                <w:kern w:val="0"/>
                <w:sz w:val="24"/>
                <w:highlight w:val="none"/>
              </w:rPr>
            </w:pPr>
          </w:p>
        </w:tc>
        <w:tc>
          <w:tcPr>
            <w:tcW w:w="2160" w:type="dxa"/>
            <w:noWrap w:val="0"/>
            <w:vAlign w:val="center"/>
          </w:tcPr>
          <w:p w14:paraId="4A632906">
            <w:pPr>
              <w:widowControl/>
              <w:spacing w:line="360" w:lineRule="exact"/>
              <w:jc w:val="center"/>
              <w:rPr>
                <w:rFonts w:hint="eastAsia" w:ascii="宋体" w:hAnsi="宋体" w:cs="宋体"/>
                <w:kern w:val="0"/>
                <w:sz w:val="24"/>
                <w:highlight w:val="none"/>
              </w:rPr>
            </w:pPr>
          </w:p>
        </w:tc>
      </w:tr>
      <w:tr w14:paraId="3864D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653" w:type="dxa"/>
            <w:gridSpan w:val="2"/>
            <w:noWrap w:val="0"/>
            <w:vAlign w:val="center"/>
          </w:tcPr>
          <w:p w14:paraId="4E530D61">
            <w:pPr>
              <w:widowControl/>
              <w:spacing w:line="360" w:lineRule="exact"/>
              <w:jc w:val="center"/>
              <w:rPr>
                <w:rFonts w:hint="eastAsia" w:ascii="宋体" w:hAnsi="宋体" w:cs="宋体"/>
                <w:kern w:val="0"/>
                <w:sz w:val="24"/>
                <w:highlight w:val="none"/>
              </w:rPr>
            </w:pPr>
          </w:p>
        </w:tc>
        <w:tc>
          <w:tcPr>
            <w:tcW w:w="3110" w:type="dxa"/>
            <w:noWrap w:val="0"/>
            <w:vAlign w:val="center"/>
          </w:tcPr>
          <w:p w14:paraId="411F6CDA">
            <w:pPr>
              <w:widowControl/>
              <w:spacing w:line="360" w:lineRule="exact"/>
              <w:jc w:val="center"/>
              <w:rPr>
                <w:rFonts w:hint="eastAsia" w:ascii="宋体" w:hAnsi="宋体" w:cs="宋体"/>
                <w:kern w:val="0"/>
                <w:sz w:val="24"/>
                <w:highlight w:val="none"/>
              </w:rPr>
            </w:pPr>
          </w:p>
        </w:tc>
        <w:tc>
          <w:tcPr>
            <w:tcW w:w="1645" w:type="dxa"/>
            <w:noWrap w:val="0"/>
            <w:vAlign w:val="center"/>
          </w:tcPr>
          <w:p w14:paraId="623AE74A">
            <w:pPr>
              <w:spacing w:line="360" w:lineRule="exact"/>
              <w:jc w:val="center"/>
              <w:rPr>
                <w:rFonts w:hint="eastAsia" w:ascii="宋体" w:hAnsi="宋体" w:cs="宋体"/>
                <w:sz w:val="24"/>
                <w:highlight w:val="none"/>
              </w:rPr>
            </w:pPr>
          </w:p>
        </w:tc>
        <w:tc>
          <w:tcPr>
            <w:tcW w:w="1260" w:type="dxa"/>
            <w:noWrap w:val="0"/>
            <w:vAlign w:val="center"/>
          </w:tcPr>
          <w:p w14:paraId="6AA78DE7">
            <w:pPr>
              <w:widowControl/>
              <w:spacing w:line="360" w:lineRule="exact"/>
              <w:jc w:val="center"/>
              <w:rPr>
                <w:rFonts w:hint="eastAsia" w:ascii="宋体" w:hAnsi="宋体" w:cs="宋体"/>
                <w:kern w:val="0"/>
                <w:sz w:val="24"/>
                <w:highlight w:val="none"/>
              </w:rPr>
            </w:pPr>
          </w:p>
        </w:tc>
        <w:tc>
          <w:tcPr>
            <w:tcW w:w="2160" w:type="dxa"/>
            <w:noWrap w:val="0"/>
            <w:vAlign w:val="center"/>
          </w:tcPr>
          <w:p w14:paraId="720BE17E">
            <w:pPr>
              <w:widowControl/>
              <w:spacing w:line="360" w:lineRule="exact"/>
              <w:jc w:val="center"/>
              <w:rPr>
                <w:rFonts w:hint="eastAsia" w:ascii="宋体" w:hAnsi="宋体" w:cs="宋体"/>
                <w:kern w:val="0"/>
                <w:sz w:val="24"/>
                <w:highlight w:val="none"/>
              </w:rPr>
            </w:pPr>
          </w:p>
        </w:tc>
      </w:tr>
      <w:tr w14:paraId="71C47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653" w:type="dxa"/>
            <w:gridSpan w:val="2"/>
            <w:noWrap w:val="0"/>
            <w:vAlign w:val="center"/>
          </w:tcPr>
          <w:p w14:paraId="3D8BB395">
            <w:pPr>
              <w:widowControl/>
              <w:spacing w:line="360" w:lineRule="exact"/>
              <w:jc w:val="center"/>
              <w:rPr>
                <w:rFonts w:hint="eastAsia" w:ascii="宋体" w:hAnsi="宋体" w:cs="宋体"/>
                <w:kern w:val="0"/>
                <w:sz w:val="24"/>
                <w:highlight w:val="none"/>
              </w:rPr>
            </w:pPr>
          </w:p>
        </w:tc>
        <w:tc>
          <w:tcPr>
            <w:tcW w:w="3110" w:type="dxa"/>
            <w:noWrap w:val="0"/>
            <w:vAlign w:val="center"/>
          </w:tcPr>
          <w:p w14:paraId="16D7F48C">
            <w:pPr>
              <w:widowControl/>
              <w:spacing w:line="360" w:lineRule="exact"/>
              <w:jc w:val="center"/>
              <w:rPr>
                <w:rFonts w:hint="eastAsia" w:ascii="宋体" w:hAnsi="宋体" w:cs="宋体"/>
                <w:kern w:val="0"/>
                <w:sz w:val="24"/>
                <w:highlight w:val="none"/>
              </w:rPr>
            </w:pPr>
          </w:p>
        </w:tc>
        <w:tc>
          <w:tcPr>
            <w:tcW w:w="1645" w:type="dxa"/>
            <w:noWrap w:val="0"/>
            <w:vAlign w:val="center"/>
          </w:tcPr>
          <w:p w14:paraId="4EB6080F">
            <w:pPr>
              <w:spacing w:line="360" w:lineRule="exact"/>
              <w:jc w:val="center"/>
              <w:rPr>
                <w:rFonts w:hint="eastAsia" w:ascii="宋体" w:hAnsi="宋体" w:cs="宋体"/>
                <w:sz w:val="24"/>
                <w:highlight w:val="none"/>
              </w:rPr>
            </w:pPr>
          </w:p>
        </w:tc>
        <w:tc>
          <w:tcPr>
            <w:tcW w:w="1260" w:type="dxa"/>
            <w:noWrap w:val="0"/>
            <w:vAlign w:val="center"/>
          </w:tcPr>
          <w:p w14:paraId="6DEE7F32">
            <w:pPr>
              <w:widowControl/>
              <w:spacing w:line="360" w:lineRule="exact"/>
              <w:jc w:val="center"/>
              <w:rPr>
                <w:rFonts w:hint="eastAsia" w:ascii="宋体" w:hAnsi="宋体" w:cs="宋体"/>
                <w:kern w:val="0"/>
                <w:sz w:val="24"/>
                <w:highlight w:val="none"/>
              </w:rPr>
            </w:pPr>
          </w:p>
        </w:tc>
        <w:tc>
          <w:tcPr>
            <w:tcW w:w="2160" w:type="dxa"/>
            <w:noWrap w:val="0"/>
            <w:vAlign w:val="center"/>
          </w:tcPr>
          <w:p w14:paraId="6383135D">
            <w:pPr>
              <w:widowControl/>
              <w:spacing w:line="360" w:lineRule="exact"/>
              <w:jc w:val="center"/>
              <w:rPr>
                <w:rFonts w:hint="eastAsia" w:ascii="宋体" w:hAnsi="宋体" w:cs="宋体"/>
                <w:kern w:val="0"/>
                <w:sz w:val="24"/>
                <w:highlight w:val="none"/>
              </w:rPr>
            </w:pPr>
          </w:p>
        </w:tc>
      </w:tr>
      <w:tr w14:paraId="00733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9828" w:type="dxa"/>
            <w:gridSpan w:val="6"/>
            <w:noWrap w:val="0"/>
            <w:vAlign w:val="center"/>
          </w:tcPr>
          <w:p w14:paraId="51110690">
            <w:pPr>
              <w:widowControl/>
              <w:spacing w:line="360" w:lineRule="exact"/>
              <w:jc w:val="center"/>
              <w:rPr>
                <w:rFonts w:hint="eastAsia" w:ascii="宋体" w:hAnsi="宋体" w:cs="宋体"/>
                <w:kern w:val="0"/>
                <w:sz w:val="24"/>
                <w:highlight w:val="none"/>
              </w:rPr>
            </w:pPr>
            <w:r>
              <w:rPr>
                <w:rFonts w:hint="eastAsia" w:ascii="宋体" w:hAnsi="宋体" w:cs="宋体"/>
                <w:kern w:val="0"/>
                <w:sz w:val="24"/>
                <w:highlight w:val="none"/>
              </w:rPr>
              <w:t>主 体 阶 段 监 理 人 员 （共  人）</w:t>
            </w:r>
          </w:p>
        </w:tc>
      </w:tr>
      <w:tr w14:paraId="53571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653" w:type="dxa"/>
            <w:gridSpan w:val="2"/>
            <w:noWrap w:val="0"/>
            <w:vAlign w:val="center"/>
          </w:tcPr>
          <w:p w14:paraId="352F6414">
            <w:pPr>
              <w:widowControl/>
              <w:spacing w:line="360" w:lineRule="exact"/>
              <w:jc w:val="center"/>
              <w:rPr>
                <w:rFonts w:hint="eastAsia" w:ascii="宋体" w:hAnsi="宋体" w:cs="宋体"/>
                <w:kern w:val="0"/>
                <w:sz w:val="24"/>
                <w:highlight w:val="none"/>
              </w:rPr>
            </w:pPr>
            <w:r>
              <w:rPr>
                <w:rFonts w:hint="eastAsia" w:ascii="宋体" w:hAnsi="宋体" w:cs="宋体"/>
                <w:kern w:val="0"/>
                <w:sz w:val="24"/>
                <w:highlight w:val="none"/>
              </w:rPr>
              <w:t>姓名</w:t>
            </w:r>
          </w:p>
        </w:tc>
        <w:tc>
          <w:tcPr>
            <w:tcW w:w="3110" w:type="dxa"/>
            <w:noWrap w:val="0"/>
            <w:vAlign w:val="center"/>
          </w:tcPr>
          <w:p w14:paraId="1348B4E6">
            <w:pPr>
              <w:widowControl/>
              <w:spacing w:line="360" w:lineRule="exact"/>
              <w:jc w:val="center"/>
              <w:rPr>
                <w:rFonts w:hint="eastAsia" w:ascii="宋体" w:hAnsi="宋体" w:cs="宋体"/>
                <w:kern w:val="0"/>
                <w:sz w:val="24"/>
                <w:highlight w:val="none"/>
              </w:rPr>
            </w:pPr>
            <w:r>
              <w:rPr>
                <w:rFonts w:hint="eastAsia" w:ascii="宋体" w:hAnsi="宋体" w:cs="宋体"/>
                <w:kern w:val="0"/>
                <w:sz w:val="24"/>
                <w:highlight w:val="none"/>
              </w:rPr>
              <w:t>岗位职务</w:t>
            </w:r>
          </w:p>
        </w:tc>
        <w:tc>
          <w:tcPr>
            <w:tcW w:w="1645" w:type="dxa"/>
            <w:noWrap w:val="0"/>
            <w:vAlign w:val="center"/>
          </w:tcPr>
          <w:p w14:paraId="779AA19F">
            <w:pPr>
              <w:widowControl/>
              <w:spacing w:line="360" w:lineRule="exact"/>
              <w:jc w:val="center"/>
              <w:rPr>
                <w:rFonts w:hint="eastAsia" w:ascii="宋体" w:hAnsi="宋体" w:cs="宋体"/>
                <w:kern w:val="0"/>
                <w:sz w:val="24"/>
                <w:highlight w:val="none"/>
              </w:rPr>
            </w:pPr>
            <w:r>
              <w:rPr>
                <w:rFonts w:hint="eastAsia" w:ascii="宋体" w:hAnsi="宋体" w:cs="宋体"/>
                <w:kern w:val="0"/>
                <w:sz w:val="24"/>
                <w:highlight w:val="none"/>
              </w:rPr>
              <w:t>职称</w:t>
            </w:r>
          </w:p>
        </w:tc>
        <w:tc>
          <w:tcPr>
            <w:tcW w:w="1260" w:type="dxa"/>
            <w:noWrap w:val="0"/>
            <w:vAlign w:val="center"/>
          </w:tcPr>
          <w:p w14:paraId="1717C0F6">
            <w:pPr>
              <w:widowControl/>
              <w:spacing w:line="360" w:lineRule="exact"/>
              <w:jc w:val="center"/>
              <w:rPr>
                <w:rFonts w:hint="eastAsia" w:ascii="宋体" w:hAnsi="宋体" w:cs="宋体"/>
                <w:kern w:val="0"/>
                <w:sz w:val="24"/>
                <w:highlight w:val="none"/>
              </w:rPr>
            </w:pPr>
            <w:r>
              <w:rPr>
                <w:rFonts w:hint="eastAsia" w:ascii="宋体" w:hAnsi="宋体" w:cs="宋体"/>
                <w:kern w:val="0"/>
                <w:sz w:val="24"/>
                <w:highlight w:val="none"/>
              </w:rPr>
              <w:t>专业</w:t>
            </w:r>
          </w:p>
        </w:tc>
        <w:tc>
          <w:tcPr>
            <w:tcW w:w="2160" w:type="dxa"/>
            <w:noWrap w:val="0"/>
            <w:vAlign w:val="center"/>
          </w:tcPr>
          <w:p w14:paraId="08EFA2FC">
            <w:pPr>
              <w:widowControl/>
              <w:spacing w:line="360" w:lineRule="exact"/>
              <w:jc w:val="center"/>
              <w:rPr>
                <w:rFonts w:hint="eastAsia" w:ascii="宋体" w:hAnsi="宋体" w:cs="宋体"/>
                <w:kern w:val="0"/>
                <w:sz w:val="24"/>
                <w:highlight w:val="none"/>
              </w:rPr>
            </w:pPr>
            <w:r>
              <w:rPr>
                <w:rFonts w:hint="eastAsia" w:ascii="宋体" w:hAnsi="宋体" w:cs="宋体"/>
                <w:kern w:val="0"/>
                <w:szCs w:val="21"/>
                <w:highlight w:val="none"/>
              </w:rPr>
              <w:t>身份证号码/执业资格证号/上岗证号</w:t>
            </w:r>
          </w:p>
        </w:tc>
      </w:tr>
      <w:tr w14:paraId="0A48C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653" w:type="dxa"/>
            <w:gridSpan w:val="2"/>
            <w:noWrap w:val="0"/>
            <w:vAlign w:val="center"/>
          </w:tcPr>
          <w:p w14:paraId="2DAA55C4">
            <w:pPr>
              <w:widowControl/>
              <w:spacing w:line="360" w:lineRule="exact"/>
              <w:jc w:val="center"/>
              <w:rPr>
                <w:rFonts w:hint="eastAsia" w:ascii="宋体" w:hAnsi="宋体" w:cs="宋体"/>
                <w:kern w:val="0"/>
                <w:sz w:val="24"/>
                <w:highlight w:val="none"/>
              </w:rPr>
            </w:pPr>
          </w:p>
        </w:tc>
        <w:tc>
          <w:tcPr>
            <w:tcW w:w="3110" w:type="dxa"/>
            <w:noWrap w:val="0"/>
            <w:vAlign w:val="center"/>
          </w:tcPr>
          <w:p w14:paraId="15125E8A">
            <w:pPr>
              <w:widowControl/>
              <w:spacing w:line="360" w:lineRule="exact"/>
              <w:jc w:val="center"/>
              <w:rPr>
                <w:rFonts w:hint="eastAsia" w:ascii="宋体" w:hAnsi="宋体" w:cs="宋体"/>
                <w:kern w:val="0"/>
                <w:sz w:val="24"/>
                <w:highlight w:val="none"/>
              </w:rPr>
            </w:pPr>
          </w:p>
        </w:tc>
        <w:tc>
          <w:tcPr>
            <w:tcW w:w="1645" w:type="dxa"/>
            <w:noWrap w:val="0"/>
            <w:vAlign w:val="center"/>
          </w:tcPr>
          <w:p w14:paraId="08513F0F">
            <w:pPr>
              <w:spacing w:line="360" w:lineRule="exact"/>
              <w:jc w:val="center"/>
              <w:rPr>
                <w:rFonts w:hint="eastAsia" w:ascii="宋体" w:hAnsi="宋体" w:cs="宋体"/>
                <w:sz w:val="24"/>
                <w:highlight w:val="none"/>
              </w:rPr>
            </w:pPr>
          </w:p>
        </w:tc>
        <w:tc>
          <w:tcPr>
            <w:tcW w:w="1260" w:type="dxa"/>
            <w:noWrap w:val="0"/>
            <w:vAlign w:val="center"/>
          </w:tcPr>
          <w:p w14:paraId="1ABB61CE">
            <w:pPr>
              <w:widowControl/>
              <w:spacing w:line="360" w:lineRule="exact"/>
              <w:jc w:val="center"/>
              <w:rPr>
                <w:rFonts w:hint="eastAsia" w:ascii="宋体" w:hAnsi="宋体" w:cs="宋体"/>
                <w:kern w:val="0"/>
                <w:sz w:val="24"/>
                <w:highlight w:val="none"/>
              </w:rPr>
            </w:pPr>
          </w:p>
        </w:tc>
        <w:tc>
          <w:tcPr>
            <w:tcW w:w="2160" w:type="dxa"/>
            <w:noWrap w:val="0"/>
            <w:vAlign w:val="center"/>
          </w:tcPr>
          <w:p w14:paraId="5A7F1100">
            <w:pPr>
              <w:widowControl/>
              <w:spacing w:line="360" w:lineRule="exact"/>
              <w:jc w:val="center"/>
              <w:rPr>
                <w:rFonts w:hint="eastAsia" w:ascii="宋体" w:hAnsi="宋体" w:cs="宋体"/>
                <w:kern w:val="0"/>
                <w:sz w:val="24"/>
                <w:highlight w:val="none"/>
              </w:rPr>
            </w:pPr>
          </w:p>
        </w:tc>
      </w:tr>
      <w:tr w14:paraId="0DF4E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653" w:type="dxa"/>
            <w:gridSpan w:val="2"/>
            <w:noWrap w:val="0"/>
            <w:vAlign w:val="center"/>
          </w:tcPr>
          <w:p w14:paraId="7ED4EEB2">
            <w:pPr>
              <w:widowControl/>
              <w:spacing w:line="360" w:lineRule="exact"/>
              <w:jc w:val="center"/>
              <w:rPr>
                <w:rFonts w:hint="eastAsia" w:ascii="宋体" w:hAnsi="宋体" w:cs="宋体"/>
                <w:kern w:val="0"/>
                <w:sz w:val="24"/>
                <w:highlight w:val="none"/>
              </w:rPr>
            </w:pPr>
          </w:p>
        </w:tc>
        <w:tc>
          <w:tcPr>
            <w:tcW w:w="3110" w:type="dxa"/>
            <w:noWrap w:val="0"/>
            <w:vAlign w:val="center"/>
          </w:tcPr>
          <w:p w14:paraId="0E59FA03">
            <w:pPr>
              <w:widowControl/>
              <w:spacing w:line="360" w:lineRule="exact"/>
              <w:jc w:val="center"/>
              <w:rPr>
                <w:rFonts w:hint="eastAsia" w:ascii="宋体" w:hAnsi="宋体" w:cs="宋体"/>
                <w:kern w:val="0"/>
                <w:sz w:val="24"/>
                <w:highlight w:val="none"/>
              </w:rPr>
            </w:pPr>
          </w:p>
        </w:tc>
        <w:tc>
          <w:tcPr>
            <w:tcW w:w="1645" w:type="dxa"/>
            <w:noWrap w:val="0"/>
            <w:vAlign w:val="center"/>
          </w:tcPr>
          <w:p w14:paraId="2B157746">
            <w:pPr>
              <w:spacing w:line="360" w:lineRule="exact"/>
              <w:jc w:val="center"/>
              <w:rPr>
                <w:rFonts w:hint="eastAsia" w:ascii="宋体" w:hAnsi="宋体" w:cs="宋体"/>
                <w:sz w:val="24"/>
                <w:highlight w:val="none"/>
              </w:rPr>
            </w:pPr>
          </w:p>
        </w:tc>
        <w:tc>
          <w:tcPr>
            <w:tcW w:w="1260" w:type="dxa"/>
            <w:noWrap w:val="0"/>
            <w:vAlign w:val="center"/>
          </w:tcPr>
          <w:p w14:paraId="46A848CF">
            <w:pPr>
              <w:widowControl/>
              <w:spacing w:line="360" w:lineRule="exact"/>
              <w:jc w:val="center"/>
              <w:rPr>
                <w:rFonts w:hint="eastAsia" w:ascii="宋体" w:hAnsi="宋体" w:cs="宋体"/>
                <w:kern w:val="0"/>
                <w:sz w:val="24"/>
                <w:highlight w:val="none"/>
              </w:rPr>
            </w:pPr>
          </w:p>
        </w:tc>
        <w:tc>
          <w:tcPr>
            <w:tcW w:w="2160" w:type="dxa"/>
            <w:noWrap w:val="0"/>
            <w:vAlign w:val="center"/>
          </w:tcPr>
          <w:p w14:paraId="0D0A6B3B">
            <w:pPr>
              <w:widowControl/>
              <w:spacing w:line="360" w:lineRule="exact"/>
              <w:jc w:val="center"/>
              <w:rPr>
                <w:rFonts w:hint="eastAsia" w:ascii="宋体" w:hAnsi="宋体" w:cs="宋体"/>
                <w:kern w:val="0"/>
                <w:sz w:val="24"/>
                <w:highlight w:val="none"/>
              </w:rPr>
            </w:pPr>
          </w:p>
        </w:tc>
      </w:tr>
      <w:tr w14:paraId="0D0F1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653" w:type="dxa"/>
            <w:gridSpan w:val="2"/>
            <w:noWrap w:val="0"/>
            <w:vAlign w:val="center"/>
          </w:tcPr>
          <w:p w14:paraId="068D1719">
            <w:pPr>
              <w:widowControl/>
              <w:spacing w:line="360" w:lineRule="exact"/>
              <w:jc w:val="center"/>
              <w:rPr>
                <w:rFonts w:hint="eastAsia" w:ascii="宋体" w:hAnsi="宋体" w:cs="宋体"/>
                <w:kern w:val="0"/>
                <w:sz w:val="24"/>
                <w:highlight w:val="none"/>
              </w:rPr>
            </w:pPr>
          </w:p>
        </w:tc>
        <w:tc>
          <w:tcPr>
            <w:tcW w:w="3110" w:type="dxa"/>
            <w:noWrap w:val="0"/>
            <w:vAlign w:val="center"/>
          </w:tcPr>
          <w:p w14:paraId="0EA6221B">
            <w:pPr>
              <w:widowControl/>
              <w:spacing w:line="360" w:lineRule="exact"/>
              <w:jc w:val="center"/>
              <w:rPr>
                <w:rFonts w:hint="eastAsia" w:ascii="宋体" w:hAnsi="宋体" w:cs="宋体"/>
                <w:kern w:val="0"/>
                <w:sz w:val="24"/>
                <w:highlight w:val="none"/>
              </w:rPr>
            </w:pPr>
          </w:p>
        </w:tc>
        <w:tc>
          <w:tcPr>
            <w:tcW w:w="1645" w:type="dxa"/>
            <w:noWrap w:val="0"/>
            <w:vAlign w:val="center"/>
          </w:tcPr>
          <w:p w14:paraId="3EFAC104">
            <w:pPr>
              <w:spacing w:line="360" w:lineRule="exact"/>
              <w:jc w:val="center"/>
              <w:rPr>
                <w:rFonts w:hint="eastAsia" w:ascii="宋体" w:hAnsi="宋体" w:cs="宋体"/>
                <w:sz w:val="24"/>
                <w:highlight w:val="none"/>
              </w:rPr>
            </w:pPr>
          </w:p>
        </w:tc>
        <w:tc>
          <w:tcPr>
            <w:tcW w:w="1260" w:type="dxa"/>
            <w:noWrap w:val="0"/>
            <w:vAlign w:val="center"/>
          </w:tcPr>
          <w:p w14:paraId="065048B5">
            <w:pPr>
              <w:widowControl/>
              <w:spacing w:line="360" w:lineRule="exact"/>
              <w:jc w:val="center"/>
              <w:rPr>
                <w:rFonts w:hint="eastAsia" w:ascii="宋体" w:hAnsi="宋体" w:cs="宋体"/>
                <w:kern w:val="0"/>
                <w:sz w:val="24"/>
                <w:highlight w:val="none"/>
              </w:rPr>
            </w:pPr>
          </w:p>
        </w:tc>
        <w:tc>
          <w:tcPr>
            <w:tcW w:w="2160" w:type="dxa"/>
            <w:noWrap w:val="0"/>
            <w:vAlign w:val="center"/>
          </w:tcPr>
          <w:p w14:paraId="472FFD71">
            <w:pPr>
              <w:widowControl/>
              <w:spacing w:line="360" w:lineRule="exact"/>
              <w:jc w:val="center"/>
              <w:rPr>
                <w:rFonts w:hint="eastAsia" w:ascii="宋体" w:hAnsi="宋体" w:cs="宋体"/>
                <w:kern w:val="0"/>
                <w:sz w:val="24"/>
                <w:highlight w:val="none"/>
              </w:rPr>
            </w:pPr>
          </w:p>
        </w:tc>
      </w:tr>
      <w:tr w14:paraId="5B717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9828" w:type="dxa"/>
            <w:gridSpan w:val="6"/>
            <w:noWrap w:val="0"/>
            <w:vAlign w:val="center"/>
          </w:tcPr>
          <w:p w14:paraId="2B4491F4">
            <w:pPr>
              <w:widowControl/>
              <w:spacing w:line="360" w:lineRule="exact"/>
              <w:jc w:val="center"/>
              <w:rPr>
                <w:rFonts w:hint="eastAsia" w:ascii="宋体" w:hAnsi="宋体" w:cs="宋体"/>
                <w:kern w:val="0"/>
                <w:sz w:val="24"/>
                <w:highlight w:val="none"/>
              </w:rPr>
            </w:pPr>
            <w:r>
              <w:rPr>
                <w:rFonts w:hint="eastAsia" w:ascii="宋体" w:hAnsi="宋体" w:cs="宋体"/>
                <w:kern w:val="0"/>
                <w:sz w:val="24"/>
                <w:highlight w:val="none"/>
              </w:rPr>
              <w:t>高 峰 阶 段 监 理 人 员 （共  人）</w:t>
            </w:r>
          </w:p>
        </w:tc>
      </w:tr>
      <w:tr w14:paraId="1A58D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653" w:type="dxa"/>
            <w:gridSpan w:val="2"/>
            <w:noWrap w:val="0"/>
            <w:vAlign w:val="center"/>
          </w:tcPr>
          <w:p w14:paraId="425C8B26">
            <w:pPr>
              <w:widowControl/>
              <w:spacing w:line="360" w:lineRule="exact"/>
              <w:jc w:val="center"/>
              <w:rPr>
                <w:rFonts w:hint="eastAsia" w:ascii="宋体" w:hAnsi="宋体" w:cs="宋体"/>
                <w:kern w:val="0"/>
                <w:sz w:val="24"/>
                <w:highlight w:val="none"/>
              </w:rPr>
            </w:pPr>
            <w:r>
              <w:rPr>
                <w:rFonts w:hint="eastAsia" w:ascii="宋体" w:hAnsi="宋体" w:cs="宋体"/>
                <w:kern w:val="0"/>
                <w:sz w:val="24"/>
                <w:highlight w:val="none"/>
              </w:rPr>
              <w:t>姓名</w:t>
            </w:r>
          </w:p>
        </w:tc>
        <w:tc>
          <w:tcPr>
            <w:tcW w:w="3110" w:type="dxa"/>
            <w:noWrap w:val="0"/>
            <w:vAlign w:val="center"/>
          </w:tcPr>
          <w:p w14:paraId="126A3BFD">
            <w:pPr>
              <w:widowControl/>
              <w:spacing w:line="360" w:lineRule="exact"/>
              <w:jc w:val="center"/>
              <w:rPr>
                <w:rFonts w:hint="eastAsia" w:ascii="宋体" w:hAnsi="宋体" w:cs="宋体"/>
                <w:kern w:val="0"/>
                <w:sz w:val="24"/>
                <w:highlight w:val="none"/>
              </w:rPr>
            </w:pPr>
            <w:r>
              <w:rPr>
                <w:rFonts w:hint="eastAsia" w:ascii="宋体" w:hAnsi="宋体" w:cs="宋体"/>
                <w:kern w:val="0"/>
                <w:sz w:val="24"/>
                <w:highlight w:val="none"/>
              </w:rPr>
              <w:t>岗位职务</w:t>
            </w:r>
          </w:p>
        </w:tc>
        <w:tc>
          <w:tcPr>
            <w:tcW w:w="1645" w:type="dxa"/>
            <w:noWrap w:val="0"/>
            <w:vAlign w:val="center"/>
          </w:tcPr>
          <w:p w14:paraId="76BB68A4">
            <w:pPr>
              <w:widowControl/>
              <w:spacing w:line="360" w:lineRule="exact"/>
              <w:jc w:val="center"/>
              <w:rPr>
                <w:rFonts w:hint="eastAsia" w:ascii="宋体" w:hAnsi="宋体" w:cs="宋体"/>
                <w:kern w:val="0"/>
                <w:sz w:val="24"/>
                <w:highlight w:val="none"/>
              </w:rPr>
            </w:pPr>
            <w:r>
              <w:rPr>
                <w:rFonts w:hint="eastAsia" w:ascii="宋体" w:hAnsi="宋体" w:cs="宋体"/>
                <w:kern w:val="0"/>
                <w:sz w:val="24"/>
                <w:highlight w:val="none"/>
              </w:rPr>
              <w:t>职称</w:t>
            </w:r>
          </w:p>
        </w:tc>
        <w:tc>
          <w:tcPr>
            <w:tcW w:w="1260" w:type="dxa"/>
            <w:noWrap w:val="0"/>
            <w:vAlign w:val="center"/>
          </w:tcPr>
          <w:p w14:paraId="1F8012FC">
            <w:pPr>
              <w:widowControl/>
              <w:spacing w:line="360" w:lineRule="exact"/>
              <w:jc w:val="center"/>
              <w:rPr>
                <w:rFonts w:hint="eastAsia" w:ascii="宋体" w:hAnsi="宋体" w:cs="宋体"/>
                <w:kern w:val="0"/>
                <w:sz w:val="24"/>
                <w:highlight w:val="none"/>
              </w:rPr>
            </w:pPr>
            <w:r>
              <w:rPr>
                <w:rFonts w:hint="eastAsia" w:ascii="宋体" w:hAnsi="宋体" w:cs="宋体"/>
                <w:kern w:val="0"/>
                <w:sz w:val="24"/>
                <w:highlight w:val="none"/>
              </w:rPr>
              <w:t>专业</w:t>
            </w:r>
          </w:p>
        </w:tc>
        <w:tc>
          <w:tcPr>
            <w:tcW w:w="2160" w:type="dxa"/>
            <w:noWrap w:val="0"/>
            <w:vAlign w:val="center"/>
          </w:tcPr>
          <w:p w14:paraId="7AFBD745">
            <w:pPr>
              <w:widowControl/>
              <w:spacing w:line="360" w:lineRule="exact"/>
              <w:jc w:val="center"/>
              <w:rPr>
                <w:rFonts w:hint="eastAsia" w:ascii="宋体" w:hAnsi="宋体" w:cs="宋体"/>
                <w:kern w:val="0"/>
                <w:sz w:val="24"/>
                <w:highlight w:val="none"/>
              </w:rPr>
            </w:pPr>
            <w:r>
              <w:rPr>
                <w:rFonts w:hint="eastAsia" w:ascii="宋体" w:hAnsi="宋体" w:cs="宋体"/>
                <w:kern w:val="0"/>
                <w:szCs w:val="21"/>
                <w:highlight w:val="none"/>
              </w:rPr>
              <w:t>身份证号码/执业资格证号/上岗证号</w:t>
            </w:r>
          </w:p>
        </w:tc>
      </w:tr>
      <w:tr w14:paraId="05C0E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653" w:type="dxa"/>
            <w:gridSpan w:val="2"/>
            <w:noWrap w:val="0"/>
            <w:vAlign w:val="center"/>
          </w:tcPr>
          <w:p w14:paraId="21CC317C">
            <w:pPr>
              <w:widowControl/>
              <w:spacing w:line="360" w:lineRule="exact"/>
              <w:jc w:val="center"/>
              <w:rPr>
                <w:rFonts w:hint="eastAsia" w:ascii="宋体" w:hAnsi="宋体" w:cs="宋体"/>
                <w:kern w:val="0"/>
                <w:sz w:val="24"/>
                <w:highlight w:val="none"/>
              </w:rPr>
            </w:pPr>
          </w:p>
        </w:tc>
        <w:tc>
          <w:tcPr>
            <w:tcW w:w="3110" w:type="dxa"/>
            <w:noWrap w:val="0"/>
            <w:vAlign w:val="center"/>
          </w:tcPr>
          <w:p w14:paraId="1DE7AD63">
            <w:pPr>
              <w:widowControl/>
              <w:spacing w:line="360" w:lineRule="exact"/>
              <w:jc w:val="center"/>
              <w:rPr>
                <w:rFonts w:hint="eastAsia" w:ascii="宋体" w:hAnsi="宋体" w:cs="宋体"/>
                <w:kern w:val="0"/>
                <w:sz w:val="24"/>
                <w:highlight w:val="none"/>
              </w:rPr>
            </w:pPr>
          </w:p>
        </w:tc>
        <w:tc>
          <w:tcPr>
            <w:tcW w:w="1645" w:type="dxa"/>
            <w:noWrap w:val="0"/>
            <w:vAlign w:val="center"/>
          </w:tcPr>
          <w:p w14:paraId="36971982">
            <w:pPr>
              <w:spacing w:line="360" w:lineRule="exact"/>
              <w:jc w:val="center"/>
              <w:rPr>
                <w:rFonts w:hint="eastAsia" w:ascii="宋体" w:hAnsi="宋体" w:cs="宋体"/>
                <w:sz w:val="24"/>
                <w:highlight w:val="none"/>
              </w:rPr>
            </w:pPr>
          </w:p>
        </w:tc>
        <w:tc>
          <w:tcPr>
            <w:tcW w:w="1260" w:type="dxa"/>
            <w:noWrap w:val="0"/>
            <w:vAlign w:val="center"/>
          </w:tcPr>
          <w:p w14:paraId="1F8DF328">
            <w:pPr>
              <w:widowControl/>
              <w:spacing w:line="360" w:lineRule="exact"/>
              <w:jc w:val="center"/>
              <w:rPr>
                <w:rFonts w:hint="eastAsia" w:ascii="宋体" w:hAnsi="宋体" w:cs="宋体"/>
                <w:kern w:val="0"/>
                <w:sz w:val="24"/>
                <w:highlight w:val="none"/>
              </w:rPr>
            </w:pPr>
          </w:p>
        </w:tc>
        <w:tc>
          <w:tcPr>
            <w:tcW w:w="2160" w:type="dxa"/>
            <w:noWrap w:val="0"/>
            <w:vAlign w:val="center"/>
          </w:tcPr>
          <w:p w14:paraId="1964F291">
            <w:pPr>
              <w:widowControl/>
              <w:spacing w:line="360" w:lineRule="exact"/>
              <w:jc w:val="center"/>
              <w:rPr>
                <w:rFonts w:hint="eastAsia" w:ascii="宋体" w:hAnsi="宋体" w:cs="宋体"/>
                <w:kern w:val="0"/>
                <w:sz w:val="24"/>
                <w:highlight w:val="none"/>
              </w:rPr>
            </w:pPr>
          </w:p>
        </w:tc>
      </w:tr>
      <w:tr w14:paraId="16097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653" w:type="dxa"/>
            <w:gridSpan w:val="2"/>
            <w:noWrap w:val="0"/>
            <w:vAlign w:val="center"/>
          </w:tcPr>
          <w:p w14:paraId="103BB61C">
            <w:pPr>
              <w:widowControl/>
              <w:spacing w:line="360" w:lineRule="exact"/>
              <w:jc w:val="center"/>
              <w:rPr>
                <w:rFonts w:hint="eastAsia" w:ascii="宋体" w:hAnsi="宋体" w:cs="宋体"/>
                <w:kern w:val="0"/>
                <w:sz w:val="24"/>
                <w:highlight w:val="none"/>
              </w:rPr>
            </w:pPr>
          </w:p>
        </w:tc>
        <w:tc>
          <w:tcPr>
            <w:tcW w:w="3110" w:type="dxa"/>
            <w:noWrap w:val="0"/>
            <w:vAlign w:val="center"/>
          </w:tcPr>
          <w:p w14:paraId="1F290E20">
            <w:pPr>
              <w:widowControl/>
              <w:spacing w:line="360" w:lineRule="exact"/>
              <w:jc w:val="center"/>
              <w:rPr>
                <w:rFonts w:hint="eastAsia" w:ascii="宋体" w:hAnsi="宋体" w:cs="宋体"/>
                <w:kern w:val="0"/>
                <w:sz w:val="24"/>
                <w:highlight w:val="none"/>
              </w:rPr>
            </w:pPr>
          </w:p>
        </w:tc>
        <w:tc>
          <w:tcPr>
            <w:tcW w:w="1645" w:type="dxa"/>
            <w:noWrap w:val="0"/>
            <w:vAlign w:val="center"/>
          </w:tcPr>
          <w:p w14:paraId="670C38D1">
            <w:pPr>
              <w:spacing w:line="360" w:lineRule="exact"/>
              <w:jc w:val="center"/>
              <w:rPr>
                <w:rFonts w:hint="eastAsia" w:ascii="宋体" w:hAnsi="宋体" w:cs="宋体"/>
                <w:sz w:val="24"/>
                <w:highlight w:val="none"/>
              </w:rPr>
            </w:pPr>
          </w:p>
        </w:tc>
        <w:tc>
          <w:tcPr>
            <w:tcW w:w="1260" w:type="dxa"/>
            <w:noWrap w:val="0"/>
            <w:vAlign w:val="center"/>
          </w:tcPr>
          <w:p w14:paraId="42EFD7F1">
            <w:pPr>
              <w:widowControl/>
              <w:spacing w:line="360" w:lineRule="exact"/>
              <w:jc w:val="center"/>
              <w:rPr>
                <w:rFonts w:hint="eastAsia" w:ascii="宋体" w:hAnsi="宋体" w:cs="宋体"/>
                <w:kern w:val="0"/>
                <w:sz w:val="24"/>
                <w:highlight w:val="none"/>
              </w:rPr>
            </w:pPr>
          </w:p>
        </w:tc>
        <w:tc>
          <w:tcPr>
            <w:tcW w:w="2160" w:type="dxa"/>
            <w:noWrap w:val="0"/>
            <w:vAlign w:val="center"/>
          </w:tcPr>
          <w:p w14:paraId="34FCD4E8">
            <w:pPr>
              <w:widowControl/>
              <w:spacing w:line="360" w:lineRule="exact"/>
              <w:jc w:val="center"/>
              <w:rPr>
                <w:rFonts w:hint="eastAsia" w:ascii="宋体" w:hAnsi="宋体" w:cs="宋体"/>
                <w:kern w:val="0"/>
                <w:sz w:val="24"/>
                <w:highlight w:val="none"/>
              </w:rPr>
            </w:pPr>
          </w:p>
        </w:tc>
      </w:tr>
      <w:tr w14:paraId="490CD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653" w:type="dxa"/>
            <w:gridSpan w:val="2"/>
            <w:noWrap w:val="0"/>
            <w:vAlign w:val="center"/>
          </w:tcPr>
          <w:p w14:paraId="09BE8D55">
            <w:pPr>
              <w:widowControl/>
              <w:spacing w:line="360" w:lineRule="exact"/>
              <w:jc w:val="center"/>
              <w:rPr>
                <w:rFonts w:hint="eastAsia" w:ascii="宋体" w:hAnsi="宋体" w:cs="宋体"/>
                <w:kern w:val="0"/>
                <w:sz w:val="24"/>
                <w:highlight w:val="none"/>
              </w:rPr>
            </w:pPr>
          </w:p>
        </w:tc>
        <w:tc>
          <w:tcPr>
            <w:tcW w:w="3110" w:type="dxa"/>
            <w:noWrap w:val="0"/>
            <w:vAlign w:val="center"/>
          </w:tcPr>
          <w:p w14:paraId="32A4ACD4">
            <w:pPr>
              <w:widowControl/>
              <w:spacing w:line="360" w:lineRule="exact"/>
              <w:jc w:val="center"/>
              <w:rPr>
                <w:rFonts w:hint="eastAsia" w:ascii="宋体" w:hAnsi="宋体" w:cs="宋体"/>
                <w:kern w:val="0"/>
                <w:sz w:val="24"/>
                <w:highlight w:val="none"/>
              </w:rPr>
            </w:pPr>
          </w:p>
        </w:tc>
        <w:tc>
          <w:tcPr>
            <w:tcW w:w="1645" w:type="dxa"/>
            <w:noWrap w:val="0"/>
            <w:vAlign w:val="center"/>
          </w:tcPr>
          <w:p w14:paraId="5389359B">
            <w:pPr>
              <w:spacing w:line="360" w:lineRule="exact"/>
              <w:jc w:val="center"/>
              <w:rPr>
                <w:rFonts w:hint="eastAsia" w:ascii="宋体" w:hAnsi="宋体" w:cs="宋体"/>
                <w:sz w:val="24"/>
                <w:highlight w:val="none"/>
              </w:rPr>
            </w:pPr>
          </w:p>
        </w:tc>
        <w:tc>
          <w:tcPr>
            <w:tcW w:w="1260" w:type="dxa"/>
            <w:noWrap w:val="0"/>
            <w:vAlign w:val="center"/>
          </w:tcPr>
          <w:p w14:paraId="46DDDCD4">
            <w:pPr>
              <w:widowControl/>
              <w:spacing w:line="360" w:lineRule="exact"/>
              <w:jc w:val="center"/>
              <w:rPr>
                <w:rFonts w:hint="eastAsia" w:ascii="宋体" w:hAnsi="宋体" w:cs="宋体"/>
                <w:kern w:val="0"/>
                <w:sz w:val="24"/>
                <w:highlight w:val="none"/>
              </w:rPr>
            </w:pPr>
          </w:p>
        </w:tc>
        <w:tc>
          <w:tcPr>
            <w:tcW w:w="2160" w:type="dxa"/>
            <w:noWrap w:val="0"/>
            <w:vAlign w:val="center"/>
          </w:tcPr>
          <w:p w14:paraId="70782A95">
            <w:pPr>
              <w:widowControl/>
              <w:spacing w:line="360" w:lineRule="exact"/>
              <w:jc w:val="center"/>
              <w:rPr>
                <w:rFonts w:hint="eastAsia" w:ascii="宋体" w:hAnsi="宋体" w:cs="宋体"/>
                <w:kern w:val="0"/>
                <w:sz w:val="24"/>
                <w:highlight w:val="none"/>
              </w:rPr>
            </w:pPr>
          </w:p>
        </w:tc>
      </w:tr>
      <w:tr w14:paraId="7986A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653" w:type="dxa"/>
            <w:gridSpan w:val="2"/>
            <w:noWrap w:val="0"/>
            <w:vAlign w:val="center"/>
          </w:tcPr>
          <w:p w14:paraId="75898F32">
            <w:pPr>
              <w:widowControl/>
              <w:spacing w:line="360" w:lineRule="exact"/>
              <w:jc w:val="center"/>
              <w:rPr>
                <w:rFonts w:hint="eastAsia" w:ascii="宋体" w:hAnsi="宋体" w:cs="宋体"/>
                <w:kern w:val="0"/>
                <w:sz w:val="24"/>
                <w:highlight w:val="none"/>
              </w:rPr>
            </w:pPr>
          </w:p>
        </w:tc>
        <w:tc>
          <w:tcPr>
            <w:tcW w:w="3110" w:type="dxa"/>
            <w:noWrap w:val="0"/>
            <w:vAlign w:val="center"/>
          </w:tcPr>
          <w:p w14:paraId="3A7295D8">
            <w:pPr>
              <w:widowControl/>
              <w:spacing w:line="360" w:lineRule="exact"/>
              <w:jc w:val="center"/>
              <w:rPr>
                <w:rFonts w:hint="eastAsia" w:ascii="宋体" w:hAnsi="宋体" w:cs="宋体"/>
                <w:kern w:val="0"/>
                <w:sz w:val="24"/>
                <w:highlight w:val="none"/>
              </w:rPr>
            </w:pPr>
          </w:p>
        </w:tc>
        <w:tc>
          <w:tcPr>
            <w:tcW w:w="1645" w:type="dxa"/>
            <w:noWrap w:val="0"/>
            <w:vAlign w:val="center"/>
          </w:tcPr>
          <w:p w14:paraId="15EBD41E">
            <w:pPr>
              <w:spacing w:line="360" w:lineRule="exact"/>
              <w:jc w:val="center"/>
              <w:rPr>
                <w:rFonts w:hint="eastAsia" w:ascii="宋体" w:hAnsi="宋体" w:cs="宋体"/>
                <w:sz w:val="24"/>
                <w:highlight w:val="none"/>
              </w:rPr>
            </w:pPr>
          </w:p>
        </w:tc>
        <w:tc>
          <w:tcPr>
            <w:tcW w:w="1260" w:type="dxa"/>
            <w:noWrap w:val="0"/>
            <w:vAlign w:val="center"/>
          </w:tcPr>
          <w:p w14:paraId="5921FAF4">
            <w:pPr>
              <w:widowControl/>
              <w:spacing w:line="360" w:lineRule="exact"/>
              <w:jc w:val="center"/>
              <w:rPr>
                <w:rFonts w:hint="eastAsia" w:ascii="宋体" w:hAnsi="宋体" w:cs="宋体"/>
                <w:kern w:val="0"/>
                <w:sz w:val="24"/>
                <w:highlight w:val="none"/>
              </w:rPr>
            </w:pPr>
          </w:p>
        </w:tc>
        <w:tc>
          <w:tcPr>
            <w:tcW w:w="2160" w:type="dxa"/>
            <w:noWrap w:val="0"/>
            <w:vAlign w:val="center"/>
          </w:tcPr>
          <w:p w14:paraId="080F0759">
            <w:pPr>
              <w:widowControl/>
              <w:spacing w:line="360" w:lineRule="exact"/>
              <w:jc w:val="center"/>
              <w:rPr>
                <w:rFonts w:hint="eastAsia" w:ascii="宋体" w:hAnsi="宋体" w:cs="宋体"/>
                <w:kern w:val="0"/>
                <w:sz w:val="24"/>
                <w:highlight w:val="none"/>
              </w:rPr>
            </w:pPr>
          </w:p>
        </w:tc>
      </w:tr>
      <w:tr w14:paraId="12CEE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9828" w:type="dxa"/>
            <w:gridSpan w:val="6"/>
            <w:noWrap w:val="0"/>
            <w:vAlign w:val="center"/>
          </w:tcPr>
          <w:p w14:paraId="5C4090E3">
            <w:pPr>
              <w:widowControl/>
              <w:spacing w:line="360" w:lineRule="exact"/>
              <w:jc w:val="center"/>
              <w:rPr>
                <w:rFonts w:hint="eastAsia" w:ascii="宋体" w:hAnsi="宋体" w:cs="宋体"/>
                <w:kern w:val="0"/>
                <w:sz w:val="24"/>
                <w:highlight w:val="none"/>
              </w:rPr>
            </w:pPr>
            <w:r>
              <w:rPr>
                <w:rFonts w:hint="eastAsia" w:ascii="宋体" w:hAnsi="宋体" w:cs="宋体"/>
                <w:kern w:val="0"/>
                <w:sz w:val="24"/>
                <w:highlight w:val="none"/>
              </w:rPr>
              <w:t>收 尾 阶 段 监 理 人 员 （共  人）</w:t>
            </w:r>
          </w:p>
        </w:tc>
      </w:tr>
      <w:tr w14:paraId="6CA54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653" w:type="dxa"/>
            <w:gridSpan w:val="2"/>
            <w:noWrap w:val="0"/>
            <w:vAlign w:val="center"/>
          </w:tcPr>
          <w:p w14:paraId="7FFF747F">
            <w:pPr>
              <w:widowControl/>
              <w:spacing w:line="360" w:lineRule="exact"/>
              <w:jc w:val="center"/>
              <w:rPr>
                <w:rFonts w:hint="eastAsia" w:ascii="宋体" w:hAnsi="宋体" w:cs="宋体"/>
                <w:kern w:val="0"/>
                <w:sz w:val="24"/>
                <w:highlight w:val="none"/>
              </w:rPr>
            </w:pPr>
            <w:r>
              <w:rPr>
                <w:rFonts w:hint="eastAsia" w:ascii="宋体" w:hAnsi="宋体" w:cs="宋体"/>
                <w:kern w:val="0"/>
                <w:sz w:val="24"/>
                <w:highlight w:val="none"/>
              </w:rPr>
              <w:t>姓名</w:t>
            </w:r>
          </w:p>
        </w:tc>
        <w:tc>
          <w:tcPr>
            <w:tcW w:w="3110" w:type="dxa"/>
            <w:noWrap w:val="0"/>
            <w:vAlign w:val="center"/>
          </w:tcPr>
          <w:p w14:paraId="1D1C6074">
            <w:pPr>
              <w:widowControl/>
              <w:spacing w:line="360" w:lineRule="exact"/>
              <w:jc w:val="center"/>
              <w:rPr>
                <w:rFonts w:hint="eastAsia" w:ascii="宋体" w:hAnsi="宋体" w:cs="宋体"/>
                <w:kern w:val="0"/>
                <w:sz w:val="24"/>
                <w:highlight w:val="none"/>
              </w:rPr>
            </w:pPr>
            <w:r>
              <w:rPr>
                <w:rFonts w:hint="eastAsia" w:ascii="宋体" w:hAnsi="宋体" w:cs="宋体"/>
                <w:kern w:val="0"/>
                <w:sz w:val="24"/>
                <w:highlight w:val="none"/>
              </w:rPr>
              <w:t>岗位职务</w:t>
            </w:r>
          </w:p>
        </w:tc>
        <w:tc>
          <w:tcPr>
            <w:tcW w:w="1645" w:type="dxa"/>
            <w:noWrap w:val="0"/>
            <w:vAlign w:val="center"/>
          </w:tcPr>
          <w:p w14:paraId="01D46C2C">
            <w:pPr>
              <w:widowControl/>
              <w:spacing w:line="360" w:lineRule="exact"/>
              <w:jc w:val="center"/>
              <w:rPr>
                <w:rFonts w:hint="eastAsia" w:ascii="宋体" w:hAnsi="宋体" w:cs="宋体"/>
                <w:kern w:val="0"/>
                <w:sz w:val="24"/>
                <w:highlight w:val="none"/>
              </w:rPr>
            </w:pPr>
            <w:r>
              <w:rPr>
                <w:rFonts w:hint="eastAsia" w:ascii="宋体" w:hAnsi="宋体" w:cs="宋体"/>
                <w:kern w:val="0"/>
                <w:sz w:val="24"/>
                <w:highlight w:val="none"/>
              </w:rPr>
              <w:t>职称</w:t>
            </w:r>
          </w:p>
        </w:tc>
        <w:tc>
          <w:tcPr>
            <w:tcW w:w="1260" w:type="dxa"/>
            <w:noWrap w:val="0"/>
            <w:vAlign w:val="center"/>
          </w:tcPr>
          <w:p w14:paraId="3A146419">
            <w:pPr>
              <w:widowControl/>
              <w:spacing w:line="360" w:lineRule="exact"/>
              <w:jc w:val="center"/>
              <w:rPr>
                <w:rFonts w:hint="eastAsia" w:ascii="宋体" w:hAnsi="宋体" w:cs="宋体"/>
                <w:kern w:val="0"/>
                <w:sz w:val="24"/>
                <w:highlight w:val="none"/>
              </w:rPr>
            </w:pPr>
            <w:r>
              <w:rPr>
                <w:rFonts w:hint="eastAsia" w:ascii="宋体" w:hAnsi="宋体" w:cs="宋体"/>
                <w:kern w:val="0"/>
                <w:sz w:val="24"/>
                <w:highlight w:val="none"/>
              </w:rPr>
              <w:t>专业</w:t>
            </w:r>
          </w:p>
        </w:tc>
        <w:tc>
          <w:tcPr>
            <w:tcW w:w="2160" w:type="dxa"/>
            <w:noWrap w:val="0"/>
            <w:vAlign w:val="center"/>
          </w:tcPr>
          <w:p w14:paraId="24C66D5F">
            <w:pPr>
              <w:widowControl/>
              <w:spacing w:line="360" w:lineRule="exact"/>
              <w:jc w:val="center"/>
              <w:rPr>
                <w:rFonts w:hint="eastAsia" w:ascii="宋体" w:hAnsi="宋体" w:cs="宋体"/>
                <w:kern w:val="0"/>
                <w:sz w:val="24"/>
                <w:highlight w:val="none"/>
              </w:rPr>
            </w:pPr>
            <w:r>
              <w:rPr>
                <w:rFonts w:hint="eastAsia" w:ascii="宋体" w:hAnsi="宋体" w:cs="宋体"/>
                <w:kern w:val="0"/>
                <w:szCs w:val="21"/>
                <w:highlight w:val="none"/>
              </w:rPr>
              <w:t>身份证号码/执业资格证号/上岗证号</w:t>
            </w:r>
          </w:p>
        </w:tc>
      </w:tr>
      <w:tr w14:paraId="7A3C7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653" w:type="dxa"/>
            <w:gridSpan w:val="2"/>
            <w:noWrap w:val="0"/>
            <w:vAlign w:val="center"/>
          </w:tcPr>
          <w:p w14:paraId="178AE708">
            <w:pPr>
              <w:widowControl/>
              <w:spacing w:line="360" w:lineRule="exact"/>
              <w:jc w:val="center"/>
              <w:rPr>
                <w:rFonts w:hint="eastAsia" w:ascii="宋体" w:hAnsi="宋体" w:cs="宋体"/>
                <w:kern w:val="0"/>
                <w:sz w:val="24"/>
                <w:highlight w:val="none"/>
              </w:rPr>
            </w:pPr>
          </w:p>
        </w:tc>
        <w:tc>
          <w:tcPr>
            <w:tcW w:w="3110" w:type="dxa"/>
            <w:noWrap w:val="0"/>
            <w:vAlign w:val="center"/>
          </w:tcPr>
          <w:p w14:paraId="45C9ACE5">
            <w:pPr>
              <w:widowControl/>
              <w:spacing w:line="360" w:lineRule="exact"/>
              <w:jc w:val="center"/>
              <w:rPr>
                <w:rFonts w:hint="eastAsia" w:ascii="宋体" w:hAnsi="宋体" w:cs="宋体"/>
                <w:kern w:val="0"/>
                <w:sz w:val="24"/>
                <w:highlight w:val="none"/>
              </w:rPr>
            </w:pPr>
          </w:p>
        </w:tc>
        <w:tc>
          <w:tcPr>
            <w:tcW w:w="1645" w:type="dxa"/>
            <w:noWrap w:val="0"/>
            <w:vAlign w:val="center"/>
          </w:tcPr>
          <w:p w14:paraId="6EAADC52">
            <w:pPr>
              <w:spacing w:line="360" w:lineRule="exact"/>
              <w:jc w:val="center"/>
              <w:rPr>
                <w:rFonts w:hint="eastAsia" w:ascii="宋体" w:hAnsi="宋体" w:cs="宋体"/>
                <w:sz w:val="24"/>
                <w:highlight w:val="none"/>
              </w:rPr>
            </w:pPr>
          </w:p>
        </w:tc>
        <w:tc>
          <w:tcPr>
            <w:tcW w:w="1260" w:type="dxa"/>
            <w:noWrap w:val="0"/>
            <w:vAlign w:val="center"/>
          </w:tcPr>
          <w:p w14:paraId="74C67B8D">
            <w:pPr>
              <w:widowControl/>
              <w:spacing w:line="360" w:lineRule="exact"/>
              <w:jc w:val="center"/>
              <w:rPr>
                <w:rFonts w:hint="eastAsia" w:ascii="宋体" w:hAnsi="宋体" w:cs="宋体"/>
                <w:kern w:val="0"/>
                <w:sz w:val="24"/>
                <w:highlight w:val="none"/>
              </w:rPr>
            </w:pPr>
          </w:p>
        </w:tc>
        <w:tc>
          <w:tcPr>
            <w:tcW w:w="2160" w:type="dxa"/>
            <w:noWrap w:val="0"/>
            <w:vAlign w:val="center"/>
          </w:tcPr>
          <w:p w14:paraId="28A17CBC">
            <w:pPr>
              <w:widowControl/>
              <w:spacing w:line="360" w:lineRule="exact"/>
              <w:jc w:val="center"/>
              <w:rPr>
                <w:rFonts w:hint="eastAsia" w:ascii="宋体" w:hAnsi="宋体" w:cs="宋体"/>
                <w:kern w:val="0"/>
                <w:sz w:val="24"/>
                <w:highlight w:val="none"/>
              </w:rPr>
            </w:pPr>
          </w:p>
        </w:tc>
      </w:tr>
      <w:tr w14:paraId="44FC6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653" w:type="dxa"/>
            <w:gridSpan w:val="2"/>
            <w:noWrap w:val="0"/>
            <w:vAlign w:val="center"/>
          </w:tcPr>
          <w:p w14:paraId="3B9EB60D">
            <w:pPr>
              <w:widowControl/>
              <w:spacing w:line="360" w:lineRule="exact"/>
              <w:jc w:val="center"/>
              <w:rPr>
                <w:rFonts w:hint="eastAsia" w:ascii="宋体" w:hAnsi="宋体" w:cs="宋体"/>
                <w:kern w:val="0"/>
                <w:sz w:val="24"/>
                <w:highlight w:val="none"/>
              </w:rPr>
            </w:pPr>
          </w:p>
        </w:tc>
        <w:tc>
          <w:tcPr>
            <w:tcW w:w="3110" w:type="dxa"/>
            <w:noWrap w:val="0"/>
            <w:vAlign w:val="center"/>
          </w:tcPr>
          <w:p w14:paraId="13080159">
            <w:pPr>
              <w:widowControl/>
              <w:spacing w:line="360" w:lineRule="exact"/>
              <w:jc w:val="center"/>
              <w:rPr>
                <w:rFonts w:hint="eastAsia" w:ascii="宋体" w:hAnsi="宋体" w:cs="宋体"/>
                <w:kern w:val="0"/>
                <w:sz w:val="24"/>
                <w:highlight w:val="none"/>
              </w:rPr>
            </w:pPr>
          </w:p>
        </w:tc>
        <w:tc>
          <w:tcPr>
            <w:tcW w:w="1645" w:type="dxa"/>
            <w:noWrap w:val="0"/>
            <w:vAlign w:val="center"/>
          </w:tcPr>
          <w:p w14:paraId="3F4D6F48">
            <w:pPr>
              <w:spacing w:line="360" w:lineRule="exact"/>
              <w:jc w:val="center"/>
              <w:rPr>
                <w:rFonts w:hint="eastAsia" w:ascii="宋体" w:hAnsi="宋体" w:cs="宋体"/>
                <w:sz w:val="24"/>
                <w:highlight w:val="none"/>
              </w:rPr>
            </w:pPr>
          </w:p>
        </w:tc>
        <w:tc>
          <w:tcPr>
            <w:tcW w:w="1260" w:type="dxa"/>
            <w:noWrap w:val="0"/>
            <w:vAlign w:val="center"/>
          </w:tcPr>
          <w:p w14:paraId="06391629">
            <w:pPr>
              <w:widowControl/>
              <w:spacing w:line="360" w:lineRule="exact"/>
              <w:jc w:val="center"/>
              <w:rPr>
                <w:rFonts w:hint="eastAsia" w:ascii="宋体" w:hAnsi="宋体" w:cs="宋体"/>
                <w:kern w:val="0"/>
                <w:sz w:val="24"/>
                <w:highlight w:val="none"/>
              </w:rPr>
            </w:pPr>
          </w:p>
        </w:tc>
        <w:tc>
          <w:tcPr>
            <w:tcW w:w="2160" w:type="dxa"/>
            <w:noWrap w:val="0"/>
            <w:vAlign w:val="center"/>
          </w:tcPr>
          <w:p w14:paraId="5FD833A6">
            <w:pPr>
              <w:widowControl/>
              <w:spacing w:line="360" w:lineRule="exact"/>
              <w:jc w:val="center"/>
              <w:rPr>
                <w:rFonts w:hint="eastAsia" w:ascii="宋体" w:hAnsi="宋体" w:cs="宋体"/>
                <w:kern w:val="0"/>
                <w:sz w:val="24"/>
                <w:highlight w:val="none"/>
              </w:rPr>
            </w:pPr>
          </w:p>
        </w:tc>
      </w:tr>
      <w:tr w14:paraId="4E503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653" w:type="dxa"/>
            <w:gridSpan w:val="2"/>
            <w:noWrap w:val="0"/>
            <w:vAlign w:val="center"/>
          </w:tcPr>
          <w:p w14:paraId="2C25736C">
            <w:pPr>
              <w:spacing w:line="360" w:lineRule="exact"/>
              <w:jc w:val="center"/>
              <w:rPr>
                <w:rFonts w:hint="eastAsia" w:ascii="宋体" w:hAnsi="宋体" w:cs="宋体"/>
                <w:sz w:val="24"/>
                <w:highlight w:val="none"/>
              </w:rPr>
            </w:pPr>
          </w:p>
        </w:tc>
        <w:tc>
          <w:tcPr>
            <w:tcW w:w="3110" w:type="dxa"/>
            <w:noWrap w:val="0"/>
            <w:vAlign w:val="center"/>
          </w:tcPr>
          <w:p w14:paraId="69839D80">
            <w:pPr>
              <w:spacing w:line="360" w:lineRule="exact"/>
              <w:jc w:val="center"/>
              <w:rPr>
                <w:rFonts w:hint="eastAsia" w:ascii="宋体" w:hAnsi="宋体" w:cs="宋体"/>
                <w:sz w:val="24"/>
                <w:highlight w:val="none"/>
              </w:rPr>
            </w:pPr>
          </w:p>
        </w:tc>
        <w:tc>
          <w:tcPr>
            <w:tcW w:w="1645" w:type="dxa"/>
            <w:noWrap w:val="0"/>
            <w:vAlign w:val="center"/>
          </w:tcPr>
          <w:p w14:paraId="5D1BFBAD">
            <w:pPr>
              <w:spacing w:line="360" w:lineRule="exact"/>
              <w:jc w:val="center"/>
              <w:rPr>
                <w:rFonts w:hint="eastAsia" w:ascii="宋体" w:hAnsi="宋体" w:cs="宋体"/>
                <w:sz w:val="24"/>
                <w:highlight w:val="none"/>
              </w:rPr>
            </w:pPr>
          </w:p>
        </w:tc>
        <w:tc>
          <w:tcPr>
            <w:tcW w:w="1260" w:type="dxa"/>
            <w:noWrap w:val="0"/>
            <w:vAlign w:val="center"/>
          </w:tcPr>
          <w:p w14:paraId="5E116649">
            <w:pPr>
              <w:spacing w:line="360" w:lineRule="exact"/>
              <w:jc w:val="center"/>
              <w:rPr>
                <w:rFonts w:hint="eastAsia" w:ascii="宋体" w:hAnsi="宋体" w:cs="宋体"/>
                <w:sz w:val="24"/>
                <w:highlight w:val="none"/>
              </w:rPr>
            </w:pPr>
          </w:p>
        </w:tc>
        <w:tc>
          <w:tcPr>
            <w:tcW w:w="2160" w:type="dxa"/>
            <w:noWrap w:val="0"/>
            <w:vAlign w:val="center"/>
          </w:tcPr>
          <w:p w14:paraId="15CB213D">
            <w:pPr>
              <w:spacing w:line="360" w:lineRule="exact"/>
              <w:jc w:val="center"/>
              <w:rPr>
                <w:rFonts w:hint="eastAsia" w:ascii="宋体" w:hAnsi="宋体" w:cs="宋体"/>
                <w:sz w:val="24"/>
                <w:highlight w:val="none"/>
              </w:rPr>
            </w:pPr>
          </w:p>
        </w:tc>
      </w:tr>
      <w:tr w14:paraId="3667F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653" w:type="dxa"/>
            <w:gridSpan w:val="2"/>
            <w:noWrap w:val="0"/>
            <w:vAlign w:val="center"/>
          </w:tcPr>
          <w:p w14:paraId="74D3E3FA">
            <w:pPr>
              <w:widowControl/>
              <w:spacing w:line="360" w:lineRule="exact"/>
              <w:jc w:val="center"/>
              <w:rPr>
                <w:rFonts w:hint="eastAsia" w:ascii="宋体" w:hAnsi="宋体" w:cs="宋体"/>
                <w:kern w:val="0"/>
                <w:sz w:val="24"/>
                <w:highlight w:val="none"/>
              </w:rPr>
            </w:pPr>
          </w:p>
        </w:tc>
        <w:tc>
          <w:tcPr>
            <w:tcW w:w="3110" w:type="dxa"/>
            <w:noWrap w:val="0"/>
            <w:vAlign w:val="center"/>
          </w:tcPr>
          <w:p w14:paraId="7E59D24E">
            <w:pPr>
              <w:widowControl/>
              <w:spacing w:line="360" w:lineRule="exact"/>
              <w:jc w:val="center"/>
              <w:rPr>
                <w:rFonts w:hint="eastAsia" w:ascii="宋体" w:hAnsi="宋体" w:cs="宋体"/>
                <w:kern w:val="0"/>
                <w:sz w:val="24"/>
                <w:highlight w:val="none"/>
              </w:rPr>
            </w:pPr>
          </w:p>
        </w:tc>
        <w:tc>
          <w:tcPr>
            <w:tcW w:w="1645" w:type="dxa"/>
            <w:noWrap w:val="0"/>
            <w:vAlign w:val="center"/>
          </w:tcPr>
          <w:p w14:paraId="29BCE673">
            <w:pPr>
              <w:spacing w:line="360" w:lineRule="exact"/>
              <w:jc w:val="center"/>
              <w:rPr>
                <w:rFonts w:hint="eastAsia" w:ascii="宋体" w:hAnsi="宋体" w:cs="宋体"/>
                <w:sz w:val="24"/>
                <w:highlight w:val="none"/>
              </w:rPr>
            </w:pPr>
          </w:p>
        </w:tc>
        <w:tc>
          <w:tcPr>
            <w:tcW w:w="1260" w:type="dxa"/>
            <w:noWrap w:val="0"/>
            <w:vAlign w:val="center"/>
          </w:tcPr>
          <w:p w14:paraId="33E2E7D2">
            <w:pPr>
              <w:widowControl/>
              <w:spacing w:line="360" w:lineRule="exact"/>
              <w:jc w:val="center"/>
              <w:rPr>
                <w:rFonts w:hint="eastAsia" w:ascii="宋体" w:hAnsi="宋体" w:cs="宋体"/>
                <w:kern w:val="0"/>
                <w:sz w:val="24"/>
                <w:highlight w:val="none"/>
              </w:rPr>
            </w:pPr>
          </w:p>
        </w:tc>
        <w:tc>
          <w:tcPr>
            <w:tcW w:w="2160" w:type="dxa"/>
            <w:noWrap w:val="0"/>
            <w:vAlign w:val="center"/>
          </w:tcPr>
          <w:p w14:paraId="6DE0A554">
            <w:pPr>
              <w:widowControl/>
              <w:spacing w:line="360" w:lineRule="exact"/>
              <w:jc w:val="center"/>
              <w:rPr>
                <w:rFonts w:hint="eastAsia" w:ascii="宋体" w:hAnsi="宋体" w:cs="宋体"/>
                <w:kern w:val="0"/>
                <w:sz w:val="24"/>
                <w:highlight w:val="none"/>
              </w:rPr>
            </w:pPr>
          </w:p>
        </w:tc>
      </w:tr>
    </w:tbl>
    <w:p w14:paraId="2C449370">
      <w:pPr>
        <w:pStyle w:val="22"/>
        <w:spacing w:before="0" w:after="0" w:line="360" w:lineRule="exact"/>
        <w:rPr>
          <w:rFonts w:hint="eastAsia" w:ascii="宋体" w:hAnsi="宋体" w:eastAsia="宋体" w:cs="宋体"/>
          <w:highlight w:val="none"/>
        </w:rPr>
      </w:pPr>
      <w:r>
        <w:rPr>
          <w:rFonts w:hint="eastAsia" w:ascii="宋体" w:hAnsi="宋体" w:eastAsia="宋体" w:cs="宋体"/>
          <w:highlight w:val="none"/>
        </w:rPr>
        <w:t>注：按中建监协〔2021〕17号文规定人数及委托人要求配备监理人员。驻地办的文秘、驾驶、后勤等辅助人员，由监理单位按需要自行配备，其费用列入综合费用报价表中。</w:t>
      </w:r>
    </w:p>
    <w:p w14:paraId="376624AC">
      <w:pPr>
        <w:numPr>
          <w:ilvl w:val="-1"/>
          <w:numId w:val="0"/>
        </w:numPr>
        <w:ind w:firstLine="0" w:firstLineChars="0"/>
        <w:jc w:val="center"/>
        <w:rPr>
          <w:sz w:val="28"/>
          <w:szCs w:val="28"/>
          <w:highlight w:val="none"/>
        </w:rPr>
      </w:pPr>
      <w:r>
        <w:rPr>
          <w:rFonts w:hint="eastAsia" w:ascii="宋体" w:hAnsi="宋体" w:cs="宋体"/>
          <w:highlight w:val="none"/>
        </w:rPr>
        <w:br w:type="page"/>
      </w:r>
      <w:r>
        <w:rPr>
          <w:rFonts w:hint="eastAsia" w:ascii="宋体" w:hAnsi="宋体" w:cs="宋体"/>
          <w:highlight w:val="none"/>
          <w:lang w:eastAsia="zh-CN"/>
        </w:rPr>
        <w:t>（</w:t>
      </w:r>
      <w:r>
        <w:rPr>
          <w:rFonts w:hint="eastAsia" w:ascii="宋体" w:hAnsi="宋体" w:cs="宋体"/>
          <w:highlight w:val="none"/>
          <w:lang w:val="en-US" w:eastAsia="zh-CN"/>
        </w:rPr>
        <w:t>四</w:t>
      </w:r>
      <w:r>
        <w:rPr>
          <w:rFonts w:hint="eastAsia" w:ascii="宋体" w:hAnsi="宋体" w:cs="宋体"/>
          <w:highlight w:val="none"/>
          <w:lang w:eastAsia="zh-CN"/>
        </w:rPr>
        <w:t>）、</w:t>
      </w:r>
      <w:r>
        <w:rPr>
          <w:rFonts w:hint="eastAsia" w:ascii="宋体" w:hAnsi="宋体" w:cs="宋体"/>
          <w:b w:val="0"/>
          <w:bCs w:val="0"/>
          <w:color w:val="auto"/>
          <w:sz w:val="24"/>
          <w:szCs w:val="24"/>
          <w:highlight w:val="none"/>
        </w:rPr>
        <w:t>主要人员</w:t>
      </w:r>
      <w:r>
        <w:rPr>
          <w:rFonts w:hint="eastAsia" w:ascii="宋体" w:hAnsi="宋体" w:cs="宋体"/>
          <w:highlight w:val="none"/>
          <w:lang w:val="en-US" w:eastAsia="zh-CN"/>
        </w:rPr>
        <w:t>汇总表</w:t>
      </w:r>
      <w:r>
        <w:rPr>
          <w:sz w:val="24"/>
          <w:szCs w:val="24"/>
          <w:highlight w:val="none"/>
        </w:rPr>
        <w:t>拟委任的主要人员汇总表</w:t>
      </w:r>
    </w:p>
    <w:p w14:paraId="247B78EA">
      <w:pPr>
        <w:ind w:left="720" w:leftChars="300"/>
        <w:rPr>
          <w:sz w:val="28"/>
          <w:szCs w:val="28"/>
          <w:highlight w:val="none"/>
        </w:rPr>
      </w:pPr>
    </w:p>
    <w:tbl>
      <w:tblPr>
        <w:tblStyle w:val="27"/>
        <w:tblW w:w="94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
        <w:gridCol w:w="1363"/>
        <w:gridCol w:w="956"/>
        <w:gridCol w:w="956"/>
        <w:gridCol w:w="957"/>
        <w:gridCol w:w="1369"/>
        <w:gridCol w:w="1092"/>
        <w:gridCol w:w="1152"/>
        <w:gridCol w:w="1044"/>
      </w:tblGrid>
      <w:tr w14:paraId="32007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550" w:type="dxa"/>
            <w:vMerge w:val="restart"/>
            <w:noWrap w:val="0"/>
            <w:vAlign w:val="center"/>
          </w:tcPr>
          <w:p w14:paraId="7001B655">
            <w:pPr>
              <w:pStyle w:val="25"/>
              <w:ind w:left="0" w:leftChars="0" w:firstLine="0" w:firstLineChars="0"/>
              <w:jc w:val="center"/>
              <w:rPr>
                <w:rFonts w:hint="eastAsia"/>
                <w:highlight w:val="none"/>
              </w:rPr>
            </w:pPr>
            <w:r>
              <w:rPr>
                <w:rFonts w:hint="eastAsia"/>
                <w:highlight w:val="none"/>
              </w:rPr>
              <w:t>序号</w:t>
            </w:r>
          </w:p>
        </w:tc>
        <w:tc>
          <w:tcPr>
            <w:tcW w:w="1363" w:type="dxa"/>
            <w:vMerge w:val="restart"/>
            <w:noWrap w:val="0"/>
            <w:vAlign w:val="center"/>
          </w:tcPr>
          <w:p w14:paraId="4AC0BA3E">
            <w:pPr>
              <w:pStyle w:val="25"/>
              <w:ind w:left="0" w:leftChars="0" w:firstLine="0" w:firstLineChars="0"/>
              <w:jc w:val="center"/>
              <w:rPr>
                <w:rFonts w:hint="eastAsia"/>
                <w:highlight w:val="none"/>
              </w:rPr>
            </w:pPr>
            <w:r>
              <w:rPr>
                <w:rFonts w:hint="eastAsia"/>
                <w:highlight w:val="none"/>
              </w:rPr>
              <w:t>本项目任职</w:t>
            </w:r>
          </w:p>
        </w:tc>
        <w:tc>
          <w:tcPr>
            <w:tcW w:w="956" w:type="dxa"/>
            <w:vMerge w:val="restart"/>
            <w:noWrap w:val="0"/>
            <w:vAlign w:val="center"/>
          </w:tcPr>
          <w:p w14:paraId="65B69D63">
            <w:pPr>
              <w:pStyle w:val="25"/>
              <w:ind w:left="0" w:leftChars="0" w:firstLine="0" w:firstLineChars="0"/>
              <w:jc w:val="center"/>
              <w:rPr>
                <w:rFonts w:hint="eastAsia"/>
                <w:highlight w:val="none"/>
              </w:rPr>
            </w:pPr>
            <w:r>
              <w:rPr>
                <w:rFonts w:hint="eastAsia"/>
                <w:highlight w:val="none"/>
              </w:rPr>
              <w:t>姓名</w:t>
            </w:r>
          </w:p>
        </w:tc>
        <w:tc>
          <w:tcPr>
            <w:tcW w:w="956" w:type="dxa"/>
            <w:vMerge w:val="restart"/>
            <w:noWrap w:val="0"/>
            <w:vAlign w:val="center"/>
          </w:tcPr>
          <w:p w14:paraId="300B9EFC">
            <w:pPr>
              <w:pStyle w:val="25"/>
              <w:ind w:left="0" w:leftChars="0" w:firstLine="0" w:firstLineChars="0"/>
              <w:jc w:val="center"/>
              <w:rPr>
                <w:rFonts w:hint="eastAsia"/>
                <w:highlight w:val="none"/>
              </w:rPr>
            </w:pPr>
            <w:r>
              <w:rPr>
                <w:rFonts w:hint="eastAsia"/>
                <w:highlight w:val="none"/>
              </w:rPr>
              <w:t>职称</w:t>
            </w:r>
          </w:p>
        </w:tc>
        <w:tc>
          <w:tcPr>
            <w:tcW w:w="957" w:type="dxa"/>
            <w:vMerge w:val="restart"/>
            <w:noWrap w:val="0"/>
            <w:vAlign w:val="center"/>
          </w:tcPr>
          <w:p w14:paraId="4C4667A7">
            <w:pPr>
              <w:pStyle w:val="25"/>
              <w:ind w:left="0" w:leftChars="0" w:firstLine="0" w:firstLineChars="0"/>
              <w:jc w:val="center"/>
              <w:rPr>
                <w:rFonts w:hint="eastAsia"/>
                <w:highlight w:val="none"/>
              </w:rPr>
            </w:pPr>
            <w:r>
              <w:rPr>
                <w:rFonts w:hint="eastAsia"/>
                <w:highlight w:val="none"/>
              </w:rPr>
              <w:t>专业</w:t>
            </w:r>
          </w:p>
        </w:tc>
        <w:tc>
          <w:tcPr>
            <w:tcW w:w="3613" w:type="dxa"/>
            <w:gridSpan w:val="3"/>
            <w:noWrap w:val="0"/>
            <w:vAlign w:val="center"/>
          </w:tcPr>
          <w:p w14:paraId="532266B5">
            <w:pPr>
              <w:pStyle w:val="25"/>
              <w:ind w:left="0" w:leftChars="0" w:firstLine="0" w:firstLineChars="0"/>
              <w:jc w:val="center"/>
              <w:rPr>
                <w:rFonts w:hint="eastAsia"/>
                <w:highlight w:val="none"/>
              </w:rPr>
            </w:pPr>
            <w:r>
              <w:rPr>
                <w:rFonts w:hint="eastAsia"/>
                <w:highlight w:val="none"/>
              </w:rPr>
              <w:t>执业或职业资格证明</w:t>
            </w:r>
          </w:p>
        </w:tc>
        <w:tc>
          <w:tcPr>
            <w:tcW w:w="1044" w:type="dxa"/>
            <w:noWrap w:val="0"/>
            <w:vAlign w:val="center"/>
          </w:tcPr>
          <w:p w14:paraId="6FE99597">
            <w:pPr>
              <w:pStyle w:val="25"/>
              <w:ind w:left="0" w:leftChars="0" w:firstLine="0" w:firstLineChars="0"/>
              <w:jc w:val="center"/>
              <w:rPr>
                <w:rFonts w:hint="eastAsia"/>
                <w:highlight w:val="none"/>
              </w:rPr>
            </w:pPr>
            <w:r>
              <w:rPr>
                <w:rFonts w:hint="eastAsia"/>
                <w:highlight w:val="none"/>
              </w:rPr>
              <w:t>备注</w:t>
            </w:r>
          </w:p>
        </w:tc>
      </w:tr>
      <w:tr w14:paraId="382D3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 w:type="dxa"/>
            <w:vMerge w:val="continue"/>
            <w:noWrap w:val="0"/>
            <w:vAlign w:val="center"/>
          </w:tcPr>
          <w:p w14:paraId="06087A3E">
            <w:pPr>
              <w:pStyle w:val="25"/>
              <w:ind w:left="0" w:leftChars="0" w:firstLine="0" w:firstLineChars="0"/>
              <w:jc w:val="center"/>
              <w:rPr>
                <w:highlight w:val="none"/>
              </w:rPr>
            </w:pPr>
          </w:p>
        </w:tc>
        <w:tc>
          <w:tcPr>
            <w:tcW w:w="1363" w:type="dxa"/>
            <w:vMerge w:val="continue"/>
            <w:noWrap w:val="0"/>
            <w:vAlign w:val="center"/>
          </w:tcPr>
          <w:p w14:paraId="0DB420BD">
            <w:pPr>
              <w:pStyle w:val="25"/>
              <w:ind w:left="0" w:leftChars="0" w:firstLine="0" w:firstLineChars="0"/>
              <w:jc w:val="center"/>
              <w:rPr>
                <w:highlight w:val="none"/>
              </w:rPr>
            </w:pPr>
          </w:p>
        </w:tc>
        <w:tc>
          <w:tcPr>
            <w:tcW w:w="956" w:type="dxa"/>
            <w:vMerge w:val="continue"/>
            <w:noWrap w:val="0"/>
            <w:vAlign w:val="center"/>
          </w:tcPr>
          <w:p w14:paraId="0FB8A75A">
            <w:pPr>
              <w:pStyle w:val="25"/>
              <w:ind w:left="0" w:leftChars="0" w:firstLine="0" w:firstLineChars="0"/>
              <w:jc w:val="center"/>
              <w:rPr>
                <w:highlight w:val="none"/>
              </w:rPr>
            </w:pPr>
          </w:p>
        </w:tc>
        <w:tc>
          <w:tcPr>
            <w:tcW w:w="956" w:type="dxa"/>
            <w:vMerge w:val="continue"/>
            <w:noWrap w:val="0"/>
            <w:vAlign w:val="center"/>
          </w:tcPr>
          <w:p w14:paraId="395B2AD4">
            <w:pPr>
              <w:pStyle w:val="25"/>
              <w:ind w:left="0" w:leftChars="0" w:firstLine="0" w:firstLineChars="0"/>
              <w:jc w:val="center"/>
              <w:rPr>
                <w:highlight w:val="none"/>
              </w:rPr>
            </w:pPr>
          </w:p>
        </w:tc>
        <w:tc>
          <w:tcPr>
            <w:tcW w:w="957" w:type="dxa"/>
            <w:vMerge w:val="continue"/>
            <w:noWrap w:val="0"/>
            <w:vAlign w:val="center"/>
          </w:tcPr>
          <w:p w14:paraId="7C37254F">
            <w:pPr>
              <w:pStyle w:val="25"/>
              <w:ind w:left="0" w:leftChars="0" w:firstLine="0" w:firstLineChars="0"/>
              <w:jc w:val="center"/>
              <w:rPr>
                <w:highlight w:val="none"/>
              </w:rPr>
            </w:pPr>
          </w:p>
        </w:tc>
        <w:tc>
          <w:tcPr>
            <w:tcW w:w="1369" w:type="dxa"/>
            <w:noWrap w:val="0"/>
            <w:vAlign w:val="center"/>
          </w:tcPr>
          <w:p w14:paraId="42B8001C">
            <w:pPr>
              <w:pStyle w:val="25"/>
              <w:ind w:left="0" w:leftChars="0" w:firstLine="0" w:firstLineChars="0"/>
              <w:jc w:val="center"/>
              <w:rPr>
                <w:rFonts w:hint="eastAsia"/>
                <w:highlight w:val="none"/>
              </w:rPr>
            </w:pPr>
            <w:r>
              <w:rPr>
                <w:rFonts w:hint="eastAsia"/>
                <w:highlight w:val="none"/>
              </w:rPr>
              <w:t>证书名称</w:t>
            </w:r>
          </w:p>
        </w:tc>
        <w:tc>
          <w:tcPr>
            <w:tcW w:w="1092" w:type="dxa"/>
            <w:noWrap w:val="0"/>
            <w:vAlign w:val="center"/>
          </w:tcPr>
          <w:p w14:paraId="57AD2803">
            <w:pPr>
              <w:pStyle w:val="25"/>
              <w:ind w:left="0" w:leftChars="0" w:firstLine="0" w:firstLineChars="0"/>
              <w:jc w:val="center"/>
              <w:rPr>
                <w:rFonts w:hint="eastAsia"/>
                <w:highlight w:val="none"/>
              </w:rPr>
            </w:pPr>
            <w:r>
              <w:rPr>
                <w:rFonts w:hint="eastAsia"/>
                <w:highlight w:val="none"/>
              </w:rPr>
              <w:t>级别</w:t>
            </w:r>
          </w:p>
        </w:tc>
        <w:tc>
          <w:tcPr>
            <w:tcW w:w="1152" w:type="dxa"/>
            <w:noWrap w:val="0"/>
            <w:vAlign w:val="center"/>
          </w:tcPr>
          <w:p w14:paraId="68032CCE">
            <w:pPr>
              <w:pStyle w:val="25"/>
              <w:ind w:left="0" w:leftChars="0" w:firstLine="0" w:firstLineChars="0"/>
              <w:jc w:val="center"/>
              <w:rPr>
                <w:rFonts w:hint="eastAsia"/>
                <w:highlight w:val="none"/>
              </w:rPr>
            </w:pPr>
            <w:r>
              <w:rPr>
                <w:rFonts w:hint="eastAsia"/>
                <w:highlight w:val="none"/>
              </w:rPr>
              <w:t>证号</w:t>
            </w:r>
          </w:p>
        </w:tc>
        <w:tc>
          <w:tcPr>
            <w:tcW w:w="1044" w:type="dxa"/>
            <w:noWrap w:val="0"/>
            <w:vAlign w:val="center"/>
          </w:tcPr>
          <w:p w14:paraId="4C8B1BAA">
            <w:pPr>
              <w:pStyle w:val="25"/>
              <w:ind w:left="0" w:leftChars="0" w:firstLine="0" w:firstLineChars="0"/>
              <w:jc w:val="center"/>
              <w:rPr>
                <w:highlight w:val="none"/>
              </w:rPr>
            </w:pPr>
          </w:p>
        </w:tc>
      </w:tr>
      <w:tr w14:paraId="2A5DC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 w:type="dxa"/>
            <w:noWrap w:val="0"/>
            <w:vAlign w:val="center"/>
          </w:tcPr>
          <w:p w14:paraId="7CD48E28">
            <w:pPr>
              <w:pStyle w:val="25"/>
              <w:ind w:left="0" w:leftChars="0" w:firstLine="0" w:firstLineChars="0"/>
              <w:jc w:val="center"/>
              <w:rPr>
                <w:highlight w:val="none"/>
              </w:rPr>
            </w:pPr>
          </w:p>
        </w:tc>
        <w:tc>
          <w:tcPr>
            <w:tcW w:w="1363" w:type="dxa"/>
            <w:noWrap w:val="0"/>
            <w:vAlign w:val="center"/>
          </w:tcPr>
          <w:p w14:paraId="7B03BEA1">
            <w:pPr>
              <w:pStyle w:val="25"/>
              <w:ind w:left="0" w:leftChars="0" w:firstLine="0" w:firstLineChars="0"/>
              <w:jc w:val="center"/>
              <w:rPr>
                <w:rFonts w:hint="eastAsia"/>
                <w:highlight w:val="none"/>
              </w:rPr>
            </w:pPr>
          </w:p>
        </w:tc>
        <w:tc>
          <w:tcPr>
            <w:tcW w:w="956" w:type="dxa"/>
            <w:noWrap w:val="0"/>
            <w:vAlign w:val="center"/>
          </w:tcPr>
          <w:p w14:paraId="4612384D">
            <w:pPr>
              <w:pStyle w:val="25"/>
              <w:ind w:left="0" w:leftChars="0" w:firstLine="0" w:firstLineChars="0"/>
              <w:jc w:val="center"/>
              <w:rPr>
                <w:highlight w:val="none"/>
              </w:rPr>
            </w:pPr>
          </w:p>
        </w:tc>
        <w:tc>
          <w:tcPr>
            <w:tcW w:w="956" w:type="dxa"/>
            <w:noWrap w:val="0"/>
            <w:vAlign w:val="center"/>
          </w:tcPr>
          <w:p w14:paraId="6F2E2519">
            <w:pPr>
              <w:pStyle w:val="25"/>
              <w:ind w:left="0" w:leftChars="0" w:firstLine="0" w:firstLineChars="0"/>
              <w:jc w:val="center"/>
              <w:rPr>
                <w:highlight w:val="none"/>
              </w:rPr>
            </w:pPr>
          </w:p>
        </w:tc>
        <w:tc>
          <w:tcPr>
            <w:tcW w:w="957" w:type="dxa"/>
            <w:noWrap w:val="0"/>
            <w:vAlign w:val="center"/>
          </w:tcPr>
          <w:p w14:paraId="527608D3">
            <w:pPr>
              <w:pStyle w:val="25"/>
              <w:ind w:left="0" w:leftChars="0" w:firstLine="0" w:firstLineChars="0"/>
              <w:jc w:val="center"/>
              <w:rPr>
                <w:highlight w:val="none"/>
              </w:rPr>
            </w:pPr>
          </w:p>
        </w:tc>
        <w:tc>
          <w:tcPr>
            <w:tcW w:w="1369" w:type="dxa"/>
            <w:noWrap w:val="0"/>
            <w:vAlign w:val="center"/>
          </w:tcPr>
          <w:p w14:paraId="05372994">
            <w:pPr>
              <w:pStyle w:val="25"/>
              <w:ind w:left="0" w:leftChars="0" w:firstLine="0" w:firstLineChars="0"/>
              <w:jc w:val="center"/>
              <w:rPr>
                <w:highlight w:val="none"/>
              </w:rPr>
            </w:pPr>
          </w:p>
        </w:tc>
        <w:tc>
          <w:tcPr>
            <w:tcW w:w="1092" w:type="dxa"/>
            <w:noWrap w:val="0"/>
            <w:vAlign w:val="center"/>
          </w:tcPr>
          <w:p w14:paraId="158F9C5A">
            <w:pPr>
              <w:pStyle w:val="25"/>
              <w:ind w:left="0" w:leftChars="0" w:firstLine="0" w:firstLineChars="0"/>
              <w:jc w:val="center"/>
              <w:rPr>
                <w:highlight w:val="none"/>
              </w:rPr>
            </w:pPr>
          </w:p>
        </w:tc>
        <w:tc>
          <w:tcPr>
            <w:tcW w:w="1152" w:type="dxa"/>
            <w:noWrap w:val="0"/>
            <w:vAlign w:val="center"/>
          </w:tcPr>
          <w:p w14:paraId="377D997B">
            <w:pPr>
              <w:pStyle w:val="25"/>
              <w:ind w:left="0" w:leftChars="0" w:firstLine="0" w:firstLineChars="0"/>
              <w:jc w:val="center"/>
              <w:rPr>
                <w:highlight w:val="none"/>
              </w:rPr>
            </w:pPr>
          </w:p>
        </w:tc>
        <w:tc>
          <w:tcPr>
            <w:tcW w:w="1044" w:type="dxa"/>
            <w:noWrap w:val="0"/>
            <w:vAlign w:val="center"/>
          </w:tcPr>
          <w:p w14:paraId="07C40FF6">
            <w:pPr>
              <w:pStyle w:val="25"/>
              <w:ind w:left="0" w:leftChars="0" w:firstLine="0" w:firstLineChars="0"/>
              <w:jc w:val="center"/>
              <w:rPr>
                <w:highlight w:val="none"/>
              </w:rPr>
            </w:pPr>
          </w:p>
        </w:tc>
      </w:tr>
      <w:tr w14:paraId="6376B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 w:type="dxa"/>
            <w:noWrap w:val="0"/>
            <w:vAlign w:val="center"/>
          </w:tcPr>
          <w:p w14:paraId="390788E5">
            <w:pPr>
              <w:pStyle w:val="25"/>
              <w:ind w:left="0" w:leftChars="0" w:firstLine="0" w:firstLineChars="0"/>
              <w:jc w:val="center"/>
              <w:rPr>
                <w:highlight w:val="none"/>
              </w:rPr>
            </w:pPr>
          </w:p>
        </w:tc>
        <w:tc>
          <w:tcPr>
            <w:tcW w:w="1363" w:type="dxa"/>
            <w:noWrap w:val="0"/>
            <w:vAlign w:val="center"/>
          </w:tcPr>
          <w:p w14:paraId="543D045C">
            <w:pPr>
              <w:pStyle w:val="25"/>
              <w:ind w:left="0" w:leftChars="0" w:firstLine="0" w:firstLineChars="0"/>
              <w:jc w:val="center"/>
              <w:rPr>
                <w:rFonts w:hint="eastAsia"/>
                <w:highlight w:val="none"/>
              </w:rPr>
            </w:pPr>
          </w:p>
        </w:tc>
        <w:tc>
          <w:tcPr>
            <w:tcW w:w="956" w:type="dxa"/>
            <w:noWrap w:val="0"/>
            <w:vAlign w:val="center"/>
          </w:tcPr>
          <w:p w14:paraId="1DFBBDC8">
            <w:pPr>
              <w:pStyle w:val="25"/>
              <w:ind w:left="0" w:leftChars="0" w:firstLine="0" w:firstLineChars="0"/>
              <w:jc w:val="center"/>
              <w:rPr>
                <w:highlight w:val="none"/>
              </w:rPr>
            </w:pPr>
          </w:p>
        </w:tc>
        <w:tc>
          <w:tcPr>
            <w:tcW w:w="956" w:type="dxa"/>
            <w:noWrap w:val="0"/>
            <w:vAlign w:val="center"/>
          </w:tcPr>
          <w:p w14:paraId="735EFBAB">
            <w:pPr>
              <w:pStyle w:val="25"/>
              <w:ind w:left="0" w:leftChars="0" w:firstLine="0" w:firstLineChars="0"/>
              <w:jc w:val="center"/>
              <w:rPr>
                <w:highlight w:val="none"/>
              </w:rPr>
            </w:pPr>
          </w:p>
        </w:tc>
        <w:tc>
          <w:tcPr>
            <w:tcW w:w="957" w:type="dxa"/>
            <w:noWrap w:val="0"/>
            <w:vAlign w:val="center"/>
          </w:tcPr>
          <w:p w14:paraId="55B27FCC">
            <w:pPr>
              <w:pStyle w:val="25"/>
              <w:ind w:left="0" w:leftChars="0" w:firstLine="0" w:firstLineChars="0"/>
              <w:jc w:val="center"/>
              <w:rPr>
                <w:highlight w:val="none"/>
              </w:rPr>
            </w:pPr>
          </w:p>
        </w:tc>
        <w:tc>
          <w:tcPr>
            <w:tcW w:w="1369" w:type="dxa"/>
            <w:noWrap w:val="0"/>
            <w:vAlign w:val="center"/>
          </w:tcPr>
          <w:p w14:paraId="45501561">
            <w:pPr>
              <w:pStyle w:val="25"/>
              <w:ind w:left="0" w:leftChars="0" w:firstLine="0" w:firstLineChars="0"/>
              <w:jc w:val="center"/>
              <w:rPr>
                <w:highlight w:val="none"/>
              </w:rPr>
            </w:pPr>
          </w:p>
        </w:tc>
        <w:tc>
          <w:tcPr>
            <w:tcW w:w="1092" w:type="dxa"/>
            <w:noWrap w:val="0"/>
            <w:vAlign w:val="center"/>
          </w:tcPr>
          <w:p w14:paraId="4A8628AA">
            <w:pPr>
              <w:pStyle w:val="25"/>
              <w:ind w:left="0" w:leftChars="0" w:firstLine="0" w:firstLineChars="0"/>
              <w:jc w:val="center"/>
              <w:rPr>
                <w:highlight w:val="none"/>
              </w:rPr>
            </w:pPr>
          </w:p>
        </w:tc>
        <w:tc>
          <w:tcPr>
            <w:tcW w:w="1152" w:type="dxa"/>
            <w:noWrap w:val="0"/>
            <w:vAlign w:val="center"/>
          </w:tcPr>
          <w:p w14:paraId="6232C883">
            <w:pPr>
              <w:pStyle w:val="25"/>
              <w:ind w:left="0" w:leftChars="0" w:firstLine="0" w:firstLineChars="0"/>
              <w:jc w:val="center"/>
              <w:rPr>
                <w:highlight w:val="none"/>
              </w:rPr>
            </w:pPr>
          </w:p>
        </w:tc>
        <w:tc>
          <w:tcPr>
            <w:tcW w:w="1044" w:type="dxa"/>
            <w:noWrap w:val="0"/>
            <w:vAlign w:val="center"/>
          </w:tcPr>
          <w:p w14:paraId="03B2C992">
            <w:pPr>
              <w:pStyle w:val="25"/>
              <w:ind w:left="0" w:leftChars="0" w:firstLine="0" w:firstLineChars="0"/>
              <w:jc w:val="center"/>
              <w:rPr>
                <w:highlight w:val="none"/>
              </w:rPr>
            </w:pPr>
          </w:p>
        </w:tc>
      </w:tr>
      <w:tr w14:paraId="1E7BE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 w:type="dxa"/>
            <w:noWrap w:val="0"/>
            <w:vAlign w:val="center"/>
          </w:tcPr>
          <w:p w14:paraId="268D6E9D">
            <w:pPr>
              <w:pStyle w:val="25"/>
              <w:ind w:left="0" w:leftChars="0" w:firstLine="0" w:firstLineChars="0"/>
              <w:jc w:val="center"/>
              <w:rPr>
                <w:highlight w:val="none"/>
              </w:rPr>
            </w:pPr>
          </w:p>
        </w:tc>
        <w:tc>
          <w:tcPr>
            <w:tcW w:w="1363" w:type="dxa"/>
            <w:noWrap w:val="0"/>
            <w:vAlign w:val="center"/>
          </w:tcPr>
          <w:p w14:paraId="4E6D2196">
            <w:pPr>
              <w:pStyle w:val="25"/>
              <w:ind w:left="0" w:leftChars="0" w:firstLine="0" w:firstLineChars="0"/>
              <w:jc w:val="center"/>
              <w:rPr>
                <w:rFonts w:hint="eastAsia"/>
                <w:highlight w:val="none"/>
              </w:rPr>
            </w:pPr>
          </w:p>
        </w:tc>
        <w:tc>
          <w:tcPr>
            <w:tcW w:w="956" w:type="dxa"/>
            <w:noWrap w:val="0"/>
            <w:vAlign w:val="center"/>
          </w:tcPr>
          <w:p w14:paraId="2B787C06">
            <w:pPr>
              <w:pStyle w:val="25"/>
              <w:ind w:left="0" w:leftChars="0" w:firstLine="0" w:firstLineChars="0"/>
              <w:jc w:val="center"/>
              <w:rPr>
                <w:highlight w:val="none"/>
              </w:rPr>
            </w:pPr>
          </w:p>
        </w:tc>
        <w:tc>
          <w:tcPr>
            <w:tcW w:w="956" w:type="dxa"/>
            <w:noWrap w:val="0"/>
            <w:vAlign w:val="center"/>
          </w:tcPr>
          <w:p w14:paraId="261E79FB">
            <w:pPr>
              <w:pStyle w:val="25"/>
              <w:ind w:left="0" w:leftChars="0" w:firstLine="0" w:firstLineChars="0"/>
              <w:jc w:val="center"/>
              <w:rPr>
                <w:highlight w:val="none"/>
              </w:rPr>
            </w:pPr>
          </w:p>
        </w:tc>
        <w:tc>
          <w:tcPr>
            <w:tcW w:w="957" w:type="dxa"/>
            <w:noWrap w:val="0"/>
            <w:vAlign w:val="center"/>
          </w:tcPr>
          <w:p w14:paraId="42545791">
            <w:pPr>
              <w:pStyle w:val="25"/>
              <w:ind w:left="0" w:leftChars="0" w:firstLine="0" w:firstLineChars="0"/>
              <w:jc w:val="center"/>
              <w:rPr>
                <w:highlight w:val="none"/>
              </w:rPr>
            </w:pPr>
          </w:p>
        </w:tc>
        <w:tc>
          <w:tcPr>
            <w:tcW w:w="1369" w:type="dxa"/>
            <w:noWrap w:val="0"/>
            <w:vAlign w:val="center"/>
          </w:tcPr>
          <w:p w14:paraId="1F216E9C">
            <w:pPr>
              <w:pStyle w:val="25"/>
              <w:ind w:left="0" w:leftChars="0" w:firstLine="0" w:firstLineChars="0"/>
              <w:jc w:val="center"/>
              <w:rPr>
                <w:highlight w:val="none"/>
              </w:rPr>
            </w:pPr>
          </w:p>
        </w:tc>
        <w:tc>
          <w:tcPr>
            <w:tcW w:w="1092" w:type="dxa"/>
            <w:noWrap w:val="0"/>
            <w:vAlign w:val="center"/>
          </w:tcPr>
          <w:p w14:paraId="7968568F">
            <w:pPr>
              <w:pStyle w:val="25"/>
              <w:ind w:left="0" w:leftChars="0" w:firstLine="0" w:firstLineChars="0"/>
              <w:jc w:val="center"/>
              <w:rPr>
                <w:highlight w:val="none"/>
              </w:rPr>
            </w:pPr>
          </w:p>
        </w:tc>
        <w:tc>
          <w:tcPr>
            <w:tcW w:w="1152" w:type="dxa"/>
            <w:noWrap w:val="0"/>
            <w:vAlign w:val="center"/>
          </w:tcPr>
          <w:p w14:paraId="7E64EE8C">
            <w:pPr>
              <w:pStyle w:val="25"/>
              <w:ind w:left="0" w:leftChars="0" w:firstLine="0" w:firstLineChars="0"/>
              <w:jc w:val="center"/>
              <w:rPr>
                <w:highlight w:val="none"/>
              </w:rPr>
            </w:pPr>
          </w:p>
        </w:tc>
        <w:tc>
          <w:tcPr>
            <w:tcW w:w="1044" w:type="dxa"/>
            <w:noWrap w:val="0"/>
            <w:vAlign w:val="center"/>
          </w:tcPr>
          <w:p w14:paraId="297BF345">
            <w:pPr>
              <w:pStyle w:val="25"/>
              <w:ind w:left="0" w:leftChars="0" w:firstLine="0" w:firstLineChars="0"/>
              <w:jc w:val="center"/>
              <w:rPr>
                <w:highlight w:val="none"/>
              </w:rPr>
            </w:pPr>
          </w:p>
        </w:tc>
      </w:tr>
      <w:tr w14:paraId="3A915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 w:type="dxa"/>
            <w:noWrap w:val="0"/>
            <w:vAlign w:val="center"/>
          </w:tcPr>
          <w:p w14:paraId="376E6CDA">
            <w:pPr>
              <w:pStyle w:val="25"/>
              <w:ind w:left="0" w:leftChars="0" w:firstLine="0" w:firstLineChars="0"/>
              <w:jc w:val="center"/>
              <w:rPr>
                <w:highlight w:val="none"/>
              </w:rPr>
            </w:pPr>
          </w:p>
        </w:tc>
        <w:tc>
          <w:tcPr>
            <w:tcW w:w="1363" w:type="dxa"/>
            <w:noWrap w:val="0"/>
            <w:vAlign w:val="center"/>
          </w:tcPr>
          <w:p w14:paraId="71839BA8">
            <w:pPr>
              <w:pStyle w:val="25"/>
              <w:ind w:left="0" w:leftChars="0" w:firstLine="0" w:firstLineChars="0"/>
              <w:jc w:val="center"/>
              <w:rPr>
                <w:highlight w:val="none"/>
              </w:rPr>
            </w:pPr>
          </w:p>
        </w:tc>
        <w:tc>
          <w:tcPr>
            <w:tcW w:w="956" w:type="dxa"/>
            <w:noWrap w:val="0"/>
            <w:vAlign w:val="center"/>
          </w:tcPr>
          <w:p w14:paraId="7CFA9617">
            <w:pPr>
              <w:pStyle w:val="25"/>
              <w:ind w:left="0" w:leftChars="0" w:firstLine="0" w:firstLineChars="0"/>
              <w:jc w:val="center"/>
              <w:rPr>
                <w:highlight w:val="none"/>
              </w:rPr>
            </w:pPr>
          </w:p>
        </w:tc>
        <w:tc>
          <w:tcPr>
            <w:tcW w:w="956" w:type="dxa"/>
            <w:noWrap w:val="0"/>
            <w:vAlign w:val="center"/>
          </w:tcPr>
          <w:p w14:paraId="4F7E3B3A">
            <w:pPr>
              <w:pStyle w:val="25"/>
              <w:ind w:left="0" w:leftChars="0" w:firstLine="0" w:firstLineChars="0"/>
              <w:jc w:val="center"/>
              <w:rPr>
                <w:highlight w:val="none"/>
              </w:rPr>
            </w:pPr>
          </w:p>
        </w:tc>
        <w:tc>
          <w:tcPr>
            <w:tcW w:w="957" w:type="dxa"/>
            <w:noWrap w:val="0"/>
            <w:vAlign w:val="center"/>
          </w:tcPr>
          <w:p w14:paraId="233B9EB7">
            <w:pPr>
              <w:pStyle w:val="25"/>
              <w:ind w:left="0" w:leftChars="0" w:firstLine="0" w:firstLineChars="0"/>
              <w:jc w:val="center"/>
              <w:rPr>
                <w:highlight w:val="none"/>
              </w:rPr>
            </w:pPr>
          </w:p>
        </w:tc>
        <w:tc>
          <w:tcPr>
            <w:tcW w:w="1369" w:type="dxa"/>
            <w:noWrap w:val="0"/>
            <w:vAlign w:val="center"/>
          </w:tcPr>
          <w:p w14:paraId="7CEF20B7">
            <w:pPr>
              <w:pStyle w:val="25"/>
              <w:ind w:left="0" w:leftChars="0" w:firstLine="0" w:firstLineChars="0"/>
              <w:jc w:val="center"/>
              <w:rPr>
                <w:highlight w:val="none"/>
              </w:rPr>
            </w:pPr>
          </w:p>
        </w:tc>
        <w:tc>
          <w:tcPr>
            <w:tcW w:w="1092" w:type="dxa"/>
            <w:noWrap w:val="0"/>
            <w:vAlign w:val="center"/>
          </w:tcPr>
          <w:p w14:paraId="03157C5E">
            <w:pPr>
              <w:pStyle w:val="25"/>
              <w:ind w:left="0" w:leftChars="0" w:firstLine="0" w:firstLineChars="0"/>
              <w:jc w:val="center"/>
              <w:rPr>
                <w:highlight w:val="none"/>
              </w:rPr>
            </w:pPr>
          </w:p>
        </w:tc>
        <w:tc>
          <w:tcPr>
            <w:tcW w:w="1152" w:type="dxa"/>
            <w:noWrap w:val="0"/>
            <w:vAlign w:val="center"/>
          </w:tcPr>
          <w:p w14:paraId="63AB36AB">
            <w:pPr>
              <w:pStyle w:val="25"/>
              <w:ind w:left="0" w:leftChars="0" w:firstLine="0" w:firstLineChars="0"/>
              <w:jc w:val="center"/>
              <w:rPr>
                <w:highlight w:val="none"/>
              </w:rPr>
            </w:pPr>
          </w:p>
        </w:tc>
        <w:tc>
          <w:tcPr>
            <w:tcW w:w="1044" w:type="dxa"/>
            <w:noWrap w:val="0"/>
            <w:vAlign w:val="center"/>
          </w:tcPr>
          <w:p w14:paraId="7FF2F935">
            <w:pPr>
              <w:pStyle w:val="25"/>
              <w:ind w:left="0" w:leftChars="0" w:firstLine="0" w:firstLineChars="0"/>
              <w:jc w:val="center"/>
              <w:rPr>
                <w:highlight w:val="none"/>
              </w:rPr>
            </w:pPr>
          </w:p>
        </w:tc>
      </w:tr>
      <w:tr w14:paraId="6BB84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 w:type="dxa"/>
            <w:noWrap w:val="0"/>
            <w:vAlign w:val="center"/>
          </w:tcPr>
          <w:p w14:paraId="0C4D330F">
            <w:pPr>
              <w:pStyle w:val="25"/>
              <w:ind w:left="0" w:leftChars="0" w:firstLine="0" w:firstLineChars="0"/>
              <w:jc w:val="center"/>
              <w:rPr>
                <w:highlight w:val="none"/>
              </w:rPr>
            </w:pPr>
          </w:p>
        </w:tc>
        <w:tc>
          <w:tcPr>
            <w:tcW w:w="1363" w:type="dxa"/>
            <w:noWrap w:val="0"/>
            <w:vAlign w:val="center"/>
          </w:tcPr>
          <w:p w14:paraId="7F1B0282">
            <w:pPr>
              <w:pStyle w:val="25"/>
              <w:ind w:left="0" w:leftChars="0" w:firstLine="0" w:firstLineChars="0"/>
              <w:jc w:val="center"/>
              <w:rPr>
                <w:highlight w:val="none"/>
              </w:rPr>
            </w:pPr>
          </w:p>
        </w:tc>
        <w:tc>
          <w:tcPr>
            <w:tcW w:w="956" w:type="dxa"/>
            <w:noWrap w:val="0"/>
            <w:vAlign w:val="center"/>
          </w:tcPr>
          <w:p w14:paraId="33F18BC2">
            <w:pPr>
              <w:pStyle w:val="25"/>
              <w:ind w:left="0" w:leftChars="0" w:firstLine="0" w:firstLineChars="0"/>
              <w:jc w:val="center"/>
              <w:rPr>
                <w:highlight w:val="none"/>
              </w:rPr>
            </w:pPr>
          </w:p>
        </w:tc>
        <w:tc>
          <w:tcPr>
            <w:tcW w:w="956" w:type="dxa"/>
            <w:noWrap w:val="0"/>
            <w:vAlign w:val="center"/>
          </w:tcPr>
          <w:p w14:paraId="077D13CC">
            <w:pPr>
              <w:pStyle w:val="25"/>
              <w:ind w:left="0" w:leftChars="0" w:firstLine="0" w:firstLineChars="0"/>
              <w:jc w:val="center"/>
              <w:rPr>
                <w:highlight w:val="none"/>
              </w:rPr>
            </w:pPr>
          </w:p>
        </w:tc>
        <w:tc>
          <w:tcPr>
            <w:tcW w:w="957" w:type="dxa"/>
            <w:noWrap w:val="0"/>
            <w:vAlign w:val="center"/>
          </w:tcPr>
          <w:p w14:paraId="53838047">
            <w:pPr>
              <w:pStyle w:val="25"/>
              <w:ind w:left="0" w:leftChars="0" w:firstLine="0" w:firstLineChars="0"/>
              <w:jc w:val="center"/>
              <w:rPr>
                <w:highlight w:val="none"/>
              </w:rPr>
            </w:pPr>
          </w:p>
        </w:tc>
        <w:tc>
          <w:tcPr>
            <w:tcW w:w="1369" w:type="dxa"/>
            <w:noWrap w:val="0"/>
            <w:vAlign w:val="center"/>
          </w:tcPr>
          <w:p w14:paraId="09C1BC69">
            <w:pPr>
              <w:pStyle w:val="25"/>
              <w:ind w:left="0" w:leftChars="0" w:firstLine="0" w:firstLineChars="0"/>
              <w:jc w:val="center"/>
              <w:rPr>
                <w:highlight w:val="none"/>
              </w:rPr>
            </w:pPr>
          </w:p>
        </w:tc>
        <w:tc>
          <w:tcPr>
            <w:tcW w:w="1092" w:type="dxa"/>
            <w:noWrap w:val="0"/>
            <w:vAlign w:val="center"/>
          </w:tcPr>
          <w:p w14:paraId="78F8578C">
            <w:pPr>
              <w:pStyle w:val="25"/>
              <w:ind w:left="0" w:leftChars="0" w:firstLine="0" w:firstLineChars="0"/>
              <w:jc w:val="center"/>
              <w:rPr>
                <w:highlight w:val="none"/>
              </w:rPr>
            </w:pPr>
          </w:p>
        </w:tc>
        <w:tc>
          <w:tcPr>
            <w:tcW w:w="1152" w:type="dxa"/>
            <w:noWrap w:val="0"/>
            <w:vAlign w:val="center"/>
          </w:tcPr>
          <w:p w14:paraId="7637A4CD">
            <w:pPr>
              <w:pStyle w:val="25"/>
              <w:ind w:left="0" w:leftChars="0" w:firstLine="0" w:firstLineChars="0"/>
              <w:jc w:val="center"/>
              <w:rPr>
                <w:highlight w:val="none"/>
              </w:rPr>
            </w:pPr>
          </w:p>
        </w:tc>
        <w:tc>
          <w:tcPr>
            <w:tcW w:w="1044" w:type="dxa"/>
            <w:noWrap w:val="0"/>
            <w:vAlign w:val="center"/>
          </w:tcPr>
          <w:p w14:paraId="11EB5B65">
            <w:pPr>
              <w:pStyle w:val="25"/>
              <w:ind w:left="0" w:leftChars="0" w:firstLine="0" w:firstLineChars="0"/>
              <w:jc w:val="center"/>
              <w:rPr>
                <w:highlight w:val="none"/>
              </w:rPr>
            </w:pPr>
          </w:p>
        </w:tc>
      </w:tr>
      <w:tr w14:paraId="3577C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 w:type="dxa"/>
            <w:noWrap w:val="0"/>
            <w:vAlign w:val="center"/>
          </w:tcPr>
          <w:p w14:paraId="50A8BD36">
            <w:pPr>
              <w:pStyle w:val="25"/>
              <w:ind w:left="0" w:leftChars="0" w:firstLine="0" w:firstLineChars="0"/>
              <w:jc w:val="center"/>
              <w:rPr>
                <w:highlight w:val="none"/>
              </w:rPr>
            </w:pPr>
          </w:p>
        </w:tc>
        <w:tc>
          <w:tcPr>
            <w:tcW w:w="1363" w:type="dxa"/>
            <w:noWrap w:val="0"/>
            <w:vAlign w:val="center"/>
          </w:tcPr>
          <w:p w14:paraId="4ADA8E98">
            <w:pPr>
              <w:pStyle w:val="25"/>
              <w:ind w:left="0" w:leftChars="0" w:firstLine="0" w:firstLineChars="0"/>
              <w:jc w:val="center"/>
              <w:rPr>
                <w:highlight w:val="none"/>
              </w:rPr>
            </w:pPr>
          </w:p>
        </w:tc>
        <w:tc>
          <w:tcPr>
            <w:tcW w:w="956" w:type="dxa"/>
            <w:noWrap w:val="0"/>
            <w:vAlign w:val="center"/>
          </w:tcPr>
          <w:p w14:paraId="525D023E">
            <w:pPr>
              <w:pStyle w:val="25"/>
              <w:ind w:left="0" w:leftChars="0" w:firstLine="0" w:firstLineChars="0"/>
              <w:jc w:val="center"/>
              <w:rPr>
                <w:highlight w:val="none"/>
              </w:rPr>
            </w:pPr>
          </w:p>
        </w:tc>
        <w:tc>
          <w:tcPr>
            <w:tcW w:w="956" w:type="dxa"/>
            <w:noWrap w:val="0"/>
            <w:vAlign w:val="center"/>
          </w:tcPr>
          <w:p w14:paraId="212B01AE">
            <w:pPr>
              <w:pStyle w:val="25"/>
              <w:ind w:left="0" w:leftChars="0" w:firstLine="0" w:firstLineChars="0"/>
              <w:jc w:val="center"/>
              <w:rPr>
                <w:highlight w:val="none"/>
              </w:rPr>
            </w:pPr>
          </w:p>
        </w:tc>
        <w:tc>
          <w:tcPr>
            <w:tcW w:w="957" w:type="dxa"/>
            <w:noWrap w:val="0"/>
            <w:vAlign w:val="center"/>
          </w:tcPr>
          <w:p w14:paraId="1CDA8D54">
            <w:pPr>
              <w:pStyle w:val="25"/>
              <w:ind w:left="0" w:leftChars="0" w:firstLine="0" w:firstLineChars="0"/>
              <w:jc w:val="center"/>
              <w:rPr>
                <w:highlight w:val="none"/>
              </w:rPr>
            </w:pPr>
          </w:p>
        </w:tc>
        <w:tc>
          <w:tcPr>
            <w:tcW w:w="1369" w:type="dxa"/>
            <w:noWrap w:val="0"/>
            <w:vAlign w:val="center"/>
          </w:tcPr>
          <w:p w14:paraId="7B8EEA92">
            <w:pPr>
              <w:pStyle w:val="25"/>
              <w:ind w:left="0" w:leftChars="0" w:firstLine="0" w:firstLineChars="0"/>
              <w:jc w:val="center"/>
              <w:rPr>
                <w:highlight w:val="none"/>
              </w:rPr>
            </w:pPr>
          </w:p>
        </w:tc>
        <w:tc>
          <w:tcPr>
            <w:tcW w:w="1092" w:type="dxa"/>
            <w:noWrap w:val="0"/>
            <w:vAlign w:val="center"/>
          </w:tcPr>
          <w:p w14:paraId="46DB5CF5">
            <w:pPr>
              <w:pStyle w:val="25"/>
              <w:ind w:left="0" w:leftChars="0" w:firstLine="0" w:firstLineChars="0"/>
              <w:jc w:val="center"/>
              <w:rPr>
                <w:highlight w:val="none"/>
              </w:rPr>
            </w:pPr>
          </w:p>
        </w:tc>
        <w:tc>
          <w:tcPr>
            <w:tcW w:w="1152" w:type="dxa"/>
            <w:noWrap w:val="0"/>
            <w:vAlign w:val="center"/>
          </w:tcPr>
          <w:p w14:paraId="525263F4">
            <w:pPr>
              <w:pStyle w:val="25"/>
              <w:ind w:left="0" w:leftChars="0" w:firstLine="0" w:firstLineChars="0"/>
              <w:jc w:val="center"/>
              <w:rPr>
                <w:highlight w:val="none"/>
              </w:rPr>
            </w:pPr>
          </w:p>
        </w:tc>
        <w:tc>
          <w:tcPr>
            <w:tcW w:w="1044" w:type="dxa"/>
            <w:noWrap w:val="0"/>
            <w:vAlign w:val="center"/>
          </w:tcPr>
          <w:p w14:paraId="38B290A7">
            <w:pPr>
              <w:pStyle w:val="25"/>
              <w:ind w:left="0" w:leftChars="0" w:firstLine="0" w:firstLineChars="0"/>
              <w:jc w:val="center"/>
              <w:rPr>
                <w:highlight w:val="none"/>
              </w:rPr>
            </w:pPr>
          </w:p>
        </w:tc>
      </w:tr>
      <w:tr w14:paraId="45D01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 w:type="dxa"/>
            <w:noWrap w:val="0"/>
            <w:vAlign w:val="center"/>
          </w:tcPr>
          <w:p w14:paraId="7FA93593">
            <w:pPr>
              <w:pStyle w:val="25"/>
              <w:ind w:left="0" w:leftChars="0" w:firstLine="0" w:firstLineChars="0"/>
              <w:jc w:val="center"/>
              <w:rPr>
                <w:highlight w:val="none"/>
              </w:rPr>
            </w:pPr>
          </w:p>
        </w:tc>
        <w:tc>
          <w:tcPr>
            <w:tcW w:w="1363" w:type="dxa"/>
            <w:noWrap w:val="0"/>
            <w:vAlign w:val="center"/>
          </w:tcPr>
          <w:p w14:paraId="7FB2B266">
            <w:pPr>
              <w:pStyle w:val="25"/>
              <w:ind w:left="0" w:leftChars="0" w:firstLine="0" w:firstLineChars="0"/>
              <w:jc w:val="center"/>
              <w:rPr>
                <w:highlight w:val="none"/>
              </w:rPr>
            </w:pPr>
          </w:p>
        </w:tc>
        <w:tc>
          <w:tcPr>
            <w:tcW w:w="956" w:type="dxa"/>
            <w:noWrap w:val="0"/>
            <w:vAlign w:val="center"/>
          </w:tcPr>
          <w:p w14:paraId="15321C44">
            <w:pPr>
              <w:pStyle w:val="25"/>
              <w:ind w:left="0" w:leftChars="0" w:firstLine="0" w:firstLineChars="0"/>
              <w:jc w:val="center"/>
              <w:rPr>
                <w:highlight w:val="none"/>
              </w:rPr>
            </w:pPr>
          </w:p>
        </w:tc>
        <w:tc>
          <w:tcPr>
            <w:tcW w:w="956" w:type="dxa"/>
            <w:noWrap w:val="0"/>
            <w:vAlign w:val="center"/>
          </w:tcPr>
          <w:p w14:paraId="48E6B80D">
            <w:pPr>
              <w:pStyle w:val="25"/>
              <w:ind w:left="0" w:leftChars="0" w:firstLine="0" w:firstLineChars="0"/>
              <w:jc w:val="center"/>
              <w:rPr>
                <w:highlight w:val="none"/>
              </w:rPr>
            </w:pPr>
          </w:p>
        </w:tc>
        <w:tc>
          <w:tcPr>
            <w:tcW w:w="957" w:type="dxa"/>
            <w:noWrap w:val="0"/>
            <w:vAlign w:val="center"/>
          </w:tcPr>
          <w:p w14:paraId="3677F1F7">
            <w:pPr>
              <w:pStyle w:val="25"/>
              <w:ind w:left="0" w:leftChars="0" w:firstLine="0" w:firstLineChars="0"/>
              <w:jc w:val="center"/>
              <w:rPr>
                <w:highlight w:val="none"/>
              </w:rPr>
            </w:pPr>
          </w:p>
        </w:tc>
        <w:tc>
          <w:tcPr>
            <w:tcW w:w="1369" w:type="dxa"/>
            <w:noWrap w:val="0"/>
            <w:vAlign w:val="center"/>
          </w:tcPr>
          <w:p w14:paraId="155F90B9">
            <w:pPr>
              <w:pStyle w:val="25"/>
              <w:ind w:left="0" w:leftChars="0" w:firstLine="0" w:firstLineChars="0"/>
              <w:jc w:val="center"/>
              <w:rPr>
                <w:highlight w:val="none"/>
              </w:rPr>
            </w:pPr>
          </w:p>
        </w:tc>
        <w:tc>
          <w:tcPr>
            <w:tcW w:w="1092" w:type="dxa"/>
            <w:noWrap w:val="0"/>
            <w:vAlign w:val="center"/>
          </w:tcPr>
          <w:p w14:paraId="7B9F8A90">
            <w:pPr>
              <w:pStyle w:val="25"/>
              <w:ind w:left="0" w:leftChars="0" w:firstLine="0" w:firstLineChars="0"/>
              <w:jc w:val="center"/>
              <w:rPr>
                <w:highlight w:val="none"/>
              </w:rPr>
            </w:pPr>
          </w:p>
        </w:tc>
        <w:tc>
          <w:tcPr>
            <w:tcW w:w="1152" w:type="dxa"/>
            <w:noWrap w:val="0"/>
            <w:vAlign w:val="center"/>
          </w:tcPr>
          <w:p w14:paraId="4609FF7C">
            <w:pPr>
              <w:pStyle w:val="25"/>
              <w:ind w:left="0" w:leftChars="0" w:firstLine="0" w:firstLineChars="0"/>
              <w:jc w:val="center"/>
              <w:rPr>
                <w:highlight w:val="none"/>
              </w:rPr>
            </w:pPr>
          </w:p>
        </w:tc>
        <w:tc>
          <w:tcPr>
            <w:tcW w:w="1044" w:type="dxa"/>
            <w:noWrap w:val="0"/>
            <w:vAlign w:val="center"/>
          </w:tcPr>
          <w:p w14:paraId="042F73B9">
            <w:pPr>
              <w:pStyle w:val="25"/>
              <w:ind w:left="0" w:leftChars="0" w:firstLine="0" w:firstLineChars="0"/>
              <w:jc w:val="center"/>
              <w:rPr>
                <w:highlight w:val="none"/>
              </w:rPr>
            </w:pPr>
          </w:p>
        </w:tc>
      </w:tr>
      <w:tr w14:paraId="0E528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 w:type="dxa"/>
            <w:noWrap w:val="0"/>
            <w:vAlign w:val="center"/>
          </w:tcPr>
          <w:p w14:paraId="738A298E">
            <w:pPr>
              <w:pStyle w:val="25"/>
              <w:ind w:left="0" w:leftChars="0" w:firstLine="0" w:firstLineChars="0"/>
              <w:jc w:val="center"/>
              <w:rPr>
                <w:highlight w:val="none"/>
              </w:rPr>
            </w:pPr>
          </w:p>
        </w:tc>
        <w:tc>
          <w:tcPr>
            <w:tcW w:w="1363" w:type="dxa"/>
            <w:noWrap w:val="0"/>
            <w:vAlign w:val="center"/>
          </w:tcPr>
          <w:p w14:paraId="13544450">
            <w:pPr>
              <w:pStyle w:val="25"/>
              <w:ind w:left="0" w:leftChars="0" w:firstLine="0" w:firstLineChars="0"/>
              <w:jc w:val="center"/>
              <w:rPr>
                <w:highlight w:val="none"/>
              </w:rPr>
            </w:pPr>
          </w:p>
        </w:tc>
        <w:tc>
          <w:tcPr>
            <w:tcW w:w="956" w:type="dxa"/>
            <w:noWrap w:val="0"/>
            <w:vAlign w:val="center"/>
          </w:tcPr>
          <w:p w14:paraId="21E049A7">
            <w:pPr>
              <w:pStyle w:val="25"/>
              <w:ind w:left="0" w:leftChars="0" w:firstLine="0" w:firstLineChars="0"/>
              <w:jc w:val="center"/>
              <w:rPr>
                <w:highlight w:val="none"/>
              </w:rPr>
            </w:pPr>
          </w:p>
        </w:tc>
        <w:tc>
          <w:tcPr>
            <w:tcW w:w="956" w:type="dxa"/>
            <w:noWrap w:val="0"/>
            <w:vAlign w:val="center"/>
          </w:tcPr>
          <w:p w14:paraId="32E61CC8">
            <w:pPr>
              <w:pStyle w:val="25"/>
              <w:ind w:left="0" w:leftChars="0" w:firstLine="0" w:firstLineChars="0"/>
              <w:jc w:val="center"/>
              <w:rPr>
                <w:highlight w:val="none"/>
              </w:rPr>
            </w:pPr>
          </w:p>
        </w:tc>
        <w:tc>
          <w:tcPr>
            <w:tcW w:w="957" w:type="dxa"/>
            <w:noWrap w:val="0"/>
            <w:vAlign w:val="center"/>
          </w:tcPr>
          <w:p w14:paraId="2CC7F5FD">
            <w:pPr>
              <w:pStyle w:val="25"/>
              <w:ind w:left="0" w:leftChars="0" w:firstLine="0" w:firstLineChars="0"/>
              <w:jc w:val="center"/>
              <w:rPr>
                <w:highlight w:val="none"/>
              </w:rPr>
            </w:pPr>
          </w:p>
        </w:tc>
        <w:tc>
          <w:tcPr>
            <w:tcW w:w="1369" w:type="dxa"/>
            <w:noWrap w:val="0"/>
            <w:vAlign w:val="center"/>
          </w:tcPr>
          <w:p w14:paraId="7052860C">
            <w:pPr>
              <w:pStyle w:val="25"/>
              <w:ind w:left="0" w:leftChars="0" w:firstLine="0" w:firstLineChars="0"/>
              <w:jc w:val="center"/>
              <w:rPr>
                <w:highlight w:val="none"/>
              </w:rPr>
            </w:pPr>
          </w:p>
        </w:tc>
        <w:tc>
          <w:tcPr>
            <w:tcW w:w="1092" w:type="dxa"/>
            <w:noWrap w:val="0"/>
            <w:vAlign w:val="center"/>
          </w:tcPr>
          <w:p w14:paraId="5CD34498">
            <w:pPr>
              <w:pStyle w:val="25"/>
              <w:ind w:left="0" w:leftChars="0" w:firstLine="0" w:firstLineChars="0"/>
              <w:jc w:val="center"/>
              <w:rPr>
                <w:highlight w:val="none"/>
              </w:rPr>
            </w:pPr>
          </w:p>
        </w:tc>
        <w:tc>
          <w:tcPr>
            <w:tcW w:w="1152" w:type="dxa"/>
            <w:noWrap w:val="0"/>
            <w:vAlign w:val="center"/>
          </w:tcPr>
          <w:p w14:paraId="2528E4D0">
            <w:pPr>
              <w:pStyle w:val="25"/>
              <w:ind w:left="0" w:leftChars="0" w:firstLine="0" w:firstLineChars="0"/>
              <w:jc w:val="center"/>
              <w:rPr>
                <w:highlight w:val="none"/>
              </w:rPr>
            </w:pPr>
          </w:p>
        </w:tc>
        <w:tc>
          <w:tcPr>
            <w:tcW w:w="1044" w:type="dxa"/>
            <w:noWrap w:val="0"/>
            <w:vAlign w:val="center"/>
          </w:tcPr>
          <w:p w14:paraId="396D2D2A">
            <w:pPr>
              <w:pStyle w:val="25"/>
              <w:ind w:left="0" w:leftChars="0" w:firstLine="0" w:firstLineChars="0"/>
              <w:jc w:val="center"/>
              <w:rPr>
                <w:highlight w:val="none"/>
              </w:rPr>
            </w:pPr>
          </w:p>
        </w:tc>
      </w:tr>
      <w:tr w14:paraId="02610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 w:type="dxa"/>
            <w:noWrap w:val="0"/>
            <w:vAlign w:val="center"/>
          </w:tcPr>
          <w:p w14:paraId="709965F4">
            <w:pPr>
              <w:pStyle w:val="25"/>
              <w:ind w:left="0" w:leftChars="0" w:firstLine="0" w:firstLineChars="0"/>
              <w:jc w:val="center"/>
              <w:rPr>
                <w:highlight w:val="none"/>
              </w:rPr>
            </w:pPr>
          </w:p>
        </w:tc>
        <w:tc>
          <w:tcPr>
            <w:tcW w:w="1363" w:type="dxa"/>
            <w:noWrap w:val="0"/>
            <w:vAlign w:val="center"/>
          </w:tcPr>
          <w:p w14:paraId="5143872F">
            <w:pPr>
              <w:pStyle w:val="25"/>
              <w:ind w:left="0" w:leftChars="0" w:firstLine="0" w:firstLineChars="0"/>
              <w:jc w:val="center"/>
              <w:rPr>
                <w:rFonts w:hint="eastAsia" w:ascii="宋体" w:hAnsi="宋体" w:cs="宋体"/>
                <w:highlight w:val="none"/>
              </w:rPr>
            </w:pPr>
          </w:p>
        </w:tc>
        <w:tc>
          <w:tcPr>
            <w:tcW w:w="956" w:type="dxa"/>
            <w:noWrap w:val="0"/>
            <w:vAlign w:val="center"/>
          </w:tcPr>
          <w:p w14:paraId="2E754147">
            <w:pPr>
              <w:pStyle w:val="25"/>
              <w:ind w:left="0" w:leftChars="0" w:firstLine="0" w:firstLineChars="0"/>
              <w:jc w:val="center"/>
              <w:rPr>
                <w:highlight w:val="none"/>
              </w:rPr>
            </w:pPr>
          </w:p>
        </w:tc>
        <w:tc>
          <w:tcPr>
            <w:tcW w:w="956" w:type="dxa"/>
            <w:noWrap w:val="0"/>
            <w:vAlign w:val="center"/>
          </w:tcPr>
          <w:p w14:paraId="421A60B3">
            <w:pPr>
              <w:pStyle w:val="25"/>
              <w:ind w:left="0" w:leftChars="0" w:firstLine="0" w:firstLineChars="0"/>
              <w:jc w:val="center"/>
              <w:rPr>
                <w:highlight w:val="none"/>
              </w:rPr>
            </w:pPr>
          </w:p>
        </w:tc>
        <w:tc>
          <w:tcPr>
            <w:tcW w:w="957" w:type="dxa"/>
            <w:noWrap w:val="0"/>
            <w:vAlign w:val="center"/>
          </w:tcPr>
          <w:p w14:paraId="0BAA90B7">
            <w:pPr>
              <w:pStyle w:val="25"/>
              <w:ind w:left="0" w:leftChars="0" w:firstLine="0" w:firstLineChars="0"/>
              <w:jc w:val="center"/>
              <w:rPr>
                <w:highlight w:val="none"/>
              </w:rPr>
            </w:pPr>
          </w:p>
        </w:tc>
        <w:tc>
          <w:tcPr>
            <w:tcW w:w="1369" w:type="dxa"/>
            <w:noWrap w:val="0"/>
            <w:vAlign w:val="center"/>
          </w:tcPr>
          <w:p w14:paraId="7FDF0830">
            <w:pPr>
              <w:pStyle w:val="25"/>
              <w:ind w:left="0" w:leftChars="0" w:firstLine="0" w:firstLineChars="0"/>
              <w:jc w:val="center"/>
              <w:rPr>
                <w:highlight w:val="none"/>
              </w:rPr>
            </w:pPr>
          </w:p>
        </w:tc>
        <w:tc>
          <w:tcPr>
            <w:tcW w:w="1092" w:type="dxa"/>
            <w:noWrap w:val="0"/>
            <w:vAlign w:val="center"/>
          </w:tcPr>
          <w:p w14:paraId="1A48C6B3">
            <w:pPr>
              <w:pStyle w:val="25"/>
              <w:ind w:left="0" w:leftChars="0" w:firstLine="0" w:firstLineChars="0"/>
              <w:jc w:val="center"/>
              <w:rPr>
                <w:highlight w:val="none"/>
              </w:rPr>
            </w:pPr>
          </w:p>
        </w:tc>
        <w:tc>
          <w:tcPr>
            <w:tcW w:w="1152" w:type="dxa"/>
            <w:noWrap w:val="0"/>
            <w:vAlign w:val="center"/>
          </w:tcPr>
          <w:p w14:paraId="0CFC9E97">
            <w:pPr>
              <w:pStyle w:val="25"/>
              <w:ind w:left="0" w:leftChars="0" w:firstLine="0" w:firstLineChars="0"/>
              <w:jc w:val="center"/>
              <w:rPr>
                <w:highlight w:val="none"/>
              </w:rPr>
            </w:pPr>
          </w:p>
        </w:tc>
        <w:tc>
          <w:tcPr>
            <w:tcW w:w="1044" w:type="dxa"/>
            <w:noWrap w:val="0"/>
            <w:vAlign w:val="center"/>
          </w:tcPr>
          <w:p w14:paraId="2CA32011">
            <w:pPr>
              <w:pStyle w:val="25"/>
              <w:ind w:left="0" w:leftChars="0" w:firstLine="0" w:firstLineChars="0"/>
              <w:jc w:val="center"/>
              <w:rPr>
                <w:highlight w:val="none"/>
              </w:rPr>
            </w:pPr>
          </w:p>
        </w:tc>
      </w:tr>
      <w:tr w14:paraId="639B3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 w:type="dxa"/>
            <w:noWrap w:val="0"/>
            <w:vAlign w:val="center"/>
          </w:tcPr>
          <w:p w14:paraId="6651783A">
            <w:pPr>
              <w:pStyle w:val="25"/>
              <w:ind w:left="0" w:leftChars="0" w:firstLine="0" w:firstLineChars="0"/>
              <w:jc w:val="center"/>
              <w:rPr>
                <w:highlight w:val="none"/>
              </w:rPr>
            </w:pPr>
          </w:p>
        </w:tc>
        <w:tc>
          <w:tcPr>
            <w:tcW w:w="1363" w:type="dxa"/>
            <w:noWrap w:val="0"/>
            <w:vAlign w:val="center"/>
          </w:tcPr>
          <w:p w14:paraId="11F17C20">
            <w:pPr>
              <w:pStyle w:val="25"/>
              <w:ind w:left="0" w:leftChars="0" w:firstLine="0" w:firstLineChars="0"/>
              <w:jc w:val="center"/>
              <w:rPr>
                <w:highlight w:val="none"/>
              </w:rPr>
            </w:pPr>
          </w:p>
        </w:tc>
        <w:tc>
          <w:tcPr>
            <w:tcW w:w="956" w:type="dxa"/>
            <w:noWrap w:val="0"/>
            <w:vAlign w:val="center"/>
          </w:tcPr>
          <w:p w14:paraId="4FA475A0">
            <w:pPr>
              <w:pStyle w:val="25"/>
              <w:ind w:left="0" w:leftChars="0" w:firstLine="0" w:firstLineChars="0"/>
              <w:jc w:val="center"/>
              <w:rPr>
                <w:highlight w:val="none"/>
              </w:rPr>
            </w:pPr>
          </w:p>
        </w:tc>
        <w:tc>
          <w:tcPr>
            <w:tcW w:w="956" w:type="dxa"/>
            <w:noWrap w:val="0"/>
            <w:vAlign w:val="center"/>
          </w:tcPr>
          <w:p w14:paraId="3309DF4E">
            <w:pPr>
              <w:pStyle w:val="25"/>
              <w:ind w:left="0" w:leftChars="0" w:firstLine="0" w:firstLineChars="0"/>
              <w:jc w:val="center"/>
              <w:rPr>
                <w:highlight w:val="none"/>
              </w:rPr>
            </w:pPr>
          </w:p>
        </w:tc>
        <w:tc>
          <w:tcPr>
            <w:tcW w:w="957" w:type="dxa"/>
            <w:noWrap w:val="0"/>
            <w:vAlign w:val="center"/>
          </w:tcPr>
          <w:p w14:paraId="7403CC06">
            <w:pPr>
              <w:pStyle w:val="25"/>
              <w:ind w:left="0" w:leftChars="0" w:firstLine="0" w:firstLineChars="0"/>
              <w:jc w:val="center"/>
              <w:rPr>
                <w:highlight w:val="none"/>
              </w:rPr>
            </w:pPr>
          </w:p>
        </w:tc>
        <w:tc>
          <w:tcPr>
            <w:tcW w:w="1369" w:type="dxa"/>
            <w:noWrap w:val="0"/>
            <w:vAlign w:val="center"/>
          </w:tcPr>
          <w:p w14:paraId="7F0A02B6">
            <w:pPr>
              <w:pStyle w:val="25"/>
              <w:ind w:left="0" w:leftChars="0" w:firstLine="0" w:firstLineChars="0"/>
              <w:jc w:val="center"/>
              <w:rPr>
                <w:highlight w:val="none"/>
              </w:rPr>
            </w:pPr>
          </w:p>
        </w:tc>
        <w:tc>
          <w:tcPr>
            <w:tcW w:w="1092" w:type="dxa"/>
            <w:noWrap w:val="0"/>
            <w:vAlign w:val="center"/>
          </w:tcPr>
          <w:p w14:paraId="26DFBE75">
            <w:pPr>
              <w:pStyle w:val="25"/>
              <w:ind w:left="0" w:leftChars="0" w:firstLine="0" w:firstLineChars="0"/>
              <w:jc w:val="center"/>
              <w:rPr>
                <w:highlight w:val="none"/>
              </w:rPr>
            </w:pPr>
          </w:p>
        </w:tc>
        <w:tc>
          <w:tcPr>
            <w:tcW w:w="1152" w:type="dxa"/>
            <w:noWrap w:val="0"/>
            <w:vAlign w:val="center"/>
          </w:tcPr>
          <w:p w14:paraId="38B83C55">
            <w:pPr>
              <w:pStyle w:val="25"/>
              <w:ind w:left="0" w:leftChars="0" w:firstLine="0" w:firstLineChars="0"/>
              <w:jc w:val="center"/>
              <w:rPr>
                <w:highlight w:val="none"/>
              </w:rPr>
            </w:pPr>
          </w:p>
        </w:tc>
        <w:tc>
          <w:tcPr>
            <w:tcW w:w="1044" w:type="dxa"/>
            <w:noWrap w:val="0"/>
            <w:vAlign w:val="center"/>
          </w:tcPr>
          <w:p w14:paraId="7C09DE47">
            <w:pPr>
              <w:pStyle w:val="25"/>
              <w:ind w:left="0" w:leftChars="0" w:firstLine="0" w:firstLineChars="0"/>
              <w:jc w:val="center"/>
              <w:rPr>
                <w:highlight w:val="none"/>
              </w:rPr>
            </w:pPr>
          </w:p>
        </w:tc>
      </w:tr>
      <w:tr w14:paraId="45374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 w:type="dxa"/>
            <w:noWrap w:val="0"/>
            <w:vAlign w:val="center"/>
          </w:tcPr>
          <w:p w14:paraId="7AB0572D">
            <w:pPr>
              <w:pStyle w:val="25"/>
              <w:ind w:left="0" w:leftChars="0" w:firstLine="0" w:firstLineChars="0"/>
              <w:jc w:val="center"/>
              <w:rPr>
                <w:highlight w:val="none"/>
              </w:rPr>
            </w:pPr>
          </w:p>
        </w:tc>
        <w:tc>
          <w:tcPr>
            <w:tcW w:w="1363" w:type="dxa"/>
            <w:noWrap w:val="0"/>
            <w:vAlign w:val="center"/>
          </w:tcPr>
          <w:p w14:paraId="64C5AA18">
            <w:pPr>
              <w:pStyle w:val="25"/>
              <w:ind w:left="0" w:leftChars="0" w:firstLine="0" w:firstLineChars="0"/>
              <w:jc w:val="center"/>
              <w:rPr>
                <w:highlight w:val="none"/>
              </w:rPr>
            </w:pPr>
          </w:p>
        </w:tc>
        <w:tc>
          <w:tcPr>
            <w:tcW w:w="956" w:type="dxa"/>
            <w:noWrap w:val="0"/>
            <w:vAlign w:val="center"/>
          </w:tcPr>
          <w:p w14:paraId="131EFA0A">
            <w:pPr>
              <w:pStyle w:val="25"/>
              <w:ind w:left="0" w:leftChars="0" w:firstLine="0" w:firstLineChars="0"/>
              <w:jc w:val="center"/>
              <w:rPr>
                <w:highlight w:val="none"/>
              </w:rPr>
            </w:pPr>
          </w:p>
        </w:tc>
        <w:tc>
          <w:tcPr>
            <w:tcW w:w="956" w:type="dxa"/>
            <w:noWrap w:val="0"/>
            <w:vAlign w:val="center"/>
          </w:tcPr>
          <w:p w14:paraId="534D39CC">
            <w:pPr>
              <w:pStyle w:val="25"/>
              <w:ind w:left="0" w:leftChars="0" w:firstLine="0" w:firstLineChars="0"/>
              <w:jc w:val="center"/>
              <w:rPr>
                <w:highlight w:val="none"/>
              </w:rPr>
            </w:pPr>
          </w:p>
        </w:tc>
        <w:tc>
          <w:tcPr>
            <w:tcW w:w="957" w:type="dxa"/>
            <w:noWrap w:val="0"/>
            <w:vAlign w:val="center"/>
          </w:tcPr>
          <w:p w14:paraId="775AEEC5">
            <w:pPr>
              <w:pStyle w:val="25"/>
              <w:ind w:left="0" w:leftChars="0" w:firstLine="0" w:firstLineChars="0"/>
              <w:jc w:val="center"/>
              <w:rPr>
                <w:highlight w:val="none"/>
              </w:rPr>
            </w:pPr>
          </w:p>
        </w:tc>
        <w:tc>
          <w:tcPr>
            <w:tcW w:w="1369" w:type="dxa"/>
            <w:noWrap w:val="0"/>
            <w:vAlign w:val="center"/>
          </w:tcPr>
          <w:p w14:paraId="66B7753E">
            <w:pPr>
              <w:pStyle w:val="25"/>
              <w:ind w:left="0" w:leftChars="0" w:firstLine="0" w:firstLineChars="0"/>
              <w:jc w:val="center"/>
              <w:rPr>
                <w:highlight w:val="none"/>
              </w:rPr>
            </w:pPr>
          </w:p>
        </w:tc>
        <w:tc>
          <w:tcPr>
            <w:tcW w:w="1092" w:type="dxa"/>
            <w:noWrap w:val="0"/>
            <w:vAlign w:val="center"/>
          </w:tcPr>
          <w:p w14:paraId="6494B125">
            <w:pPr>
              <w:pStyle w:val="25"/>
              <w:ind w:left="0" w:leftChars="0" w:firstLine="0" w:firstLineChars="0"/>
              <w:jc w:val="center"/>
              <w:rPr>
                <w:highlight w:val="none"/>
              </w:rPr>
            </w:pPr>
          </w:p>
        </w:tc>
        <w:tc>
          <w:tcPr>
            <w:tcW w:w="1152" w:type="dxa"/>
            <w:noWrap w:val="0"/>
            <w:vAlign w:val="center"/>
          </w:tcPr>
          <w:p w14:paraId="75C48CCE">
            <w:pPr>
              <w:pStyle w:val="25"/>
              <w:ind w:left="0" w:leftChars="0" w:firstLine="0" w:firstLineChars="0"/>
              <w:jc w:val="center"/>
              <w:rPr>
                <w:highlight w:val="none"/>
              </w:rPr>
            </w:pPr>
          </w:p>
        </w:tc>
        <w:tc>
          <w:tcPr>
            <w:tcW w:w="1044" w:type="dxa"/>
            <w:noWrap w:val="0"/>
            <w:vAlign w:val="center"/>
          </w:tcPr>
          <w:p w14:paraId="7DFDCBDC">
            <w:pPr>
              <w:pStyle w:val="25"/>
              <w:ind w:left="0" w:leftChars="0" w:firstLine="0" w:firstLineChars="0"/>
              <w:jc w:val="center"/>
              <w:rPr>
                <w:highlight w:val="none"/>
              </w:rPr>
            </w:pPr>
          </w:p>
        </w:tc>
      </w:tr>
      <w:tr w14:paraId="1E630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 w:type="dxa"/>
            <w:noWrap w:val="0"/>
            <w:vAlign w:val="center"/>
          </w:tcPr>
          <w:p w14:paraId="5E157DAA">
            <w:pPr>
              <w:pStyle w:val="25"/>
              <w:ind w:left="0" w:leftChars="0" w:firstLine="0" w:firstLineChars="0"/>
              <w:jc w:val="center"/>
              <w:rPr>
                <w:highlight w:val="none"/>
              </w:rPr>
            </w:pPr>
          </w:p>
        </w:tc>
        <w:tc>
          <w:tcPr>
            <w:tcW w:w="1363" w:type="dxa"/>
            <w:noWrap w:val="0"/>
            <w:vAlign w:val="center"/>
          </w:tcPr>
          <w:p w14:paraId="30BEA4B5">
            <w:pPr>
              <w:pStyle w:val="25"/>
              <w:ind w:left="0" w:leftChars="0" w:firstLine="0" w:firstLineChars="0"/>
              <w:jc w:val="center"/>
              <w:rPr>
                <w:highlight w:val="none"/>
              </w:rPr>
            </w:pPr>
          </w:p>
        </w:tc>
        <w:tc>
          <w:tcPr>
            <w:tcW w:w="956" w:type="dxa"/>
            <w:noWrap w:val="0"/>
            <w:vAlign w:val="center"/>
          </w:tcPr>
          <w:p w14:paraId="533A3399">
            <w:pPr>
              <w:pStyle w:val="25"/>
              <w:ind w:left="0" w:leftChars="0" w:firstLine="0" w:firstLineChars="0"/>
              <w:jc w:val="center"/>
              <w:rPr>
                <w:highlight w:val="none"/>
              </w:rPr>
            </w:pPr>
          </w:p>
        </w:tc>
        <w:tc>
          <w:tcPr>
            <w:tcW w:w="956" w:type="dxa"/>
            <w:noWrap w:val="0"/>
            <w:vAlign w:val="center"/>
          </w:tcPr>
          <w:p w14:paraId="575C094B">
            <w:pPr>
              <w:pStyle w:val="25"/>
              <w:ind w:left="0" w:leftChars="0" w:firstLine="0" w:firstLineChars="0"/>
              <w:jc w:val="center"/>
              <w:rPr>
                <w:highlight w:val="none"/>
              </w:rPr>
            </w:pPr>
          </w:p>
        </w:tc>
        <w:tc>
          <w:tcPr>
            <w:tcW w:w="957" w:type="dxa"/>
            <w:noWrap w:val="0"/>
            <w:vAlign w:val="center"/>
          </w:tcPr>
          <w:p w14:paraId="1A72D7AE">
            <w:pPr>
              <w:pStyle w:val="25"/>
              <w:ind w:left="0" w:leftChars="0" w:firstLine="0" w:firstLineChars="0"/>
              <w:jc w:val="center"/>
              <w:rPr>
                <w:highlight w:val="none"/>
              </w:rPr>
            </w:pPr>
          </w:p>
        </w:tc>
        <w:tc>
          <w:tcPr>
            <w:tcW w:w="1369" w:type="dxa"/>
            <w:noWrap w:val="0"/>
            <w:vAlign w:val="center"/>
          </w:tcPr>
          <w:p w14:paraId="2FB57C06">
            <w:pPr>
              <w:pStyle w:val="25"/>
              <w:ind w:left="0" w:leftChars="0" w:firstLine="0" w:firstLineChars="0"/>
              <w:jc w:val="center"/>
              <w:rPr>
                <w:highlight w:val="none"/>
              </w:rPr>
            </w:pPr>
          </w:p>
        </w:tc>
        <w:tc>
          <w:tcPr>
            <w:tcW w:w="1092" w:type="dxa"/>
            <w:noWrap w:val="0"/>
            <w:vAlign w:val="center"/>
          </w:tcPr>
          <w:p w14:paraId="7B8BAE4D">
            <w:pPr>
              <w:pStyle w:val="25"/>
              <w:ind w:left="0" w:leftChars="0" w:firstLine="0" w:firstLineChars="0"/>
              <w:jc w:val="center"/>
              <w:rPr>
                <w:highlight w:val="none"/>
              </w:rPr>
            </w:pPr>
          </w:p>
        </w:tc>
        <w:tc>
          <w:tcPr>
            <w:tcW w:w="1152" w:type="dxa"/>
            <w:noWrap w:val="0"/>
            <w:vAlign w:val="center"/>
          </w:tcPr>
          <w:p w14:paraId="4D27738A">
            <w:pPr>
              <w:pStyle w:val="25"/>
              <w:ind w:left="0" w:leftChars="0" w:firstLine="0" w:firstLineChars="0"/>
              <w:jc w:val="center"/>
              <w:rPr>
                <w:highlight w:val="none"/>
              </w:rPr>
            </w:pPr>
          </w:p>
        </w:tc>
        <w:tc>
          <w:tcPr>
            <w:tcW w:w="1044" w:type="dxa"/>
            <w:noWrap w:val="0"/>
            <w:vAlign w:val="center"/>
          </w:tcPr>
          <w:p w14:paraId="1E7D4DD4">
            <w:pPr>
              <w:pStyle w:val="25"/>
              <w:ind w:left="0" w:leftChars="0" w:firstLine="0" w:firstLineChars="0"/>
              <w:jc w:val="center"/>
              <w:rPr>
                <w:highlight w:val="none"/>
              </w:rPr>
            </w:pPr>
          </w:p>
        </w:tc>
      </w:tr>
      <w:tr w14:paraId="3F525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 w:type="dxa"/>
            <w:noWrap w:val="0"/>
            <w:vAlign w:val="center"/>
          </w:tcPr>
          <w:p w14:paraId="4872A6B6">
            <w:pPr>
              <w:pStyle w:val="25"/>
              <w:ind w:left="0" w:leftChars="0" w:firstLine="0" w:firstLineChars="0"/>
              <w:jc w:val="center"/>
              <w:rPr>
                <w:highlight w:val="none"/>
              </w:rPr>
            </w:pPr>
          </w:p>
        </w:tc>
        <w:tc>
          <w:tcPr>
            <w:tcW w:w="1363" w:type="dxa"/>
            <w:noWrap w:val="0"/>
            <w:vAlign w:val="center"/>
          </w:tcPr>
          <w:p w14:paraId="3AC20591">
            <w:pPr>
              <w:pStyle w:val="25"/>
              <w:ind w:left="0" w:leftChars="0" w:firstLine="0" w:firstLineChars="0"/>
              <w:jc w:val="center"/>
              <w:rPr>
                <w:highlight w:val="none"/>
              </w:rPr>
            </w:pPr>
          </w:p>
        </w:tc>
        <w:tc>
          <w:tcPr>
            <w:tcW w:w="956" w:type="dxa"/>
            <w:noWrap w:val="0"/>
            <w:vAlign w:val="center"/>
          </w:tcPr>
          <w:p w14:paraId="69D60D70">
            <w:pPr>
              <w:pStyle w:val="25"/>
              <w:ind w:left="0" w:leftChars="0" w:firstLine="0" w:firstLineChars="0"/>
              <w:jc w:val="center"/>
              <w:rPr>
                <w:highlight w:val="none"/>
              </w:rPr>
            </w:pPr>
          </w:p>
        </w:tc>
        <w:tc>
          <w:tcPr>
            <w:tcW w:w="956" w:type="dxa"/>
            <w:noWrap w:val="0"/>
            <w:vAlign w:val="center"/>
          </w:tcPr>
          <w:p w14:paraId="0BD97974">
            <w:pPr>
              <w:pStyle w:val="25"/>
              <w:ind w:left="0" w:leftChars="0" w:firstLine="0" w:firstLineChars="0"/>
              <w:jc w:val="center"/>
              <w:rPr>
                <w:highlight w:val="none"/>
              </w:rPr>
            </w:pPr>
          </w:p>
        </w:tc>
        <w:tc>
          <w:tcPr>
            <w:tcW w:w="957" w:type="dxa"/>
            <w:noWrap w:val="0"/>
            <w:vAlign w:val="center"/>
          </w:tcPr>
          <w:p w14:paraId="4363527D">
            <w:pPr>
              <w:pStyle w:val="25"/>
              <w:ind w:left="0" w:leftChars="0" w:firstLine="0" w:firstLineChars="0"/>
              <w:jc w:val="center"/>
              <w:rPr>
                <w:highlight w:val="none"/>
              </w:rPr>
            </w:pPr>
          </w:p>
        </w:tc>
        <w:tc>
          <w:tcPr>
            <w:tcW w:w="1369" w:type="dxa"/>
            <w:noWrap w:val="0"/>
            <w:vAlign w:val="center"/>
          </w:tcPr>
          <w:p w14:paraId="6AF120B3">
            <w:pPr>
              <w:pStyle w:val="25"/>
              <w:ind w:left="0" w:leftChars="0" w:firstLine="0" w:firstLineChars="0"/>
              <w:jc w:val="center"/>
              <w:rPr>
                <w:highlight w:val="none"/>
              </w:rPr>
            </w:pPr>
          </w:p>
        </w:tc>
        <w:tc>
          <w:tcPr>
            <w:tcW w:w="1092" w:type="dxa"/>
            <w:noWrap w:val="0"/>
            <w:vAlign w:val="center"/>
          </w:tcPr>
          <w:p w14:paraId="19249949">
            <w:pPr>
              <w:pStyle w:val="25"/>
              <w:ind w:left="0" w:leftChars="0" w:firstLine="0" w:firstLineChars="0"/>
              <w:jc w:val="center"/>
              <w:rPr>
                <w:highlight w:val="none"/>
              </w:rPr>
            </w:pPr>
          </w:p>
        </w:tc>
        <w:tc>
          <w:tcPr>
            <w:tcW w:w="1152" w:type="dxa"/>
            <w:noWrap w:val="0"/>
            <w:vAlign w:val="center"/>
          </w:tcPr>
          <w:p w14:paraId="27288C60">
            <w:pPr>
              <w:pStyle w:val="25"/>
              <w:ind w:left="0" w:leftChars="0" w:firstLine="0" w:firstLineChars="0"/>
              <w:jc w:val="center"/>
              <w:rPr>
                <w:highlight w:val="none"/>
              </w:rPr>
            </w:pPr>
          </w:p>
        </w:tc>
        <w:tc>
          <w:tcPr>
            <w:tcW w:w="1044" w:type="dxa"/>
            <w:noWrap w:val="0"/>
            <w:vAlign w:val="center"/>
          </w:tcPr>
          <w:p w14:paraId="1DBC90CA">
            <w:pPr>
              <w:pStyle w:val="25"/>
              <w:ind w:left="0" w:leftChars="0" w:firstLine="0" w:firstLineChars="0"/>
              <w:jc w:val="center"/>
              <w:rPr>
                <w:highlight w:val="none"/>
              </w:rPr>
            </w:pPr>
          </w:p>
        </w:tc>
      </w:tr>
      <w:tr w14:paraId="1FF4C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 w:type="dxa"/>
            <w:noWrap w:val="0"/>
            <w:vAlign w:val="center"/>
          </w:tcPr>
          <w:p w14:paraId="19DF7944">
            <w:pPr>
              <w:pStyle w:val="25"/>
              <w:ind w:left="0" w:leftChars="0" w:firstLine="0" w:firstLineChars="0"/>
              <w:jc w:val="center"/>
              <w:rPr>
                <w:highlight w:val="none"/>
              </w:rPr>
            </w:pPr>
          </w:p>
        </w:tc>
        <w:tc>
          <w:tcPr>
            <w:tcW w:w="1363" w:type="dxa"/>
            <w:noWrap w:val="0"/>
            <w:vAlign w:val="center"/>
          </w:tcPr>
          <w:p w14:paraId="465D702A">
            <w:pPr>
              <w:pStyle w:val="25"/>
              <w:ind w:left="0" w:leftChars="0" w:firstLine="0" w:firstLineChars="0"/>
              <w:jc w:val="center"/>
              <w:rPr>
                <w:highlight w:val="none"/>
              </w:rPr>
            </w:pPr>
          </w:p>
        </w:tc>
        <w:tc>
          <w:tcPr>
            <w:tcW w:w="956" w:type="dxa"/>
            <w:noWrap w:val="0"/>
            <w:vAlign w:val="center"/>
          </w:tcPr>
          <w:p w14:paraId="0C5A80DF">
            <w:pPr>
              <w:pStyle w:val="25"/>
              <w:ind w:left="0" w:leftChars="0" w:firstLine="0" w:firstLineChars="0"/>
              <w:jc w:val="center"/>
              <w:rPr>
                <w:highlight w:val="none"/>
              </w:rPr>
            </w:pPr>
          </w:p>
        </w:tc>
        <w:tc>
          <w:tcPr>
            <w:tcW w:w="956" w:type="dxa"/>
            <w:noWrap w:val="0"/>
            <w:vAlign w:val="center"/>
          </w:tcPr>
          <w:p w14:paraId="1EECCA29">
            <w:pPr>
              <w:pStyle w:val="25"/>
              <w:ind w:left="0" w:leftChars="0" w:firstLine="0" w:firstLineChars="0"/>
              <w:jc w:val="center"/>
              <w:rPr>
                <w:highlight w:val="none"/>
              </w:rPr>
            </w:pPr>
          </w:p>
        </w:tc>
        <w:tc>
          <w:tcPr>
            <w:tcW w:w="957" w:type="dxa"/>
            <w:noWrap w:val="0"/>
            <w:vAlign w:val="center"/>
          </w:tcPr>
          <w:p w14:paraId="685E22A4">
            <w:pPr>
              <w:pStyle w:val="25"/>
              <w:ind w:left="0" w:leftChars="0" w:firstLine="0" w:firstLineChars="0"/>
              <w:jc w:val="center"/>
              <w:rPr>
                <w:highlight w:val="none"/>
              </w:rPr>
            </w:pPr>
          </w:p>
        </w:tc>
        <w:tc>
          <w:tcPr>
            <w:tcW w:w="1369" w:type="dxa"/>
            <w:noWrap w:val="0"/>
            <w:vAlign w:val="center"/>
          </w:tcPr>
          <w:p w14:paraId="0D4A84AD">
            <w:pPr>
              <w:pStyle w:val="25"/>
              <w:ind w:left="0" w:leftChars="0" w:firstLine="0" w:firstLineChars="0"/>
              <w:jc w:val="center"/>
              <w:rPr>
                <w:highlight w:val="none"/>
              </w:rPr>
            </w:pPr>
          </w:p>
        </w:tc>
        <w:tc>
          <w:tcPr>
            <w:tcW w:w="1092" w:type="dxa"/>
            <w:noWrap w:val="0"/>
            <w:vAlign w:val="center"/>
          </w:tcPr>
          <w:p w14:paraId="2339673E">
            <w:pPr>
              <w:pStyle w:val="25"/>
              <w:ind w:left="0" w:leftChars="0" w:firstLine="0" w:firstLineChars="0"/>
              <w:jc w:val="center"/>
              <w:rPr>
                <w:highlight w:val="none"/>
              </w:rPr>
            </w:pPr>
          </w:p>
        </w:tc>
        <w:tc>
          <w:tcPr>
            <w:tcW w:w="1152" w:type="dxa"/>
            <w:noWrap w:val="0"/>
            <w:vAlign w:val="center"/>
          </w:tcPr>
          <w:p w14:paraId="4FB6BAD6">
            <w:pPr>
              <w:pStyle w:val="25"/>
              <w:ind w:left="0" w:leftChars="0" w:firstLine="0" w:firstLineChars="0"/>
              <w:jc w:val="center"/>
              <w:rPr>
                <w:highlight w:val="none"/>
              </w:rPr>
            </w:pPr>
          </w:p>
        </w:tc>
        <w:tc>
          <w:tcPr>
            <w:tcW w:w="1044" w:type="dxa"/>
            <w:noWrap w:val="0"/>
            <w:vAlign w:val="center"/>
          </w:tcPr>
          <w:p w14:paraId="05CEF35B">
            <w:pPr>
              <w:pStyle w:val="25"/>
              <w:ind w:left="0" w:leftChars="0" w:firstLine="0" w:firstLineChars="0"/>
              <w:jc w:val="center"/>
              <w:rPr>
                <w:highlight w:val="none"/>
              </w:rPr>
            </w:pPr>
          </w:p>
        </w:tc>
      </w:tr>
      <w:tr w14:paraId="5BFFB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 w:type="dxa"/>
            <w:noWrap w:val="0"/>
            <w:vAlign w:val="center"/>
          </w:tcPr>
          <w:p w14:paraId="34428A79">
            <w:pPr>
              <w:pStyle w:val="25"/>
              <w:ind w:left="0" w:leftChars="0" w:firstLine="0" w:firstLineChars="0"/>
              <w:jc w:val="center"/>
              <w:rPr>
                <w:highlight w:val="none"/>
              </w:rPr>
            </w:pPr>
          </w:p>
        </w:tc>
        <w:tc>
          <w:tcPr>
            <w:tcW w:w="1363" w:type="dxa"/>
            <w:noWrap w:val="0"/>
            <w:vAlign w:val="center"/>
          </w:tcPr>
          <w:p w14:paraId="4642A000">
            <w:pPr>
              <w:pStyle w:val="25"/>
              <w:ind w:left="0" w:leftChars="0" w:firstLine="0" w:firstLineChars="0"/>
              <w:jc w:val="center"/>
              <w:rPr>
                <w:highlight w:val="none"/>
              </w:rPr>
            </w:pPr>
          </w:p>
        </w:tc>
        <w:tc>
          <w:tcPr>
            <w:tcW w:w="956" w:type="dxa"/>
            <w:noWrap w:val="0"/>
            <w:vAlign w:val="center"/>
          </w:tcPr>
          <w:p w14:paraId="15F4F257">
            <w:pPr>
              <w:pStyle w:val="25"/>
              <w:ind w:left="0" w:leftChars="0" w:firstLine="0" w:firstLineChars="0"/>
              <w:jc w:val="center"/>
              <w:rPr>
                <w:highlight w:val="none"/>
              </w:rPr>
            </w:pPr>
          </w:p>
        </w:tc>
        <w:tc>
          <w:tcPr>
            <w:tcW w:w="956" w:type="dxa"/>
            <w:noWrap w:val="0"/>
            <w:vAlign w:val="center"/>
          </w:tcPr>
          <w:p w14:paraId="10688A58">
            <w:pPr>
              <w:pStyle w:val="25"/>
              <w:ind w:left="0" w:leftChars="0" w:firstLine="0" w:firstLineChars="0"/>
              <w:jc w:val="center"/>
              <w:rPr>
                <w:highlight w:val="none"/>
              </w:rPr>
            </w:pPr>
          </w:p>
        </w:tc>
        <w:tc>
          <w:tcPr>
            <w:tcW w:w="957" w:type="dxa"/>
            <w:noWrap w:val="0"/>
            <w:vAlign w:val="center"/>
          </w:tcPr>
          <w:p w14:paraId="296A7247">
            <w:pPr>
              <w:pStyle w:val="25"/>
              <w:ind w:left="0" w:leftChars="0" w:firstLine="0" w:firstLineChars="0"/>
              <w:jc w:val="center"/>
              <w:rPr>
                <w:highlight w:val="none"/>
              </w:rPr>
            </w:pPr>
          </w:p>
        </w:tc>
        <w:tc>
          <w:tcPr>
            <w:tcW w:w="1369" w:type="dxa"/>
            <w:noWrap w:val="0"/>
            <w:vAlign w:val="center"/>
          </w:tcPr>
          <w:p w14:paraId="72F99288">
            <w:pPr>
              <w:pStyle w:val="25"/>
              <w:ind w:left="0" w:leftChars="0" w:firstLine="0" w:firstLineChars="0"/>
              <w:jc w:val="center"/>
              <w:rPr>
                <w:highlight w:val="none"/>
              </w:rPr>
            </w:pPr>
          </w:p>
        </w:tc>
        <w:tc>
          <w:tcPr>
            <w:tcW w:w="1092" w:type="dxa"/>
            <w:noWrap w:val="0"/>
            <w:vAlign w:val="center"/>
          </w:tcPr>
          <w:p w14:paraId="07FE63E5">
            <w:pPr>
              <w:pStyle w:val="25"/>
              <w:ind w:left="0" w:leftChars="0" w:firstLine="0" w:firstLineChars="0"/>
              <w:jc w:val="center"/>
              <w:rPr>
                <w:highlight w:val="none"/>
              </w:rPr>
            </w:pPr>
          </w:p>
        </w:tc>
        <w:tc>
          <w:tcPr>
            <w:tcW w:w="1152" w:type="dxa"/>
            <w:noWrap w:val="0"/>
            <w:vAlign w:val="center"/>
          </w:tcPr>
          <w:p w14:paraId="3EDE3166">
            <w:pPr>
              <w:pStyle w:val="25"/>
              <w:ind w:left="0" w:leftChars="0" w:firstLine="0" w:firstLineChars="0"/>
              <w:jc w:val="center"/>
              <w:rPr>
                <w:highlight w:val="none"/>
              </w:rPr>
            </w:pPr>
          </w:p>
        </w:tc>
        <w:tc>
          <w:tcPr>
            <w:tcW w:w="1044" w:type="dxa"/>
            <w:noWrap w:val="0"/>
            <w:vAlign w:val="center"/>
          </w:tcPr>
          <w:p w14:paraId="0E6B54C7">
            <w:pPr>
              <w:pStyle w:val="25"/>
              <w:ind w:left="0" w:leftChars="0" w:firstLine="0" w:firstLineChars="0"/>
              <w:jc w:val="center"/>
              <w:rPr>
                <w:highlight w:val="none"/>
              </w:rPr>
            </w:pPr>
          </w:p>
        </w:tc>
      </w:tr>
      <w:tr w14:paraId="7DF2E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 w:type="dxa"/>
            <w:noWrap w:val="0"/>
            <w:vAlign w:val="center"/>
          </w:tcPr>
          <w:p w14:paraId="42D3D271">
            <w:pPr>
              <w:pStyle w:val="25"/>
              <w:ind w:left="0" w:leftChars="0" w:firstLine="0" w:firstLineChars="0"/>
              <w:jc w:val="center"/>
              <w:rPr>
                <w:highlight w:val="none"/>
              </w:rPr>
            </w:pPr>
          </w:p>
        </w:tc>
        <w:tc>
          <w:tcPr>
            <w:tcW w:w="1363" w:type="dxa"/>
            <w:noWrap w:val="0"/>
            <w:vAlign w:val="center"/>
          </w:tcPr>
          <w:p w14:paraId="17BFB5A7">
            <w:pPr>
              <w:pStyle w:val="25"/>
              <w:ind w:left="0" w:leftChars="0" w:firstLine="0" w:firstLineChars="0"/>
              <w:jc w:val="center"/>
              <w:rPr>
                <w:highlight w:val="none"/>
              </w:rPr>
            </w:pPr>
          </w:p>
        </w:tc>
        <w:tc>
          <w:tcPr>
            <w:tcW w:w="956" w:type="dxa"/>
            <w:noWrap w:val="0"/>
            <w:vAlign w:val="center"/>
          </w:tcPr>
          <w:p w14:paraId="659D7D90">
            <w:pPr>
              <w:pStyle w:val="25"/>
              <w:ind w:left="0" w:leftChars="0" w:firstLine="0" w:firstLineChars="0"/>
              <w:jc w:val="center"/>
              <w:rPr>
                <w:highlight w:val="none"/>
              </w:rPr>
            </w:pPr>
          </w:p>
        </w:tc>
        <w:tc>
          <w:tcPr>
            <w:tcW w:w="956" w:type="dxa"/>
            <w:noWrap w:val="0"/>
            <w:vAlign w:val="center"/>
          </w:tcPr>
          <w:p w14:paraId="611FA023">
            <w:pPr>
              <w:pStyle w:val="25"/>
              <w:ind w:left="0" w:leftChars="0" w:firstLine="0" w:firstLineChars="0"/>
              <w:jc w:val="center"/>
              <w:rPr>
                <w:highlight w:val="none"/>
              </w:rPr>
            </w:pPr>
          </w:p>
        </w:tc>
        <w:tc>
          <w:tcPr>
            <w:tcW w:w="957" w:type="dxa"/>
            <w:noWrap w:val="0"/>
            <w:vAlign w:val="center"/>
          </w:tcPr>
          <w:p w14:paraId="42468FD6">
            <w:pPr>
              <w:pStyle w:val="25"/>
              <w:ind w:left="0" w:leftChars="0" w:firstLine="0" w:firstLineChars="0"/>
              <w:jc w:val="center"/>
              <w:rPr>
                <w:highlight w:val="none"/>
              </w:rPr>
            </w:pPr>
          </w:p>
        </w:tc>
        <w:tc>
          <w:tcPr>
            <w:tcW w:w="1369" w:type="dxa"/>
            <w:noWrap w:val="0"/>
            <w:vAlign w:val="center"/>
          </w:tcPr>
          <w:p w14:paraId="4E07B104">
            <w:pPr>
              <w:pStyle w:val="25"/>
              <w:ind w:left="0" w:leftChars="0" w:firstLine="0" w:firstLineChars="0"/>
              <w:jc w:val="center"/>
              <w:rPr>
                <w:highlight w:val="none"/>
              </w:rPr>
            </w:pPr>
          </w:p>
        </w:tc>
        <w:tc>
          <w:tcPr>
            <w:tcW w:w="1092" w:type="dxa"/>
            <w:noWrap w:val="0"/>
            <w:vAlign w:val="center"/>
          </w:tcPr>
          <w:p w14:paraId="48F9D05E">
            <w:pPr>
              <w:pStyle w:val="25"/>
              <w:ind w:left="0" w:leftChars="0" w:firstLine="0" w:firstLineChars="0"/>
              <w:jc w:val="center"/>
              <w:rPr>
                <w:highlight w:val="none"/>
              </w:rPr>
            </w:pPr>
          </w:p>
        </w:tc>
        <w:tc>
          <w:tcPr>
            <w:tcW w:w="1152" w:type="dxa"/>
            <w:noWrap w:val="0"/>
            <w:vAlign w:val="center"/>
          </w:tcPr>
          <w:p w14:paraId="27502CEE">
            <w:pPr>
              <w:pStyle w:val="25"/>
              <w:ind w:left="0" w:leftChars="0" w:firstLine="0" w:firstLineChars="0"/>
              <w:jc w:val="center"/>
              <w:rPr>
                <w:highlight w:val="none"/>
              </w:rPr>
            </w:pPr>
          </w:p>
        </w:tc>
        <w:tc>
          <w:tcPr>
            <w:tcW w:w="1044" w:type="dxa"/>
            <w:noWrap w:val="0"/>
            <w:vAlign w:val="center"/>
          </w:tcPr>
          <w:p w14:paraId="14405089">
            <w:pPr>
              <w:pStyle w:val="25"/>
              <w:ind w:left="0" w:leftChars="0" w:firstLine="0" w:firstLineChars="0"/>
              <w:jc w:val="center"/>
              <w:rPr>
                <w:highlight w:val="none"/>
              </w:rPr>
            </w:pPr>
          </w:p>
        </w:tc>
      </w:tr>
      <w:tr w14:paraId="3D90F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 w:type="dxa"/>
            <w:noWrap w:val="0"/>
            <w:vAlign w:val="center"/>
          </w:tcPr>
          <w:p w14:paraId="72344117">
            <w:pPr>
              <w:pStyle w:val="25"/>
              <w:ind w:left="0" w:leftChars="0" w:firstLine="0" w:firstLineChars="0"/>
              <w:jc w:val="center"/>
              <w:rPr>
                <w:highlight w:val="none"/>
              </w:rPr>
            </w:pPr>
          </w:p>
        </w:tc>
        <w:tc>
          <w:tcPr>
            <w:tcW w:w="1363" w:type="dxa"/>
            <w:noWrap w:val="0"/>
            <w:vAlign w:val="center"/>
          </w:tcPr>
          <w:p w14:paraId="56E08EBA">
            <w:pPr>
              <w:pStyle w:val="25"/>
              <w:ind w:left="0" w:leftChars="0" w:firstLine="0" w:firstLineChars="0"/>
              <w:jc w:val="center"/>
              <w:rPr>
                <w:highlight w:val="none"/>
              </w:rPr>
            </w:pPr>
          </w:p>
        </w:tc>
        <w:tc>
          <w:tcPr>
            <w:tcW w:w="956" w:type="dxa"/>
            <w:noWrap w:val="0"/>
            <w:vAlign w:val="center"/>
          </w:tcPr>
          <w:p w14:paraId="608C4926">
            <w:pPr>
              <w:pStyle w:val="25"/>
              <w:ind w:left="0" w:leftChars="0" w:firstLine="0" w:firstLineChars="0"/>
              <w:jc w:val="center"/>
              <w:rPr>
                <w:highlight w:val="none"/>
              </w:rPr>
            </w:pPr>
          </w:p>
        </w:tc>
        <w:tc>
          <w:tcPr>
            <w:tcW w:w="956" w:type="dxa"/>
            <w:noWrap w:val="0"/>
            <w:vAlign w:val="center"/>
          </w:tcPr>
          <w:p w14:paraId="77772E5A">
            <w:pPr>
              <w:pStyle w:val="25"/>
              <w:ind w:left="0" w:leftChars="0" w:firstLine="0" w:firstLineChars="0"/>
              <w:jc w:val="center"/>
              <w:rPr>
                <w:highlight w:val="none"/>
              </w:rPr>
            </w:pPr>
          </w:p>
        </w:tc>
        <w:tc>
          <w:tcPr>
            <w:tcW w:w="957" w:type="dxa"/>
            <w:noWrap w:val="0"/>
            <w:vAlign w:val="center"/>
          </w:tcPr>
          <w:p w14:paraId="2C70DFA9">
            <w:pPr>
              <w:pStyle w:val="25"/>
              <w:ind w:left="0" w:leftChars="0" w:firstLine="0" w:firstLineChars="0"/>
              <w:jc w:val="center"/>
              <w:rPr>
                <w:highlight w:val="none"/>
              </w:rPr>
            </w:pPr>
          </w:p>
        </w:tc>
        <w:tc>
          <w:tcPr>
            <w:tcW w:w="1369" w:type="dxa"/>
            <w:noWrap w:val="0"/>
            <w:vAlign w:val="center"/>
          </w:tcPr>
          <w:p w14:paraId="73C358BD">
            <w:pPr>
              <w:pStyle w:val="25"/>
              <w:ind w:left="0" w:leftChars="0" w:firstLine="0" w:firstLineChars="0"/>
              <w:jc w:val="center"/>
              <w:rPr>
                <w:highlight w:val="none"/>
              </w:rPr>
            </w:pPr>
          </w:p>
        </w:tc>
        <w:tc>
          <w:tcPr>
            <w:tcW w:w="1092" w:type="dxa"/>
            <w:noWrap w:val="0"/>
            <w:vAlign w:val="center"/>
          </w:tcPr>
          <w:p w14:paraId="6AA22F5F">
            <w:pPr>
              <w:pStyle w:val="25"/>
              <w:ind w:left="0" w:leftChars="0" w:firstLine="0" w:firstLineChars="0"/>
              <w:jc w:val="center"/>
              <w:rPr>
                <w:highlight w:val="none"/>
              </w:rPr>
            </w:pPr>
          </w:p>
        </w:tc>
        <w:tc>
          <w:tcPr>
            <w:tcW w:w="1152" w:type="dxa"/>
            <w:noWrap w:val="0"/>
            <w:vAlign w:val="center"/>
          </w:tcPr>
          <w:p w14:paraId="220B33D1">
            <w:pPr>
              <w:pStyle w:val="25"/>
              <w:ind w:left="0" w:leftChars="0" w:firstLine="0" w:firstLineChars="0"/>
              <w:jc w:val="center"/>
              <w:rPr>
                <w:highlight w:val="none"/>
              </w:rPr>
            </w:pPr>
          </w:p>
        </w:tc>
        <w:tc>
          <w:tcPr>
            <w:tcW w:w="1044" w:type="dxa"/>
            <w:noWrap w:val="0"/>
            <w:vAlign w:val="center"/>
          </w:tcPr>
          <w:p w14:paraId="28F727FF">
            <w:pPr>
              <w:pStyle w:val="25"/>
              <w:ind w:left="0" w:leftChars="0" w:firstLine="0" w:firstLineChars="0"/>
              <w:jc w:val="center"/>
              <w:rPr>
                <w:highlight w:val="none"/>
              </w:rPr>
            </w:pPr>
          </w:p>
        </w:tc>
      </w:tr>
      <w:tr w14:paraId="2C837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 w:type="dxa"/>
            <w:noWrap w:val="0"/>
            <w:vAlign w:val="center"/>
          </w:tcPr>
          <w:p w14:paraId="668C5134">
            <w:pPr>
              <w:pStyle w:val="25"/>
              <w:ind w:left="0" w:leftChars="0" w:firstLine="0" w:firstLineChars="0"/>
              <w:jc w:val="center"/>
              <w:rPr>
                <w:highlight w:val="none"/>
              </w:rPr>
            </w:pPr>
          </w:p>
        </w:tc>
        <w:tc>
          <w:tcPr>
            <w:tcW w:w="1363" w:type="dxa"/>
            <w:noWrap w:val="0"/>
            <w:vAlign w:val="center"/>
          </w:tcPr>
          <w:p w14:paraId="26C76B51">
            <w:pPr>
              <w:pStyle w:val="25"/>
              <w:ind w:left="0" w:leftChars="0" w:firstLine="0" w:firstLineChars="0"/>
              <w:jc w:val="center"/>
              <w:rPr>
                <w:highlight w:val="none"/>
              </w:rPr>
            </w:pPr>
          </w:p>
        </w:tc>
        <w:tc>
          <w:tcPr>
            <w:tcW w:w="956" w:type="dxa"/>
            <w:noWrap w:val="0"/>
            <w:vAlign w:val="center"/>
          </w:tcPr>
          <w:p w14:paraId="01CDF018">
            <w:pPr>
              <w:pStyle w:val="25"/>
              <w:ind w:left="0" w:leftChars="0" w:firstLine="0" w:firstLineChars="0"/>
              <w:jc w:val="center"/>
              <w:rPr>
                <w:highlight w:val="none"/>
              </w:rPr>
            </w:pPr>
          </w:p>
        </w:tc>
        <w:tc>
          <w:tcPr>
            <w:tcW w:w="956" w:type="dxa"/>
            <w:noWrap w:val="0"/>
            <w:vAlign w:val="center"/>
          </w:tcPr>
          <w:p w14:paraId="360CE2E9">
            <w:pPr>
              <w:pStyle w:val="25"/>
              <w:ind w:left="0" w:leftChars="0" w:firstLine="0" w:firstLineChars="0"/>
              <w:jc w:val="center"/>
              <w:rPr>
                <w:highlight w:val="none"/>
              </w:rPr>
            </w:pPr>
          </w:p>
        </w:tc>
        <w:tc>
          <w:tcPr>
            <w:tcW w:w="957" w:type="dxa"/>
            <w:noWrap w:val="0"/>
            <w:vAlign w:val="center"/>
          </w:tcPr>
          <w:p w14:paraId="14118566">
            <w:pPr>
              <w:pStyle w:val="25"/>
              <w:ind w:left="0" w:leftChars="0" w:firstLine="0" w:firstLineChars="0"/>
              <w:jc w:val="center"/>
              <w:rPr>
                <w:highlight w:val="none"/>
              </w:rPr>
            </w:pPr>
          </w:p>
        </w:tc>
        <w:tc>
          <w:tcPr>
            <w:tcW w:w="1369" w:type="dxa"/>
            <w:noWrap w:val="0"/>
            <w:vAlign w:val="center"/>
          </w:tcPr>
          <w:p w14:paraId="7D37D6E5">
            <w:pPr>
              <w:pStyle w:val="25"/>
              <w:ind w:left="0" w:leftChars="0" w:firstLine="0" w:firstLineChars="0"/>
              <w:jc w:val="center"/>
              <w:rPr>
                <w:highlight w:val="none"/>
              </w:rPr>
            </w:pPr>
          </w:p>
        </w:tc>
        <w:tc>
          <w:tcPr>
            <w:tcW w:w="1092" w:type="dxa"/>
            <w:noWrap w:val="0"/>
            <w:vAlign w:val="center"/>
          </w:tcPr>
          <w:p w14:paraId="7AF3D219">
            <w:pPr>
              <w:pStyle w:val="25"/>
              <w:ind w:left="0" w:leftChars="0" w:firstLine="0" w:firstLineChars="0"/>
              <w:jc w:val="center"/>
              <w:rPr>
                <w:highlight w:val="none"/>
              </w:rPr>
            </w:pPr>
          </w:p>
        </w:tc>
        <w:tc>
          <w:tcPr>
            <w:tcW w:w="1152" w:type="dxa"/>
            <w:noWrap w:val="0"/>
            <w:vAlign w:val="center"/>
          </w:tcPr>
          <w:p w14:paraId="5F52BEAC">
            <w:pPr>
              <w:pStyle w:val="25"/>
              <w:ind w:left="0" w:leftChars="0" w:firstLine="0" w:firstLineChars="0"/>
              <w:jc w:val="center"/>
              <w:rPr>
                <w:highlight w:val="none"/>
              </w:rPr>
            </w:pPr>
          </w:p>
        </w:tc>
        <w:tc>
          <w:tcPr>
            <w:tcW w:w="1044" w:type="dxa"/>
            <w:noWrap w:val="0"/>
            <w:vAlign w:val="center"/>
          </w:tcPr>
          <w:p w14:paraId="0D10C21C">
            <w:pPr>
              <w:pStyle w:val="25"/>
              <w:ind w:left="0" w:leftChars="0" w:firstLine="0" w:firstLineChars="0"/>
              <w:jc w:val="center"/>
              <w:rPr>
                <w:highlight w:val="none"/>
              </w:rPr>
            </w:pPr>
          </w:p>
        </w:tc>
      </w:tr>
      <w:tr w14:paraId="53A8F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 w:type="dxa"/>
            <w:noWrap w:val="0"/>
            <w:vAlign w:val="center"/>
          </w:tcPr>
          <w:p w14:paraId="1B924F60">
            <w:pPr>
              <w:pStyle w:val="25"/>
              <w:ind w:left="0" w:leftChars="0" w:firstLine="0" w:firstLineChars="0"/>
              <w:jc w:val="center"/>
              <w:rPr>
                <w:highlight w:val="none"/>
              </w:rPr>
            </w:pPr>
          </w:p>
        </w:tc>
        <w:tc>
          <w:tcPr>
            <w:tcW w:w="1363" w:type="dxa"/>
            <w:noWrap w:val="0"/>
            <w:vAlign w:val="center"/>
          </w:tcPr>
          <w:p w14:paraId="11AEEC47">
            <w:pPr>
              <w:pStyle w:val="25"/>
              <w:ind w:left="0" w:leftChars="0" w:firstLine="0" w:firstLineChars="0"/>
              <w:jc w:val="center"/>
              <w:rPr>
                <w:highlight w:val="none"/>
              </w:rPr>
            </w:pPr>
          </w:p>
        </w:tc>
        <w:tc>
          <w:tcPr>
            <w:tcW w:w="956" w:type="dxa"/>
            <w:noWrap w:val="0"/>
            <w:vAlign w:val="center"/>
          </w:tcPr>
          <w:p w14:paraId="75780759">
            <w:pPr>
              <w:pStyle w:val="25"/>
              <w:ind w:left="0" w:leftChars="0" w:firstLine="0" w:firstLineChars="0"/>
              <w:jc w:val="center"/>
              <w:rPr>
                <w:highlight w:val="none"/>
              </w:rPr>
            </w:pPr>
          </w:p>
        </w:tc>
        <w:tc>
          <w:tcPr>
            <w:tcW w:w="956" w:type="dxa"/>
            <w:noWrap w:val="0"/>
            <w:vAlign w:val="center"/>
          </w:tcPr>
          <w:p w14:paraId="207ED3AA">
            <w:pPr>
              <w:pStyle w:val="25"/>
              <w:ind w:left="0" w:leftChars="0" w:firstLine="0" w:firstLineChars="0"/>
              <w:jc w:val="center"/>
              <w:rPr>
                <w:highlight w:val="none"/>
              </w:rPr>
            </w:pPr>
          </w:p>
        </w:tc>
        <w:tc>
          <w:tcPr>
            <w:tcW w:w="957" w:type="dxa"/>
            <w:noWrap w:val="0"/>
            <w:vAlign w:val="center"/>
          </w:tcPr>
          <w:p w14:paraId="220A7B6F">
            <w:pPr>
              <w:pStyle w:val="25"/>
              <w:ind w:left="0" w:leftChars="0" w:firstLine="0" w:firstLineChars="0"/>
              <w:jc w:val="center"/>
              <w:rPr>
                <w:highlight w:val="none"/>
              </w:rPr>
            </w:pPr>
          </w:p>
        </w:tc>
        <w:tc>
          <w:tcPr>
            <w:tcW w:w="1369" w:type="dxa"/>
            <w:noWrap w:val="0"/>
            <w:vAlign w:val="center"/>
          </w:tcPr>
          <w:p w14:paraId="7512B933">
            <w:pPr>
              <w:pStyle w:val="25"/>
              <w:ind w:left="0" w:leftChars="0" w:firstLine="0" w:firstLineChars="0"/>
              <w:jc w:val="center"/>
              <w:rPr>
                <w:highlight w:val="none"/>
              </w:rPr>
            </w:pPr>
          </w:p>
        </w:tc>
        <w:tc>
          <w:tcPr>
            <w:tcW w:w="1092" w:type="dxa"/>
            <w:noWrap w:val="0"/>
            <w:vAlign w:val="center"/>
          </w:tcPr>
          <w:p w14:paraId="3A6C01BD">
            <w:pPr>
              <w:pStyle w:val="25"/>
              <w:ind w:left="0" w:leftChars="0" w:firstLine="0" w:firstLineChars="0"/>
              <w:jc w:val="center"/>
              <w:rPr>
                <w:highlight w:val="none"/>
              </w:rPr>
            </w:pPr>
          </w:p>
        </w:tc>
        <w:tc>
          <w:tcPr>
            <w:tcW w:w="1152" w:type="dxa"/>
            <w:noWrap w:val="0"/>
            <w:vAlign w:val="center"/>
          </w:tcPr>
          <w:p w14:paraId="6747DA2C">
            <w:pPr>
              <w:pStyle w:val="25"/>
              <w:ind w:left="0" w:leftChars="0" w:firstLine="0" w:firstLineChars="0"/>
              <w:jc w:val="center"/>
              <w:rPr>
                <w:highlight w:val="none"/>
              </w:rPr>
            </w:pPr>
          </w:p>
        </w:tc>
        <w:tc>
          <w:tcPr>
            <w:tcW w:w="1044" w:type="dxa"/>
            <w:noWrap w:val="0"/>
            <w:vAlign w:val="center"/>
          </w:tcPr>
          <w:p w14:paraId="4F926991">
            <w:pPr>
              <w:pStyle w:val="25"/>
              <w:ind w:left="0" w:leftChars="0" w:firstLine="0" w:firstLineChars="0"/>
              <w:jc w:val="center"/>
              <w:rPr>
                <w:highlight w:val="none"/>
              </w:rPr>
            </w:pPr>
          </w:p>
        </w:tc>
      </w:tr>
      <w:tr w14:paraId="0F124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 w:type="dxa"/>
            <w:noWrap w:val="0"/>
            <w:vAlign w:val="center"/>
          </w:tcPr>
          <w:p w14:paraId="06058525">
            <w:pPr>
              <w:pStyle w:val="25"/>
              <w:ind w:left="0" w:leftChars="0" w:firstLine="0" w:firstLineChars="0"/>
              <w:jc w:val="center"/>
              <w:rPr>
                <w:highlight w:val="none"/>
              </w:rPr>
            </w:pPr>
          </w:p>
        </w:tc>
        <w:tc>
          <w:tcPr>
            <w:tcW w:w="1363" w:type="dxa"/>
            <w:noWrap w:val="0"/>
            <w:vAlign w:val="center"/>
          </w:tcPr>
          <w:p w14:paraId="6F21F485">
            <w:pPr>
              <w:pStyle w:val="25"/>
              <w:ind w:left="0" w:leftChars="0" w:firstLine="0" w:firstLineChars="0"/>
              <w:jc w:val="center"/>
              <w:rPr>
                <w:highlight w:val="none"/>
              </w:rPr>
            </w:pPr>
          </w:p>
        </w:tc>
        <w:tc>
          <w:tcPr>
            <w:tcW w:w="956" w:type="dxa"/>
            <w:noWrap w:val="0"/>
            <w:vAlign w:val="center"/>
          </w:tcPr>
          <w:p w14:paraId="01799016">
            <w:pPr>
              <w:pStyle w:val="25"/>
              <w:ind w:left="0" w:leftChars="0" w:firstLine="0" w:firstLineChars="0"/>
              <w:jc w:val="center"/>
              <w:rPr>
                <w:highlight w:val="none"/>
              </w:rPr>
            </w:pPr>
          </w:p>
        </w:tc>
        <w:tc>
          <w:tcPr>
            <w:tcW w:w="956" w:type="dxa"/>
            <w:noWrap w:val="0"/>
            <w:vAlign w:val="center"/>
          </w:tcPr>
          <w:p w14:paraId="0CE2A2E8">
            <w:pPr>
              <w:pStyle w:val="25"/>
              <w:ind w:left="0" w:leftChars="0" w:firstLine="0" w:firstLineChars="0"/>
              <w:jc w:val="center"/>
              <w:rPr>
                <w:highlight w:val="none"/>
              </w:rPr>
            </w:pPr>
          </w:p>
        </w:tc>
        <w:tc>
          <w:tcPr>
            <w:tcW w:w="957" w:type="dxa"/>
            <w:noWrap w:val="0"/>
            <w:vAlign w:val="center"/>
          </w:tcPr>
          <w:p w14:paraId="14C4D336">
            <w:pPr>
              <w:pStyle w:val="25"/>
              <w:ind w:left="0" w:leftChars="0" w:firstLine="0" w:firstLineChars="0"/>
              <w:jc w:val="center"/>
              <w:rPr>
                <w:highlight w:val="none"/>
              </w:rPr>
            </w:pPr>
          </w:p>
        </w:tc>
        <w:tc>
          <w:tcPr>
            <w:tcW w:w="1369" w:type="dxa"/>
            <w:noWrap w:val="0"/>
            <w:vAlign w:val="center"/>
          </w:tcPr>
          <w:p w14:paraId="61DF5F14">
            <w:pPr>
              <w:pStyle w:val="25"/>
              <w:ind w:left="0" w:leftChars="0" w:firstLine="0" w:firstLineChars="0"/>
              <w:jc w:val="center"/>
              <w:rPr>
                <w:highlight w:val="none"/>
              </w:rPr>
            </w:pPr>
          </w:p>
        </w:tc>
        <w:tc>
          <w:tcPr>
            <w:tcW w:w="1092" w:type="dxa"/>
            <w:noWrap w:val="0"/>
            <w:vAlign w:val="center"/>
          </w:tcPr>
          <w:p w14:paraId="552B69C1">
            <w:pPr>
              <w:pStyle w:val="25"/>
              <w:ind w:left="0" w:leftChars="0" w:firstLine="0" w:firstLineChars="0"/>
              <w:jc w:val="center"/>
              <w:rPr>
                <w:highlight w:val="none"/>
              </w:rPr>
            </w:pPr>
          </w:p>
        </w:tc>
        <w:tc>
          <w:tcPr>
            <w:tcW w:w="1152" w:type="dxa"/>
            <w:noWrap w:val="0"/>
            <w:vAlign w:val="center"/>
          </w:tcPr>
          <w:p w14:paraId="4D505CF0">
            <w:pPr>
              <w:pStyle w:val="25"/>
              <w:ind w:left="0" w:leftChars="0" w:firstLine="0" w:firstLineChars="0"/>
              <w:jc w:val="center"/>
              <w:rPr>
                <w:highlight w:val="none"/>
              </w:rPr>
            </w:pPr>
          </w:p>
        </w:tc>
        <w:tc>
          <w:tcPr>
            <w:tcW w:w="1044" w:type="dxa"/>
            <w:noWrap w:val="0"/>
            <w:vAlign w:val="center"/>
          </w:tcPr>
          <w:p w14:paraId="685BEDB4">
            <w:pPr>
              <w:pStyle w:val="25"/>
              <w:ind w:left="0" w:leftChars="0" w:firstLine="0" w:firstLineChars="0"/>
              <w:jc w:val="center"/>
              <w:rPr>
                <w:highlight w:val="none"/>
              </w:rPr>
            </w:pPr>
          </w:p>
        </w:tc>
      </w:tr>
      <w:tr w14:paraId="0B0EE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 w:type="dxa"/>
            <w:noWrap w:val="0"/>
            <w:vAlign w:val="center"/>
          </w:tcPr>
          <w:p w14:paraId="6D72D4CC">
            <w:pPr>
              <w:pStyle w:val="25"/>
              <w:ind w:left="0" w:leftChars="0" w:firstLine="0" w:firstLineChars="0"/>
              <w:jc w:val="center"/>
              <w:rPr>
                <w:highlight w:val="none"/>
              </w:rPr>
            </w:pPr>
          </w:p>
        </w:tc>
        <w:tc>
          <w:tcPr>
            <w:tcW w:w="1363" w:type="dxa"/>
            <w:noWrap w:val="0"/>
            <w:vAlign w:val="center"/>
          </w:tcPr>
          <w:p w14:paraId="55D3FB6C">
            <w:pPr>
              <w:pStyle w:val="25"/>
              <w:ind w:left="0" w:leftChars="0" w:firstLine="0" w:firstLineChars="0"/>
              <w:jc w:val="center"/>
              <w:rPr>
                <w:highlight w:val="none"/>
              </w:rPr>
            </w:pPr>
          </w:p>
        </w:tc>
        <w:tc>
          <w:tcPr>
            <w:tcW w:w="956" w:type="dxa"/>
            <w:noWrap w:val="0"/>
            <w:vAlign w:val="center"/>
          </w:tcPr>
          <w:p w14:paraId="7CE0F2CF">
            <w:pPr>
              <w:pStyle w:val="25"/>
              <w:ind w:left="0" w:leftChars="0" w:firstLine="0" w:firstLineChars="0"/>
              <w:jc w:val="center"/>
              <w:rPr>
                <w:highlight w:val="none"/>
              </w:rPr>
            </w:pPr>
          </w:p>
        </w:tc>
        <w:tc>
          <w:tcPr>
            <w:tcW w:w="956" w:type="dxa"/>
            <w:noWrap w:val="0"/>
            <w:vAlign w:val="center"/>
          </w:tcPr>
          <w:p w14:paraId="24D1C552">
            <w:pPr>
              <w:pStyle w:val="25"/>
              <w:ind w:left="0" w:leftChars="0" w:firstLine="0" w:firstLineChars="0"/>
              <w:jc w:val="center"/>
              <w:rPr>
                <w:highlight w:val="none"/>
              </w:rPr>
            </w:pPr>
          </w:p>
        </w:tc>
        <w:tc>
          <w:tcPr>
            <w:tcW w:w="957" w:type="dxa"/>
            <w:noWrap w:val="0"/>
            <w:vAlign w:val="center"/>
          </w:tcPr>
          <w:p w14:paraId="1F2AC51F">
            <w:pPr>
              <w:pStyle w:val="25"/>
              <w:ind w:left="0" w:leftChars="0" w:firstLine="0" w:firstLineChars="0"/>
              <w:jc w:val="center"/>
              <w:rPr>
                <w:highlight w:val="none"/>
              </w:rPr>
            </w:pPr>
          </w:p>
        </w:tc>
        <w:tc>
          <w:tcPr>
            <w:tcW w:w="1369" w:type="dxa"/>
            <w:noWrap w:val="0"/>
            <w:vAlign w:val="center"/>
          </w:tcPr>
          <w:p w14:paraId="0D23C478">
            <w:pPr>
              <w:pStyle w:val="25"/>
              <w:ind w:left="0" w:leftChars="0" w:firstLine="0" w:firstLineChars="0"/>
              <w:jc w:val="center"/>
              <w:rPr>
                <w:highlight w:val="none"/>
              </w:rPr>
            </w:pPr>
          </w:p>
        </w:tc>
        <w:tc>
          <w:tcPr>
            <w:tcW w:w="1092" w:type="dxa"/>
            <w:noWrap w:val="0"/>
            <w:vAlign w:val="center"/>
          </w:tcPr>
          <w:p w14:paraId="7B02DF0C">
            <w:pPr>
              <w:pStyle w:val="25"/>
              <w:ind w:left="0" w:leftChars="0" w:firstLine="0" w:firstLineChars="0"/>
              <w:jc w:val="center"/>
              <w:rPr>
                <w:highlight w:val="none"/>
              </w:rPr>
            </w:pPr>
          </w:p>
        </w:tc>
        <w:tc>
          <w:tcPr>
            <w:tcW w:w="1152" w:type="dxa"/>
            <w:noWrap w:val="0"/>
            <w:vAlign w:val="center"/>
          </w:tcPr>
          <w:p w14:paraId="0B683CE4">
            <w:pPr>
              <w:pStyle w:val="25"/>
              <w:ind w:left="0" w:leftChars="0" w:firstLine="0" w:firstLineChars="0"/>
              <w:jc w:val="center"/>
              <w:rPr>
                <w:highlight w:val="none"/>
              </w:rPr>
            </w:pPr>
          </w:p>
        </w:tc>
        <w:tc>
          <w:tcPr>
            <w:tcW w:w="1044" w:type="dxa"/>
            <w:noWrap w:val="0"/>
            <w:vAlign w:val="center"/>
          </w:tcPr>
          <w:p w14:paraId="0F8132BB">
            <w:pPr>
              <w:pStyle w:val="25"/>
              <w:ind w:left="0" w:leftChars="0" w:firstLine="0" w:firstLineChars="0"/>
              <w:jc w:val="center"/>
              <w:rPr>
                <w:highlight w:val="none"/>
              </w:rPr>
            </w:pPr>
          </w:p>
        </w:tc>
      </w:tr>
      <w:tr w14:paraId="27B08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 w:type="dxa"/>
            <w:noWrap w:val="0"/>
            <w:vAlign w:val="center"/>
          </w:tcPr>
          <w:p w14:paraId="00F9448B">
            <w:pPr>
              <w:pStyle w:val="25"/>
              <w:ind w:left="0" w:leftChars="0" w:firstLine="0" w:firstLineChars="0"/>
              <w:jc w:val="center"/>
              <w:rPr>
                <w:highlight w:val="none"/>
              </w:rPr>
            </w:pPr>
          </w:p>
        </w:tc>
        <w:tc>
          <w:tcPr>
            <w:tcW w:w="1363" w:type="dxa"/>
            <w:noWrap w:val="0"/>
            <w:vAlign w:val="center"/>
          </w:tcPr>
          <w:p w14:paraId="34295A41">
            <w:pPr>
              <w:pStyle w:val="25"/>
              <w:ind w:left="0" w:leftChars="0" w:firstLine="0" w:firstLineChars="0"/>
              <w:jc w:val="center"/>
              <w:rPr>
                <w:highlight w:val="none"/>
              </w:rPr>
            </w:pPr>
          </w:p>
        </w:tc>
        <w:tc>
          <w:tcPr>
            <w:tcW w:w="956" w:type="dxa"/>
            <w:noWrap w:val="0"/>
            <w:vAlign w:val="center"/>
          </w:tcPr>
          <w:p w14:paraId="08806C80">
            <w:pPr>
              <w:pStyle w:val="25"/>
              <w:ind w:left="0" w:leftChars="0" w:firstLine="0" w:firstLineChars="0"/>
              <w:jc w:val="center"/>
              <w:rPr>
                <w:highlight w:val="none"/>
              </w:rPr>
            </w:pPr>
          </w:p>
        </w:tc>
        <w:tc>
          <w:tcPr>
            <w:tcW w:w="956" w:type="dxa"/>
            <w:noWrap w:val="0"/>
            <w:vAlign w:val="center"/>
          </w:tcPr>
          <w:p w14:paraId="70D822C0">
            <w:pPr>
              <w:pStyle w:val="25"/>
              <w:ind w:left="0" w:leftChars="0" w:firstLine="0" w:firstLineChars="0"/>
              <w:jc w:val="center"/>
              <w:rPr>
                <w:highlight w:val="none"/>
              </w:rPr>
            </w:pPr>
          </w:p>
        </w:tc>
        <w:tc>
          <w:tcPr>
            <w:tcW w:w="957" w:type="dxa"/>
            <w:noWrap w:val="0"/>
            <w:vAlign w:val="center"/>
          </w:tcPr>
          <w:p w14:paraId="73FBA737">
            <w:pPr>
              <w:pStyle w:val="25"/>
              <w:ind w:left="0" w:leftChars="0" w:firstLine="0" w:firstLineChars="0"/>
              <w:jc w:val="center"/>
              <w:rPr>
                <w:highlight w:val="none"/>
              </w:rPr>
            </w:pPr>
          </w:p>
        </w:tc>
        <w:tc>
          <w:tcPr>
            <w:tcW w:w="1369" w:type="dxa"/>
            <w:noWrap w:val="0"/>
            <w:vAlign w:val="center"/>
          </w:tcPr>
          <w:p w14:paraId="3CB840DD">
            <w:pPr>
              <w:pStyle w:val="25"/>
              <w:ind w:left="0" w:leftChars="0" w:firstLine="0" w:firstLineChars="0"/>
              <w:jc w:val="center"/>
              <w:rPr>
                <w:highlight w:val="none"/>
              </w:rPr>
            </w:pPr>
          </w:p>
        </w:tc>
        <w:tc>
          <w:tcPr>
            <w:tcW w:w="1092" w:type="dxa"/>
            <w:noWrap w:val="0"/>
            <w:vAlign w:val="center"/>
          </w:tcPr>
          <w:p w14:paraId="57C24E1D">
            <w:pPr>
              <w:pStyle w:val="25"/>
              <w:ind w:left="0" w:leftChars="0" w:firstLine="0" w:firstLineChars="0"/>
              <w:jc w:val="center"/>
              <w:rPr>
                <w:highlight w:val="none"/>
              </w:rPr>
            </w:pPr>
          </w:p>
        </w:tc>
        <w:tc>
          <w:tcPr>
            <w:tcW w:w="1152" w:type="dxa"/>
            <w:noWrap w:val="0"/>
            <w:vAlign w:val="center"/>
          </w:tcPr>
          <w:p w14:paraId="00FA06A4">
            <w:pPr>
              <w:pStyle w:val="25"/>
              <w:ind w:left="0" w:leftChars="0" w:firstLine="0" w:firstLineChars="0"/>
              <w:jc w:val="center"/>
              <w:rPr>
                <w:highlight w:val="none"/>
              </w:rPr>
            </w:pPr>
          </w:p>
        </w:tc>
        <w:tc>
          <w:tcPr>
            <w:tcW w:w="1044" w:type="dxa"/>
            <w:noWrap w:val="0"/>
            <w:vAlign w:val="center"/>
          </w:tcPr>
          <w:p w14:paraId="2E5803C4">
            <w:pPr>
              <w:pStyle w:val="25"/>
              <w:ind w:left="0" w:leftChars="0" w:firstLine="0" w:firstLineChars="0"/>
              <w:jc w:val="center"/>
              <w:rPr>
                <w:highlight w:val="none"/>
              </w:rPr>
            </w:pPr>
          </w:p>
        </w:tc>
      </w:tr>
      <w:tr w14:paraId="6E860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 w:type="dxa"/>
            <w:noWrap w:val="0"/>
            <w:vAlign w:val="center"/>
          </w:tcPr>
          <w:p w14:paraId="05CD7E39">
            <w:pPr>
              <w:pStyle w:val="25"/>
              <w:ind w:left="0" w:leftChars="0" w:firstLine="0" w:firstLineChars="0"/>
              <w:jc w:val="center"/>
              <w:rPr>
                <w:highlight w:val="none"/>
              </w:rPr>
            </w:pPr>
          </w:p>
        </w:tc>
        <w:tc>
          <w:tcPr>
            <w:tcW w:w="1363" w:type="dxa"/>
            <w:noWrap w:val="0"/>
            <w:vAlign w:val="center"/>
          </w:tcPr>
          <w:p w14:paraId="48932651">
            <w:pPr>
              <w:pStyle w:val="25"/>
              <w:ind w:left="0" w:leftChars="0" w:firstLine="0" w:firstLineChars="0"/>
              <w:jc w:val="center"/>
              <w:rPr>
                <w:highlight w:val="none"/>
              </w:rPr>
            </w:pPr>
          </w:p>
        </w:tc>
        <w:tc>
          <w:tcPr>
            <w:tcW w:w="956" w:type="dxa"/>
            <w:noWrap w:val="0"/>
            <w:vAlign w:val="center"/>
          </w:tcPr>
          <w:p w14:paraId="2E96B602">
            <w:pPr>
              <w:pStyle w:val="25"/>
              <w:ind w:left="0" w:leftChars="0" w:firstLine="0" w:firstLineChars="0"/>
              <w:jc w:val="center"/>
              <w:rPr>
                <w:highlight w:val="none"/>
              </w:rPr>
            </w:pPr>
          </w:p>
        </w:tc>
        <w:tc>
          <w:tcPr>
            <w:tcW w:w="956" w:type="dxa"/>
            <w:noWrap w:val="0"/>
            <w:vAlign w:val="center"/>
          </w:tcPr>
          <w:p w14:paraId="588224B0">
            <w:pPr>
              <w:pStyle w:val="25"/>
              <w:ind w:left="0" w:leftChars="0" w:firstLine="0" w:firstLineChars="0"/>
              <w:jc w:val="center"/>
              <w:rPr>
                <w:highlight w:val="none"/>
              </w:rPr>
            </w:pPr>
          </w:p>
        </w:tc>
        <w:tc>
          <w:tcPr>
            <w:tcW w:w="957" w:type="dxa"/>
            <w:noWrap w:val="0"/>
            <w:vAlign w:val="center"/>
          </w:tcPr>
          <w:p w14:paraId="6352287F">
            <w:pPr>
              <w:pStyle w:val="25"/>
              <w:ind w:left="0" w:leftChars="0" w:firstLine="0" w:firstLineChars="0"/>
              <w:jc w:val="center"/>
              <w:rPr>
                <w:highlight w:val="none"/>
              </w:rPr>
            </w:pPr>
          </w:p>
        </w:tc>
        <w:tc>
          <w:tcPr>
            <w:tcW w:w="1369" w:type="dxa"/>
            <w:noWrap w:val="0"/>
            <w:vAlign w:val="center"/>
          </w:tcPr>
          <w:p w14:paraId="06EB2DF6">
            <w:pPr>
              <w:pStyle w:val="25"/>
              <w:ind w:left="0" w:leftChars="0" w:firstLine="0" w:firstLineChars="0"/>
              <w:jc w:val="center"/>
              <w:rPr>
                <w:highlight w:val="none"/>
              </w:rPr>
            </w:pPr>
          </w:p>
        </w:tc>
        <w:tc>
          <w:tcPr>
            <w:tcW w:w="1092" w:type="dxa"/>
            <w:noWrap w:val="0"/>
            <w:vAlign w:val="center"/>
          </w:tcPr>
          <w:p w14:paraId="71C70803">
            <w:pPr>
              <w:pStyle w:val="25"/>
              <w:ind w:left="0" w:leftChars="0" w:firstLine="0" w:firstLineChars="0"/>
              <w:jc w:val="center"/>
              <w:rPr>
                <w:highlight w:val="none"/>
              </w:rPr>
            </w:pPr>
          </w:p>
        </w:tc>
        <w:tc>
          <w:tcPr>
            <w:tcW w:w="1152" w:type="dxa"/>
            <w:noWrap w:val="0"/>
            <w:vAlign w:val="center"/>
          </w:tcPr>
          <w:p w14:paraId="3591D1B6">
            <w:pPr>
              <w:pStyle w:val="25"/>
              <w:ind w:left="0" w:leftChars="0" w:firstLine="0" w:firstLineChars="0"/>
              <w:jc w:val="center"/>
              <w:rPr>
                <w:highlight w:val="none"/>
              </w:rPr>
            </w:pPr>
          </w:p>
        </w:tc>
        <w:tc>
          <w:tcPr>
            <w:tcW w:w="1044" w:type="dxa"/>
            <w:noWrap w:val="0"/>
            <w:vAlign w:val="center"/>
          </w:tcPr>
          <w:p w14:paraId="05AD40EC">
            <w:pPr>
              <w:pStyle w:val="25"/>
              <w:ind w:left="0" w:leftChars="0" w:firstLine="0" w:firstLineChars="0"/>
              <w:jc w:val="center"/>
              <w:rPr>
                <w:highlight w:val="none"/>
              </w:rPr>
            </w:pPr>
          </w:p>
        </w:tc>
      </w:tr>
      <w:tr w14:paraId="4803C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 w:type="dxa"/>
            <w:noWrap w:val="0"/>
            <w:vAlign w:val="center"/>
          </w:tcPr>
          <w:p w14:paraId="5F21441B">
            <w:pPr>
              <w:pStyle w:val="25"/>
              <w:ind w:left="0" w:leftChars="0" w:firstLine="0" w:firstLineChars="0"/>
              <w:jc w:val="center"/>
              <w:rPr>
                <w:highlight w:val="none"/>
              </w:rPr>
            </w:pPr>
          </w:p>
        </w:tc>
        <w:tc>
          <w:tcPr>
            <w:tcW w:w="1363" w:type="dxa"/>
            <w:noWrap w:val="0"/>
            <w:vAlign w:val="center"/>
          </w:tcPr>
          <w:p w14:paraId="53FC4987">
            <w:pPr>
              <w:pStyle w:val="25"/>
              <w:ind w:left="0" w:leftChars="0" w:firstLine="0" w:firstLineChars="0"/>
              <w:jc w:val="center"/>
              <w:rPr>
                <w:highlight w:val="none"/>
              </w:rPr>
            </w:pPr>
          </w:p>
        </w:tc>
        <w:tc>
          <w:tcPr>
            <w:tcW w:w="956" w:type="dxa"/>
            <w:noWrap w:val="0"/>
            <w:vAlign w:val="center"/>
          </w:tcPr>
          <w:p w14:paraId="1DD8A0C0">
            <w:pPr>
              <w:pStyle w:val="25"/>
              <w:ind w:left="0" w:leftChars="0" w:firstLine="0" w:firstLineChars="0"/>
              <w:jc w:val="center"/>
              <w:rPr>
                <w:highlight w:val="none"/>
              </w:rPr>
            </w:pPr>
          </w:p>
        </w:tc>
        <w:tc>
          <w:tcPr>
            <w:tcW w:w="956" w:type="dxa"/>
            <w:noWrap w:val="0"/>
            <w:vAlign w:val="center"/>
          </w:tcPr>
          <w:p w14:paraId="120936E8">
            <w:pPr>
              <w:pStyle w:val="25"/>
              <w:ind w:left="0" w:leftChars="0" w:firstLine="0" w:firstLineChars="0"/>
              <w:jc w:val="center"/>
              <w:rPr>
                <w:highlight w:val="none"/>
              </w:rPr>
            </w:pPr>
          </w:p>
        </w:tc>
        <w:tc>
          <w:tcPr>
            <w:tcW w:w="957" w:type="dxa"/>
            <w:noWrap w:val="0"/>
            <w:vAlign w:val="center"/>
          </w:tcPr>
          <w:p w14:paraId="1DF4F7A0">
            <w:pPr>
              <w:pStyle w:val="25"/>
              <w:ind w:left="0" w:leftChars="0" w:firstLine="0" w:firstLineChars="0"/>
              <w:jc w:val="center"/>
              <w:rPr>
                <w:highlight w:val="none"/>
              </w:rPr>
            </w:pPr>
          </w:p>
        </w:tc>
        <w:tc>
          <w:tcPr>
            <w:tcW w:w="1369" w:type="dxa"/>
            <w:noWrap w:val="0"/>
            <w:vAlign w:val="center"/>
          </w:tcPr>
          <w:p w14:paraId="7C2F347E">
            <w:pPr>
              <w:pStyle w:val="25"/>
              <w:ind w:left="0" w:leftChars="0" w:firstLine="0" w:firstLineChars="0"/>
              <w:jc w:val="center"/>
              <w:rPr>
                <w:highlight w:val="none"/>
              </w:rPr>
            </w:pPr>
          </w:p>
        </w:tc>
        <w:tc>
          <w:tcPr>
            <w:tcW w:w="1092" w:type="dxa"/>
            <w:noWrap w:val="0"/>
            <w:vAlign w:val="center"/>
          </w:tcPr>
          <w:p w14:paraId="193FA1DA">
            <w:pPr>
              <w:pStyle w:val="25"/>
              <w:ind w:left="0" w:leftChars="0" w:firstLine="0" w:firstLineChars="0"/>
              <w:jc w:val="center"/>
              <w:rPr>
                <w:highlight w:val="none"/>
              </w:rPr>
            </w:pPr>
          </w:p>
        </w:tc>
        <w:tc>
          <w:tcPr>
            <w:tcW w:w="1152" w:type="dxa"/>
            <w:noWrap w:val="0"/>
            <w:vAlign w:val="center"/>
          </w:tcPr>
          <w:p w14:paraId="783048E2">
            <w:pPr>
              <w:pStyle w:val="25"/>
              <w:ind w:left="0" w:leftChars="0" w:firstLine="0" w:firstLineChars="0"/>
              <w:jc w:val="center"/>
              <w:rPr>
                <w:highlight w:val="none"/>
              </w:rPr>
            </w:pPr>
          </w:p>
        </w:tc>
        <w:tc>
          <w:tcPr>
            <w:tcW w:w="1044" w:type="dxa"/>
            <w:noWrap w:val="0"/>
            <w:vAlign w:val="center"/>
          </w:tcPr>
          <w:p w14:paraId="2EB6ED83">
            <w:pPr>
              <w:pStyle w:val="25"/>
              <w:ind w:left="0" w:leftChars="0" w:firstLine="0" w:firstLineChars="0"/>
              <w:jc w:val="center"/>
              <w:rPr>
                <w:highlight w:val="none"/>
              </w:rPr>
            </w:pPr>
          </w:p>
        </w:tc>
      </w:tr>
      <w:tr w14:paraId="56E36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 w:type="dxa"/>
            <w:noWrap w:val="0"/>
            <w:vAlign w:val="center"/>
          </w:tcPr>
          <w:p w14:paraId="404DB51B">
            <w:pPr>
              <w:pStyle w:val="25"/>
              <w:ind w:left="0" w:leftChars="0" w:firstLine="0" w:firstLineChars="0"/>
              <w:jc w:val="center"/>
              <w:rPr>
                <w:highlight w:val="none"/>
              </w:rPr>
            </w:pPr>
          </w:p>
        </w:tc>
        <w:tc>
          <w:tcPr>
            <w:tcW w:w="1363" w:type="dxa"/>
            <w:noWrap w:val="0"/>
            <w:vAlign w:val="center"/>
          </w:tcPr>
          <w:p w14:paraId="721735B1">
            <w:pPr>
              <w:pStyle w:val="25"/>
              <w:ind w:left="0" w:leftChars="0" w:firstLine="0" w:firstLineChars="0"/>
              <w:jc w:val="center"/>
              <w:rPr>
                <w:highlight w:val="none"/>
              </w:rPr>
            </w:pPr>
          </w:p>
        </w:tc>
        <w:tc>
          <w:tcPr>
            <w:tcW w:w="956" w:type="dxa"/>
            <w:noWrap w:val="0"/>
            <w:vAlign w:val="center"/>
          </w:tcPr>
          <w:p w14:paraId="2FA7F571">
            <w:pPr>
              <w:pStyle w:val="25"/>
              <w:ind w:left="0" w:leftChars="0" w:firstLine="0" w:firstLineChars="0"/>
              <w:jc w:val="center"/>
              <w:rPr>
                <w:highlight w:val="none"/>
              </w:rPr>
            </w:pPr>
          </w:p>
        </w:tc>
        <w:tc>
          <w:tcPr>
            <w:tcW w:w="956" w:type="dxa"/>
            <w:noWrap w:val="0"/>
            <w:vAlign w:val="center"/>
          </w:tcPr>
          <w:p w14:paraId="3BD6F3E2">
            <w:pPr>
              <w:pStyle w:val="25"/>
              <w:ind w:left="0" w:leftChars="0" w:firstLine="0" w:firstLineChars="0"/>
              <w:jc w:val="center"/>
              <w:rPr>
                <w:highlight w:val="none"/>
              </w:rPr>
            </w:pPr>
          </w:p>
        </w:tc>
        <w:tc>
          <w:tcPr>
            <w:tcW w:w="957" w:type="dxa"/>
            <w:noWrap w:val="0"/>
            <w:vAlign w:val="center"/>
          </w:tcPr>
          <w:p w14:paraId="0300D203">
            <w:pPr>
              <w:pStyle w:val="25"/>
              <w:ind w:left="0" w:leftChars="0" w:firstLine="0" w:firstLineChars="0"/>
              <w:jc w:val="center"/>
              <w:rPr>
                <w:highlight w:val="none"/>
              </w:rPr>
            </w:pPr>
          </w:p>
        </w:tc>
        <w:tc>
          <w:tcPr>
            <w:tcW w:w="1369" w:type="dxa"/>
            <w:noWrap w:val="0"/>
            <w:vAlign w:val="center"/>
          </w:tcPr>
          <w:p w14:paraId="19AED0F5">
            <w:pPr>
              <w:pStyle w:val="25"/>
              <w:ind w:left="0" w:leftChars="0" w:firstLine="0" w:firstLineChars="0"/>
              <w:jc w:val="center"/>
              <w:rPr>
                <w:highlight w:val="none"/>
              </w:rPr>
            </w:pPr>
          </w:p>
        </w:tc>
        <w:tc>
          <w:tcPr>
            <w:tcW w:w="1092" w:type="dxa"/>
            <w:noWrap w:val="0"/>
            <w:vAlign w:val="center"/>
          </w:tcPr>
          <w:p w14:paraId="26F9B243">
            <w:pPr>
              <w:pStyle w:val="25"/>
              <w:ind w:left="0" w:leftChars="0" w:firstLine="0" w:firstLineChars="0"/>
              <w:jc w:val="center"/>
              <w:rPr>
                <w:highlight w:val="none"/>
              </w:rPr>
            </w:pPr>
          </w:p>
        </w:tc>
        <w:tc>
          <w:tcPr>
            <w:tcW w:w="1152" w:type="dxa"/>
            <w:noWrap w:val="0"/>
            <w:vAlign w:val="center"/>
          </w:tcPr>
          <w:p w14:paraId="46EBA09D">
            <w:pPr>
              <w:pStyle w:val="25"/>
              <w:ind w:left="0" w:leftChars="0" w:firstLine="0" w:firstLineChars="0"/>
              <w:jc w:val="center"/>
              <w:rPr>
                <w:highlight w:val="none"/>
              </w:rPr>
            </w:pPr>
          </w:p>
        </w:tc>
        <w:tc>
          <w:tcPr>
            <w:tcW w:w="1044" w:type="dxa"/>
            <w:noWrap w:val="0"/>
            <w:vAlign w:val="center"/>
          </w:tcPr>
          <w:p w14:paraId="33A96529">
            <w:pPr>
              <w:pStyle w:val="25"/>
              <w:ind w:left="0" w:leftChars="0" w:firstLine="0" w:firstLineChars="0"/>
              <w:jc w:val="center"/>
              <w:rPr>
                <w:highlight w:val="none"/>
              </w:rPr>
            </w:pPr>
          </w:p>
        </w:tc>
      </w:tr>
    </w:tbl>
    <w:p w14:paraId="44319AD1">
      <w:pPr>
        <w:pStyle w:val="25"/>
        <w:spacing w:before="120" w:beforeLines="50"/>
        <w:ind w:left="0" w:leftChars="0" w:firstLine="0" w:firstLineChars="0"/>
        <w:rPr>
          <w:rFonts w:hint="eastAsia"/>
          <w:highlight w:val="none"/>
        </w:rPr>
      </w:pPr>
      <w:r>
        <w:rPr>
          <w:rFonts w:hint="eastAsia"/>
          <w:highlight w:val="none"/>
        </w:rPr>
        <w:t>注：投标人拟配备人员若在广东省住房和城乡建设主管部门备案且备案的业务范围符合对应要求的香港专业人士亦给予认可。香港专业人士的备案业务范围依据《广东省住房和城乡建设厅关于印发香港工程建设咨询企业和专业人士在粤港澳大湾区内地城市开业执业试点管理暂行办法的通知》（粤建规范〔2020〕1号）确定。</w:t>
      </w:r>
    </w:p>
    <w:p w14:paraId="3347F0F5">
      <w:pPr>
        <w:outlineLvl w:val="9"/>
        <w:rPr>
          <w:rFonts w:hint="eastAsia" w:ascii="宋体" w:hAnsi="宋体" w:eastAsia="宋体" w:cs="宋体"/>
          <w:highlight w:val="none"/>
          <w:lang w:val="en-US" w:eastAsia="zh-CN"/>
        </w:rPr>
      </w:pPr>
    </w:p>
    <w:p w14:paraId="6156F9E7">
      <w:pPr>
        <w:outlineLvl w:val="9"/>
        <w:rPr>
          <w:rFonts w:hint="eastAsia" w:ascii="宋体" w:hAnsi="宋体" w:cs="宋体"/>
          <w:b/>
          <w:bCs/>
          <w:highlight w:val="none"/>
          <w:lang w:eastAsia="zh-CN"/>
        </w:rPr>
      </w:pPr>
      <w:r>
        <w:rPr>
          <w:rFonts w:hint="eastAsia" w:ascii="宋体" w:hAnsi="宋体" w:cs="宋体"/>
          <w:b/>
          <w:bCs/>
          <w:highlight w:val="none"/>
          <w:lang w:eastAsia="zh-CN"/>
        </w:rPr>
        <w:br w:type="page"/>
      </w:r>
    </w:p>
    <w:p w14:paraId="0F416F4A">
      <w:pPr>
        <w:jc w:val="center"/>
        <w:outlineLvl w:val="2"/>
        <w:rPr>
          <w:rFonts w:hint="eastAsia" w:ascii="宋体" w:hAnsi="宋体" w:cs="宋体"/>
          <w:b/>
          <w:color w:val="auto"/>
          <w:sz w:val="24"/>
          <w:szCs w:val="24"/>
          <w:highlight w:val="none"/>
        </w:rPr>
      </w:pPr>
      <w:r>
        <w:rPr>
          <w:rFonts w:hint="eastAsia" w:ascii="宋体" w:hAnsi="宋体" w:cs="宋体"/>
          <w:b/>
          <w:bCs/>
          <w:highlight w:val="none"/>
          <w:lang w:eastAsia="zh-CN"/>
        </w:rPr>
        <w:t>（</w:t>
      </w:r>
      <w:r>
        <w:rPr>
          <w:rFonts w:hint="eastAsia" w:ascii="宋体" w:hAnsi="宋体" w:cs="宋体"/>
          <w:b/>
          <w:bCs/>
          <w:highlight w:val="none"/>
          <w:lang w:val="en-US" w:eastAsia="zh-CN"/>
        </w:rPr>
        <w:t>五</w:t>
      </w:r>
      <w:r>
        <w:rPr>
          <w:rFonts w:hint="eastAsia" w:ascii="宋体" w:hAnsi="宋体" w:cs="宋体"/>
          <w:b/>
          <w:bCs/>
          <w:highlight w:val="none"/>
          <w:lang w:eastAsia="zh-CN"/>
        </w:rPr>
        <w:t>）</w:t>
      </w:r>
      <w:r>
        <w:rPr>
          <w:rFonts w:hint="eastAsia" w:ascii="宋体" w:hAnsi="宋体" w:cs="宋体"/>
          <w:b/>
          <w:bCs/>
          <w:color w:val="auto"/>
          <w:sz w:val="24"/>
          <w:szCs w:val="24"/>
          <w:highlight w:val="none"/>
        </w:rPr>
        <w:t>主要人员简历表</w:t>
      </w:r>
      <w:bookmarkEnd w:id="146"/>
    </w:p>
    <w:p w14:paraId="63B198AA">
      <w:pPr>
        <w:pStyle w:val="12"/>
        <w:kinsoku w:val="0"/>
        <w:overflowPunct w:val="0"/>
        <w:ind w:left="0"/>
        <w:rPr>
          <w:rFonts w:hint="eastAsia" w:cs="宋体"/>
          <w:b/>
          <w:color w:val="auto"/>
          <w:sz w:val="24"/>
          <w:szCs w:val="24"/>
          <w:highlight w:val="none"/>
        </w:rPr>
      </w:pPr>
    </w:p>
    <w:p w14:paraId="0ACE38F3">
      <w:pPr>
        <w:pStyle w:val="12"/>
        <w:kinsoku w:val="0"/>
        <w:overflowPunct w:val="0"/>
        <w:spacing w:before="5"/>
        <w:ind w:left="0"/>
        <w:rPr>
          <w:rFonts w:hint="eastAsia" w:cs="宋体"/>
          <w:color w:val="auto"/>
          <w:sz w:val="16"/>
          <w:szCs w:val="24"/>
          <w:highlight w:val="none"/>
        </w:rPr>
      </w:pPr>
    </w:p>
    <w:tbl>
      <w:tblPr>
        <w:tblStyle w:val="27"/>
        <w:tblW w:w="8521" w:type="dxa"/>
        <w:tblInd w:w="26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85"/>
        <w:gridCol w:w="358"/>
        <w:gridCol w:w="692"/>
        <w:gridCol w:w="957"/>
        <w:gridCol w:w="1066"/>
        <w:gridCol w:w="705"/>
        <w:gridCol w:w="1261"/>
        <w:gridCol w:w="401"/>
        <w:gridCol w:w="1896"/>
      </w:tblGrid>
      <w:tr w14:paraId="15716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0" w:hRule="exact"/>
        </w:trPr>
        <w:tc>
          <w:tcPr>
            <w:tcW w:w="118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D6489A">
            <w:pPr>
              <w:pStyle w:val="34"/>
              <w:tabs>
                <w:tab w:val="left" w:pos="695"/>
              </w:tabs>
              <w:kinsoku w:val="0"/>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1050"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6D610596">
            <w:pPr>
              <w:rPr>
                <w:rFonts w:hint="eastAsia" w:ascii="宋体" w:hAnsi="宋体" w:eastAsia="宋体" w:cs="宋体"/>
                <w:color w:val="auto"/>
                <w:sz w:val="21"/>
                <w:szCs w:val="21"/>
                <w:highlight w:val="none"/>
              </w:rPr>
            </w:pPr>
          </w:p>
        </w:tc>
        <w:tc>
          <w:tcPr>
            <w:tcW w:w="95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3C3CB8">
            <w:pPr>
              <w:pStyle w:val="34"/>
              <w:kinsoku w:val="0"/>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年龄</w:t>
            </w:r>
          </w:p>
        </w:tc>
        <w:tc>
          <w:tcPr>
            <w:tcW w:w="106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4607689">
            <w:pPr>
              <w:rPr>
                <w:rFonts w:hint="eastAsia" w:ascii="宋体" w:hAnsi="宋体" w:eastAsia="宋体" w:cs="宋体"/>
                <w:color w:val="auto"/>
                <w:sz w:val="21"/>
                <w:szCs w:val="21"/>
                <w:highlight w:val="none"/>
              </w:rPr>
            </w:pPr>
          </w:p>
        </w:tc>
        <w:tc>
          <w:tcPr>
            <w:tcW w:w="2367"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6E5CED">
            <w:pPr>
              <w:pStyle w:val="34"/>
              <w:kinsoku w:val="0"/>
              <w:overflowPunct w:val="0"/>
              <w:spacing w:before="3" w:line="440" w:lineRule="exact"/>
              <w:ind w:right="122"/>
              <w:jc w:val="center"/>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执业资格证书（或上岗</w:t>
            </w:r>
            <w:r>
              <w:rPr>
                <w:rFonts w:hint="eastAsia" w:ascii="宋体" w:hAnsi="宋体" w:eastAsia="宋体" w:cs="宋体"/>
                <w:color w:val="auto"/>
                <w:spacing w:val="-85"/>
                <w:sz w:val="21"/>
                <w:szCs w:val="21"/>
                <w:highlight w:val="none"/>
              </w:rPr>
              <w:t xml:space="preserve"> </w:t>
            </w:r>
            <w:r>
              <w:rPr>
                <w:rFonts w:hint="eastAsia" w:ascii="宋体" w:hAnsi="宋体" w:eastAsia="宋体" w:cs="宋体"/>
                <w:color w:val="auto"/>
                <w:sz w:val="21"/>
                <w:szCs w:val="21"/>
                <w:highlight w:val="none"/>
              </w:rPr>
              <w:t>证书）名称</w:t>
            </w:r>
          </w:p>
        </w:tc>
        <w:tc>
          <w:tcPr>
            <w:tcW w:w="189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D5AD6FE">
            <w:pPr>
              <w:rPr>
                <w:rFonts w:hint="eastAsia" w:ascii="宋体" w:hAnsi="宋体" w:eastAsia="宋体" w:cs="宋体"/>
                <w:color w:val="auto"/>
                <w:sz w:val="21"/>
                <w:szCs w:val="21"/>
                <w:highlight w:val="none"/>
              </w:rPr>
            </w:pPr>
          </w:p>
        </w:tc>
      </w:tr>
      <w:tr w14:paraId="43137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8" w:hRule="exact"/>
        </w:trPr>
        <w:tc>
          <w:tcPr>
            <w:tcW w:w="118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4D3754">
            <w:pPr>
              <w:pStyle w:val="34"/>
              <w:tabs>
                <w:tab w:val="left" w:pos="695"/>
              </w:tabs>
              <w:kinsoku w:val="0"/>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职称</w:t>
            </w:r>
          </w:p>
        </w:tc>
        <w:tc>
          <w:tcPr>
            <w:tcW w:w="1050"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522781EC">
            <w:pPr>
              <w:rPr>
                <w:rFonts w:hint="eastAsia" w:ascii="宋体" w:hAnsi="宋体" w:eastAsia="宋体" w:cs="宋体"/>
                <w:color w:val="auto"/>
                <w:sz w:val="21"/>
                <w:szCs w:val="21"/>
                <w:highlight w:val="none"/>
              </w:rPr>
            </w:pPr>
          </w:p>
        </w:tc>
        <w:tc>
          <w:tcPr>
            <w:tcW w:w="95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FCC9C0">
            <w:pPr>
              <w:pStyle w:val="34"/>
              <w:kinsoku w:val="0"/>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学历</w:t>
            </w:r>
          </w:p>
        </w:tc>
        <w:tc>
          <w:tcPr>
            <w:tcW w:w="106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BF149E1">
            <w:pPr>
              <w:rPr>
                <w:rFonts w:hint="eastAsia" w:ascii="宋体" w:hAnsi="宋体" w:eastAsia="宋体" w:cs="宋体"/>
                <w:color w:val="auto"/>
                <w:sz w:val="21"/>
                <w:szCs w:val="21"/>
                <w:highlight w:val="none"/>
              </w:rPr>
            </w:pPr>
          </w:p>
        </w:tc>
        <w:tc>
          <w:tcPr>
            <w:tcW w:w="2367"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8E4E11">
            <w:pPr>
              <w:pStyle w:val="34"/>
              <w:kinsoku w:val="0"/>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拟在本项目任职</w:t>
            </w:r>
          </w:p>
        </w:tc>
        <w:tc>
          <w:tcPr>
            <w:tcW w:w="189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DE3DBED">
            <w:pPr>
              <w:rPr>
                <w:rFonts w:hint="eastAsia" w:ascii="宋体" w:hAnsi="宋体" w:eastAsia="宋体" w:cs="宋体"/>
                <w:color w:val="auto"/>
                <w:sz w:val="21"/>
                <w:szCs w:val="21"/>
                <w:highlight w:val="none"/>
              </w:rPr>
            </w:pPr>
          </w:p>
        </w:tc>
      </w:tr>
      <w:tr w14:paraId="1BB0F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1" w:hRule="exact"/>
        </w:trPr>
        <w:tc>
          <w:tcPr>
            <w:tcW w:w="118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2745AB">
            <w:pPr>
              <w:pStyle w:val="34"/>
              <w:kinsoku w:val="0"/>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工作年限</w:t>
            </w:r>
          </w:p>
        </w:tc>
        <w:tc>
          <w:tcPr>
            <w:tcW w:w="3073" w:type="dxa"/>
            <w:gridSpan w:val="4"/>
            <w:tcBorders>
              <w:top w:val="single" w:color="000000" w:sz="4" w:space="0"/>
              <w:left w:val="single" w:color="000000" w:sz="4" w:space="0"/>
              <w:bottom w:val="single" w:color="000000" w:sz="4" w:space="0"/>
              <w:right w:val="single" w:color="000000" w:sz="4" w:space="0"/>
              <w:tl2br w:val="nil"/>
              <w:tr2bl w:val="nil"/>
            </w:tcBorders>
            <w:noWrap w:val="0"/>
            <w:vAlign w:val="top"/>
          </w:tcPr>
          <w:p w14:paraId="1F5C9B42">
            <w:pPr>
              <w:rPr>
                <w:rFonts w:hint="eastAsia" w:ascii="宋体" w:hAnsi="宋体" w:eastAsia="宋体" w:cs="宋体"/>
                <w:color w:val="auto"/>
                <w:sz w:val="21"/>
                <w:szCs w:val="21"/>
                <w:highlight w:val="none"/>
              </w:rPr>
            </w:pPr>
          </w:p>
        </w:tc>
        <w:tc>
          <w:tcPr>
            <w:tcW w:w="2367"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AAE35A">
            <w:pPr>
              <w:pStyle w:val="34"/>
              <w:kinsoku w:val="0"/>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从事监理工作年限</w:t>
            </w:r>
          </w:p>
        </w:tc>
        <w:tc>
          <w:tcPr>
            <w:tcW w:w="189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7C512A3">
            <w:pPr>
              <w:rPr>
                <w:rFonts w:hint="eastAsia" w:ascii="宋体" w:hAnsi="宋体" w:eastAsia="宋体" w:cs="宋体"/>
                <w:color w:val="auto"/>
                <w:sz w:val="21"/>
                <w:szCs w:val="21"/>
                <w:highlight w:val="none"/>
              </w:rPr>
            </w:pPr>
          </w:p>
        </w:tc>
      </w:tr>
      <w:tr w14:paraId="036F2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exact"/>
        </w:trPr>
        <w:tc>
          <w:tcPr>
            <w:tcW w:w="8521"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1011C9">
            <w:pPr>
              <w:pStyle w:val="34"/>
              <w:kinsoku w:val="0"/>
              <w:overflowPunct w:val="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主要工作经历</w:t>
            </w:r>
          </w:p>
        </w:tc>
      </w:tr>
      <w:tr w14:paraId="65DE5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8" w:hRule="exact"/>
        </w:trPr>
        <w:tc>
          <w:tcPr>
            <w:tcW w:w="1543"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DD6B9E">
            <w:pPr>
              <w:pStyle w:val="34"/>
              <w:tabs>
                <w:tab w:val="left" w:pos="873"/>
              </w:tabs>
              <w:kinsoku w:val="0"/>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间</w:t>
            </w:r>
          </w:p>
        </w:tc>
        <w:tc>
          <w:tcPr>
            <w:tcW w:w="342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F04217">
            <w:pPr>
              <w:pStyle w:val="34"/>
              <w:kinsoku w:val="0"/>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参加过的类似项目</w:t>
            </w:r>
          </w:p>
        </w:tc>
        <w:tc>
          <w:tcPr>
            <w:tcW w:w="12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5B005D">
            <w:pPr>
              <w:pStyle w:val="34"/>
              <w:kinsoku w:val="0"/>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担任职务</w:t>
            </w:r>
          </w:p>
        </w:tc>
        <w:tc>
          <w:tcPr>
            <w:tcW w:w="229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8C399A">
            <w:pPr>
              <w:pStyle w:val="34"/>
              <w:kinsoku w:val="0"/>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委托人及联系电话</w:t>
            </w:r>
          </w:p>
        </w:tc>
      </w:tr>
      <w:tr w14:paraId="242DB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1" w:hRule="exact"/>
        </w:trPr>
        <w:tc>
          <w:tcPr>
            <w:tcW w:w="1543"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FA1DB3">
            <w:pPr>
              <w:jc w:val="center"/>
              <w:rPr>
                <w:rFonts w:hint="eastAsia" w:ascii="宋体" w:hAnsi="宋体" w:eastAsia="宋体" w:cs="宋体"/>
                <w:color w:val="auto"/>
                <w:sz w:val="21"/>
                <w:szCs w:val="21"/>
                <w:highlight w:val="none"/>
              </w:rPr>
            </w:pPr>
          </w:p>
        </w:tc>
        <w:tc>
          <w:tcPr>
            <w:tcW w:w="342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60F899">
            <w:pPr>
              <w:jc w:val="center"/>
              <w:rPr>
                <w:rFonts w:hint="eastAsia" w:ascii="宋体" w:hAnsi="宋体" w:eastAsia="宋体" w:cs="宋体"/>
                <w:color w:val="auto"/>
                <w:sz w:val="21"/>
                <w:szCs w:val="21"/>
                <w:highlight w:val="none"/>
              </w:rPr>
            </w:pPr>
          </w:p>
        </w:tc>
        <w:tc>
          <w:tcPr>
            <w:tcW w:w="12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644FE6">
            <w:pPr>
              <w:jc w:val="center"/>
              <w:rPr>
                <w:rFonts w:hint="eastAsia" w:ascii="宋体" w:hAnsi="宋体" w:eastAsia="宋体" w:cs="宋体"/>
                <w:color w:val="auto"/>
                <w:sz w:val="21"/>
                <w:szCs w:val="21"/>
                <w:highlight w:val="none"/>
              </w:rPr>
            </w:pPr>
          </w:p>
        </w:tc>
        <w:tc>
          <w:tcPr>
            <w:tcW w:w="229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2F2A5F">
            <w:pPr>
              <w:jc w:val="center"/>
              <w:rPr>
                <w:rFonts w:hint="eastAsia" w:ascii="宋体" w:hAnsi="宋体" w:eastAsia="宋体" w:cs="宋体"/>
                <w:color w:val="auto"/>
                <w:sz w:val="21"/>
                <w:szCs w:val="21"/>
                <w:highlight w:val="none"/>
              </w:rPr>
            </w:pPr>
          </w:p>
        </w:tc>
      </w:tr>
      <w:tr w14:paraId="4236E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8" w:hRule="exact"/>
        </w:trPr>
        <w:tc>
          <w:tcPr>
            <w:tcW w:w="1543"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C866E0">
            <w:pPr>
              <w:jc w:val="center"/>
              <w:rPr>
                <w:rFonts w:hint="eastAsia" w:ascii="宋体" w:hAnsi="宋体" w:eastAsia="宋体" w:cs="宋体"/>
                <w:color w:val="auto"/>
                <w:sz w:val="21"/>
                <w:szCs w:val="21"/>
                <w:highlight w:val="none"/>
              </w:rPr>
            </w:pPr>
          </w:p>
        </w:tc>
        <w:tc>
          <w:tcPr>
            <w:tcW w:w="342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02AD4F">
            <w:pPr>
              <w:jc w:val="center"/>
              <w:rPr>
                <w:rFonts w:hint="eastAsia" w:ascii="宋体" w:hAnsi="宋体" w:eastAsia="宋体" w:cs="宋体"/>
                <w:color w:val="auto"/>
                <w:sz w:val="21"/>
                <w:szCs w:val="21"/>
                <w:highlight w:val="none"/>
              </w:rPr>
            </w:pPr>
          </w:p>
        </w:tc>
        <w:tc>
          <w:tcPr>
            <w:tcW w:w="12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B0F9CE">
            <w:pPr>
              <w:jc w:val="center"/>
              <w:rPr>
                <w:rFonts w:hint="eastAsia" w:ascii="宋体" w:hAnsi="宋体" w:eastAsia="宋体" w:cs="宋体"/>
                <w:color w:val="auto"/>
                <w:sz w:val="21"/>
                <w:szCs w:val="21"/>
                <w:highlight w:val="none"/>
              </w:rPr>
            </w:pPr>
          </w:p>
        </w:tc>
        <w:tc>
          <w:tcPr>
            <w:tcW w:w="229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87D56D">
            <w:pPr>
              <w:jc w:val="center"/>
              <w:rPr>
                <w:rFonts w:hint="eastAsia" w:ascii="宋体" w:hAnsi="宋体" w:eastAsia="宋体" w:cs="宋体"/>
                <w:color w:val="auto"/>
                <w:sz w:val="21"/>
                <w:szCs w:val="21"/>
                <w:highlight w:val="none"/>
              </w:rPr>
            </w:pPr>
          </w:p>
        </w:tc>
      </w:tr>
      <w:tr w14:paraId="57423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1" w:hRule="exact"/>
        </w:trPr>
        <w:tc>
          <w:tcPr>
            <w:tcW w:w="1543"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CCBE95">
            <w:pPr>
              <w:jc w:val="center"/>
              <w:rPr>
                <w:rFonts w:hint="eastAsia" w:ascii="宋体" w:hAnsi="宋体" w:eastAsia="宋体" w:cs="宋体"/>
                <w:color w:val="auto"/>
                <w:sz w:val="21"/>
                <w:szCs w:val="21"/>
                <w:highlight w:val="none"/>
              </w:rPr>
            </w:pPr>
          </w:p>
        </w:tc>
        <w:tc>
          <w:tcPr>
            <w:tcW w:w="342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0ACDF1">
            <w:pPr>
              <w:jc w:val="center"/>
              <w:rPr>
                <w:rFonts w:hint="eastAsia" w:ascii="宋体" w:hAnsi="宋体" w:eastAsia="宋体" w:cs="宋体"/>
                <w:color w:val="auto"/>
                <w:sz w:val="21"/>
                <w:szCs w:val="21"/>
                <w:highlight w:val="none"/>
              </w:rPr>
            </w:pPr>
          </w:p>
        </w:tc>
        <w:tc>
          <w:tcPr>
            <w:tcW w:w="12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1E187D">
            <w:pPr>
              <w:jc w:val="center"/>
              <w:rPr>
                <w:rFonts w:hint="eastAsia" w:ascii="宋体" w:hAnsi="宋体" w:eastAsia="宋体" w:cs="宋体"/>
                <w:color w:val="auto"/>
                <w:sz w:val="21"/>
                <w:szCs w:val="21"/>
                <w:highlight w:val="none"/>
              </w:rPr>
            </w:pPr>
          </w:p>
        </w:tc>
        <w:tc>
          <w:tcPr>
            <w:tcW w:w="229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745F4A">
            <w:pPr>
              <w:jc w:val="center"/>
              <w:rPr>
                <w:rFonts w:hint="eastAsia" w:ascii="宋体" w:hAnsi="宋体" w:eastAsia="宋体" w:cs="宋体"/>
                <w:color w:val="auto"/>
                <w:sz w:val="21"/>
                <w:szCs w:val="21"/>
                <w:highlight w:val="none"/>
              </w:rPr>
            </w:pPr>
          </w:p>
        </w:tc>
      </w:tr>
      <w:tr w14:paraId="26E8C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1" w:hRule="exact"/>
        </w:trPr>
        <w:tc>
          <w:tcPr>
            <w:tcW w:w="1543"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2F85EB">
            <w:pPr>
              <w:jc w:val="center"/>
              <w:rPr>
                <w:rFonts w:hint="eastAsia" w:ascii="宋体" w:hAnsi="宋体" w:eastAsia="宋体" w:cs="宋体"/>
                <w:color w:val="auto"/>
                <w:sz w:val="21"/>
                <w:szCs w:val="21"/>
                <w:highlight w:val="none"/>
              </w:rPr>
            </w:pPr>
          </w:p>
        </w:tc>
        <w:tc>
          <w:tcPr>
            <w:tcW w:w="342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025EA7">
            <w:pPr>
              <w:jc w:val="center"/>
              <w:rPr>
                <w:rFonts w:hint="eastAsia" w:ascii="宋体" w:hAnsi="宋体" w:eastAsia="宋体" w:cs="宋体"/>
                <w:color w:val="auto"/>
                <w:sz w:val="21"/>
                <w:szCs w:val="21"/>
                <w:highlight w:val="none"/>
              </w:rPr>
            </w:pPr>
          </w:p>
        </w:tc>
        <w:tc>
          <w:tcPr>
            <w:tcW w:w="12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66AC57">
            <w:pPr>
              <w:jc w:val="center"/>
              <w:rPr>
                <w:rFonts w:hint="eastAsia" w:ascii="宋体" w:hAnsi="宋体" w:eastAsia="宋体" w:cs="宋体"/>
                <w:color w:val="auto"/>
                <w:sz w:val="21"/>
                <w:szCs w:val="21"/>
                <w:highlight w:val="none"/>
              </w:rPr>
            </w:pPr>
          </w:p>
        </w:tc>
        <w:tc>
          <w:tcPr>
            <w:tcW w:w="229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A690DE">
            <w:pPr>
              <w:jc w:val="center"/>
              <w:rPr>
                <w:rFonts w:hint="eastAsia" w:ascii="宋体" w:hAnsi="宋体" w:eastAsia="宋体" w:cs="宋体"/>
                <w:color w:val="auto"/>
                <w:sz w:val="21"/>
                <w:szCs w:val="21"/>
                <w:highlight w:val="none"/>
              </w:rPr>
            </w:pPr>
          </w:p>
        </w:tc>
      </w:tr>
      <w:tr w14:paraId="7091A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exact"/>
        </w:trPr>
        <w:tc>
          <w:tcPr>
            <w:tcW w:w="1543"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B25405">
            <w:pPr>
              <w:jc w:val="center"/>
              <w:rPr>
                <w:rFonts w:hint="eastAsia" w:ascii="宋体" w:hAnsi="宋体" w:eastAsia="宋体" w:cs="宋体"/>
                <w:color w:val="auto"/>
                <w:sz w:val="21"/>
                <w:szCs w:val="21"/>
                <w:highlight w:val="none"/>
              </w:rPr>
            </w:pPr>
          </w:p>
        </w:tc>
        <w:tc>
          <w:tcPr>
            <w:tcW w:w="342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BC16FF">
            <w:pPr>
              <w:jc w:val="center"/>
              <w:rPr>
                <w:rFonts w:hint="eastAsia" w:ascii="宋体" w:hAnsi="宋体" w:eastAsia="宋体" w:cs="宋体"/>
                <w:color w:val="auto"/>
                <w:sz w:val="21"/>
                <w:szCs w:val="21"/>
                <w:highlight w:val="none"/>
              </w:rPr>
            </w:pPr>
          </w:p>
        </w:tc>
        <w:tc>
          <w:tcPr>
            <w:tcW w:w="12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ED8987">
            <w:pPr>
              <w:jc w:val="center"/>
              <w:rPr>
                <w:rFonts w:hint="eastAsia" w:ascii="宋体" w:hAnsi="宋体" w:eastAsia="宋体" w:cs="宋体"/>
                <w:color w:val="auto"/>
                <w:sz w:val="21"/>
                <w:szCs w:val="21"/>
                <w:highlight w:val="none"/>
              </w:rPr>
            </w:pPr>
          </w:p>
        </w:tc>
        <w:tc>
          <w:tcPr>
            <w:tcW w:w="229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571F08">
            <w:pPr>
              <w:jc w:val="center"/>
              <w:rPr>
                <w:rFonts w:hint="eastAsia" w:ascii="宋体" w:hAnsi="宋体" w:eastAsia="宋体" w:cs="宋体"/>
                <w:color w:val="auto"/>
                <w:sz w:val="21"/>
                <w:szCs w:val="21"/>
                <w:highlight w:val="none"/>
              </w:rPr>
            </w:pPr>
          </w:p>
        </w:tc>
      </w:tr>
      <w:tr w14:paraId="0E0EA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1" w:hRule="exact"/>
        </w:trPr>
        <w:tc>
          <w:tcPr>
            <w:tcW w:w="1543"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F31D8B">
            <w:pPr>
              <w:jc w:val="center"/>
              <w:rPr>
                <w:rFonts w:hint="eastAsia" w:ascii="宋体" w:hAnsi="宋体" w:eastAsia="宋体" w:cs="宋体"/>
                <w:color w:val="auto"/>
                <w:sz w:val="21"/>
                <w:szCs w:val="21"/>
                <w:highlight w:val="none"/>
              </w:rPr>
            </w:pPr>
          </w:p>
        </w:tc>
        <w:tc>
          <w:tcPr>
            <w:tcW w:w="342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02060C">
            <w:pPr>
              <w:jc w:val="center"/>
              <w:rPr>
                <w:rFonts w:hint="eastAsia" w:ascii="宋体" w:hAnsi="宋体" w:eastAsia="宋体" w:cs="宋体"/>
                <w:color w:val="auto"/>
                <w:sz w:val="21"/>
                <w:szCs w:val="21"/>
                <w:highlight w:val="none"/>
              </w:rPr>
            </w:pPr>
          </w:p>
        </w:tc>
        <w:tc>
          <w:tcPr>
            <w:tcW w:w="12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68A473">
            <w:pPr>
              <w:jc w:val="center"/>
              <w:rPr>
                <w:rFonts w:hint="eastAsia" w:ascii="宋体" w:hAnsi="宋体" w:eastAsia="宋体" w:cs="宋体"/>
                <w:color w:val="auto"/>
                <w:sz w:val="21"/>
                <w:szCs w:val="21"/>
                <w:highlight w:val="none"/>
              </w:rPr>
            </w:pPr>
          </w:p>
        </w:tc>
        <w:tc>
          <w:tcPr>
            <w:tcW w:w="229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2C9E3D">
            <w:pPr>
              <w:jc w:val="center"/>
              <w:rPr>
                <w:rFonts w:hint="eastAsia" w:ascii="宋体" w:hAnsi="宋体" w:eastAsia="宋体" w:cs="宋体"/>
                <w:color w:val="auto"/>
                <w:sz w:val="21"/>
                <w:szCs w:val="21"/>
                <w:highlight w:val="none"/>
              </w:rPr>
            </w:pPr>
          </w:p>
        </w:tc>
      </w:tr>
      <w:tr w14:paraId="0C681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1" w:hRule="exact"/>
        </w:trPr>
        <w:tc>
          <w:tcPr>
            <w:tcW w:w="1543"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525B74">
            <w:pPr>
              <w:jc w:val="center"/>
              <w:rPr>
                <w:rFonts w:hint="eastAsia" w:ascii="宋体" w:hAnsi="宋体" w:eastAsia="宋体" w:cs="宋体"/>
                <w:color w:val="auto"/>
                <w:sz w:val="21"/>
                <w:szCs w:val="21"/>
                <w:highlight w:val="none"/>
              </w:rPr>
            </w:pPr>
          </w:p>
        </w:tc>
        <w:tc>
          <w:tcPr>
            <w:tcW w:w="342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F6291B">
            <w:pPr>
              <w:jc w:val="center"/>
              <w:rPr>
                <w:rFonts w:hint="eastAsia" w:ascii="宋体" w:hAnsi="宋体" w:eastAsia="宋体" w:cs="宋体"/>
                <w:color w:val="auto"/>
                <w:sz w:val="21"/>
                <w:szCs w:val="21"/>
                <w:highlight w:val="none"/>
              </w:rPr>
            </w:pPr>
          </w:p>
        </w:tc>
        <w:tc>
          <w:tcPr>
            <w:tcW w:w="12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3CAA10">
            <w:pPr>
              <w:jc w:val="center"/>
              <w:rPr>
                <w:rFonts w:hint="eastAsia" w:ascii="宋体" w:hAnsi="宋体" w:eastAsia="宋体" w:cs="宋体"/>
                <w:color w:val="auto"/>
                <w:sz w:val="21"/>
                <w:szCs w:val="21"/>
                <w:highlight w:val="none"/>
              </w:rPr>
            </w:pPr>
          </w:p>
        </w:tc>
        <w:tc>
          <w:tcPr>
            <w:tcW w:w="229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1FAB94">
            <w:pPr>
              <w:jc w:val="center"/>
              <w:rPr>
                <w:rFonts w:hint="eastAsia" w:ascii="宋体" w:hAnsi="宋体" w:eastAsia="宋体" w:cs="宋体"/>
                <w:color w:val="auto"/>
                <w:sz w:val="21"/>
                <w:szCs w:val="21"/>
                <w:highlight w:val="none"/>
              </w:rPr>
            </w:pPr>
          </w:p>
        </w:tc>
      </w:tr>
    </w:tbl>
    <w:p w14:paraId="39D2E2BD">
      <w:pPr>
        <w:pStyle w:val="12"/>
        <w:kinsoku w:val="0"/>
        <w:overflowPunct w:val="0"/>
        <w:spacing w:before="6"/>
        <w:ind w:left="0"/>
        <w:rPr>
          <w:rFonts w:hint="eastAsia" w:cs="宋体"/>
          <w:color w:val="auto"/>
          <w:sz w:val="24"/>
          <w:szCs w:val="24"/>
          <w:highlight w:val="none"/>
        </w:rPr>
      </w:pPr>
    </w:p>
    <w:p w14:paraId="5538158E">
      <w:pPr>
        <w:pStyle w:val="12"/>
        <w:kinsoku w:val="0"/>
        <w:overflowPunct w:val="0"/>
        <w:spacing w:before="36"/>
        <w:ind w:left="100"/>
        <w:rPr>
          <w:rFonts w:hint="eastAsia" w:cs="宋体"/>
          <w:color w:val="auto"/>
          <w:sz w:val="24"/>
          <w:szCs w:val="24"/>
          <w:highlight w:val="none"/>
        </w:rPr>
      </w:pPr>
    </w:p>
    <w:p w14:paraId="71A2F72D">
      <w:pPr>
        <w:pStyle w:val="12"/>
        <w:kinsoku w:val="0"/>
        <w:overflowPunct w:val="0"/>
        <w:spacing w:before="36"/>
        <w:ind w:left="100"/>
        <w:rPr>
          <w:rFonts w:hint="eastAsia" w:ascii="宋体" w:hAnsi="宋体" w:eastAsia="宋体" w:cs="宋体"/>
          <w:color w:val="auto"/>
          <w:sz w:val="21"/>
          <w:szCs w:val="21"/>
          <w:highlight w:val="none"/>
        </w:rPr>
        <w:sectPr>
          <w:headerReference r:id="rId15" w:type="default"/>
          <w:footerReference r:id="rId16" w:type="default"/>
          <w:pgSz w:w="11905" w:h="16838"/>
          <w:pgMar w:top="1417" w:right="1417" w:bottom="1417" w:left="1417" w:header="992" w:footer="992" w:gutter="0"/>
          <w:lnNumType w:countBy="0" w:distance="360"/>
          <w:cols w:space="720" w:num="1"/>
        </w:sectPr>
      </w:pPr>
    </w:p>
    <w:p w14:paraId="32D24D95">
      <w:pPr>
        <w:pStyle w:val="5"/>
        <w:jc w:val="center"/>
        <w:outlineLvl w:val="2"/>
        <w:rPr>
          <w:rFonts w:hint="eastAsia" w:cs="宋体"/>
          <w:b/>
          <w:color w:val="auto"/>
          <w:sz w:val="24"/>
          <w:szCs w:val="24"/>
          <w:highlight w:val="none"/>
        </w:rPr>
      </w:pPr>
      <w:bookmarkStart w:id="147" w:name="bookmark192"/>
      <w:bookmarkEnd w:id="147"/>
      <w:bookmarkStart w:id="148" w:name="_Toc6052"/>
      <w:r>
        <w:rPr>
          <w:rFonts w:hint="eastAsia" w:cs="宋体"/>
          <w:b/>
          <w:color w:val="auto"/>
          <w:sz w:val="24"/>
          <w:szCs w:val="24"/>
          <w:highlight w:val="none"/>
        </w:rPr>
        <w:t>（</w:t>
      </w:r>
      <w:r>
        <w:rPr>
          <w:rFonts w:hint="eastAsia" w:cs="宋体"/>
          <w:b/>
          <w:color w:val="auto"/>
          <w:sz w:val="24"/>
          <w:szCs w:val="24"/>
          <w:highlight w:val="none"/>
          <w:lang w:val="en-US" w:eastAsia="zh-CN"/>
        </w:rPr>
        <w:t>六</w:t>
      </w:r>
      <w:r>
        <w:rPr>
          <w:rFonts w:hint="eastAsia" w:cs="宋体"/>
          <w:b/>
          <w:color w:val="auto"/>
          <w:sz w:val="24"/>
          <w:szCs w:val="24"/>
          <w:highlight w:val="none"/>
        </w:rPr>
        <w:t>）拟投入本项目的主要试验检测仪器设备表</w:t>
      </w:r>
      <w:bookmarkEnd w:id="148"/>
    </w:p>
    <w:p w14:paraId="4534DC42">
      <w:pPr>
        <w:pStyle w:val="12"/>
        <w:kinsoku w:val="0"/>
        <w:overflowPunct w:val="0"/>
        <w:ind w:left="0"/>
        <w:rPr>
          <w:rFonts w:hint="eastAsia" w:cs="宋体"/>
          <w:color w:val="auto"/>
          <w:sz w:val="20"/>
          <w:szCs w:val="24"/>
          <w:highlight w:val="none"/>
        </w:rPr>
      </w:pPr>
    </w:p>
    <w:p w14:paraId="53631852">
      <w:pPr>
        <w:pStyle w:val="12"/>
        <w:kinsoku w:val="0"/>
        <w:overflowPunct w:val="0"/>
        <w:spacing w:before="11"/>
        <w:ind w:left="0"/>
        <w:rPr>
          <w:rFonts w:hint="eastAsia" w:cs="宋体"/>
          <w:color w:val="auto"/>
          <w:sz w:val="22"/>
          <w:szCs w:val="24"/>
          <w:highlight w:val="none"/>
        </w:rPr>
      </w:pPr>
    </w:p>
    <w:tbl>
      <w:tblPr>
        <w:tblStyle w:val="27"/>
        <w:tblW w:w="8594" w:type="dxa"/>
        <w:tblInd w:w="44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36"/>
        <w:gridCol w:w="1635"/>
        <w:gridCol w:w="1170"/>
        <w:gridCol w:w="747"/>
        <w:gridCol w:w="993"/>
        <w:gridCol w:w="994"/>
        <w:gridCol w:w="1529"/>
        <w:gridCol w:w="990"/>
      </w:tblGrid>
      <w:tr w14:paraId="70DEA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1" w:hRule="exact"/>
        </w:trPr>
        <w:tc>
          <w:tcPr>
            <w:tcW w:w="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EF1F33">
            <w:pPr>
              <w:pStyle w:val="34"/>
              <w:kinsoku w:val="0"/>
              <w:overflowPunct w:val="0"/>
              <w:spacing w:line="240" w:lineRule="atLeast"/>
              <w:jc w:val="center"/>
              <w:rPr>
                <w:rFonts w:hint="eastAsia" w:ascii="宋体" w:hAnsi="宋体" w:cs="宋体"/>
                <w:color w:val="auto"/>
                <w:sz w:val="21"/>
                <w:szCs w:val="24"/>
                <w:highlight w:val="none"/>
              </w:rPr>
            </w:pPr>
            <w:r>
              <w:rPr>
                <w:rFonts w:hint="eastAsia" w:ascii="宋体" w:hAnsi="宋体" w:eastAsia="宋体" w:cs="宋体"/>
                <w:color w:val="auto"/>
                <w:sz w:val="21"/>
                <w:szCs w:val="24"/>
                <w:highlight w:val="none"/>
              </w:rPr>
              <w:t>序号</w:t>
            </w:r>
          </w:p>
        </w:tc>
        <w:tc>
          <w:tcPr>
            <w:tcW w:w="163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FEC0CC">
            <w:pPr>
              <w:pStyle w:val="34"/>
              <w:kinsoku w:val="0"/>
              <w:overflowPunct w:val="0"/>
              <w:spacing w:line="240" w:lineRule="atLeast"/>
              <w:jc w:val="center"/>
              <w:rPr>
                <w:rFonts w:hint="eastAsia" w:ascii="宋体" w:hAnsi="宋体" w:cs="宋体"/>
                <w:color w:val="auto"/>
                <w:sz w:val="21"/>
                <w:szCs w:val="24"/>
                <w:highlight w:val="none"/>
              </w:rPr>
            </w:pPr>
            <w:r>
              <w:rPr>
                <w:rFonts w:hint="eastAsia" w:ascii="宋体" w:hAnsi="宋体" w:eastAsia="宋体" w:cs="宋体"/>
                <w:color w:val="auto"/>
                <w:sz w:val="21"/>
                <w:szCs w:val="24"/>
                <w:highlight w:val="none"/>
              </w:rPr>
              <w:t>仪器</w:t>
            </w:r>
            <w:r>
              <w:rPr>
                <w:rFonts w:hint="eastAsia" w:ascii="宋体" w:hAnsi="宋体" w:eastAsia="宋体" w:cs="宋体"/>
                <w:color w:val="auto"/>
                <w:sz w:val="21"/>
                <w:szCs w:val="24"/>
                <w:highlight w:val="none"/>
                <w:lang w:eastAsia="zh-CN"/>
              </w:rPr>
              <w:t>设</w:t>
            </w:r>
            <w:r>
              <w:rPr>
                <w:rFonts w:hint="eastAsia" w:ascii="宋体" w:hAnsi="宋体" w:eastAsia="宋体" w:cs="宋体"/>
                <w:color w:val="auto"/>
                <w:sz w:val="21"/>
                <w:szCs w:val="24"/>
                <w:highlight w:val="none"/>
              </w:rPr>
              <w:t>备名称</w:t>
            </w:r>
          </w:p>
        </w:tc>
        <w:tc>
          <w:tcPr>
            <w:tcW w:w="11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B07E92">
            <w:pPr>
              <w:pStyle w:val="34"/>
              <w:kinsoku w:val="0"/>
              <w:overflowPunct w:val="0"/>
              <w:spacing w:line="240" w:lineRule="atLeast"/>
              <w:jc w:val="center"/>
              <w:rPr>
                <w:rFonts w:hint="eastAsia" w:ascii="宋体" w:hAnsi="宋体" w:cs="宋体"/>
                <w:color w:val="auto"/>
                <w:sz w:val="21"/>
                <w:szCs w:val="24"/>
                <w:highlight w:val="none"/>
              </w:rPr>
            </w:pPr>
            <w:r>
              <w:rPr>
                <w:rFonts w:hint="eastAsia" w:ascii="宋体" w:hAnsi="宋体" w:eastAsia="宋体" w:cs="宋体"/>
                <w:color w:val="auto"/>
                <w:sz w:val="21"/>
                <w:szCs w:val="24"/>
                <w:highlight w:val="none"/>
              </w:rPr>
              <w:t>型号</w:t>
            </w:r>
            <w:r>
              <w:rPr>
                <w:rFonts w:hint="eastAsia" w:ascii="宋体" w:hAnsi="宋体" w:eastAsia="宋体" w:cs="宋体"/>
                <w:color w:val="auto"/>
                <w:spacing w:val="-103"/>
                <w:sz w:val="21"/>
                <w:szCs w:val="24"/>
                <w:highlight w:val="none"/>
              </w:rPr>
              <w:t xml:space="preserve"> </w:t>
            </w:r>
            <w:r>
              <w:rPr>
                <w:rFonts w:hint="eastAsia" w:ascii="宋体" w:hAnsi="宋体" w:eastAsia="宋体" w:cs="宋体"/>
                <w:color w:val="auto"/>
                <w:sz w:val="21"/>
                <w:szCs w:val="24"/>
                <w:highlight w:val="none"/>
              </w:rPr>
              <w:t>规格</w:t>
            </w:r>
          </w:p>
        </w:tc>
        <w:tc>
          <w:tcPr>
            <w:tcW w:w="7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D2C0B5">
            <w:pPr>
              <w:pStyle w:val="34"/>
              <w:kinsoku w:val="0"/>
              <w:overflowPunct w:val="0"/>
              <w:spacing w:line="240" w:lineRule="atLeast"/>
              <w:jc w:val="center"/>
              <w:rPr>
                <w:rFonts w:hint="eastAsia" w:ascii="宋体" w:hAnsi="宋体" w:cs="宋体"/>
                <w:color w:val="auto"/>
                <w:sz w:val="21"/>
                <w:szCs w:val="24"/>
                <w:highlight w:val="none"/>
              </w:rPr>
            </w:pPr>
            <w:r>
              <w:rPr>
                <w:rFonts w:hint="eastAsia" w:ascii="宋体" w:hAnsi="宋体" w:eastAsia="宋体" w:cs="宋体"/>
                <w:color w:val="auto"/>
                <w:sz w:val="21"/>
                <w:szCs w:val="24"/>
                <w:highlight w:val="none"/>
              </w:rPr>
              <w:t>数量</w:t>
            </w:r>
          </w:p>
        </w:tc>
        <w:tc>
          <w:tcPr>
            <w:tcW w:w="99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C54077">
            <w:pPr>
              <w:pStyle w:val="34"/>
              <w:kinsoku w:val="0"/>
              <w:overflowPunct w:val="0"/>
              <w:spacing w:line="240" w:lineRule="atLeast"/>
              <w:jc w:val="center"/>
              <w:rPr>
                <w:rFonts w:hint="eastAsia" w:ascii="宋体" w:hAnsi="宋体" w:cs="宋体"/>
                <w:color w:val="auto"/>
                <w:sz w:val="21"/>
                <w:szCs w:val="24"/>
                <w:highlight w:val="none"/>
              </w:rPr>
            </w:pPr>
            <w:r>
              <w:rPr>
                <w:rFonts w:hint="eastAsia" w:ascii="宋体" w:hAnsi="宋体" w:eastAsia="宋体" w:cs="宋体"/>
                <w:color w:val="auto"/>
                <w:sz w:val="21"/>
                <w:szCs w:val="24"/>
                <w:highlight w:val="none"/>
              </w:rPr>
              <w:t>国别</w:t>
            </w:r>
            <w:r>
              <w:rPr>
                <w:rFonts w:hint="eastAsia" w:ascii="宋体" w:hAnsi="宋体" w:eastAsia="宋体" w:cs="宋体"/>
                <w:color w:val="auto"/>
                <w:spacing w:val="-103"/>
                <w:sz w:val="21"/>
                <w:szCs w:val="24"/>
                <w:highlight w:val="none"/>
              </w:rPr>
              <w:t xml:space="preserve"> </w:t>
            </w:r>
            <w:r>
              <w:rPr>
                <w:rFonts w:hint="eastAsia" w:ascii="宋体" w:hAnsi="宋体" w:eastAsia="宋体" w:cs="宋体"/>
                <w:color w:val="auto"/>
                <w:sz w:val="21"/>
                <w:szCs w:val="24"/>
                <w:highlight w:val="none"/>
              </w:rPr>
              <w:t>产地</w:t>
            </w:r>
          </w:p>
        </w:tc>
        <w:tc>
          <w:tcPr>
            <w:tcW w:w="99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C0A215">
            <w:pPr>
              <w:pStyle w:val="34"/>
              <w:kinsoku w:val="0"/>
              <w:overflowPunct w:val="0"/>
              <w:spacing w:line="240" w:lineRule="atLeast"/>
              <w:jc w:val="center"/>
              <w:rPr>
                <w:rFonts w:hint="eastAsia" w:ascii="宋体" w:hAnsi="宋体" w:cs="宋体"/>
                <w:color w:val="auto"/>
                <w:sz w:val="21"/>
                <w:szCs w:val="24"/>
                <w:highlight w:val="none"/>
              </w:rPr>
            </w:pPr>
            <w:r>
              <w:rPr>
                <w:rFonts w:hint="eastAsia" w:ascii="宋体" w:hAnsi="宋体" w:eastAsia="宋体" w:cs="宋体"/>
                <w:color w:val="auto"/>
                <w:sz w:val="21"/>
                <w:szCs w:val="24"/>
                <w:highlight w:val="none"/>
              </w:rPr>
              <w:t>制造</w:t>
            </w:r>
            <w:r>
              <w:rPr>
                <w:rFonts w:hint="eastAsia" w:ascii="宋体" w:hAnsi="宋体" w:eastAsia="宋体" w:cs="宋体"/>
                <w:color w:val="auto"/>
                <w:spacing w:val="-103"/>
                <w:sz w:val="21"/>
                <w:szCs w:val="24"/>
                <w:highlight w:val="none"/>
              </w:rPr>
              <w:t xml:space="preserve"> </w:t>
            </w:r>
            <w:r>
              <w:rPr>
                <w:rFonts w:hint="eastAsia" w:ascii="宋体" w:hAnsi="宋体" w:eastAsia="宋体" w:cs="宋体"/>
                <w:color w:val="auto"/>
                <w:sz w:val="21"/>
                <w:szCs w:val="24"/>
                <w:highlight w:val="none"/>
              </w:rPr>
              <w:t>年份</w:t>
            </w:r>
          </w:p>
        </w:tc>
        <w:tc>
          <w:tcPr>
            <w:tcW w:w="15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81400C">
            <w:pPr>
              <w:pStyle w:val="34"/>
              <w:kinsoku w:val="0"/>
              <w:overflowPunct w:val="0"/>
              <w:spacing w:line="240" w:lineRule="atLeast"/>
              <w:jc w:val="center"/>
              <w:rPr>
                <w:rFonts w:hint="eastAsia" w:ascii="宋体" w:hAnsi="宋体" w:cs="宋体"/>
                <w:color w:val="auto"/>
                <w:sz w:val="21"/>
                <w:szCs w:val="24"/>
                <w:highlight w:val="none"/>
              </w:rPr>
            </w:pPr>
            <w:r>
              <w:rPr>
                <w:rFonts w:hint="eastAsia" w:ascii="宋体" w:hAnsi="宋体" w:eastAsia="宋体" w:cs="宋体"/>
                <w:color w:val="auto"/>
                <w:sz w:val="21"/>
                <w:szCs w:val="24"/>
                <w:highlight w:val="none"/>
              </w:rPr>
              <w:t>用途</w:t>
            </w:r>
          </w:p>
        </w:tc>
        <w:tc>
          <w:tcPr>
            <w:tcW w:w="99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DAF4E3">
            <w:pPr>
              <w:pStyle w:val="34"/>
              <w:kinsoku w:val="0"/>
              <w:overflowPunct w:val="0"/>
              <w:spacing w:line="240" w:lineRule="atLeast"/>
              <w:jc w:val="center"/>
              <w:rPr>
                <w:rFonts w:hint="eastAsia" w:ascii="宋体" w:hAnsi="宋体" w:cs="宋体"/>
                <w:color w:val="auto"/>
                <w:sz w:val="21"/>
                <w:szCs w:val="24"/>
                <w:highlight w:val="none"/>
              </w:rPr>
            </w:pPr>
            <w:r>
              <w:rPr>
                <w:rFonts w:hint="eastAsia" w:ascii="宋体" w:hAnsi="宋体" w:eastAsia="宋体" w:cs="宋体"/>
                <w:color w:val="auto"/>
                <w:sz w:val="21"/>
                <w:szCs w:val="24"/>
                <w:highlight w:val="none"/>
              </w:rPr>
              <w:t>备注</w:t>
            </w:r>
          </w:p>
        </w:tc>
      </w:tr>
      <w:tr w14:paraId="454C0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exact"/>
        </w:trPr>
        <w:tc>
          <w:tcPr>
            <w:tcW w:w="53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3952383">
            <w:pPr>
              <w:rPr>
                <w:rFonts w:hint="eastAsia" w:ascii="宋体" w:hAnsi="宋体" w:cs="宋体"/>
                <w:color w:val="auto"/>
                <w:sz w:val="24"/>
                <w:szCs w:val="24"/>
                <w:highlight w:val="none"/>
              </w:rPr>
            </w:pPr>
          </w:p>
        </w:tc>
        <w:tc>
          <w:tcPr>
            <w:tcW w:w="16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14BBE37">
            <w:pPr>
              <w:rPr>
                <w:rFonts w:hint="eastAsia" w:ascii="宋体" w:hAnsi="宋体" w:cs="宋体"/>
                <w:color w:val="auto"/>
                <w:sz w:val="24"/>
                <w:szCs w:val="24"/>
                <w:highlight w:val="none"/>
              </w:rPr>
            </w:pPr>
          </w:p>
        </w:tc>
        <w:tc>
          <w:tcPr>
            <w:tcW w:w="117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5314209">
            <w:pPr>
              <w:rPr>
                <w:rFonts w:hint="eastAsia" w:ascii="宋体" w:hAnsi="宋体" w:cs="宋体"/>
                <w:color w:val="auto"/>
                <w:sz w:val="24"/>
                <w:szCs w:val="24"/>
                <w:highlight w:val="none"/>
              </w:rPr>
            </w:pPr>
          </w:p>
        </w:tc>
        <w:tc>
          <w:tcPr>
            <w:tcW w:w="74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BFB63D8">
            <w:pPr>
              <w:rPr>
                <w:rFonts w:hint="eastAsia" w:ascii="宋体" w:hAnsi="宋体" w:cs="宋体"/>
                <w:color w:val="auto"/>
                <w:sz w:val="24"/>
                <w:szCs w:val="24"/>
                <w:highlight w:val="none"/>
              </w:rPr>
            </w:pPr>
          </w:p>
        </w:tc>
        <w:tc>
          <w:tcPr>
            <w:tcW w:w="9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2B1290F">
            <w:pPr>
              <w:rPr>
                <w:rFonts w:hint="eastAsia" w:ascii="宋体" w:hAnsi="宋体" w:cs="宋体"/>
                <w:color w:val="auto"/>
                <w:sz w:val="24"/>
                <w:szCs w:val="24"/>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A1101E1">
            <w:pPr>
              <w:rPr>
                <w:rFonts w:hint="eastAsia" w:ascii="宋体" w:hAnsi="宋体" w:cs="宋体"/>
                <w:color w:val="auto"/>
                <w:sz w:val="24"/>
                <w:szCs w:val="24"/>
                <w:highlight w:val="none"/>
              </w:rPr>
            </w:pPr>
          </w:p>
        </w:tc>
        <w:tc>
          <w:tcPr>
            <w:tcW w:w="152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15030C3">
            <w:pPr>
              <w:rPr>
                <w:rFonts w:hint="eastAsia" w:ascii="宋体" w:hAnsi="宋体" w:cs="宋体"/>
                <w:color w:val="auto"/>
                <w:sz w:val="24"/>
                <w:szCs w:val="24"/>
                <w:highlight w:val="none"/>
              </w:rPr>
            </w:pPr>
          </w:p>
        </w:tc>
        <w:tc>
          <w:tcPr>
            <w:tcW w:w="99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0777C5B">
            <w:pPr>
              <w:rPr>
                <w:rFonts w:hint="eastAsia" w:ascii="宋体" w:hAnsi="宋体" w:cs="宋体"/>
                <w:color w:val="auto"/>
                <w:sz w:val="24"/>
                <w:szCs w:val="24"/>
                <w:highlight w:val="none"/>
              </w:rPr>
            </w:pPr>
          </w:p>
        </w:tc>
      </w:tr>
      <w:tr w14:paraId="0E4D9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exact"/>
        </w:trPr>
        <w:tc>
          <w:tcPr>
            <w:tcW w:w="53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B449B66">
            <w:pPr>
              <w:rPr>
                <w:rFonts w:hint="eastAsia" w:ascii="宋体" w:hAnsi="宋体" w:cs="宋体"/>
                <w:color w:val="auto"/>
                <w:sz w:val="24"/>
                <w:szCs w:val="24"/>
                <w:highlight w:val="none"/>
              </w:rPr>
            </w:pPr>
          </w:p>
        </w:tc>
        <w:tc>
          <w:tcPr>
            <w:tcW w:w="16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5614E10">
            <w:pPr>
              <w:rPr>
                <w:rFonts w:hint="eastAsia" w:ascii="宋体" w:hAnsi="宋体" w:cs="宋体"/>
                <w:color w:val="auto"/>
                <w:sz w:val="24"/>
                <w:szCs w:val="24"/>
                <w:highlight w:val="none"/>
              </w:rPr>
            </w:pPr>
          </w:p>
        </w:tc>
        <w:tc>
          <w:tcPr>
            <w:tcW w:w="117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5AEEF34">
            <w:pPr>
              <w:rPr>
                <w:rFonts w:hint="eastAsia" w:ascii="宋体" w:hAnsi="宋体" w:cs="宋体"/>
                <w:color w:val="auto"/>
                <w:sz w:val="24"/>
                <w:szCs w:val="24"/>
                <w:highlight w:val="none"/>
              </w:rPr>
            </w:pPr>
          </w:p>
        </w:tc>
        <w:tc>
          <w:tcPr>
            <w:tcW w:w="74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12AAD43">
            <w:pPr>
              <w:rPr>
                <w:rFonts w:hint="eastAsia" w:ascii="宋体" w:hAnsi="宋体" w:cs="宋体"/>
                <w:color w:val="auto"/>
                <w:sz w:val="24"/>
                <w:szCs w:val="24"/>
                <w:highlight w:val="none"/>
              </w:rPr>
            </w:pPr>
          </w:p>
        </w:tc>
        <w:tc>
          <w:tcPr>
            <w:tcW w:w="9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CF7B64C">
            <w:pPr>
              <w:rPr>
                <w:rFonts w:hint="eastAsia" w:ascii="宋体" w:hAnsi="宋体" w:cs="宋体"/>
                <w:color w:val="auto"/>
                <w:sz w:val="24"/>
                <w:szCs w:val="24"/>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DE8DFD3">
            <w:pPr>
              <w:rPr>
                <w:rFonts w:hint="eastAsia" w:ascii="宋体" w:hAnsi="宋体" w:cs="宋体"/>
                <w:color w:val="auto"/>
                <w:sz w:val="24"/>
                <w:szCs w:val="24"/>
                <w:highlight w:val="none"/>
              </w:rPr>
            </w:pPr>
          </w:p>
        </w:tc>
        <w:tc>
          <w:tcPr>
            <w:tcW w:w="152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0E8BFD4">
            <w:pPr>
              <w:rPr>
                <w:rFonts w:hint="eastAsia" w:ascii="宋体" w:hAnsi="宋体" w:cs="宋体"/>
                <w:color w:val="auto"/>
                <w:sz w:val="24"/>
                <w:szCs w:val="24"/>
                <w:highlight w:val="none"/>
              </w:rPr>
            </w:pPr>
          </w:p>
        </w:tc>
        <w:tc>
          <w:tcPr>
            <w:tcW w:w="99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D3C5BB7">
            <w:pPr>
              <w:rPr>
                <w:rFonts w:hint="eastAsia" w:ascii="宋体" w:hAnsi="宋体" w:cs="宋体"/>
                <w:color w:val="auto"/>
                <w:sz w:val="24"/>
                <w:szCs w:val="24"/>
                <w:highlight w:val="none"/>
              </w:rPr>
            </w:pPr>
          </w:p>
        </w:tc>
      </w:tr>
      <w:tr w14:paraId="153C5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exact"/>
        </w:trPr>
        <w:tc>
          <w:tcPr>
            <w:tcW w:w="53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5D67AC0">
            <w:pPr>
              <w:rPr>
                <w:rFonts w:hint="eastAsia" w:ascii="宋体" w:hAnsi="宋体" w:cs="宋体"/>
                <w:color w:val="auto"/>
                <w:sz w:val="24"/>
                <w:szCs w:val="24"/>
                <w:highlight w:val="none"/>
              </w:rPr>
            </w:pPr>
          </w:p>
        </w:tc>
        <w:tc>
          <w:tcPr>
            <w:tcW w:w="16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7A624C4">
            <w:pPr>
              <w:rPr>
                <w:rFonts w:hint="eastAsia" w:ascii="宋体" w:hAnsi="宋体" w:cs="宋体"/>
                <w:color w:val="auto"/>
                <w:sz w:val="24"/>
                <w:szCs w:val="24"/>
                <w:highlight w:val="none"/>
              </w:rPr>
            </w:pPr>
          </w:p>
        </w:tc>
        <w:tc>
          <w:tcPr>
            <w:tcW w:w="117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052265F">
            <w:pPr>
              <w:rPr>
                <w:rFonts w:hint="eastAsia" w:ascii="宋体" w:hAnsi="宋体" w:cs="宋体"/>
                <w:color w:val="auto"/>
                <w:sz w:val="24"/>
                <w:szCs w:val="24"/>
                <w:highlight w:val="none"/>
              </w:rPr>
            </w:pPr>
          </w:p>
        </w:tc>
        <w:tc>
          <w:tcPr>
            <w:tcW w:w="74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A72A591">
            <w:pPr>
              <w:rPr>
                <w:rFonts w:hint="eastAsia" w:ascii="宋体" w:hAnsi="宋体" w:cs="宋体"/>
                <w:color w:val="auto"/>
                <w:sz w:val="24"/>
                <w:szCs w:val="24"/>
                <w:highlight w:val="none"/>
              </w:rPr>
            </w:pPr>
          </w:p>
        </w:tc>
        <w:tc>
          <w:tcPr>
            <w:tcW w:w="9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3D7C1B2">
            <w:pPr>
              <w:rPr>
                <w:rFonts w:hint="eastAsia" w:ascii="宋体" w:hAnsi="宋体" w:cs="宋体"/>
                <w:color w:val="auto"/>
                <w:sz w:val="24"/>
                <w:szCs w:val="24"/>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34ACA59">
            <w:pPr>
              <w:rPr>
                <w:rFonts w:hint="eastAsia" w:ascii="宋体" w:hAnsi="宋体" w:cs="宋体"/>
                <w:color w:val="auto"/>
                <w:sz w:val="24"/>
                <w:szCs w:val="24"/>
                <w:highlight w:val="none"/>
              </w:rPr>
            </w:pPr>
          </w:p>
        </w:tc>
        <w:tc>
          <w:tcPr>
            <w:tcW w:w="152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3DE71A8">
            <w:pPr>
              <w:rPr>
                <w:rFonts w:hint="eastAsia" w:ascii="宋体" w:hAnsi="宋体" w:cs="宋体"/>
                <w:color w:val="auto"/>
                <w:sz w:val="24"/>
                <w:szCs w:val="24"/>
                <w:highlight w:val="none"/>
              </w:rPr>
            </w:pPr>
          </w:p>
        </w:tc>
        <w:tc>
          <w:tcPr>
            <w:tcW w:w="99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D213A09">
            <w:pPr>
              <w:rPr>
                <w:rFonts w:hint="eastAsia" w:ascii="宋体" w:hAnsi="宋体" w:cs="宋体"/>
                <w:color w:val="auto"/>
                <w:sz w:val="24"/>
                <w:szCs w:val="24"/>
                <w:highlight w:val="none"/>
              </w:rPr>
            </w:pPr>
          </w:p>
        </w:tc>
      </w:tr>
      <w:tr w14:paraId="0FB4F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exact"/>
        </w:trPr>
        <w:tc>
          <w:tcPr>
            <w:tcW w:w="53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C31C879">
            <w:pPr>
              <w:rPr>
                <w:rFonts w:hint="eastAsia" w:ascii="宋体" w:hAnsi="宋体" w:cs="宋体"/>
                <w:color w:val="auto"/>
                <w:sz w:val="24"/>
                <w:szCs w:val="24"/>
                <w:highlight w:val="none"/>
              </w:rPr>
            </w:pPr>
          </w:p>
        </w:tc>
        <w:tc>
          <w:tcPr>
            <w:tcW w:w="16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CE2BD6E">
            <w:pPr>
              <w:rPr>
                <w:rFonts w:hint="eastAsia" w:ascii="宋体" w:hAnsi="宋体" w:cs="宋体"/>
                <w:color w:val="auto"/>
                <w:sz w:val="24"/>
                <w:szCs w:val="24"/>
                <w:highlight w:val="none"/>
              </w:rPr>
            </w:pPr>
          </w:p>
        </w:tc>
        <w:tc>
          <w:tcPr>
            <w:tcW w:w="117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FC390C6">
            <w:pPr>
              <w:rPr>
                <w:rFonts w:hint="eastAsia" w:ascii="宋体" w:hAnsi="宋体" w:cs="宋体"/>
                <w:color w:val="auto"/>
                <w:sz w:val="24"/>
                <w:szCs w:val="24"/>
                <w:highlight w:val="none"/>
              </w:rPr>
            </w:pPr>
          </w:p>
        </w:tc>
        <w:tc>
          <w:tcPr>
            <w:tcW w:w="74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60CC7AC">
            <w:pPr>
              <w:rPr>
                <w:rFonts w:hint="eastAsia" w:ascii="宋体" w:hAnsi="宋体" w:cs="宋体"/>
                <w:color w:val="auto"/>
                <w:sz w:val="24"/>
                <w:szCs w:val="24"/>
                <w:highlight w:val="none"/>
              </w:rPr>
            </w:pPr>
          </w:p>
        </w:tc>
        <w:tc>
          <w:tcPr>
            <w:tcW w:w="9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D67CFDA">
            <w:pPr>
              <w:rPr>
                <w:rFonts w:hint="eastAsia" w:ascii="宋体" w:hAnsi="宋体" w:cs="宋体"/>
                <w:color w:val="auto"/>
                <w:sz w:val="24"/>
                <w:szCs w:val="24"/>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B4E125A">
            <w:pPr>
              <w:rPr>
                <w:rFonts w:hint="eastAsia" w:ascii="宋体" w:hAnsi="宋体" w:cs="宋体"/>
                <w:color w:val="auto"/>
                <w:sz w:val="24"/>
                <w:szCs w:val="24"/>
                <w:highlight w:val="none"/>
              </w:rPr>
            </w:pPr>
          </w:p>
        </w:tc>
        <w:tc>
          <w:tcPr>
            <w:tcW w:w="152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75F0357">
            <w:pPr>
              <w:rPr>
                <w:rFonts w:hint="eastAsia" w:ascii="宋体" w:hAnsi="宋体" w:cs="宋体"/>
                <w:color w:val="auto"/>
                <w:sz w:val="24"/>
                <w:szCs w:val="24"/>
                <w:highlight w:val="none"/>
              </w:rPr>
            </w:pPr>
          </w:p>
        </w:tc>
        <w:tc>
          <w:tcPr>
            <w:tcW w:w="99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5CF08A7">
            <w:pPr>
              <w:rPr>
                <w:rFonts w:hint="eastAsia" w:ascii="宋体" w:hAnsi="宋体" w:cs="宋体"/>
                <w:color w:val="auto"/>
                <w:sz w:val="24"/>
                <w:szCs w:val="24"/>
                <w:highlight w:val="none"/>
              </w:rPr>
            </w:pPr>
          </w:p>
        </w:tc>
      </w:tr>
      <w:tr w14:paraId="431AC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exact"/>
        </w:trPr>
        <w:tc>
          <w:tcPr>
            <w:tcW w:w="53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44DF234">
            <w:pPr>
              <w:rPr>
                <w:rFonts w:hint="eastAsia" w:ascii="宋体" w:hAnsi="宋体" w:cs="宋体"/>
                <w:color w:val="auto"/>
                <w:sz w:val="24"/>
                <w:szCs w:val="24"/>
                <w:highlight w:val="none"/>
              </w:rPr>
            </w:pPr>
          </w:p>
        </w:tc>
        <w:tc>
          <w:tcPr>
            <w:tcW w:w="16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A875066">
            <w:pPr>
              <w:rPr>
                <w:rFonts w:hint="eastAsia" w:ascii="宋体" w:hAnsi="宋体" w:cs="宋体"/>
                <w:color w:val="auto"/>
                <w:sz w:val="24"/>
                <w:szCs w:val="24"/>
                <w:highlight w:val="none"/>
              </w:rPr>
            </w:pPr>
          </w:p>
        </w:tc>
        <w:tc>
          <w:tcPr>
            <w:tcW w:w="117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3653F63">
            <w:pPr>
              <w:rPr>
                <w:rFonts w:hint="eastAsia" w:ascii="宋体" w:hAnsi="宋体" w:cs="宋体"/>
                <w:color w:val="auto"/>
                <w:sz w:val="24"/>
                <w:szCs w:val="24"/>
                <w:highlight w:val="none"/>
              </w:rPr>
            </w:pPr>
          </w:p>
        </w:tc>
        <w:tc>
          <w:tcPr>
            <w:tcW w:w="74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F90F8DB">
            <w:pPr>
              <w:rPr>
                <w:rFonts w:hint="eastAsia" w:ascii="宋体" w:hAnsi="宋体" w:cs="宋体"/>
                <w:color w:val="auto"/>
                <w:sz w:val="24"/>
                <w:szCs w:val="24"/>
                <w:highlight w:val="none"/>
              </w:rPr>
            </w:pPr>
          </w:p>
        </w:tc>
        <w:tc>
          <w:tcPr>
            <w:tcW w:w="9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5A7883C">
            <w:pPr>
              <w:rPr>
                <w:rFonts w:hint="eastAsia" w:ascii="宋体" w:hAnsi="宋体" w:cs="宋体"/>
                <w:color w:val="auto"/>
                <w:sz w:val="24"/>
                <w:szCs w:val="24"/>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866CA87">
            <w:pPr>
              <w:rPr>
                <w:rFonts w:hint="eastAsia" w:ascii="宋体" w:hAnsi="宋体" w:cs="宋体"/>
                <w:color w:val="auto"/>
                <w:sz w:val="24"/>
                <w:szCs w:val="24"/>
                <w:highlight w:val="none"/>
              </w:rPr>
            </w:pPr>
          </w:p>
        </w:tc>
        <w:tc>
          <w:tcPr>
            <w:tcW w:w="152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B1DCB93">
            <w:pPr>
              <w:rPr>
                <w:rFonts w:hint="eastAsia" w:ascii="宋体" w:hAnsi="宋体" w:cs="宋体"/>
                <w:color w:val="auto"/>
                <w:sz w:val="24"/>
                <w:szCs w:val="24"/>
                <w:highlight w:val="none"/>
              </w:rPr>
            </w:pPr>
          </w:p>
        </w:tc>
        <w:tc>
          <w:tcPr>
            <w:tcW w:w="99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76DBB8A">
            <w:pPr>
              <w:rPr>
                <w:rFonts w:hint="eastAsia" w:ascii="宋体" w:hAnsi="宋体" w:cs="宋体"/>
                <w:color w:val="auto"/>
                <w:sz w:val="24"/>
                <w:szCs w:val="24"/>
                <w:highlight w:val="none"/>
              </w:rPr>
            </w:pPr>
          </w:p>
        </w:tc>
      </w:tr>
      <w:tr w14:paraId="71D24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exact"/>
        </w:trPr>
        <w:tc>
          <w:tcPr>
            <w:tcW w:w="53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71E3B43">
            <w:pPr>
              <w:rPr>
                <w:rFonts w:hint="eastAsia" w:ascii="宋体" w:hAnsi="宋体" w:cs="宋体"/>
                <w:color w:val="auto"/>
                <w:sz w:val="24"/>
                <w:szCs w:val="24"/>
                <w:highlight w:val="none"/>
              </w:rPr>
            </w:pPr>
          </w:p>
        </w:tc>
        <w:tc>
          <w:tcPr>
            <w:tcW w:w="16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D7FE5C6">
            <w:pPr>
              <w:rPr>
                <w:rFonts w:hint="eastAsia" w:ascii="宋体" w:hAnsi="宋体" w:cs="宋体"/>
                <w:color w:val="auto"/>
                <w:sz w:val="24"/>
                <w:szCs w:val="24"/>
                <w:highlight w:val="none"/>
              </w:rPr>
            </w:pPr>
          </w:p>
        </w:tc>
        <w:tc>
          <w:tcPr>
            <w:tcW w:w="117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370877D">
            <w:pPr>
              <w:rPr>
                <w:rFonts w:hint="eastAsia" w:ascii="宋体" w:hAnsi="宋体" w:cs="宋体"/>
                <w:color w:val="auto"/>
                <w:sz w:val="24"/>
                <w:szCs w:val="24"/>
                <w:highlight w:val="none"/>
              </w:rPr>
            </w:pPr>
          </w:p>
        </w:tc>
        <w:tc>
          <w:tcPr>
            <w:tcW w:w="74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C9C0D69">
            <w:pPr>
              <w:rPr>
                <w:rFonts w:hint="eastAsia" w:ascii="宋体" w:hAnsi="宋体" w:cs="宋体"/>
                <w:color w:val="auto"/>
                <w:sz w:val="24"/>
                <w:szCs w:val="24"/>
                <w:highlight w:val="none"/>
              </w:rPr>
            </w:pPr>
          </w:p>
        </w:tc>
        <w:tc>
          <w:tcPr>
            <w:tcW w:w="9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E21FB81">
            <w:pPr>
              <w:rPr>
                <w:rFonts w:hint="eastAsia" w:ascii="宋体" w:hAnsi="宋体" w:cs="宋体"/>
                <w:color w:val="auto"/>
                <w:sz w:val="24"/>
                <w:szCs w:val="24"/>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3C2BFEA">
            <w:pPr>
              <w:rPr>
                <w:rFonts w:hint="eastAsia" w:ascii="宋体" w:hAnsi="宋体" w:cs="宋体"/>
                <w:color w:val="auto"/>
                <w:sz w:val="24"/>
                <w:szCs w:val="24"/>
                <w:highlight w:val="none"/>
              </w:rPr>
            </w:pPr>
          </w:p>
        </w:tc>
        <w:tc>
          <w:tcPr>
            <w:tcW w:w="152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BAD7DAE">
            <w:pPr>
              <w:rPr>
                <w:rFonts w:hint="eastAsia" w:ascii="宋体" w:hAnsi="宋体" w:cs="宋体"/>
                <w:color w:val="auto"/>
                <w:sz w:val="24"/>
                <w:szCs w:val="24"/>
                <w:highlight w:val="none"/>
              </w:rPr>
            </w:pPr>
          </w:p>
        </w:tc>
        <w:tc>
          <w:tcPr>
            <w:tcW w:w="99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CF5E736">
            <w:pPr>
              <w:rPr>
                <w:rFonts w:hint="eastAsia" w:ascii="宋体" w:hAnsi="宋体" w:cs="宋体"/>
                <w:color w:val="auto"/>
                <w:sz w:val="24"/>
                <w:szCs w:val="24"/>
                <w:highlight w:val="none"/>
              </w:rPr>
            </w:pPr>
          </w:p>
        </w:tc>
      </w:tr>
      <w:tr w14:paraId="1809B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exact"/>
        </w:trPr>
        <w:tc>
          <w:tcPr>
            <w:tcW w:w="53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241E43C">
            <w:pPr>
              <w:rPr>
                <w:rFonts w:hint="eastAsia" w:ascii="宋体" w:hAnsi="宋体" w:cs="宋体"/>
                <w:color w:val="auto"/>
                <w:sz w:val="24"/>
                <w:szCs w:val="24"/>
                <w:highlight w:val="none"/>
              </w:rPr>
            </w:pPr>
          </w:p>
        </w:tc>
        <w:tc>
          <w:tcPr>
            <w:tcW w:w="16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8942241">
            <w:pPr>
              <w:rPr>
                <w:rFonts w:hint="eastAsia" w:ascii="宋体" w:hAnsi="宋体" w:cs="宋体"/>
                <w:color w:val="auto"/>
                <w:sz w:val="24"/>
                <w:szCs w:val="24"/>
                <w:highlight w:val="none"/>
              </w:rPr>
            </w:pPr>
          </w:p>
        </w:tc>
        <w:tc>
          <w:tcPr>
            <w:tcW w:w="117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FACBFFD">
            <w:pPr>
              <w:rPr>
                <w:rFonts w:hint="eastAsia" w:ascii="宋体" w:hAnsi="宋体" w:cs="宋体"/>
                <w:color w:val="auto"/>
                <w:sz w:val="24"/>
                <w:szCs w:val="24"/>
                <w:highlight w:val="none"/>
              </w:rPr>
            </w:pPr>
          </w:p>
        </w:tc>
        <w:tc>
          <w:tcPr>
            <w:tcW w:w="74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AB1C563">
            <w:pPr>
              <w:rPr>
                <w:rFonts w:hint="eastAsia" w:ascii="宋体" w:hAnsi="宋体" w:cs="宋体"/>
                <w:color w:val="auto"/>
                <w:sz w:val="24"/>
                <w:szCs w:val="24"/>
                <w:highlight w:val="none"/>
              </w:rPr>
            </w:pPr>
          </w:p>
        </w:tc>
        <w:tc>
          <w:tcPr>
            <w:tcW w:w="9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F5B2A4C">
            <w:pPr>
              <w:rPr>
                <w:rFonts w:hint="eastAsia" w:ascii="宋体" w:hAnsi="宋体" w:cs="宋体"/>
                <w:color w:val="auto"/>
                <w:sz w:val="24"/>
                <w:szCs w:val="24"/>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98F2A07">
            <w:pPr>
              <w:rPr>
                <w:rFonts w:hint="eastAsia" w:ascii="宋体" w:hAnsi="宋体" w:cs="宋体"/>
                <w:color w:val="auto"/>
                <w:sz w:val="24"/>
                <w:szCs w:val="24"/>
                <w:highlight w:val="none"/>
              </w:rPr>
            </w:pPr>
          </w:p>
        </w:tc>
        <w:tc>
          <w:tcPr>
            <w:tcW w:w="152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09AAC06">
            <w:pPr>
              <w:rPr>
                <w:rFonts w:hint="eastAsia" w:ascii="宋体" w:hAnsi="宋体" w:cs="宋体"/>
                <w:color w:val="auto"/>
                <w:sz w:val="24"/>
                <w:szCs w:val="24"/>
                <w:highlight w:val="none"/>
              </w:rPr>
            </w:pPr>
          </w:p>
        </w:tc>
        <w:tc>
          <w:tcPr>
            <w:tcW w:w="99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409EBC0">
            <w:pPr>
              <w:rPr>
                <w:rFonts w:hint="eastAsia" w:ascii="宋体" w:hAnsi="宋体" w:cs="宋体"/>
                <w:color w:val="auto"/>
                <w:sz w:val="24"/>
                <w:szCs w:val="24"/>
                <w:highlight w:val="none"/>
              </w:rPr>
            </w:pPr>
          </w:p>
        </w:tc>
      </w:tr>
      <w:tr w14:paraId="41C79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exact"/>
        </w:trPr>
        <w:tc>
          <w:tcPr>
            <w:tcW w:w="53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0C4663D">
            <w:pPr>
              <w:rPr>
                <w:rFonts w:hint="eastAsia" w:ascii="宋体" w:hAnsi="宋体" w:cs="宋体"/>
                <w:color w:val="auto"/>
                <w:sz w:val="24"/>
                <w:szCs w:val="24"/>
                <w:highlight w:val="none"/>
              </w:rPr>
            </w:pPr>
          </w:p>
        </w:tc>
        <w:tc>
          <w:tcPr>
            <w:tcW w:w="16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1164693">
            <w:pPr>
              <w:rPr>
                <w:rFonts w:hint="eastAsia" w:ascii="宋体" w:hAnsi="宋体" w:cs="宋体"/>
                <w:color w:val="auto"/>
                <w:sz w:val="24"/>
                <w:szCs w:val="24"/>
                <w:highlight w:val="none"/>
              </w:rPr>
            </w:pPr>
          </w:p>
        </w:tc>
        <w:tc>
          <w:tcPr>
            <w:tcW w:w="117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6C82A4E">
            <w:pPr>
              <w:rPr>
                <w:rFonts w:hint="eastAsia" w:ascii="宋体" w:hAnsi="宋体" w:cs="宋体"/>
                <w:color w:val="auto"/>
                <w:sz w:val="24"/>
                <w:szCs w:val="24"/>
                <w:highlight w:val="none"/>
              </w:rPr>
            </w:pPr>
          </w:p>
        </w:tc>
        <w:tc>
          <w:tcPr>
            <w:tcW w:w="74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BC9F388">
            <w:pPr>
              <w:rPr>
                <w:rFonts w:hint="eastAsia" w:ascii="宋体" w:hAnsi="宋体" w:cs="宋体"/>
                <w:color w:val="auto"/>
                <w:sz w:val="24"/>
                <w:szCs w:val="24"/>
                <w:highlight w:val="none"/>
              </w:rPr>
            </w:pPr>
          </w:p>
        </w:tc>
        <w:tc>
          <w:tcPr>
            <w:tcW w:w="9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F08E186">
            <w:pPr>
              <w:rPr>
                <w:rFonts w:hint="eastAsia" w:ascii="宋体" w:hAnsi="宋体" w:cs="宋体"/>
                <w:color w:val="auto"/>
                <w:sz w:val="24"/>
                <w:szCs w:val="24"/>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1F4CC98">
            <w:pPr>
              <w:rPr>
                <w:rFonts w:hint="eastAsia" w:ascii="宋体" w:hAnsi="宋体" w:cs="宋体"/>
                <w:color w:val="auto"/>
                <w:sz w:val="24"/>
                <w:szCs w:val="24"/>
                <w:highlight w:val="none"/>
              </w:rPr>
            </w:pPr>
          </w:p>
        </w:tc>
        <w:tc>
          <w:tcPr>
            <w:tcW w:w="152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9F54190">
            <w:pPr>
              <w:rPr>
                <w:rFonts w:hint="eastAsia" w:ascii="宋体" w:hAnsi="宋体" w:cs="宋体"/>
                <w:color w:val="auto"/>
                <w:sz w:val="24"/>
                <w:szCs w:val="24"/>
                <w:highlight w:val="none"/>
              </w:rPr>
            </w:pPr>
          </w:p>
        </w:tc>
        <w:tc>
          <w:tcPr>
            <w:tcW w:w="99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D843E0E">
            <w:pPr>
              <w:rPr>
                <w:rFonts w:hint="eastAsia" w:ascii="宋体" w:hAnsi="宋体" w:cs="宋体"/>
                <w:color w:val="auto"/>
                <w:sz w:val="24"/>
                <w:szCs w:val="24"/>
                <w:highlight w:val="none"/>
              </w:rPr>
            </w:pPr>
          </w:p>
        </w:tc>
      </w:tr>
      <w:tr w14:paraId="5B2E5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exact"/>
        </w:trPr>
        <w:tc>
          <w:tcPr>
            <w:tcW w:w="53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3382E1D">
            <w:pPr>
              <w:rPr>
                <w:rFonts w:hint="eastAsia" w:ascii="宋体" w:hAnsi="宋体" w:cs="宋体"/>
                <w:color w:val="auto"/>
                <w:sz w:val="24"/>
                <w:szCs w:val="24"/>
                <w:highlight w:val="none"/>
              </w:rPr>
            </w:pPr>
          </w:p>
        </w:tc>
        <w:tc>
          <w:tcPr>
            <w:tcW w:w="16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92E8ACC">
            <w:pPr>
              <w:rPr>
                <w:rFonts w:hint="eastAsia" w:ascii="宋体" w:hAnsi="宋体" w:cs="宋体"/>
                <w:color w:val="auto"/>
                <w:sz w:val="24"/>
                <w:szCs w:val="24"/>
                <w:highlight w:val="none"/>
              </w:rPr>
            </w:pPr>
          </w:p>
        </w:tc>
        <w:tc>
          <w:tcPr>
            <w:tcW w:w="117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C8D31AD">
            <w:pPr>
              <w:rPr>
                <w:rFonts w:hint="eastAsia" w:ascii="宋体" w:hAnsi="宋体" w:cs="宋体"/>
                <w:color w:val="auto"/>
                <w:sz w:val="24"/>
                <w:szCs w:val="24"/>
                <w:highlight w:val="none"/>
              </w:rPr>
            </w:pPr>
          </w:p>
        </w:tc>
        <w:tc>
          <w:tcPr>
            <w:tcW w:w="74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D9A57DB">
            <w:pPr>
              <w:rPr>
                <w:rFonts w:hint="eastAsia" w:ascii="宋体" w:hAnsi="宋体" w:cs="宋体"/>
                <w:color w:val="auto"/>
                <w:sz w:val="24"/>
                <w:szCs w:val="24"/>
                <w:highlight w:val="none"/>
              </w:rPr>
            </w:pPr>
          </w:p>
        </w:tc>
        <w:tc>
          <w:tcPr>
            <w:tcW w:w="9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82CD9D6">
            <w:pPr>
              <w:rPr>
                <w:rFonts w:hint="eastAsia" w:ascii="宋体" w:hAnsi="宋体" w:cs="宋体"/>
                <w:color w:val="auto"/>
                <w:sz w:val="24"/>
                <w:szCs w:val="24"/>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8A20E6B">
            <w:pPr>
              <w:rPr>
                <w:rFonts w:hint="eastAsia" w:ascii="宋体" w:hAnsi="宋体" w:cs="宋体"/>
                <w:color w:val="auto"/>
                <w:sz w:val="24"/>
                <w:szCs w:val="24"/>
                <w:highlight w:val="none"/>
              </w:rPr>
            </w:pPr>
          </w:p>
        </w:tc>
        <w:tc>
          <w:tcPr>
            <w:tcW w:w="152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B960F78">
            <w:pPr>
              <w:rPr>
                <w:rFonts w:hint="eastAsia" w:ascii="宋体" w:hAnsi="宋体" w:cs="宋体"/>
                <w:color w:val="auto"/>
                <w:sz w:val="24"/>
                <w:szCs w:val="24"/>
                <w:highlight w:val="none"/>
              </w:rPr>
            </w:pPr>
          </w:p>
        </w:tc>
        <w:tc>
          <w:tcPr>
            <w:tcW w:w="99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172662D">
            <w:pPr>
              <w:rPr>
                <w:rFonts w:hint="eastAsia" w:ascii="宋体" w:hAnsi="宋体" w:cs="宋体"/>
                <w:color w:val="auto"/>
                <w:sz w:val="24"/>
                <w:szCs w:val="24"/>
                <w:highlight w:val="none"/>
              </w:rPr>
            </w:pPr>
          </w:p>
        </w:tc>
      </w:tr>
      <w:tr w14:paraId="7E676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exact"/>
        </w:trPr>
        <w:tc>
          <w:tcPr>
            <w:tcW w:w="53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7B0B7C3">
            <w:pPr>
              <w:rPr>
                <w:rFonts w:hint="eastAsia" w:ascii="宋体" w:hAnsi="宋体" w:cs="宋体"/>
                <w:color w:val="auto"/>
                <w:sz w:val="24"/>
                <w:szCs w:val="24"/>
                <w:highlight w:val="none"/>
              </w:rPr>
            </w:pPr>
          </w:p>
        </w:tc>
        <w:tc>
          <w:tcPr>
            <w:tcW w:w="16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9F4473F">
            <w:pPr>
              <w:rPr>
                <w:rFonts w:hint="eastAsia" w:ascii="宋体" w:hAnsi="宋体" w:cs="宋体"/>
                <w:color w:val="auto"/>
                <w:sz w:val="24"/>
                <w:szCs w:val="24"/>
                <w:highlight w:val="none"/>
              </w:rPr>
            </w:pPr>
          </w:p>
        </w:tc>
        <w:tc>
          <w:tcPr>
            <w:tcW w:w="117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E4A8B9B">
            <w:pPr>
              <w:rPr>
                <w:rFonts w:hint="eastAsia" w:ascii="宋体" w:hAnsi="宋体" w:cs="宋体"/>
                <w:color w:val="auto"/>
                <w:sz w:val="24"/>
                <w:szCs w:val="24"/>
                <w:highlight w:val="none"/>
              </w:rPr>
            </w:pPr>
          </w:p>
        </w:tc>
        <w:tc>
          <w:tcPr>
            <w:tcW w:w="74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801EB4A">
            <w:pPr>
              <w:rPr>
                <w:rFonts w:hint="eastAsia" w:ascii="宋体" w:hAnsi="宋体" w:cs="宋体"/>
                <w:color w:val="auto"/>
                <w:sz w:val="24"/>
                <w:szCs w:val="24"/>
                <w:highlight w:val="none"/>
              </w:rPr>
            </w:pPr>
          </w:p>
        </w:tc>
        <w:tc>
          <w:tcPr>
            <w:tcW w:w="9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E03DF81">
            <w:pPr>
              <w:rPr>
                <w:rFonts w:hint="eastAsia" w:ascii="宋体" w:hAnsi="宋体" w:cs="宋体"/>
                <w:color w:val="auto"/>
                <w:sz w:val="24"/>
                <w:szCs w:val="24"/>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0805CFB">
            <w:pPr>
              <w:rPr>
                <w:rFonts w:hint="eastAsia" w:ascii="宋体" w:hAnsi="宋体" w:cs="宋体"/>
                <w:color w:val="auto"/>
                <w:sz w:val="24"/>
                <w:szCs w:val="24"/>
                <w:highlight w:val="none"/>
              </w:rPr>
            </w:pPr>
          </w:p>
        </w:tc>
        <w:tc>
          <w:tcPr>
            <w:tcW w:w="152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18159B2">
            <w:pPr>
              <w:rPr>
                <w:rFonts w:hint="eastAsia" w:ascii="宋体" w:hAnsi="宋体" w:cs="宋体"/>
                <w:color w:val="auto"/>
                <w:sz w:val="24"/>
                <w:szCs w:val="24"/>
                <w:highlight w:val="none"/>
              </w:rPr>
            </w:pPr>
          </w:p>
        </w:tc>
        <w:tc>
          <w:tcPr>
            <w:tcW w:w="99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7BFBD53">
            <w:pPr>
              <w:rPr>
                <w:rFonts w:hint="eastAsia" w:ascii="宋体" w:hAnsi="宋体" w:cs="宋体"/>
                <w:color w:val="auto"/>
                <w:sz w:val="24"/>
                <w:szCs w:val="24"/>
                <w:highlight w:val="none"/>
              </w:rPr>
            </w:pPr>
          </w:p>
        </w:tc>
      </w:tr>
      <w:tr w14:paraId="6F10A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exact"/>
        </w:trPr>
        <w:tc>
          <w:tcPr>
            <w:tcW w:w="53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67C43D4">
            <w:pPr>
              <w:rPr>
                <w:rFonts w:hint="eastAsia" w:ascii="宋体" w:hAnsi="宋体" w:cs="宋体"/>
                <w:color w:val="auto"/>
                <w:sz w:val="24"/>
                <w:szCs w:val="24"/>
                <w:highlight w:val="none"/>
              </w:rPr>
            </w:pPr>
          </w:p>
        </w:tc>
        <w:tc>
          <w:tcPr>
            <w:tcW w:w="16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27445D9">
            <w:pPr>
              <w:rPr>
                <w:rFonts w:hint="eastAsia" w:ascii="宋体" w:hAnsi="宋体" w:cs="宋体"/>
                <w:color w:val="auto"/>
                <w:sz w:val="24"/>
                <w:szCs w:val="24"/>
                <w:highlight w:val="none"/>
              </w:rPr>
            </w:pPr>
          </w:p>
        </w:tc>
        <w:tc>
          <w:tcPr>
            <w:tcW w:w="117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4DBBDDE">
            <w:pPr>
              <w:rPr>
                <w:rFonts w:hint="eastAsia" w:ascii="宋体" w:hAnsi="宋体" w:cs="宋体"/>
                <w:color w:val="auto"/>
                <w:sz w:val="24"/>
                <w:szCs w:val="24"/>
                <w:highlight w:val="none"/>
              </w:rPr>
            </w:pPr>
          </w:p>
        </w:tc>
        <w:tc>
          <w:tcPr>
            <w:tcW w:w="74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053910A">
            <w:pPr>
              <w:rPr>
                <w:rFonts w:hint="eastAsia" w:ascii="宋体" w:hAnsi="宋体" w:cs="宋体"/>
                <w:color w:val="auto"/>
                <w:sz w:val="24"/>
                <w:szCs w:val="24"/>
                <w:highlight w:val="none"/>
              </w:rPr>
            </w:pPr>
          </w:p>
        </w:tc>
        <w:tc>
          <w:tcPr>
            <w:tcW w:w="9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E8DD8C1">
            <w:pPr>
              <w:rPr>
                <w:rFonts w:hint="eastAsia" w:ascii="宋体" w:hAnsi="宋体" w:cs="宋体"/>
                <w:color w:val="auto"/>
                <w:sz w:val="24"/>
                <w:szCs w:val="24"/>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9B5B769">
            <w:pPr>
              <w:rPr>
                <w:rFonts w:hint="eastAsia" w:ascii="宋体" w:hAnsi="宋体" w:cs="宋体"/>
                <w:color w:val="auto"/>
                <w:sz w:val="24"/>
                <w:szCs w:val="24"/>
                <w:highlight w:val="none"/>
              </w:rPr>
            </w:pPr>
          </w:p>
        </w:tc>
        <w:tc>
          <w:tcPr>
            <w:tcW w:w="152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113269B">
            <w:pPr>
              <w:rPr>
                <w:rFonts w:hint="eastAsia" w:ascii="宋体" w:hAnsi="宋体" w:cs="宋体"/>
                <w:color w:val="auto"/>
                <w:sz w:val="24"/>
                <w:szCs w:val="24"/>
                <w:highlight w:val="none"/>
              </w:rPr>
            </w:pPr>
          </w:p>
        </w:tc>
        <w:tc>
          <w:tcPr>
            <w:tcW w:w="99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B54E556">
            <w:pPr>
              <w:rPr>
                <w:rFonts w:hint="eastAsia" w:ascii="宋体" w:hAnsi="宋体" w:cs="宋体"/>
                <w:color w:val="auto"/>
                <w:sz w:val="24"/>
                <w:szCs w:val="24"/>
                <w:highlight w:val="none"/>
              </w:rPr>
            </w:pPr>
          </w:p>
        </w:tc>
      </w:tr>
      <w:tr w14:paraId="20C6D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exact"/>
        </w:trPr>
        <w:tc>
          <w:tcPr>
            <w:tcW w:w="53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7021BC5">
            <w:pPr>
              <w:rPr>
                <w:rFonts w:hint="eastAsia" w:ascii="宋体" w:hAnsi="宋体" w:cs="宋体"/>
                <w:color w:val="auto"/>
                <w:sz w:val="24"/>
                <w:szCs w:val="24"/>
                <w:highlight w:val="none"/>
              </w:rPr>
            </w:pPr>
          </w:p>
        </w:tc>
        <w:tc>
          <w:tcPr>
            <w:tcW w:w="16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915CBC1">
            <w:pPr>
              <w:rPr>
                <w:rFonts w:hint="eastAsia" w:ascii="宋体" w:hAnsi="宋体" w:cs="宋体"/>
                <w:color w:val="auto"/>
                <w:sz w:val="24"/>
                <w:szCs w:val="24"/>
                <w:highlight w:val="none"/>
              </w:rPr>
            </w:pPr>
          </w:p>
        </w:tc>
        <w:tc>
          <w:tcPr>
            <w:tcW w:w="117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153C37B">
            <w:pPr>
              <w:rPr>
                <w:rFonts w:hint="eastAsia" w:ascii="宋体" w:hAnsi="宋体" w:cs="宋体"/>
                <w:color w:val="auto"/>
                <w:sz w:val="24"/>
                <w:szCs w:val="24"/>
                <w:highlight w:val="none"/>
              </w:rPr>
            </w:pPr>
          </w:p>
        </w:tc>
        <w:tc>
          <w:tcPr>
            <w:tcW w:w="74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1A53040">
            <w:pPr>
              <w:rPr>
                <w:rFonts w:hint="eastAsia" w:ascii="宋体" w:hAnsi="宋体" w:cs="宋体"/>
                <w:color w:val="auto"/>
                <w:sz w:val="24"/>
                <w:szCs w:val="24"/>
                <w:highlight w:val="none"/>
              </w:rPr>
            </w:pPr>
          </w:p>
        </w:tc>
        <w:tc>
          <w:tcPr>
            <w:tcW w:w="9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76B75DC">
            <w:pPr>
              <w:rPr>
                <w:rFonts w:hint="eastAsia" w:ascii="宋体" w:hAnsi="宋体" w:cs="宋体"/>
                <w:color w:val="auto"/>
                <w:sz w:val="24"/>
                <w:szCs w:val="24"/>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CAF4202">
            <w:pPr>
              <w:rPr>
                <w:rFonts w:hint="eastAsia" w:ascii="宋体" w:hAnsi="宋体" w:cs="宋体"/>
                <w:color w:val="auto"/>
                <w:sz w:val="24"/>
                <w:szCs w:val="24"/>
                <w:highlight w:val="none"/>
              </w:rPr>
            </w:pPr>
          </w:p>
        </w:tc>
        <w:tc>
          <w:tcPr>
            <w:tcW w:w="152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07D9EE1">
            <w:pPr>
              <w:rPr>
                <w:rFonts w:hint="eastAsia" w:ascii="宋体" w:hAnsi="宋体" w:cs="宋体"/>
                <w:color w:val="auto"/>
                <w:sz w:val="24"/>
                <w:szCs w:val="24"/>
                <w:highlight w:val="none"/>
              </w:rPr>
            </w:pPr>
          </w:p>
        </w:tc>
        <w:tc>
          <w:tcPr>
            <w:tcW w:w="99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B2BC615">
            <w:pPr>
              <w:rPr>
                <w:rFonts w:hint="eastAsia" w:ascii="宋体" w:hAnsi="宋体" w:cs="宋体"/>
                <w:color w:val="auto"/>
                <w:sz w:val="24"/>
                <w:szCs w:val="24"/>
                <w:highlight w:val="none"/>
              </w:rPr>
            </w:pPr>
          </w:p>
        </w:tc>
      </w:tr>
      <w:tr w14:paraId="72ABE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exact"/>
        </w:trPr>
        <w:tc>
          <w:tcPr>
            <w:tcW w:w="53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C6507DA">
            <w:pPr>
              <w:rPr>
                <w:rFonts w:hint="eastAsia" w:ascii="宋体" w:hAnsi="宋体" w:cs="宋体"/>
                <w:color w:val="auto"/>
                <w:sz w:val="24"/>
                <w:szCs w:val="24"/>
                <w:highlight w:val="none"/>
              </w:rPr>
            </w:pPr>
          </w:p>
        </w:tc>
        <w:tc>
          <w:tcPr>
            <w:tcW w:w="16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D1A7AD6">
            <w:pPr>
              <w:rPr>
                <w:rFonts w:hint="eastAsia" w:ascii="宋体" w:hAnsi="宋体" w:cs="宋体"/>
                <w:color w:val="auto"/>
                <w:sz w:val="24"/>
                <w:szCs w:val="24"/>
                <w:highlight w:val="none"/>
              </w:rPr>
            </w:pPr>
          </w:p>
        </w:tc>
        <w:tc>
          <w:tcPr>
            <w:tcW w:w="117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95A08A0">
            <w:pPr>
              <w:rPr>
                <w:rFonts w:hint="eastAsia" w:ascii="宋体" w:hAnsi="宋体" w:cs="宋体"/>
                <w:color w:val="auto"/>
                <w:sz w:val="24"/>
                <w:szCs w:val="24"/>
                <w:highlight w:val="none"/>
              </w:rPr>
            </w:pPr>
          </w:p>
        </w:tc>
        <w:tc>
          <w:tcPr>
            <w:tcW w:w="74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4D380D5">
            <w:pPr>
              <w:rPr>
                <w:rFonts w:hint="eastAsia" w:ascii="宋体" w:hAnsi="宋体" w:cs="宋体"/>
                <w:color w:val="auto"/>
                <w:sz w:val="24"/>
                <w:szCs w:val="24"/>
                <w:highlight w:val="none"/>
              </w:rPr>
            </w:pPr>
          </w:p>
        </w:tc>
        <w:tc>
          <w:tcPr>
            <w:tcW w:w="9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E399128">
            <w:pPr>
              <w:rPr>
                <w:rFonts w:hint="eastAsia" w:ascii="宋体" w:hAnsi="宋体" w:cs="宋体"/>
                <w:color w:val="auto"/>
                <w:sz w:val="24"/>
                <w:szCs w:val="24"/>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378665C">
            <w:pPr>
              <w:rPr>
                <w:rFonts w:hint="eastAsia" w:ascii="宋体" w:hAnsi="宋体" w:cs="宋体"/>
                <w:color w:val="auto"/>
                <w:sz w:val="24"/>
                <w:szCs w:val="24"/>
                <w:highlight w:val="none"/>
              </w:rPr>
            </w:pPr>
          </w:p>
        </w:tc>
        <w:tc>
          <w:tcPr>
            <w:tcW w:w="152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82607CD">
            <w:pPr>
              <w:rPr>
                <w:rFonts w:hint="eastAsia" w:ascii="宋体" w:hAnsi="宋体" w:cs="宋体"/>
                <w:color w:val="auto"/>
                <w:sz w:val="24"/>
                <w:szCs w:val="24"/>
                <w:highlight w:val="none"/>
              </w:rPr>
            </w:pPr>
          </w:p>
        </w:tc>
        <w:tc>
          <w:tcPr>
            <w:tcW w:w="99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ED237E0">
            <w:pPr>
              <w:rPr>
                <w:rFonts w:hint="eastAsia" w:ascii="宋体" w:hAnsi="宋体" w:cs="宋体"/>
                <w:color w:val="auto"/>
                <w:sz w:val="24"/>
                <w:szCs w:val="24"/>
                <w:highlight w:val="none"/>
              </w:rPr>
            </w:pPr>
          </w:p>
        </w:tc>
      </w:tr>
      <w:tr w14:paraId="2D841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exact"/>
        </w:trPr>
        <w:tc>
          <w:tcPr>
            <w:tcW w:w="53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BFFAF2F">
            <w:pPr>
              <w:rPr>
                <w:rFonts w:hint="eastAsia" w:ascii="宋体" w:hAnsi="宋体" w:cs="宋体"/>
                <w:color w:val="auto"/>
                <w:sz w:val="24"/>
                <w:szCs w:val="24"/>
                <w:highlight w:val="none"/>
              </w:rPr>
            </w:pPr>
          </w:p>
        </w:tc>
        <w:tc>
          <w:tcPr>
            <w:tcW w:w="16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F8FC303">
            <w:pPr>
              <w:rPr>
                <w:rFonts w:hint="eastAsia" w:ascii="宋体" w:hAnsi="宋体" w:cs="宋体"/>
                <w:color w:val="auto"/>
                <w:sz w:val="24"/>
                <w:szCs w:val="24"/>
                <w:highlight w:val="none"/>
              </w:rPr>
            </w:pPr>
          </w:p>
        </w:tc>
        <w:tc>
          <w:tcPr>
            <w:tcW w:w="117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2D1F010">
            <w:pPr>
              <w:rPr>
                <w:rFonts w:hint="eastAsia" w:ascii="宋体" w:hAnsi="宋体" w:cs="宋体"/>
                <w:color w:val="auto"/>
                <w:sz w:val="24"/>
                <w:szCs w:val="24"/>
                <w:highlight w:val="none"/>
              </w:rPr>
            </w:pPr>
          </w:p>
        </w:tc>
        <w:tc>
          <w:tcPr>
            <w:tcW w:w="74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8557CFC">
            <w:pPr>
              <w:rPr>
                <w:rFonts w:hint="eastAsia" w:ascii="宋体" w:hAnsi="宋体" w:cs="宋体"/>
                <w:color w:val="auto"/>
                <w:sz w:val="24"/>
                <w:szCs w:val="24"/>
                <w:highlight w:val="none"/>
              </w:rPr>
            </w:pPr>
          </w:p>
        </w:tc>
        <w:tc>
          <w:tcPr>
            <w:tcW w:w="9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D69A23E">
            <w:pPr>
              <w:rPr>
                <w:rFonts w:hint="eastAsia" w:ascii="宋体" w:hAnsi="宋体" w:cs="宋体"/>
                <w:color w:val="auto"/>
                <w:sz w:val="24"/>
                <w:szCs w:val="24"/>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D08E595">
            <w:pPr>
              <w:rPr>
                <w:rFonts w:hint="eastAsia" w:ascii="宋体" w:hAnsi="宋体" w:cs="宋体"/>
                <w:color w:val="auto"/>
                <w:sz w:val="24"/>
                <w:szCs w:val="24"/>
                <w:highlight w:val="none"/>
              </w:rPr>
            </w:pPr>
          </w:p>
        </w:tc>
        <w:tc>
          <w:tcPr>
            <w:tcW w:w="152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8C2F671">
            <w:pPr>
              <w:rPr>
                <w:rFonts w:hint="eastAsia" w:ascii="宋体" w:hAnsi="宋体" w:cs="宋体"/>
                <w:color w:val="auto"/>
                <w:sz w:val="24"/>
                <w:szCs w:val="24"/>
                <w:highlight w:val="none"/>
              </w:rPr>
            </w:pPr>
          </w:p>
        </w:tc>
        <w:tc>
          <w:tcPr>
            <w:tcW w:w="99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7854A4E">
            <w:pPr>
              <w:rPr>
                <w:rFonts w:hint="eastAsia" w:ascii="宋体" w:hAnsi="宋体" w:cs="宋体"/>
                <w:color w:val="auto"/>
                <w:sz w:val="24"/>
                <w:szCs w:val="24"/>
                <w:highlight w:val="none"/>
              </w:rPr>
            </w:pPr>
          </w:p>
        </w:tc>
      </w:tr>
      <w:tr w14:paraId="37FFF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exact"/>
        </w:trPr>
        <w:tc>
          <w:tcPr>
            <w:tcW w:w="53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724B8D1">
            <w:pPr>
              <w:rPr>
                <w:rFonts w:hint="eastAsia" w:ascii="宋体" w:hAnsi="宋体" w:cs="宋体"/>
                <w:color w:val="auto"/>
                <w:sz w:val="24"/>
                <w:szCs w:val="24"/>
                <w:highlight w:val="none"/>
              </w:rPr>
            </w:pPr>
          </w:p>
        </w:tc>
        <w:tc>
          <w:tcPr>
            <w:tcW w:w="16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0F8530F">
            <w:pPr>
              <w:rPr>
                <w:rFonts w:hint="eastAsia" w:ascii="宋体" w:hAnsi="宋体" w:cs="宋体"/>
                <w:color w:val="auto"/>
                <w:sz w:val="24"/>
                <w:szCs w:val="24"/>
                <w:highlight w:val="none"/>
              </w:rPr>
            </w:pPr>
          </w:p>
        </w:tc>
        <w:tc>
          <w:tcPr>
            <w:tcW w:w="117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ED9152C">
            <w:pPr>
              <w:rPr>
                <w:rFonts w:hint="eastAsia" w:ascii="宋体" w:hAnsi="宋体" w:cs="宋体"/>
                <w:color w:val="auto"/>
                <w:sz w:val="24"/>
                <w:szCs w:val="24"/>
                <w:highlight w:val="none"/>
              </w:rPr>
            </w:pPr>
          </w:p>
        </w:tc>
        <w:tc>
          <w:tcPr>
            <w:tcW w:w="74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19427C2">
            <w:pPr>
              <w:rPr>
                <w:rFonts w:hint="eastAsia" w:ascii="宋体" w:hAnsi="宋体" w:cs="宋体"/>
                <w:color w:val="auto"/>
                <w:sz w:val="24"/>
                <w:szCs w:val="24"/>
                <w:highlight w:val="none"/>
              </w:rPr>
            </w:pPr>
          </w:p>
        </w:tc>
        <w:tc>
          <w:tcPr>
            <w:tcW w:w="9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6674BD4">
            <w:pPr>
              <w:rPr>
                <w:rFonts w:hint="eastAsia" w:ascii="宋体" w:hAnsi="宋体" w:cs="宋体"/>
                <w:color w:val="auto"/>
                <w:sz w:val="24"/>
                <w:szCs w:val="24"/>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0D7D1FC">
            <w:pPr>
              <w:rPr>
                <w:rFonts w:hint="eastAsia" w:ascii="宋体" w:hAnsi="宋体" w:cs="宋体"/>
                <w:color w:val="auto"/>
                <w:sz w:val="24"/>
                <w:szCs w:val="24"/>
                <w:highlight w:val="none"/>
              </w:rPr>
            </w:pPr>
          </w:p>
        </w:tc>
        <w:tc>
          <w:tcPr>
            <w:tcW w:w="152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DB6F2D3">
            <w:pPr>
              <w:rPr>
                <w:rFonts w:hint="eastAsia" w:ascii="宋体" w:hAnsi="宋体" w:cs="宋体"/>
                <w:color w:val="auto"/>
                <w:sz w:val="24"/>
                <w:szCs w:val="24"/>
                <w:highlight w:val="none"/>
              </w:rPr>
            </w:pPr>
          </w:p>
        </w:tc>
        <w:tc>
          <w:tcPr>
            <w:tcW w:w="99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C0CB65E">
            <w:pPr>
              <w:rPr>
                <w:rFonts w:hint="eastAsia" w:ascii="宋体" w:hAnsi="宋体" w:cs="宋体"/>
                <w:color w:val="auto"/>
                <w:sz w:val="24"/>
                <w:szCs w:val="24"/>
                <w:highlight w:val="none"/>
              </w:rPr>
            </w:pPr>
          </w:p>
        </w:tc>
      </w:tr>
      <w:tr w14:paraId="008EA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exact"/>
        </w:trPr>
        <w:tc>
          <w:tcPr>
            <w:tcW w:w="53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C292B33">
            <w:pPr>
              <w:rPr>
                <w:rFonts w:hint="eastAsia" w:ascii="宋体" w:hAnsi="宋体" w:cs="宋体"/>
                <w:color w:val="auto"/>
                <w:sz w:val="24"/>
                <w:szCs w:val="24"/>
                <w:highlight w:val="none"/>
              </w:rPr>
            </w:pPr>
          </w:p>
        </w:tc>
        <w:tc>
          <w:tcPr>
            <w:tcW w:w="16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102F3E9">
            <w:pPr>
              <w:rPr>
                <w:rFonts w:hint="eastAsia" w:ascii="宋体" w:hAnsi="宋体" w:cs="宋体"/>
                <w:color w:val="auto"/>
                <w:sz w:val="24"/>
                <w:szCs w:val="24"/>
                <w:highlight w:val="none"/>
              </w:rPr>
            </w:pPr>
          </w:p>
        </w:tc>
        <w:tc>
          <w:tcPr>
            <w:tcW w:w="117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C7F5C65">
            <w:pPr>
              <w:rPr>
                <w:rFonts w:hint="eastAsia" w:ascii="宋体" w:hAnsi="宋体" w:cs="宋体"/>
                <w:color w:val="auto"/>
                <w:sz w:val="24"/>
                <w:szCs w:val="24"/>
                <w:highlight w:val="none"/>
              </w:rPr>
            </w:pPr>
          </w:p>
        </w:tc>
        <w:tc>
          <w:tcPr>
            <w:tcW w:w="74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987015E">
            <w:pPr>
              <w:rPr>
                <w:rFonts w:hint="eastAsia" w:ascii="宋体" w:hAnsi="宋体" w:cs="宋体"/>
                <w:color w:val="auto"/>
                <w:sz w:val="24"/>
                <w:szCs w:val="24"/>
                <w:highlight w:val="none"/>
              </w:rPr>
            </w:pPr>
          </w:p>
        </w:tc>
        <w:tc>
          <w:tcPr>
            <w:tcW w:w="9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56748E8">
            <w:pPr>
              <w:rPr>
                <w:rFonts w:hint="eastAsia" w:ascii="宋体" w:hAnsi="宋体" w:cs="宋体"/>
                <w:color w:val="auto"/>
                <w:sz w:val="24"/>
                <w:szCs w:val="24"/>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C2F9C2B">
            <w:pPr>
              <w:rPr>
                <w:rFonts w:hint="eastAsia" w:ascii="宋体" w:hAnsi="宋体" w:cs="宋体"/>
                <w:color w:val="auto"/>
                <w:sz w:val="24"/>
                <w:szCs w:val="24"/>
                <w:highlight w:val="none"/>
              </w:rPr>
            </w:pPr>
          </w:p>
        </w:tc>
        <w:tc>
          <w:tcPr>
            <w:tcW w:w="152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AD8C572">
            <w:pPr>
              <w:rPr>
                <w:rFonts w:hint="eastAsia" w:ascii="宋体" w:hAnsi="宋体" w:cs="宋体"/>
                <w:color w:val="auto"/>
                <w:sz w:val="24"/>
                <w:szCs w:val="24"/>
                <w:highlight w:val="none"/>
              </w:rPr>
            </w:pPr>
          </w:p>
        </w:tc>
        <w:tc>
          <w:tcPr>
            <w:tcW w:w="99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7625F60">
            <w:pPr>
              <w:rPr>
                <w:rFonts w:hint="eastAsia" w:ascii="宋体" w:hAnsi="宋体" w:cs="宋体"/>
                <w:color w:val="auto"/>
                <w:sz w:val="24"/>
                <w:szCs w:val="24"/>
                <w:highlight w:val="none"/>
              </w:rPr>
            </w:pPr>
          </w:p>
        </w:tc>
      </w:tr>
      <w:tr w14:paraId="3EFA0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exact"/>
        </w:trPr>
        <w:tc>
          <w:tcPr>
            <w:tcW w:w="53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E8EF1EE">
            <w:pPr>
              <w:rPr>
                <w:rFonts w:hint="eastAsia" w:ascii="宋体" w:hAnsi="宋体" w:cs="宋体"/>
                <w:color w:val="auto"/>
                <w:sz w:val="24"/>
                <w:szCs w:val="24"/>
                <w:highlight w:val="none"/>
              </w:rPr>
            </w:pPr>
          </w:p>
        </w:tc>
        <w:tc>
          <w:tcPr>
            <w:tcW w:w="16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3C66871">
            <w:pPr>
              <w:rPr>
                <w:rFonts w:hint="eastAsia" w:ascii="宋体" w:hAnsi="宋体" w:cs="宋体"/>
                <w:color w:val="auto"/>
                <w:sz w:val="24"/>
                <w:szCs w:val="24"/>
                <w:highlight w:val="none"/>
              </w:rPr>
            </w:pPr>
          </w:p>
        </w:tc>
        <w:tc>
          <w:tcPr>
            <w:tcW w:w="117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C222A4A">
            <w:pPr>
              <w:rPr>
                <w:rFonts w:hint="eastAsia" w:ascii="宋体" w:hAnsi="宋体" w:cs="宋体"/>
                <w:color w:val="auto"/>
                <w:sz w:val="24"/>
                <w:szCs w:val="24"/>
                <w:highlight w:val="none"/>
              </w:rPr>
            </w:pPr>
          </w:p>
        </w:tc>
        <w:tc>
          <w:tcPr>
            <w:tcW w:w="74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E629967">
            <w:pPr>
              <w:rPr>
                <w:rFonts w:hint="eastAsia" w:ascii="宋体" w:hAnsi="宋体" w:cs="宋体"/>
                <w:color w:val="auto"/>
                <w:sz w:val="24"/>
                <w:szCs w:val="24"/>
                <w:highlight w:val="none"/>
              </w:rPr>
            </w:pPr>
          </w:p>
        </w:tc>
        <w:tc>
          <w:tcPr>
            <w:tcW w:w="9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640535F">
            <w:pPr>
              <w:rPr>
                <w:rFonts w:hint="eastAsia" w:ascii="宋体" w:hAnsi="宋体" w:cs="宋体"/>
                <w:color w:val="auto"/>
                <w:sz w:val="24"/>
                <w:szCs w:val="24"/>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13C892F">
            <w:pPr>
              <w:rPr>
                <w:rFonts w:hint="eastAsia" w:ascii="宋体" w:hAnsi="宋体" w:cs="宋体"/>
                <w:color w:val="auto"/>
                <w:sz w:val="24"/>
                <w:szCs w:val="24"/>
                <w:highlight w:val="none"/>
              </w:rPr>
            </w:pPr>
          </w:p>
        </w:tc>
        <w:tc>
          <w:tcPr>
            <w:tcW w:w="152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C2011C7">
            <w:pPr>
              <w:rPr>
                <w:rFonts w:hint="eastAsia" w:ascii="宋体" w:hAnsi="宋体" w:cs="宋体"/>
                <w:color w:val="auto"/>
                <w:sz w:val="24"/>
                <w:szCs w:val="24"/>
                <w:highlight w:val="none"/>
              </w:rPr>
            </w:pPr>
          </w:p>
        </w:tc>
        <w:tc>
          <w:tcPr>
            <w:tcW w:w="99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1503CC5">
            <w:pPr>
              <w:rPr>
                <w:rFonts w:hint="eastAsia" w:ascii="宋体" w:hAnsi="宋体" w:cs="宋体"/>
                <w:color w:val="auto"/>
                <w:sz w:val="24"/>
                <w:szCs w:val="24"/>
                <w:highlight w:val="none"/>
              </w:rPr>
            </w:pPr>
          </w:p>
        </w:tc>
      </w:tr>
      <w:tr w14:paraId="367F0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exact"/>
        </w:trPr>
        <w:tc>
          <w:tcPr>
            <w:tcW w:w="53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F3EB828">
            <w:pPr>
              <w:rPr>
                <w:rFonts w:hint="eastAsia" w:ascii="宋体" w:hAnsi="宋体" w:cs="宋体"/>
                <w:color w:val="auto"/>
                <w:sz w:val="24"/>
                <w:szCs w:val="24"/>
                <w:highlight w:val="none"/>
              </w:rPr>
            </w:pPr>
          </w:p>
        </w:tc>
        <w:tc>
          <w:tcPr>
            <w:tcW w:w="16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63B2A4C">
            <w:pPr>
              <w:rPr>
                <w:rFonts w:hint="eastAsia" w:ascii="宋体" w:hAnsi="宋体" w:cs="宋体"/>
                <w:color w:val="auto"/>
                <w:sz w:val="24"/>
                <w:szCs w:val="24"/>
                <w:highlight w:val="none"/>
              </w:rPr>
            </w:pPr>
          </w:p>
        </w:tc>
        <w:tc>
          <w:tcPr>
            <w:tcW w:w="117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F06D9B1">
            <w:pPr>
              <w:rPr>
                <w:rFonts w:hint="eastAsia" w:ascii="宋体" w:hAnsi="宋体" w:cs="宋体"/>
                <w:color w:val="auto"/>
                <w:sz w:val="24"/>
                <w:szCs w:val="24"/>
                <w:highlight w:val="none"/>
              </w:rPr>
            </w:pPr>
          </w:p>
        </w:tc>
        <w:tc>
          <w:tcPr>
            <w:tcW w:w="74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7C78A7D">
            <w:pPr>
              <w:rPr>
                <w:rFonts w:hint="eastAsia" w:ascii="宋体" w:hAnsi="宋体" w:cs="宋体"/>
                <w:color w:val="auto"/>
                <w:sz w:val="24"/>
                <w:szCs w:val="24"/>
                <w:highlight w:val="none"/>
              </w:rPr>
            </w:pPr>
          </w:p>
        </w:tc>
        <w:tc>
          <w:tcPr>
            <w:tcW w:w="9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AEFDAE7">
            <w:pPr>
              <w:rPr>
                <w:rFonts w:hint="eastAsia" w:ascii="宋体" w:hAnsi="宋体" w:cs="宋体"/>
                <w:color w:val="auto"/>
                <w:sz w:val="24"/>
                <w:szCs w:val="24"/>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B5DC6A1">
            <w:pPr>
              <w:rPr>
                <w:rFonts w:hint="eastAsia" w:ascii="宋体" w:hAnsi="宋体" w:cs="宋体"/>
                <w:color w:val="auto"/>
                <w:sz w:val="24"/>
                <w:szCs w:val="24"/>
                <w:highlight w:val="none"/>
              </w:rPr>
            </w:pPr>
          </w:p>
        </w:tc>
        <w:tc>
          <w:tcPr>
            <w:tcW w:w="152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10149CA">
            <w:pPr>
              <w:rPr>
                <w:rFonts w:hint="eastAsia" w:ascii="宋体" w:hAnsi="宋体" w:cs="宋体"/>
                <w:color w:val="auto"/>
                <w:sz w:val="24"/>
                <w:szCs w:val="24"/>
                <w:highlight w:val="none"/>
              </w:rPr>
            </w:pPr>
          </w:p>
        </w:tc>
        <w:tc>
          <w:tcPr>
            <w:tcW w:w="99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4ED76BD">
            <w:pPr>
              <w:rPr>
                <w:rFonts w:hint="eastAsia" w:ascii="宋体" w:hAnsi="宋体" w:cs="宋体"/>
                <w:color w:val="auto"/>
                <w:sz w:val="24"/>
                <w:szCs w:val="24"/>
                <w:highlight w:val="none"/>
              </w:rPr>
            </w:pPr>
          </w:p>
        </w:tc>
      </w:tr>
      <w:tr w14:paraId="6D345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8" w:hRule="exact"/>
        </w:trPr>
        <w:tc>
          <w:tcPr>
            <w:tcW w:w="53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949552A">
            <w:pPr>
              <w:rPr>
                <w:rFonts w:hint="eastAsia" w:ascii="宋体" w:hAnsi="宋体" w:cs="宋体"/>
                <w:color w:val="auto"/>
                <w:sz w:val="24"/>
                <w:szCs w:val="24"/>
                <w:highlight w:val="none"/>
              </w:rPr>
            </w:pPr>
          </w:p>
        </w:tc>
        <w:tc>
          <w:tcPr>
            <w:tcW w:w="16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FDE94A8">
            <w:pPr>
              <w:rPr>
                <w:rFonts w:hint="eastAsia" w:ascii="宋体" w:hAnsi="宋体" w:cs="宋体"/>
                <w:color w:val="auto"/>
                <w:sz w:val="24"/>
                <w:szCs w:val="24"/>
                <w:highlight w:val="none"/>
              </w:rPr>
            </w:pPr>
          </w:p>
        </w:tc>
        <w:tc>
          <w:tcPr>
            <w:tcW w:w="117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DBB2EEA">
            <w:pPr>
              <w:rPr>
                <w:rFonts w:hint="eastAsia" w:ascii="宋体" w:hAnsi="宋体" w:cs="宋体"/>
                <w:color w:val="auto"/>
                <w:sz w:val="24"/>
                <w:szCs w:val="24"/>
                <w:highlight w:val="none"/>
              </w:rPr>
            </w:pPr>
          </w:p>
        </w:tc>
        <w:tc>
          <w:tcPr>
            <w:tcW w:w="74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2136398">
            <w:pPr>
              <w:rPr>
                <w:rFonts w:hint="eastAsia" w:ascii="宋体" w:hAnsi="宋体" w:cs="宋体"/>
                <w:color w:val="auto"/>
                <w:sz w:val="24"/>
                <w:szCs w:val="24"/>
                <w:highlight w:val="none"/>
              </w:rPr>
            </w:pPr>
          </w:p>
        </w:tc>
        <w:tc>
          <w:tcPr>
            <w:tcW w:w="9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C2C9BE0">
            <w:pPr>
              <w:rPr>
                <w:rFonts w:hint="eastAsia" w:ascii="宋体" w:hAnsi="宋体" w:cs="宋体"/>
                <w:color w:val="auto"/>
                <w:sz w:val="24"/>
                <w:szCs w:val="24"/>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2274865">
            <w:pPr>
              <w:rPr>
                <w:rFonts w:hint="eastAsia" w:ascii="宋体" w:hAnsi="宋体" w:cs="宋体"/>
                <w:color w:val="auto"/>
                <w:sz w:val="24"/>
                <w:szCs w:val="24"/>
                <w:highlight w:val="none"/>
              </w:rPr>
            </w:pPr>
          </w:p>
        </w:tc>
        <w:tc>
          <w:tcPr>
            <w:tcW w:w="152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A32EF3F">
            <w:pPr>
              <w:rPr>
                <w:rFonts w:hint="eastAsia" w:ascii="宋体" w:hAnsi="宋体" w:cs="宋体"/>
                <w:color w:val="auto"/>
                <w:sz w:val="24"/>
                <w:szCs w:val="24"/>
                <w:highlight w:val="none"/>
              </w:rPr>
            </w:pPr>
          </w:p>
        </w:tc>
        <w:tc>
          <w:tcPr>
            <w:tcW w:w="99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A7EB01F">
            <w:pPr>
              <w:rPr>
                <w:rFonts w:hint="eastAsia" w:ascii="宋体" w:hAnsi="宋体" w:cs="宋体"/>
                <w:color w:val="auto"/>
                <w:sz w:val="24"/>
                <w:szCs w:val="24"/>
                <w:highlight w:val="none"/>
              </w:rPr>
            </w:pPr>
          </w:p>
        </w:tc>
      </w:tr>
    </w:tbl>
    <w:p w14:paraId="1B7E79F5">
      <w:pPr>
        <w:rPr>
          <w:rFonts w:hint="eastAsia" w:ascii="宋体" w:hAnsi="宋体" w:eastAsia="宋体" w:cs="宋体"/>
          <w:color w:val="auto"/>
          <w:sz w:val="24"/>
          <w:szCs w:val="24"/>
          <w:highlight w:val="none"/>
        </w:rPr>
        <w:sectPr>
          <w:headerReference r:id="rId17" w:type="default"/>
          <w:footerReference r:id="rId18" w:type="default"/>
          <w:pgSz w:w="11905" w:h="16838"/>
          <w:pgMar w:top="1417" w:right="1417" w:bottom="1417" w:left="1417" w:header="992" w:footer="992" w:gutter="0"/>
          <w:lnNumType w:countBy="0" w:distance="360"/>
          <w:cols w:space="720" w:num="1"/>
        </w:sectPr>
      </w:pPr>
    </w:p>
    <w:p w14:paraId="10EFA068">
      <w:pPr>
        <w:pStyle w:val="5"/>
        <w:spacing w:line="480" w:lineRule="auto"/>
        <w:jc w:val="center"/>
        <w:outlineLvl w:val="2"/>
        <w:rPr>
          <w:rFonts w:hint="eastAsia" w:cs="宋体"/>
          <w:b/>
          <w:bCs/>
          <w:sz w:val="32"/>
          <w:szCs w:val="32"/>
          <w:highlight w:val="none"/>
        </w:rPr>
      </w:pPr>
      <w:bookmarkStart w:id="149" w:name="_Toc21460"/>
      <w:r>
        <w:rPr>
          <w:rFonts w:hint="eastAsia" w:cs="宋体"/>
          <w:b/>
          <w:bCs/>
          <w:sz w:val="32"/>
          <w:szCs w:val="32"/>
          <w:highlight w:val="none"/>
          <w:lang w:val="en-US" w:eastAsia="zh-CN"/>
        </w:rPr>
        <w:t>（七）</w:t>
      </w:r>
      <w:r>
        <w:rPr>
          <w:rFonts w:hint="eastAsia" w:cs="宋体"/>
          <w:b/>
          <w:bCs/>
          <w:color w:val="auto"/>
          <w:sz w:val="32"/>
          <w:szCs w:val="32"/>
          <w:highlight w:val="none"/>
          <w:lang w:val="en-US" w:eastAsia="zh-CN"/>
        </w:rPr>
        <w:t>、</w:t>
      </w:r>
      <w:bookmarkEnd w:id="149"/>
      <w:bookmarkStart w:id="150" w:name="_Toc7353"/>
      <w:r>
        <w:rPr>
          <w:rFonts w:hint="eastAsia" w:cs="宋体"/>
          <w:b/>
          <w:bCs/>
          <w:sz w:val="32"/>
          <w:szCs w:val="32"/>
          <w:highlight w:val="none"/>
          <w:lang w:val="en-US" w:eastAsia="zh-CN"/>
        </w:rPr>
        <w:t>投标人声明</w:t>
      </w:r>
      <w:bookmarkEnd w:id="150"/>
    </w:p>
    <w:p w14:paraId="1A6773B1">
      <w:pPr>
        <w:snapToGrid w:val="0"/>
        <w:spacing w:line="360" w:lineRule="auto"/>
        <w:rPr>
          <w:rFonts w:hint="eastAsia" w:ascii="宋体" w:hAnsi="宋体" w:eastAsia="宋体" w:cs="宋体"/>
          <w:color w:val="auto"/>
          <w:sz w:val="21"/>
          <w:szCs w:val="21"/>
          <w:highlight w:val="none"/>
        </w:rPr>
      </w:pPr>
    </w:p>
    <w:p w14:paraId="70907A17">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本招标项目招标人及招标监管机构：</w:t>
      </w:r>
    </w:p>
    <w:p w14:paraId="67398284">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本公司就参加</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u w:val="single"/>
          <w:lang w:eastAsia="zh-CN"/>
        </w:rPr>
        <w:t>（</w:t>
      </w:r>
      <w:r>
        <w:rPr>
          <w:rFonts w:hint="eastAsia" w:ascii="宋体" w:hAnsi="宋体" w:cs="宋体"/>
          <w:color w:val="auto"/>
          <w:sz w:val="24"/>
          <w:szCs w:val="24"/>
          <w:highlight w:val="none"/>
          <w:u w:val="single"/>
          <w:lang w:eastAsia="zh-CN"/>
        </w:rPr>
        <w:t>标段</w:t>
      </w:r>
      <w:r>
        <w:rPr>
          <w:rFonts w:hint="eastAsia" w:ascii="宋体" w:hAnsi="宋体" w:eastAsia="宋体" w:cs="宋体"/>
          <w:color w:val="auto"/>
          <w:sz w:val="24"/>
          <w:szCs w:val="24"/>
          <w:highlight w:val="none"/>
          <w:u w:val="single"/>
          <w:lang w:eastAsia="zh-CN"/>
        </w:rPr>
        <w:t>名称）</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项目投标工作，作出郑重声明：</w:t>
      </w:r>
    </w:p>
    <w:p w14:paraId="22B94C8D">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一、本公司保证投标</w:t>
      </w:r>
      <w:r>
        <w:rPr>
          <w:rFonts w:hint="eastAsia" w:ascii="宋体" w:hAnsi="宋体" w:eastAsia="宋体" w:cs="宋体"/>
          <w:color w:val="auto"/>
          <w:sz w:val="24"/>
          <w:szCs w:val="24"/>
          <w:highlight w:val="none"/>
          <w:lang w:eastAsia="zh-CN"/>
        </w:rPr>
        <w:t>文件</w:t>
      </w:r>
      <w:r>
        <w:rPr>
          <w:rFonts w:hint="eastAsia" w:ascii="宋体" w:hAnsi="宋体" w:eastAsia="宋体" w:cs="宋体"/>
          <w:color w:val="auto"/>
          <w:sz w:val="24"/>
          <w:szCs w:val="24"/>
          <w:highlight w:val="none"/>
        </w:rPr>
        <w:t>及其后提供的一切材料都是真实的。如我司成为本项目中标候选人，我司同意并授权招标人将我司投标文件商务部分的人员、业绩、奖项等资料进行公开。</w:t>
      </w:r>
    </w:p>
    <w:p w14:paraId="7A142498">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二、本公司保证不与其他单位围标、串标，不出让投标资格，不向招标人或评标委员会成员行贿。</w:t>
      </w:r>
    </w:p>
    <w:p w14:paraId="3EAFA430">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三、本公司不存在招标文件第二章投标人须知第1.4.3项所规定的任何一种情形。</w:t>
      </w:r>
    </w:p>
    <w:p w14:paraId="643096AC">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四、本公司及其有隶属关系的机构，没有参加本项目招标文件的编写工作；本公司与本次招标的招标代理机构没有隶属关系或其他利害关系。</w:t>
      </w:r>
    </w:p>
    <w:p w14:paraId="36B23514">
      <w:pPr>
        <w:snapToGrid w:val="0"/>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五、本公司承诺，中标后严格执行安全生产相关管理规定。</w:t>
      </w:r>
    </w:p>
    <w:p w14:paraId="1E20F667">
      <w:pPr>
        <w:snapToGrid w:val="0"/>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六</w:t>
      </w:r>
      <w:r>
        <w:rPr>
          <w:rFonts w:hint="eastAsia" w:ascii="宋体" w:hAnsi="宋体" w:eastAsia="宋体" w:cs="宋体"/>
          <w:color w:val="auto"/>
          <w:sz w:val="24"/>
          <w:szCs w:val="24"/>
          <w:highlight w:val="none"/>
        </w:rPr>
        <w:t>、本公司积极响应广州市关于投身“百千万工程”的号召，主动参与政府投资类建设工程施工项目的建筑业结对帮扶等活动。</w:t>
      </w:r>
    </w:p>
    <w:p w14:paraId="4BCB58CD">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本公司违反上述保证，或本声明陈述与事实不符，经查实，本公司愿意接受公开通报，承担由此带来的法律后果。</w:t>
      </w:r>
    </w:p>
    <w:p w14:paraId="3850EEDF">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特此声明。</w:t>
      </w:r>
    </w:p>
    <w:p w14:paraId="74486F6D">
      <w:pPr>
        <w:pStyle w:val="40"/>
        <w:ind w:right="1449" w:firstLine="480" w:firstLineChars="200"/>
        <w:rPr>
          <w:rFonts w:hint="eastAsia" w:ascii="宋体" w:eastAsia="宋体" w:cs="宋体"/>
          <w:color w:val="auto"/>
          <w:sz w:val="24"/>
          <w:szCs w:val="24"/>
          <w:highlight w:val="none"/>
        </w:rPr>
      </w:pPr>
    </w:p>
    <w:p w14:paraId="1797BE9E">
      <w:pPr>
        <w:pStyle w:val="40"/>
        <w:spacing w:line="600" w:lineRule="exact"/>
        <w:ind w:left="629" w:right="1449" w:firstLine="480" w:firstLineChars="200"/>
        <w:rPr>
          <w:rFonts w:hint="eastAsia" w:ascii="宋体" w:eastAsia="宋体" w:cs="宋体"/>
          <w:color w:val="auto"/>
          <w:sz w:val="24"/>
          <w:szCs w:val="24"/>
          <w:highlight w:val="none"/>
        </w:rPr>
      </w:pPr>
      <w:r>
        <w:rPr>
          <w:rFonts w:hint="eastAsia" w:ascii="宋体" w:eastAsia="宋体" w:cs="宋体"/>
          <w:color w:val="auto"/>
          <w:sz w:val="24"/>
          <w:szCs w:val="24"/>
          <w:highlight w:val="none"/>
        </w:rPr>
        <w:t xml:space="preserve">                                           声明企业：</w:t>
      </w:r>
    </w:p>
    <w:p w14:paraId="1BA5530C">
      <w:pPr>
        <w:pStyle w:val="35"/>
        <w:spacing w:line="600" w:lineRule="exact"/>
        <w:ind w:right="1779" w:firstLine="0"/>
        <w:jc w:val="right"/>
        <w:rPr>
          <w:rFonts w:hint="eastAsia" w:ascii="宋体" w:eastAsia="宋体" w:cs="宋体"/>
          <w:color w:val="auto"/>
          <w:sz w:val="24"/>
          <w:szCs w:val="24"/>
          <w:highlight w:val="none"/>
        </w:rPr>
      </w:pPr>
      <w:r>
        <w:rPr>
          <w:rFonts w:hint="eastAsia" w:ascii="宋体" w:eastAsia="宋体" w:cs="宋体"/>
          <w:color w:val="auto"/>
          <w:sz w:val="24"/>
          <w:szCs w:val="24"/>
          <w:highlight w:val="none"/>
        </w:rPr>
        <w:t>法定代表人（签字）：</w:t>
      </w:r>
    </w:p>
    <w:p w14:paraId="66F93F22">
      <w:pPr>
        <w:pStyle w:val="35"/>
        <w:spacing w:line="600" w:lineRule="exact"/>
        <w:ind w:right="1779" w:firstLine="0"/>
        <w:jc w:val="right"/>
        <w:rPr>
          <w:rFonts w:hint="eastAsia" w:ascii="宋体" w:eastAsia="宋体" w:cs="宋体"/>
          <w:color w:val="auto"/>
          <w:sz w:val="24"/>
          <w:szCs w:val="24"/>
          <w:highlight w:val="none"/>
        </w:rPr>
      </w:pPr>
      <w:r>
        <w:rPr>
          <w:rFonts w:hint="eastAsia" w:ascii="宋体" w:eastAsia="宋体" w:cs="宋体"/>
          <w:color w:val="auto"/>
          <w:sz w:val="24"/>
          <w:szCs w:val="24"/>
          <w:highlight w:val="none"/>
        </w:rPr>
        <w:t>总监理工程师（签字）：</w:t>
      </w:r>
    </w:p>
    <w:p w14:paraId="5F0AEE72">
      <w:pPr>
        <w:pStyle w:val="35"/>
        <w:spacing w:line="600" w:lineRule="exact"/>
        <w:ind w:right="1779" w:firstLine="0"/>
        <w:jc w:val="right"/>
        <w:rPr>
          <w:rFonts w:hint="eastAsia" w:ascii="宋体" w:eastAsia="宋体" w:cs="宋体"/>
          <w:color w:val="auto"/>
          <w:sz w:val="24"/>
          <w:szCs w:val="24"/>
          <w:highlight w:val="none"/>
          <w:lang w:val="en-US" w:eastAsia="zh-CN"/>
        </w:rPr>
      </w:pPr>
      <w:r>
        <w:rPr>
          <w:rFonts w:hint="eastAsia" w:ascii="宋体" w:eastAsia="宋体" w:cs="宋体"/>
          <w:color w:val="auto"/>
          <w:sz w:val="24"/>
          <w:szCs w:val="24"/>
          <w:highlight w:val="none"/>
          <w:lang w:val="en-US" w:eastAsia="zh-CN"/>
        </w:rPr>
        <w:t>技术负责人（签字）：</w:t>
      </w:r>
    </w:p>
    <w:p w14:paraId="79E4C053">
      <w:pPr>
        <w:pStyle w:val="35"/>
        <w:spacing w:line="600" w:lineRule="exact"/>
        <w:ind w:right="879" w:firstLine="480" w:firstLineChars="200"/>
        <w:jc w:val="right"/>
        <w:rPr>
          <w:rFonts w:hint="eastAsia" w:ascii="宋体" w:eastAsia="宋体" w:cs="宋体"/>
          <w:color w:val="auto"/>
          <w:sz w:val="24"/>
          <w:szCs w:val="24"/>
          <w:highlight w:val="none"/>
        </w:rPr>
      </w:pPr>
      <w:r>
        <w:rPr>
          <w:rFonts w:hint="eastAsia" w:ascii="宋体" w:eastAsia="宋体" w:cs="宋体"/>
          <w:color w:val="auto"/>
          <w:sz w:val="24"/>
          <w:szCs w:val="24"/>
          <w:highlight w:val="none"/>
        </w:rPr>
        <w:t>（企业公章）</w:t>
      </w:r>
    </w:p>
    <w:p w14:paraId="761A30EE">
      <w:pPr>
        <w:tabs>
          <w:tab w:val="left" w:pos="2316"/>
        </w:tabs>
        <w:spacing w:line="360" w:lineRule="auto"/>
        <w:ind w:firstLine="0" w:firstLineChars="0"/>
        <w:jc w:val="center"/>
        <w:rPr>
          <w:rFonts w:hint="eastAsia" w:ascii="宋体" w:hAnsi="宋体" w:eastAsia="宋体" w:cs="宋体"/>
          <w:color w:val="auto"/>
          <w:kern w:val="21"/>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年  月  日</w:t>
      </w:r>
    </w:p>
    <w:p w14:paraId="52D8877F">
      <w:pPr>
        <w:pStyle w:val="5"/>
        <w:pageBreakBefore/>
        <w:outlineLvl w:val="2"/>
        <w:rPr>
          <w:rFonts w:hint="eastAsia" w:cs="宋体"/>
          <w:b/>
          <w:color w:val="auto"/>
          <w:sz w:val="24"/>
          <w:szCs w:val="24"/>
          <w:highlight w:val="none"/>
        </w:rPr>
      </w:pPr>
    </w:p>
    <w:p w14:paraId="69D4EEF3">
      <w:pPr>
        <w:pStyle w:val="22"/>
        <w:spacing w:before="157" w:beforeLines="50" w:beforeAutospacing="0" w:after="157" w:afterLines="50" w:afterAutospacing="0" w:line="360" w:lineRule="auto"/>
        <w:ind w:firstLine="0"/>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lang w:val="en-US" w:eastAsia="zh-CN"/>
        </w:rPr>
        <w:t>（八）、</w:t>
      </w:r>
      <w:r>
        <w:rPr>
          <w:rFonts w:hint="eastAsia" w:ascii="宋体" w:hAnsi="宋体" w:eastAsia="宋体" w:cs="宋体"/>
          <w:b/>
          <w:bCs/>
          <w:color w:val="auto"/>
          <w:sz w:val="32"/>
          <w:szCs w:val="32"/>
          <w:highlight w:val="none"/>
        </w:rPr>
        <w:t>投标人廉洁承诺书</w:t>
      </w:r>
    </w:p>
    <w:p w14:paraId="141F72D7">
      <w:pPr>
        <w:pStyle w:val="16"/>
        <w:spacing w:line="360" w:lineRule="auto"/>
        <w:ind w:left="0" w:leftChars="0" w:right="420" w:firstLine="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广州市</w:t>
      </w:r>
      <w:r>
        <w:rPr>
          <w:rFonts w:hint="eastAsia" w:ascii="宋体" w:hAnsi="宋体" w:eastAsia="宋体" w:cs="宋体"/>
          <w:color w:val="auto"/>
          <w:sz w:val="24"/>
          <w:szCs w:val="24"/>
          <w:highlight w:val="none"/>
          <w:lang w:val="en-US" w:eastAsia="zh-CN"/>
        </w:rPr>
        <w:t>番禺区</w:t>
      </w:r>
      <w:r>
        <w:rPr>
          <w:rFonts w:hint="eastAsia" w:ascii="宋体" w:hAnsi="宋体" w:eastAsia="宋体" w:cs="宋体"/>
          <w:color w:val="auto"/>
          <w:sz w:val="24"/>
          <w:szCs w:val="24"/>
          <w:highlight w:val="none"/>
        </w:rPr>
        <w:t>水务局、本招标项目招标人及招标监管机构：</w:t>
      </w:r>
    </w:p>
    <w:p w14:paraId="47BBAAC1">
      <w:pPr>
        <w:pStyle w:val="16"/>
        <w:spacing w:line="360" w:lineRule="auto"/>
        <w:ind w:right="420" w:firstLine="480" w:firstLineChars="200"/>
        <w:jc w:val="both"/>
        <w:rPr>
          <w:rFonts w:hint="eastAsia" w:hAnsi="宋体" w:eastAsia="宋体" w:cs="宋体"/>
          <w:color w:val="auto"/>
          <w:sz w:val="24"/>
          <w:szCs w:val="24"/>
          <w:highlight w:val="none"/>
        </w:rPr>
      </w:pPr>
      <w:r>
        <w:rPr>
          <w:rFonts w:hint="eastAsia" w:ascii="宋体" w:hAnsi="宋体" w:eastAsia="宋体" w:cs="宋体"/>
          <w:color w:val="auto"/>
          <w:sz w:val="24"/>
          <w:szCs w:val="24"/>
          <w:highlight w:val="none"/>
        </w:rPr>
        <w:t>本公司参加了</w:t>
      </w:r>
      <w:r>
        <w:rPr>
          <w:rFonts w:hint="eastAsia" w:ascii="宋体" w:hAnsi="宋体" w:eastAsia="宋体" w:cs="宋体"/>
          <w:color w:val="auto"/>
          <w:sz w:val="24"/>
          <w:szCs w:val="24"/>
          <w:highlight w:val="none"/>
          <w:u w:val="single"/>
        </w:rPr>
        <w:t xml:space="preserve">   （标段名称）    </w:t>
      </w:r>
      <w:r>
        <w:rPr>
          <w:rFonts w:hint="eastAsia" w:ascii="宋体" w:hAnsi="宋体" w:eastAsia="宋体" w:cs="宋体"/>
          <w:color w:val="auto"/>
          <w:sz w:val="24"/>
          <w:szCs w:val="24"/>
          <w:highlight w:val="none"/>
        </w:rPr>
        <w:t>投标， 为确保招标工作的公平、公正、公开、有序进行，我们保证遵守《中华人民共和国招标投标法》、《中华人民共和国招标投标法实施条例》、《广东省实施&lt;中华人民共和国招标投标法&gt;办法》等法律法规，特承诺如下事项：</w:t>
      </w:r>
    </w:p>
    <w:p w14:paraId="551839AA">
      <w:pPr>
        <w:pStyle w:val="16"/>
        <w:spacing w:line="360" w:lineRule="auto"/>
        <w:ind w:right="420" w:firstLine="480" w:firstLineChars="200"/>
        <w:rPr>
          <w:rFonts w:hint="eastAsia" w:hAnsi="宋体" w:eastAsia="宋体" w:cs="宋体"/>
          <w:color w:val="auto"/>
          <w:sz w:val="24"/>
          <w:szCs w:val="24"/>
          <w:highlight w:val="none"/>
        </w:rPr>
      </w:pPr>
      <w:r>
        <w:rPr>
          <w:rFonts w:hint="eastAsia" w:ascii="宋体" w:hAnsi="宋体" w:eastAsia="宋体" w:cs="宋体"/>
          <w:color w:val="auto"/>
          <w:sz w:val="24"/>
          <w:szCs w:val="24"/>
          <w:highlight w:val="none"/>
        </w:rPr>
        <w:t>一、自觉遵守国家有关法律法规及廉洁规定。</w:t>
      </w:r>
    </w:p>
    <w:p w14:paraId="6F422DE0">
      <w:pPr>
        <w:pStyle w:val="16"/>
        <w:spacing w:line="360" w:lineRule="auto"/>
        <w:ind w:right="420" w:firstLine="480" w:firstLineChars="200"/>
        <w:jc w:val="both"/>
        <w:rPr>
          <w:rFonts w:hint="eastAsia" w:hAnsi="宋体" w:eastAsia="宋体" w:cs="宋体"/>
          <w:color w:val="auto"/>
          <w:sz w:val="24"/>
          <w:szCs w:val="24"/>
          <w:highlight w:val="none"/>
        </w:rPr>
      </w:pPr>
      <w:r>
        <w:rPr>
          <w:rFonts w:hint="eastAsia" w:ascii="宋体" w:hAnsi="宋体" w:eastAsia="宋体" w:cs="宋体"/>
          <w:color w:val="auto"/>
          <w:sz w:val="24"/>
          <w:szCs w:val="24"/>
          <w:highlight w:val="none"/>
        </w:rPr>
        <w:t>二、不与招标单位工作人员串通投标，损害国家利益、企业利益以及他人的合法利益；</w:t>
      </w:r>
    </w:p>
    <w:p w14:paraId="4301B875">
      <w:pPr>
        <w:pStyle w:val="16"/>
        <w:spacing w:line="360" w:lineRule="auto"/>
        <w:ind w:right="420" w:firstLine="480" w:firstLineChars="200"/>
        <w:jc w:val="both"/>
        <w:rPr>
          <w:rFonts w:hint="eastAsia" w:hAnsi="宋体" w:eastAsia="宋体" w:cs="宋体"/>
          <w:color w:val="auto"/>
          <w:sz w:val="24"/>
          <w:szCs w:val="24"/>
          <w:highlight w:val="none"/>
        </w:rPr>
      </w:pPr>
      <w:r>
        <w:rPr>
          <w:rFonts w:hint="eastAsia" w:ascii="宋体" w:hAnsi="宋体" w:eastAsia="宋体" w:cs="宋体"/>
          <w:color w:val="auto"/>
          <w:sz w:val="24"/>
          <w:szCs w:val="24"/>
          <w:highlight w:val="none"/>
        </w:rPr>
        <w:t>三、不与其他单位围标、串标，不出让投标资格，不向招标人或评标委员会成员行贿。</w:t>
      </w:r>
    </w:p>
    <w:p w14:paraId="7E09ADF0">
      <w:pPr>
        <w:pStyle w:val="16"/>
        <w:spacing w:line="360" w:lineRule="auto"/>
        <w:ind w:right="420" w:firstLine="480" w:firstLineChars="200"/>
        <w:jc w:val="both"/>
        <w:rPr>
          <w:rFonts w:hint="eastAsia" w:hAnsi="宋体" w:eastAsia="宋体" w:cs="宋体"/>
          <w:color w:val="auto"/>
          <w:sz w:val="24"/>
          <w:szCs w:val="24"/>
          <w:highlight w:val="none"/>
        </w:rPr>
      </w:pPr>
      <w:r>
        <w:rPr>
          <w:rFonts w:hint="eastAsia" w:ascii="宋体" w:hAnsi="宋体" w:eastAsia="宋体" w:cs="宋体"/>
          <w:color w:val="auto"/>
          <w:sz w:val="24"/>
          <w:szCs w:val="24"/>
          <w:highlight w:val="none"/>
        </w:rPr>
        <w:t xml:space="preserve">四、不以任何名义向参与招标、评标工作的有关人员提供高消费宴请及娱乐活动和赠送回扣、红包、礼金、购物卡、有价证券、贵重物品和好处费、感谢费等； </w:t>
      </w:r>
    </w:p>
    <w:p w14:paraId="4CA777B2">
      <w:pPr>
        <w:pStyle w:val="16"/>
        <w:spacing w:line="360" w:lineRule="auto"/>
        <w:ind w:right="420" w:firstLine="480" w:firstLineChars="200"/>
        <w:jc w:val="both"/>
        <w:rPr>
          <w:rFonts w:hint="eastAsia" w:hAnsi="宋体" w:eastAsia="宋体" w:cs="宋体"/>
          <w:color w:val="auto"/>
          <w:sz w:val="24"/>
          <w:szCs w:val="24"/>
          <w:highlight w:val="none"/>
        </w:rPr>
      </w:pPr>
      <w:r>
        <w:rPr>
          <w:rFonts w:hint="eastAsia" w:ascii="宋体" w:hAnsi="宋体" w:eastAsia="宋体" w:cs="宋体"/>
          <w:color w:val="auto"/>
          <w:sz w:val="24"/>
          <w:szCs w:val="24"/>
          <w:highlight w:val="none"/>
        </w:rPr>
        <w:t>五、不以任何名义为参与招标、评标工作的有关人员装修住房、婚丧嫁取、配偶子女的工作安排以及境内外旅游等提供方便；</w:t>
      </w:r>
    </w:p>
    <w:p w14:paraId="5C6D899F">
      <w:pPr>
        <w:pStyle w:val="16"/>
        <w:spacing w:line="360" w:lineRule="auto"/>
        <w:ind w:right="420"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六、不以谋取非正当利益为目的，擅自与参与招标、评标工作的有关人员就业务问题进行私下商谈或者达成利益默契</w:t>
      </w:r>
      <w:r>
        <w:rPr>
          <w:rFonts w:hint="eastAsia" w:hAnsi="宋体" w:cs="宋体"/>
          <w:color w:val="auto"/>
          <w:sz w:val="24"/>
          <w:szCs w:val="24"/>
          <w:highlight w:val="none"/>
          <w:lang w:eastAsia="zh-CN"/>
        </w:rPr>
        <w:t>。</w:t>
      </w:r>
    </w:p>
    <w:p w14:paraId="08277D4E">
      <w:pPr>
        <w:pStyle w:val="16"/>
        <w:autoSpaceDE/>
        <w:autoSpaceDN/>
        <w:spacing w:line="360" w:lineRule="auto"/>
        <w:ind w:right="420" w:firstLine="480" w:firstLineChars="200"/>
        <w:rPr>
          <w:rFonts w:hint="eastAsia" w:hAnsi="宋体" w:cs="宋体"/>
          <w:highlight w:val="none"/>
        </w:rPr>
      </w:pPr>
      <w:r>
        <w:rPr>
          <w:rFonts w:hint="eastAsia" w:hAnsi="宋体" w:cs="宋体"/>
          <w:highlight w:val="none"/>
        </w:rPr>
        <w:t>本公司违反上述承诺，或本承诺陈述与事实不符，经查实，本公司愿意接受公开通报，承担由此带来的法律后果。</w:t>
      </w:r>
    </w:p>
    <w:p w14:paraId="2108535F">
      <w:pPr>
        <w:pStyle w:val="16"/>
        <w:autoSpaceDE/>
        <w:autoSpaceDN/>
        <w:spacing w:line="360" w:lineRule="auto"/>
        <w:ind w:right="420" w:firstLine="480" w:firstLineChars="200"/>
        <w:rPr>
          <w:rFonts w:hint="eastAsia" w:ascii="宋体" w:hAnsi="宋体" w:eastAsia="宋体" w:cs="宋体"/>
          <w:sz w:val="24"/>
          <w:szCs w:val="24"/>
          <w:highlight w:val="none"/>
          <w:lang w:eastAsia="zh-CN"/>
        </w:rPr>
      </w:pPr>
      <w:r>
        <w:rPr>
          <w:rFonts w:hint="eastAsia" w:hAnsi="宋体" w:cs="宋体"/>
          <w:highlight w:val="none"/>
        </w:rPr>
        <w:t>特此承诺</w:t>
      </w:r>
      <w:r>
        <w:rPr>
          <w:rFonts w:hint="eastAsia" w:ascii="宋体" w:hAnsi="宋体" w:eastAsia="宋体" w:cs="宋体"/>
          <w:sz w:val="24"/>
          <w:szCs w:val="24"/>
          <w:highlight w:val="none"/>
          <w:lang w:eastAsia="zh-CN"/>
        </w:rPr>
        <w:t>。</w:t>
      </w:r>
    </w:p>
    <w:p w14:paraId="4C2ED1BA">
      <w:pPr>
        <w:pStyle w:val="22"/>
        <w:shd w:val="clear" w:color="auto" w:fill="FFFFFF"/>
        <w:spacing w:before="0" w:beforeAutospacing="0" w:after="0" w:afterAutospacing="0" w:line="360" w:lineRule="auto"/>
        <w:ind w:right="1455" w:firstLine="288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承诺企业（</w:t>
      </w:r>
      <w:r>
        <w:rPr>
          <w:rFonts w:hint="eastAsia" w:ascii="宋体" w:hAnsi="宋体" w:eastAsia="宋体" w:cs="宋体"/>
          <w:color w:val="auto"/>
          <w:sz w:val="24"/>
          <w:szCs w:val="24"/>
          <w:highlight w:val="none"/>
          <w:lang w:eastAsia="zh-CN"/>
        </w:rPr>
        <w:t>盖</w:t>
      </w:r>
      <w:r>
        <w:rPr>
          <w:rFonts w:hint="eastAsia" w:ascii="宋体" w:hAnsi="宋体" w:eastAsia="宋体" w:cs="宋体"/>
          <w:color w:val="auto"/>
          <w:sz w:val="24"/>
          <w:szCs w:val="24"/>
          <w:highlight w:val="none"/>
        </w:rPr>
        <w:t>单位章）：      </w:t>
      </w:r>
    </w:p>
    <w:p w14:paraId="76E6AA45">
      <w:pPr>
        <w:pStyle w:val="22"/>
        <w:shd w:val="clear" w:color="auto" w:fill="FFFFFF"/>
        <w:spacing w:before="0" w:beforeAutospacing="0" w:after="0" w:afterAutospacing="0" w:line="360" w:lineRule="auto"/>
        <w:ind w:firstLine="48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法定代表人签字：           </w:t>
      </w:r>
    </w:p>
    <w:p w14:paraId="1267A911">
      <w:pPr>
        <w:pStyle w:val="22"/>
        <w:shd w:val="clear" w:color="auto" w:fill="FFFFFF"/>
        <w:spacing w:before="0" w:after="0"/>
        <w:ind w:firstLine="48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bookmarkStart w:id="151" w:name="bookmark193"/>
      <w:bookmarkEnd w:id="151"/>
      <w:bookmarkStart w:id="152" w:name="_Toc13291"/>
    </w:p>
    <w:p w14:paraId="6DFFF2F1">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73D2219B">
      <w:pPr>
        <w:pStyle w:val="22"/>
        <w:shd w:val="clear" w:color="auto" w:fill="FFFFFF"/>
        <w:spacing w:before="0" w:after="0"/>
        <w:ind w:firstLine="480"/>
        <w:jc w:val="right"/>
        <w:rPr>
          <w:rFonts w:hint="eastAsia" w:ascii="宋体" w:hAnsi="宋体" w:eastAsia="宋体" w:cs="宋体"/>
          <w:color w:val="auto"/>
          <w:sz w:val="24"/>
          <w:szCs w:val="24"/>
          <w:highlight w:val="none"/>
        </w:rPr>
        <w:sectPr>
          <w:pgSz w:w="11905" w:h="16838"/>
          <w:pgMar w:top="1417" w:right="1417" w:bottom="1417" w:left="1417" w:header="992" w:footer="992" w:gutter="0"/>
          <w:lnNumType w:countBy="0" w:distance="360"/>
          <w:cols w:space="720" w:num="1"/>
        </w:sectPr>
      </w:pPr>
    </w:p>
    <w:p w14:paraId="0F057F21">
      <w:pPr>
        <w:pStyle w:val="4"/>
        <w:jc w:val="center"/>
        <w:outlineLvl w:val="1"/>
        <w:rPr>
          <w:rFonts w:hint="eastAsia" w:cs="宋体"/>
          <w:color w:val="auto"/>
          <w:sz w:val="28"/>
          <w:szCs w:val="24"/>
          <w:highlight w:val="none"/>
        </w:rPr>
      </w:pPr>
      <w:r>
        <w:rPr>
          <w:rFonts w:hint="eastAsia" w:cs="宋体"/>
          <w:color w:val="auto"/>
          <w:sz w:val="28"/>
          <w:szCs w:val="24"/>
          <w:highlight w:val="none"/>
          <w:lang w:eastAsia="zh-CN"/>
        </w:rPr>
        <w:t>六</w:t>
      </w:r>
      <w:r>
        <w:rPr>
          <w:rFonts w:hint="eastAsia" w:cs="宋体"/>
          <w:color w:val="auto"/>
          <w:sz w:val="28"/>
          <w:szCs w:val="24"/>
          <w:highlight w:val="none"/>
        </w:rPr>
        <w:t>、监理大纲</w:t>
      </w:r>
      <w:bookmarkEnd w:id="152"/>
    </w:p>
    <w:p w14:paraId="6F155C6C">
      <w:pPr>
        <w:pStyle w:val="12"/>
        <w:kinsoku w:val="0"/>
        <w:overflowPunct w:val="0"/>
        <w:spacing w:beforeLines="100" w:line="360" w:lineRule="auto"/>
        <w:ind w:left="0" w:firstLine="480" w:firstLineChars="200"/>
        <w:rPr>
          <w:rFonts w:hint="eastAsia" w:cs="宋体"/>
          <w:color w:val="auto"/>
          <w:sz w:val="24"/>
          <w:szCs w:val="24"/>
          <w:highlight w:val="none"/>
        </w:rPr>
      </w:pPr>
      <w:r>
        <w:rPr>
          <w:rFonts w:hint="eastAsia" w:cs="宋体"/>
          <w:color w:val="auto"/>
          <w:sz w:val="24"/>
          <w:szCs w:val="24"/>
          <w:highlight w:val="none"/>
        </w:rPr>
        <w:t>监理大纲应包括（但不限于）下列内容：</w:t>
      </w:r>
    </w:p>
    <w:p w14:paraId="3D33B3DA">
      <w:pPr>
        <w:pStyle w:val="12"/>
        <w:numPr>
          <w:ilvl w:val="0"/>
          <w:numId w:val="0"/>
        </w:numPr>
        <w:kinsoku w:val="0"/>
        <w:overflowPunct w:val="0"/>
        <w:spacing w:line="360" w:lineRule="auto"/>
        <w:ind w:left="480"/>
        <w:rPr>
          <w:rFonts w:hint="eastAsia" w:cs="宋体"/>
          <w:color w:val="auto"/>
          <w:sz w:val="24"/>
          <w:szCs w:val="24"/>
          <w:highlight w:val="none"/>
        </w:rPr>
      </w:pPr>
      <w:r>
        <w:rPr>
          <w:rFonts w:hint="eastAsia" w:cs="宋体"/>
          <w:color w:val="auto"/>
          <w:sz w:val="24"/>
          <w:szCs w:val="24"/>
          <w:highlight w:val="none"/>
          <w:lang w:val="en-US" w:eastAsia="zh-CN"/>
        </w:rPr>
        <w:t>一、</w:t>
      </w:r>
      <w:r>
        <w:rPr>
          <w:rFonts w:hint="eastAsia" w:cs="宋体"/>
          <w:color w:val="auto"/>
          <w:sz w:val="24"/>
          <w:szCs w:val="24"/>
          <w:highlight w:val="none"/>
        </w:rPr>
        <w:t>监理工程概况；</w:t>
      </w:r>
    </w:p>
    <w:p w14:paraId="1D73306B">
      <w:pPr>
        <w:pStyle w:val="12"/>
        <w:numPr>
          <w:ilvl w:val="0"/>
          <w:numId w:val="0"/>
        </w:numPr>
        <w:kinsoku w:val="0"/>
        <w:overflowPunct w:val="0"/>
        <w:spacing w:line="360" w:lineRule="auto"/>
        <w:ind w:left="480"/>
        <w:rPr>
          <w:rFonts w:hint="eastAsia" w:cs="宋体"/>
          <w:color w:val="auto"/>
          <w:sz w:val="24"/>
          <w:szCs w:val="24"/>
          <w:highlight w:val="none"/>
        </w:rPr>
      </w:pPr>
      <w:r>
        <w:rPr>
          <w:rFonts w:hint="eastAsia" w:cs="宋体"/>
          <w:color w:val="auto"/>
          <w:sz w:val="24"/>
          <w:szCs w:val="24"/>
          <w:highlight w:val="none"/>
        </w:rPr>
        <w:t xml:space="preserve">二、监理范围、监理内容； </w:t>
      </w:r>
    </w:p>
    <w:p w14:paraId="2F12346C">
      <w:pPr>
        <w:pStyle w:val="12"/>
        <w:numPr>
          <w:ilvl w:val="0"/>
          <w:numId w:val="0"/>
        </w:numPr>
        <w:kinsoku w:val="0"/>
        <w:overflowPunct w:val="0"/>
        <w:spacing w:line="360" w:lineRule="auto"/>
        <w:ind w:left="480"/>
        <w:rPr>
          <w:rFonts w:hint="eastAsia" w:cs="宋体"/>
          <w:color w:val="auto"/>
          <w:sz w:val="24"/>
          <w:szCs w:val="24"/>
          <w:highlight w:val="none"/>
        </w:rPr>
      </w:pPr>
      <w:r>
        <w:rPr>
          <w:rFonts w:hint="eastAsia" w:cs="宋体"/>
          <w:color w:val="auto"/>
          <w:sz w:val="24"/>
          <w:szCs w:val="24"/>
          <w:highlight w:val="none"/>
        </w:rPr>
        <w:t>三、监理依据、监理工作目标；</w:t>
      </w:r>
    </w:p>
    <w:p w14:paraId="0DCE9E97">
      <w:pPr>
        <w:pStyle w:val="12"/>
        <w:numPr>
          <w:ilvl w:val="0"/>
          <w:numId w:val="0"/>
        </w:numPr>
        <w:kinsoku w:val="0"/>
        <w:overflowPunct w:val="0"/>
        <w:spacing w:line="360" w:lineRule="auto"/>
        <w:ind w:left="480"/>
        <w:rPr>
          <w:rFonts w:hint="eastAsia" w:cs="宋体"/>
          <w:color w:val="auto"/>
          <w:sz w:val="24"/>
          <w:szCs w:val="24"/>
          <w:highlight w:val="none"/>
        </w:rPr>
      </w:pPr>
      <w:r>
        <w:rPr>
          <w:rFonts w:hint="eastAsia" w:cs="宋体"/>
          <w:color w:val="auto"/>
          <w:spacing w:val="-8"/>
          <w:sz w:val="24"/>
          <w:szCs w:val="24"/>
          <w:highlight w:val="none"/>
        </w:rPr>
        <w:t>四、监理机构设置（框图）、岗位职责；</w:t>
      </w:r>
      <w:r>
        <w:rPr>
          <w:rFonts w:hint="eastAsia" w:cs="宋体"/>
          <w:color w:val="auto"/>
          <w:spacing w:val="-69"/>
          <w:sz w:val="24"/>
          <w:szCs w:val="24"/>
          <w:highlight w:val="none"/>
        </w:rPr>
        <w:t xml:space="preserve"> </w:t>
      </w:r>
    </w:p>
    <w:p w14:paraId="1DCC3B83">
      <w:pPr>
        <w:pStyle w:val="12"/>
        <w:numPr>
          <w:ilvl w:val="0"/>
          <w:numId w:val="0"/>
        </w:numPr>
        <w:kinsoku w:val="0"/>
        <w:overflowPunct w:val="0"/>
        <w:spacing w:line="360" w:lineRule="auto"/>
        <w:ind w:left="0" w:firstLine="480" w:firstLineChars="200"/>
        <w:rPr>
          <w:rFonts w:hint="eastAsia" w:cs="宋体"/>
          <w:color w:val="auto"/>
          <w:sz w:val="24"/>
          <w:szCs w:val="24"/>
          <w:highlight w:val="none"/>
        </w:rPr>
      </w:pPr>
      <w:r>
        <w:rPr>
          <w:rFonts w:hint="eastAsia" w:cs="宋体"/>
          <w:color w:val="auto"/>
          <w:sz w:val="24"/>
          <w:szCs w:val="24"/>
          <w:highlight w:val="none"/>
        </w:rPr>
        <w:t xml:space="preserve">五、监理工作程序、方法和制度； </w:t>
      </w:r>
    </w:p>
    <w:p w14:paraId="30F1B8DA">
      <w:pPr>
        <w:pStyle w:val="12"/>
        <w:numPr>
          <w:ilvl w:val="0"/>
          <w:numId w:val="0"/>
        </w:numPr>
        <w:kinsoku w:val="0"/>
        <w:overflowPunct w:val="0"/>
        <w:spacing w:line="360" w:lineRule="auto"/>
        <w:ind w:left="480"/>
        <w:rPr>
          <w:rFonts w:hint="eastAsia" w:cs="宋体"/>
          <w:color w:val="auto"/>
          <w:sz w:val="24"/>
          <w:szCs w:val="24"/>
          <w:highlight w:val="none"/>
        </w:rPr>
      </w:pPr>
      <w:r>
        <w:rPr>
          <w:rFonts w:hint="eastAsia" w:cs="宋体"/>
          <w:color w:val="auto"/>
          <w:sz w:val="24"/>
          <w:szCs w:val="24"/>
          <w:highlight w:val="none"/>
        </w:rPr>
        <w:t xml:space="preserve">六、拟投入的监理人员、试验检测仪器设备； </w:t>
      </w:r>
    </w:p>
    <w:p w14:paraId="5B18A2AB">
      <w:pPr>
        <w:pStyle w:val="12"/>
        <w:numPr>
          <w:ilvl w:val="0"/>
          <w:numId w:val="0"/>
        </w:numPr>
        <w:kinsoku w:val="0"/>
        <w:overflowPunct w:val="0"/>
        <w:spacing w:line="360" w:lineRule="auto"/>
        <w:ind w:left="480"/>
        <w:rPr>
          <w:rFonts w:hint="eastAsia" w:cs="宋体"/>
          <w:color w:val="auto"/>
          <w:sz w:val="24"/>
          <w:szCs w:val="24"/>
          <w:highlight w:val="none"/>
        </w:rPr>
      </w:pPr>
      <w:r>
        <w:rPr>
          <w:rFonts w:hint="eastAsia" w:cs="宋体"/>
          <w:color w:val="auto"/>
          <w:spacing w:val="-2"/>
          <w:sz w:val="24"/>
          <w:szCs w:val="24"/>
          <w:highlight w:val="none"/>
        </w:rPr>
        <w:t>七、质量、进度、造价、安全、环保监理措施；</w:t>
      </w:r>
      <w:r>
        <w:rPr>
          <w:rFonts w:hint="eastAsia" w:cs="宋体"/>
          <w:color w:val="auto"/>
          <w:spacing w:val="-66"/>
          <w:sz w:val="24"/>
          <w:szCs w:val="24"/>
          <w:highlight w:val="none"/>
        </w:rPr>
        <w:t xml:space="preserve"> </w:t>
      </w:r>
    </w:p>
    <w:p w14:paraId="65F82612">
      <w:pPr>
        <w:pStyle w:val="12"/>
        <w:numPr>
          <w:ilvl w:val="0"/>
          <w:numId w:val="0"/>
        </w:numPr>
        <w:kinsoku w:val="0"/>
        <w:overflowPunct w:val="0"/>
        <w:spacing w:line="360" w:lineRule="auto"/>
        <w:ind w:left="480"/>
        <w:rPr>
          <w:rFonts w:hint="eastAsia" w:cs="宋体"/>
          <w:color w:val="auto"/>
          <w:sz w:val="24"/>
          <w:szCs w:val="24"/>
          <w:highlight w:val="none"/>
        </w:rPr>
      </w:pPr>
      <w:r>
        <w:rPr>
          <w:rFonts w:hint="eastAsia" w:cs="宋体"/>
          <w:color w:val="auto"/>
          <w:sz w:val="24"/>
          <w:szCs w:val="24"/>
          <w:highlight w:val="none"/>
        </w:rPr>
        <w:t>八、合同、信息管理方案；</w:t>
      </w:r>
    </w:p>
    <w:p w14:paraId="4071FA62">
      <w:pPr>
        <w:pStyle w:val="12"/>
        <w:numPr>
          <w:ilvl w:val="0"/>
          <w:numId w:val="0"/>
        </w:numPr>
        <w:kinsoku w:val="0"/>
        <w:overflowPunct w:val="0"/>
        <w:spacing w:line="360" w:lineRule="auto"/>
        <w:ind w:left="480"/>
        <w:rPr>
          <w:rFonts w:hint="eastAsia" w:cs="宋体"/>
          <w:color w:val="auto"/>
          <w:sz w:val="24"/>
          <w:szCs w:val="24"/>
          <w:highlight w:val="none"/>
        </w:rPr>
      </w:pPr>
      <w:r>
        <w:rPr>
          <w:rFonts w:hint="eastAsia" w:cs="宋体"/>
          <w:color w:val="auto"/>
          <w:sz w:val="24"/>
          <w:szCs w:val="24"/>
          <w:highlight w:val="none"/>
          <w:lang w:val="en-US" w:eastAsia="zh-CN"/>
        </w:rPr>
        <w:t>九</w:t>
      </w:r>
      <w:r>
        <w:rPr>
          <w:rFonts w:hint="eastAsia" w:cs="宋体"/>
          <w:color w:val="auto"/>
          <w:sz w:val="24"/>
          <w:szCs w:val="24"/>
          <w:highlight w:val="none"/>
        </w:rPr>
        <w:t xml:space="preserve">、组织协调内容及措施； </w:t>
      </w:r>
    </w:p>
    <w:p w14:paraId="33CA1F2B">
      <w:pPr>
        <w:pStyle w:val="12"/>
        <w:numPr>
          <w:ilvl w:val="0"/>
          <w:numId w:val="0"/>
        </w:numPr>
        <w:kinsoku w:val="0"/>
        <w:overflowPunct w:val="0"/>
        <w:spacing w:line="360" w:lineRule="auto"/>
        <w:ind w:left="480"/>
        <w:rPr>
          <w:rFonts w:hint="eastAsia" w:cs="宋体"/>
          <w:color w:val="auto"/>
          <w:sz w:val="24"/>
          <w:szCs w:val="24"/>
          <w:highlight w:val="none"/>
        </w:rPr>
      </w:pPr>
      <w:r>
        <w:rPr>
          <w:rFonts w:hint="eastAsia" w:cs="宋体"/>
          <w:color w:val="auto"/>
          <w:sz w:val="24"/>
          <w:szCs w:val="24"/>
          <w:highlight w:val="none"/>
        </w:rPr>
        <w:t xml:space="preserve">十、监理工作重点、难点分析； </w:t>
      </w:r>
    </w:p>
    <w:p w14:paraId="5B776E1A">
      <w:pPr>
        <w:pStyle w:val="12"/>
        <w:numPr>
          <w:ilvl w:val="0"/>
          <w:numId w:val="0"/>
        </w:numPr>
        <w:kinsoku w:val="0"/>
        <w:overflowPunct w:val="0"/>
        <w:spacing w:before="0" w:line="360" w:lineRule="auto"/>
        <w:ind w:left="480" w:right="0"/>
        <w:rPr>
          <w:rFonts w:hint="eastAsia" w:cs="宋体"/>
          <w:color w:val="auto"/>
          <w:sz w:val="24"/>
          <w:szCs w:val="24"/>
          <w:highlight w:val="none"/>
        </w:rPr>
      </w:pPr>
      <w:r>
        <w:rPr>
          <w:rFonts w:hint="eastAsia" w:cs="宋体"/>
          <w:color w:val="auto"/>
          <w:sz w:val="24"/>
          <w:szCs w:val="24"/>
          <w:highlight w:val="none"/>
        </w:rPr>
        <w:t>十</w:t>
      </w:r>
      <w:r>
        <w:rPr>
          <w:rFonts w:hint="eastAsia" w:cs="宋体"/>
          <w:color w:val="auto"/>
          <w:sz w:val="24"/>
          <w:szCs w:val="24"/>
          <w:highlight w:val="none"/>
          <w:lang w:val="en-US" w:eastAsia="zh-CN"/>
        </w:rPr>
        <w:t>一</w:t>
      </w:r>
      <w:r>
        <w:rPr>
          <w:rFonts w:hint="eastAsia" w:cs="宋体"/>
          <w:color w:val="auto"/>
          <w:sz w:val="24"/>
          <w:szCs w:val="24"/>
          <w:highlight w:val="none"/>
        </w:rPr>
        <w:t>、对本工程监理的合理化建议。</w:t>
      </w:r>
    </w:p>
    <w:p w14:paraId="30C3F89C">
      <w:pPr>
        <w:pStyle w:val="25"/>
        <w:ind w:left="0" w:leftChars="0" w:firstLine="480"/>
        <w:rPr>
          <w:rFonts w:hint="eastAsia" w:ascii="宋体" w:hAnsi="宋体" w:cs="宋体"/>
          <w:highlight w:val="none"/>
        </w:rPr>
      </w:pPr>
      <w:r>
        <w:rPr>
          <w:rFonts w:hint="eastAsia" w:ascii="宋体" w:hAnsi="宋体" w:cs="宋体"/>
          <w:sz w:val="24"/>
          <w:highlight w:val="none"/>
        </w:rPr>
        <w:t>十二、配合行政主管部门开展监督检查及加快项目推进的措施。</w:t>
      </w:r>
    </w:p>
    <w:p w14:paraId="351D562F">
      <w:pPr>
        <w:rPr>
          <w:rFonts w:hint="eastAsia" w:ascii="宋体" w:hAnsi="宋体" w:eastAsia="宋体" w:cs="宋体"/>
          <w:highlight w:val="none"/>
        </w:rPr>
        <w:sectPr>
          <w:pgSz w:w="11905" w:h="16838"/>
          <w:pgMar w:top="1417" w:right="1417" w:bottom="1417" w:left="1417" w:header="992" w:footer="992" w:gutter="0"/>
          <w:lnNumType w:countBy="0" w:distance="360"/>
          <w:cols w:space="720" w:num="1"/>
        </w:sectPr>
      </w:pPr>
    </w:p>
    <w:p w14:paraId="5ABB1970">
      <w:pPr>
        <w:pStyle w:val="4"/>
        <w:numPr>
          <w:ilvl w:val="0"/>
          <w:numId w:val="2"/>
        </w:numPr>
        <w:jc w:val="center"/>
        <w:outlineLvl w:val="1"/>
        <w:rPr>
          <w:rFonts w:hint="eastAsia" w:cs="宋体"/>
          <w:color w:val="auto"/>
          <w:sz w:val="28"/>
          <w:szCs w:val="24"/>
          <w:highlight w:val="none"/>
        </w:rPr>
      </w:pPr>
      <w:bookmarkStart w:id="153" w:name="bookmark194"/>
      <w:bookmarkEnd w:id="153"/>
      <w:bookmarkStart w:id="154" w:name="_Toc26031"/>
      <w:r>
        <w:rPr>
          <w:rFonts w:hint="eastAsia" w:cs="宋体"/>
          <w:color w:val="auto"/>
          <w:sz w:val="28"/>
          <w:szCs w:val="24"/>
          <w:highlight w:val="none"/>
        </w:rPr>
        <w:t>其他资料</w:t>
      </w:r>
      <w:bookmarkEnd w:id="154"/>
    </w:p>
    <w:p w14:paraId="58FB3526">
      <w:pPr>
        <w:tabs>
          <w:tab w:val="left" w:pos="720"/>
        </w:tabs>
        <w:snapToGrid w:val="0"/>
        <w:spacing w:line="360" w:lineRule="auto"/>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（一）中小企业声明函（格式）</w:t>
      </w:r>
    </w:p>
    <w:p w14:paraId="73B2CD9D">
      <w:pPr>
        <w:tabs>
          <w:tab w:val="left" w:pos="720"/>
        </w:tabs>
        <w:snapToGrid w:val="0"/>
        <w:spacing w:line="360" w:lineRule="auto"/>
        <w:jc w:val="center"/>
        <w:rPr>
          <w:rFonts w:hint="eastAsia" w:ascii="宋体" w:hAnsi="宋体" w:cs="宋体"/>
          <w:b/>
          <w:color w:val="000000" w:themeColor="text1"/>
          <w:sz w:val="32"/>
          <w:szCs w:val="32"/>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中小企业声明函（如有）</w:t>
      </w:r>
    </w:p>
    <w:p w14:paraId="1D155F66">
      <w:pPr>
        <w:spacing w:line="360" w:lineRule="auto"/>
        <w:ind w:firstLine="480" w:firstLineChars="200"/>
        <w:jc w:val="both"/>
        <w:rPr>
          <w:rFonts w:hint="eastAsia" w:ascii="宋体" w:hAnsi="宋体" w:cs="宋体"/>
          <w:color w:val="000000" w:themeColor="text1"/>
          <w:szCs w:val="20"/>
          <w:highlight w:val="none"/>
          <w:u w:val="singl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w:t>致：</w:t>
      </w:r>
      <w:r>
        <w:rPr>
          <w:rFonts w:hint="eastAsia" w:ascii="宋体" w:hAnsi="宋体" w:cs="宋体"/>
          <w:color w:val="000000" w:themeColor="text1"/>
          <w:szCs w:val="20"/>
          <w:highlight w:val="none"/>
          <w:u w:val="single"/>
          <w14:textFill>
            <w14:solidFill>
              <w14:schemeClr w14:val="tx1"/>
            </w14:solidFill>
          </w14:textFill>
        </w:rPr>
        <w:t xml:space="preserve">        （招标人）         </w:t>
      </w:r>
    </w:p>
    <w:p w14:paraId="6E18BB38">
      <w:pPr>
        <w:spacing w:line="360" w:lineRule="auto"/>
        <w:ind w:firstLine="480" w:firstLineChars="200"/>
        <w:jc w:val="both"/>
        <w:rPr>
          <w:rFonts w:hint="eastAsia" w:ascii="宋体" w:hAnsi="宋体" w:cs="宋体"/>
          <w:color w:val="000000" w:themeColor="text1"/>
          <w:szCs w:val="20"/>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w:t>本公司郑重声明，根据《政府采购促进中小企业发展管理办法》（财库﹝2020﹞46号）的规定，本公司参加</w:t>
      </w:r>
      <w:r>
        <w:rPr>
          <w:rFonts w:hint="eastAsia" w:ascii="宋体" w:hAnsi="宋体" w:cs="宋体"/>
          <w:color w:val="000000" w:themeColor="text1"/>
          <w:szCs w:val="20"/>
          <w:highlight w:val="none"/>
          <w:u w:val="single"/>
          <w14:textFill>
            <w14:solidFill>
              <w14:schemeClr w14:val="tx1"/>
            </w14:solidFill>
          </w14:textFill>
        </w:rPr>
        <w:t xml:space="preserve">   （招标人）    </w:t>
      </w:r>
      <w:r>
        <w:rPr>
          <w:rFonts w:hint="eastAsia" w:ascii="宋体" w:hAnsi="宋体" w:cs="宋体"/>
          <w:color w:val="000000" w:themeColor="text1"/>
          <w:szCs w:val="20"/>
          <w:highlight w:val="none"/>
          <w14:textFill>
            <w14:solidFill>
              <w14:schemeClr w14:val="tx1"/>
            </w14:solidFill>
          </w14:textFill>
        </w:rPr>
        <w:t>的</w:t>
      </w:r>
      <w:r>
        <w:rPr>
          <w:rFonts w:hint="eastAsia" w:ascii="宋体" w:hAnsi="宋体" w:cs="宋体"/>
          <w:color w:val="000000" w:themeColor="text1"/>
          <w:szCs w:val="20"/>
          <w:highlight w:val="none"/>
          <w:u w:val="single"/>
          <w14:textFill>
            <w14:solidFill>
              <w14:schemeClr w14:val="tx1"/>
            </w14:solidFill>
          </w14:textFill>
        </w:rPr>
        <w:t xml:space="preserve">      （标段名称）      </w:t>
      </w:r>
      <w:r>
        <w:rPr>
          <w:rFonts w:hint="eastAsia" w:ascii="宋体" w:hAnsi="宋体" w:cs="宋体"/>
          <w:color w:val="000000" w:themeColor="text1"/>
          <w:szCs w:val="20"/>
          <w:highlight w:val="none"/>
          <w14:textFill>
            <w14:solidFill>
              <w14:schemeClr w14:val="tx1"/>
            </w14:solidFill>
          </w14:textFill>
        </w:rPr>
        <w:t>招标活动，工程的</w:t>
      </w:r>
      <w:r>
        <w:rPr>
          <w:rFonts w:hint="eastAsia" w:ascii="宋体" w:hAnsi="宋体" w:cs="宋体"/>
          <w:color w:val="000000" w:themeColor="text1"/>
          <w:szCs w:val="20"/>
          <w:highlight w:val="none"/>
          <w:lang w:val="en-US" w:eastAsia="zh-CN"/>
          <w14:textFill>
            <w14:solidFill>
              <w14:schemeClr w14:val="tx1"/>
            </w14:solidFill>
          </w14:textFill>
        </w:rPr>
        <w:t>服务</w:t>
      </w:r>
      <w:r>
        <w:rPr>
          <w:rFonts w:hint="eastAsia" w:ascii="宋体" w:hAnsi="宋体" w:cs="宋体"/>
          <w:color w:val="000000" w:themeColor="text1"/>
          <w:szCs w:val="20"/>
          <w:highlight w:val="none"/>
          <w14:textFill>
            <w14:solidFill>
              <w14:schemeClr w14:val="tx1"/>
            </w14:solidFill>
          </w14:textFill>
        </w:rPr>
        <w:t>单位全部为符合政策要求的中小企业</w:t>
      </w:r>
      <w:r>
        <w:rPr>
          <w:rFonts w:hint="eastAsia" w:ascii="宋体" w:hAnsi="宋体" w:cs="宋体"/>
          <w:color w:val="000000" w:themeColor="text1"/>
          <w:szCs w:val="20"/>
          <w:highlight w:val="none"/>
          <w:lang w:val="en-US" w:eastAsia="zh-CN"/>
          <w14:textFill>
            <w14:solidFill>
              <w14:schemeClr w14:val="tx1"/>
            </w14:solidFill>
          </w14:textFill>
        </w:rPr>
        <w:t>承接</w:t>
      </w:r>
      <w:r>
        <w:rPr>
          <w:rFonts w:hint="eastAsia" w:ascii="宋体" w:hAnsi="宋体" w:cs="宋体"/>
          <w:color w:val="000000" w:themeColor="text1"/>
          <w:szCs w:val="20"/>
          <w:highlight w:val="none"/>
          <w14:textFill>
            <w14:solidFill>
              <w14:schemeClr w14:val="tx1"/>
            </w14:solidFill>
          </w14:textFill>
        </w:rPr>
        <w:t>。相关企业（含签订分包意向协议的中小企业）的具体情况如下：</w:t>
      </w:r>
    </w:p>
    <w:p w14:paraId="21A64093">
      <w:pPr>
        <w:spacing w:line="360" w:lineRule="auto"/>
        <w:ind w:firstLine="480" w:firstLineChars="200"/>
        <w:jc w:val="both"/>
        <w:rPr>
          <w:rFonts w:hint="eastAsia" w:ascii="宋体" w:hAnsi="宋体" w:cs="宋体"/>
          <w:color w:val="000000" w:themeColor="text1"/>
          <w:szCs w:val="20"/>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w:t>1.</w:t>
      </w:r>
      <w:r>
        <w:rPr>
          <w:rFonts w:hint="eastAsia" w:ascii="宋体" w:hAnsi="宋体" w:cs="宋体"/>
          <w:color w:val="000000" w:themeColor="text1"/>
          <w:szCs w:val="20"/>
          <w:highlight w:val="none"/>
          <w:u w:val="single"/>
          <w14:textFill>
            <w14:solidFill>
              <w14:schemeClr w14:val="tx1"/>
            </w14:solidFill>
          </w14:textFill>
        </w:rPr>
        <w:t xml:space="preserve">     （标段名称）     </w:t>
      </w:r>
      <w:r>
        <w:rPr>
          <w:rFonts w:hint="eastAsia" w:ascii="宋体" w:hAnsi="宋体" w:cs="宋体"/>
          <w:color w:val="000000" w:themeColor="text1"/>
          <w:szCs w:val="20"/>
          <w:highlight w:val="none"/>
          <w14:textFill>
            <w14:solidFill>
              <w14:schemeClr w14:val="tx1"/>
            </w14:solidFill>
          </w14:textFill>
        </w:rPr>
        <w:t>，属于</w:t>
      </w:r>
      <w:r>
        <w:rPr>
          <w:rFonts w:hint="eastAsia" w:ascii="宋体" w:hAnsi="宋体" w:cs="宋体"/>
          <w:color w:val="000000" w:themeColor="text1"/>
          <w:szCs w:val="20"/>
          <w:highlight w:val="none"/>
          <w:u w:val="single"/>
          <w:lang w:val="en-US" w:eastAsia="zh-CN"/>
          <w14:textFill>
            <w14:solidFill>
              <w14:schemeClr w14:val="tx1"/>
            </w14:solidFill>
          </w14:textFill>
        </w:rPr>
        <w:t>其他未列明行业</w:t>
      </w:r>
      <w:r>
        <w:rPr>
          <w:rFonts w:hint="eastAsia" w:ascii="宋体" w:hAnsi="宋体" w:cs="宋体"/>
          <w:color w:val="000000" w:themeColor="text1"/>
          <w:szCs w:val="20"/>
          <w:highlight w:val="none"/>
          <w14:textFill>
            <w14:solidFill>
              <w14:schemeClr w14:val="tx1"/>
            </w14:solidFill>
          </w14:textFill>
        </w:rPr>
        <w:t>；承建（承接）企业为</w:t>
      </w:r>
      <w:r>
        <w:rPr>
          <w:rFonts w:hint="eastAsia" w:ascii="宋体" w:hAnsi="宋体" w:cs="宋体"/>
          <w:color w:val="000000" w:themeColor="text1"/>
          <w:szCs w:val="20"/>
          <w:highlight w:val="none"/>
          <w:u w:val="single"/>
          <w14:textFill>
            <w14:solidFill>
              <w14:schemeClr w14:val="tx1"/>
            </w14:solidFill>
          </w14:textFill>
        </w:rPr>
        <w:t xml:space="preserve">    （企业名称）     </w:t>
      </w:r>
      <w:r>
        <w:rPr>
          <w:rFonts w:hint="eastAsia" w:ascii="宋体" w:hAnsi="宋体" w:cs="宋体"/>
          <w:color w:val="000000" w:themeColor="text1"/>
          <w:szCs w:val="20"/>
          <w:highlight w:val="none"/>
          <w14:textFill>
            <w14:solidFill>
              <w14:schemeClr w14:val="tx1"/>
            </w14:solidFill>
          </w14:textFill>
        </w:rPr>
        <w:t>，从业人员</w:t>
      </w:r>
      <w:r>
        <w:rPr>
          <w:rFonts w:hint="eastAsia" w:ascii="宋体" w:hAnsi="宋体" w:cs="宋体"/>
          <w:color w:val="000000" w:themeColor="text1"/>
          <w:szCs w:val="20"/>
          <w:highlight w:val="none"/>
          <w:u w:val="single"/>
          <w14:textFill>
            <w14:solidFill>
              <w14:schemeClr w14:val="tx1"/>
            </w14:solidFill>
          </w14:textFill>
        </w:rPr>
        <w:t xml:space="preserve">    </w:t>
      </w:r>
      <w:r>
        <w:rPr>
          <w:rFonts w:hint="eastAsia" w:ascii="宋体" w:hAnsi="宋体" w:cs="宋体"/>
          <w:color w:val="000000" w:themeColor="text1"/>
          <w:szCs w:val="20"/>
          <w:highlight w:val="none"/>
          <w14:textFill>
            <w14:solidFill>
              <w14:schemeClr w14:val="tx1"/>
            </w14:solidFill>
          </w14:textFill>
        </w:rPr>
        <w:t>人，营业收入为</w:t>
      </w:r>
      <w:r>
        <w:rPr>
          <w:rFonts w:hint="eastAsia" w:ascii="宋体" w:hAnsi="宋体" w:cs="宋体"/>
          <w:color w:val="000000" w:themeColor="text1"/>
          <w:szCs w:val="20"/>
          <w:highlight w:val="none"/>
          <w:u w:val="single"/>
          <w14:textFill>
            <w14:solidFill>
              <w14:schemeClr w14:val="tx1"/>
            </w14:solidFill>
          </w14:textFill>
        </w:rPr>
        <w:t xml:space="preserve">    </w:t>
      </w:r>
      <w:r>
        <w:rPr>
          <w:rFonts w:hint="eastAsia" w:ascii="宋体" w:hAnsi="宋体" w:cs="宋体"/>
          <w:color w:val="000000" w:themeColor="text1"/>
          <w:szCs w:val="20"/>
          <w:highlight w:val="none"/>
          <w14:textFill>
            <w14:solidFill>
              <w14:schemeClr w14:val="tx1"/>
            </w14:solidFill>
          </w14:textFill>
        </w:rPr>
        <w:t>万元，资产总额为</w:t>
      </w:r>
      <w:r>
        <w:rPr>
          <w:rFonts w:hint="eastAsia" w:ascii="宋体" w:hAnsi="宋体" w:cs="宋体"/>
          <w:color w:val="000000" w:themeColor="text1"/>
          <w:szCs w:val="20"/>
          <w:highlight w:val="none"/>
          <w:u w:val="single"/>
          <w14:textFill>
            <w14:solidFill>
              <w14:schemeClr w14:val="tx1"/>
            </w14:solidFill>
          </w14:textFill>
        </w:rPr>
        <w:t xml:space="preserve">    </w:t>
      </w:r>
      <w:r>
        <w:rPr>
          <w:rFonts w:hint="eastAsia" w:ascii="宋体" w:hAnsi="宋体" w:cs="宋体"/>
          <w:color w:val="000000" w:themeColor="text1"/>
          <w:szCs w:val="20"/>
          <w:highlight w:val="none"/>
          <w14:textFill>
            <w14:solidFill>
              <w14:schemeClr w14:val="tx1"/>
            </w14:solidFill>
          </w14:textFill>
        </w:rPr>
        <w:t>万元，属于</w:t>
      </w:r>
      <w:r>
        <w:rPr>
          <w:rFonts w:hint="eastAsia" w:ascii="宋体" w:hAnsi="宋体" w:cs="宋体"/>
          <w:color w:val="000000" w:themeColor="text1"/>
          <w:szCs w:val="20"/>
          <w:highlight w:val="none"/>
          <w:u w:val="single"/>
          <w14:textFill>
            <w14:solidFill>
              <w14:schemeClr w14:val="tx1"/>
            </w14:solidFill>
          </w14:textFill>
        </w:rPr>
        <w:t>（中型企业、小型企业、微型企业）</w:t>
      </w:r>
      <w:r>
        <w:rPr>
          <w:rFonts w:hint="eastAsia" w:ascii="宋体" w:hAnsi="宋体" w:cs="宋体"/>
          <w:color w:val="000000" w:themeColor="text1"/>
          <w:szCs w:val="20"/>
          <w:highlight w:val="none"/>
          <w14:textFill>
            <w14:solidFill>
              <w14:schemeClr w14:val="tx1"/>
            </w14:solidFill>
          </w14:textFill>
        </w:rPr>
        <w:t>。</w:t>
      </w:r>
    </w:p>
    <w:p w14:paraId="3CDC49C8">
      <w:pPr>
        <w:spacing w:line="360" w:lineRule="auto"/>
        <w:ind w:firstLine="480" w:firstLineChars="200"/>
        <w:jc w:val="both"/>
        <w:rPr>
          <w:rFonts w:hint="eastAsia" w:ascii="宋体" w:hAnsi="宋体" w:cs="宋体"/>
          <w:color w:val="000000" w:themeColor="text1"/>
          <w:szCs w:val="20"/>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w:t>2.</w:t>
      </w:r>
      <w:r>
        <w:rPr>
          <w:rFonts w:hint="eastAsia" w:ascii="宋体" w:hAnsi="宋体" w:cs="宋体"/>
          <w:color w:val="000000" w:themeColor="text1"/>
          <w:szCs w:val="20"/>
          <w:highlight w:val="none"/>
          <w:u w:val="single"/>
          <w14:textFill>
            <w14:solidFill>
              <w14:schemeClr w14:val="tx1"/>
            </w14:solidFill>
          </w14:textFill>
        </w:rPr>
        <w:t xml:space="preserve">     （标段名称）     </w:t>
      </w:r>
      <w:r>
        <w:rPr>
          <w:rFonts w:hint="eastAsia" w:ascii="宋体" w:hAnsi="宋体" w:cs="宋体"/>
          <w:color w:val="000000" w:themeColor="text1"/>
          <w:szCs w:val="20"/>
          <w:highlight w:val="none"/>
          <w14:textFill>
            <w14:solidFill>
              <w14:schemeClr w14:val="tx1"/>
            </w14:solidFill>
          </w14:textFill>
        </w:rPr>
        <w:t>，属于</w:t>
      </w:r>
      <w:r>
        <w:rPr>
          <w:rFonts w:hint="eastAsia" w:ascii="宋体" w:hAnsi="宋体" w:cs="宋体"/>
          <w:color w:val="000000" w:themeColor="text1"/>
          <w:szCs w:val="20"/>
          <w:highlight w:val="none"/>
          <w:u w:val="single"/>
          <w:lang w:val="en-US" w:eastAsia="zh-CN"/>
          <w14:textFill>
            <w14:solidFill>
              <w14:schemeClr w14:val="tx1"/>
            </w14:solidFill>
          </w14:textFill>
        </w:rPr>
        <w:t>其他未列明行业</w:t>
      </w:r>
      <w:r>
        <w:rPr>
          <w:rFonts w:hint="eastAsia" w:ascii="宋体" w:hAnsi="宋体" w:cs="宋体"/>
          <w:color w:val="000000" w:themeColor="text1"/>
          <w:szCs w:val="20"/>
          <w:highlight w:val="none"/>
          <w14:textFill>
            <w14:solidFill>
              <w14:schemeClr w14:val="tx1"/>
            </w14:solidFill>
          </w14:textFill>
        </w:rPr>
        <w:t>；承建（承接）企业为</w:t>
      </w:r>
      <w:r>
        <w:rPr>
          <w:rFonts w:hint="eastAsia" w:ascii="宋体" w:hAnsi="宋体" w:cs="宋体"/>
          <w:color w:val="000000" w:themeColor="text1"/>
          <w:szCs w:val="20"/>
          <w:highlight w:val="none"/>
          <w:u w:val="single"/>
          <w14:textFill>
            <w14:solidFill>
              <w14:schemeClr w14:val="tx1"/>
            </w14:solidFill>
          </w14:textFill>
        </w:rPr>
        <w:t xml:space="preserve">     （企业名称）     </w:t>
      </w:r>
      <w:r>
        <w:rPr>
          <w:rFonts w:hint="eastAsia" w:ascii="宋体" w:hAnsi="宋体" w:cs="宋体"/>
          <w:color w:val="000000" w:themeColor="text1"/>
          <w:szCs w:val="20"/>
          <w:highlight w:val="none"/>
          <w14:textFill>
            <w14:solidFill>
              <w14:schemeClr w14:val="tx1"/>
            </w14:solidFill>
          </w14:textFill>
        </w:rPr>
        <w:t>，从业人员</w:t>
      </w:r>
      <w:r>
        <w:rPr>
          <w:rFonts w:hint="eastAsia" w:ascii="宋体" w:hAnsi="宋体" w:cs="宋体"/>
          <w:color w:val="000000" w:themeColor="text1"/>
          <w:szCs w:val="20"/>
          <w:highlight w:val="none"/>
          <w:u w:val="single"/>
          <w14:textFill>
            <w14:solidFill>
              <w14:schemeClr w14:val="tx1"/>
            </w14:solidFill>
          </w14:textFill>
        </w:rPr>
        <w:t xml:space="preserve">    </w:t>
      </w:r>
      <w:r>
        <w:rPr>
          <w:rFonts w:hint="eastAsia" w:ascii="宋体" w:hAnsi="宋体" w:cs="宋体"/>
          <w:color w:val="000000" w:themeColor="text1"/>
          <w:szCs w:val="20"/>
          <w:highlight w:val="none"/>
          <w14:textFill>
            <w14:solidFill>
              <w14:schemeClr w14:val="tx1"/>
            </w14:solidFill>
          </w14:textFill>
        </w:rPr>
        <w:t>人，营业收入为</w:t>
      </w:r>
      <w:r>
        <w:rPr>
          <w:rFonts w:hint="eastAsia" w:ascii="宋体" w:hAnsi="宋体" w:cs="宋体"/>
          <w:color w:val="000000" w:themeColor="text1"/>
          <w:szCs w:val="20"/>
          <w:highlight w:val="none"/>
          <w:u w:val="single"/>
          <w14:textFill>
            <w14:solidFill>
              <w14:schemeClr w14:val="tx1"/>
            </w14:solidFill>
          </w14:textFill>
        </w:rPr>
        <w:t xml:space="preserve">    </w:t>
      </w:r>
      <w:r>
        <w:rPr>
          <w:rFonts w:hint="eastAsia" w:ascii="宋体" w:hAnsi="宋体" w:cs="宋体"/>
          <w:color w:val="000000" w:themeColor="text1"/>
          <w:szCs w:val="20"/>
          <w:highlight w:val="none"/>
          <w14:textFill>
            <w14:solidFill>
              <w14:schemeClr w14:val="tx1"/>
            </w14:solidFill>
          </w14:textFill>
        </w:rPr>
        <w:t>万元，资产总额为</w:t>
      </w:r>
      <w:r>
        <w:rPr>
          <w:rFonts w:hint="eastAsia" w:ascii="宋体" w:hAnsi="宋体" w:cs="宋体"/>
          <w:color w:val="000000" w:themeColor="text1"/>
          <w:szCs w:val="20"/>
          <w:highlight w:val="none"/>
          <w:u w:val="single"/>
          <w14:textFill>
            <w14:solidFill>
              <w14:schemeClr w14:val="tx1"/>
            </w14:solidFill>
          </w14:textFill>
        </w:rPr>
        <w:t xml:space="preserve">    </w:t>
      </w:r>
      <w:r>
        <w:rPr>
          <w:rFonts w:hint="eastAsia" w:ascii="宋体" w:hAnsi="宋体" w:cs="宋体"/>
          <w:color w:val="000000" w:themeColor="text1"/>
          <w:szCs w:val="20"/>
          <w:highlight w:val="none"/>
          <w14:textFill>
            <w14:solidFill>
              <w14:schemeClr w14:val="tx1"/>
            </w14:solidFill>
          </w14:textFill>
        </w:rPr>
        <w:t>万元，属于</w:t>
      </w:r>
      <w:r>
        <w:rPr>
          <w:rFonts w:hint="eastAsia" w:ascii="宋体" w:hAnsi="宋体" w:cs="宋体"/>
          <w:color w:val="000000" w:themeColor="text1"/>
          <w:szCs w:val="20"/>
          <w:highlight w:val="none"/>
          <w:u w:val="single"/>
          <w14:textFill>
            <w14:solidFill>
              <w14:schemeClr w14:val="tx1"/>
            </w14:solidFill>
          </w14:textFill>
        </w:rPr>
        <w:t>（中型企业、小型企业、微型企业）</w:t>
      </w:r>
      <w:r>
        <w:rPr>
          <w:rFonts w:hint="eastAsia" w:ascii="宋体" w:hAnsi="宋体" w:cs="宋体"/>
          <w:color w:val="000000" w:themeColor="text1"/>
          <w:szCs w:val="20"/>
          <w:highlight w:val="none"/>
          <w14:textFill>
            <w14:solidFill>
              <w14:schemeClr w14:val="tx1"/>
            </w14:solidFill>
          </w14:textFill>
        </w:rPr>
        <w:t>；</w:t>
      </w:r>
    </w:p>
    <w:p w14:paraId="194CA3E6">
      <w:pPr>
        <w:spacing w:line="360" w:lineRule="auto"/>
        <w:ind w:firstLine="480" w:firstLineChars="200"/>
        <w:jc w:val="both"/>
        <w:rPr>
          <w:rFonts w:hint="eastAsia" w:ascii="宋体" w:hAnsi="宋体" w:cs="宋体"/>
          <w:color w:val="000000" w:themeColor="text1"/>
          <w:szCs w:val="20"/>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w:t>……</w:t>
      </w:r>
    </w:p>
    <w:p w14:paraId="67C14A34">
      <w:pPr>
        <w:spacing w:line="360" w:lineRule="auto"/>
        <w:ind w:firstLine="480" w:firstLineChars="200"/>
        <w:jc w:val="both"/>
        <w:rPr>
          <w:rFonts w:hint="eastAsia" w:ascii="宋体" w:hAnsi="宋体" w:cs="宋体"/>
          <w:color w:val="000000" w:themeColor="text1"/>
          <w:szCs w:val="20"/>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w:t>以上企业，不属于大企业的分支机构，不存在控股股东为大企业的情形，也不存在与大企业的负责人为同一人的情形。</w:t>
      </w:r>
    </w:p>
    <w:p w14:paraId="2E599AB9">
      <w:pPr>
        <w:spacing w:line="360" w:lineRule="auto"/>
        <w:ind w:firstLine="480" w:firstLineChars="200"/>
        <w:jc w:val="both"/>
        <w:rPr>
          <w:rFonts w:hint="eastAsia" w:ascii="宋体" w:hAnsi="宋体" w:cs="宋体"/>
          <w:color w:val="000000" w:themeColor="text1"/>
          <w:szCs w:val="20"/>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w:t>本企业对上述声明内容的真实性负责。如有虚假，将依法承担相应责任。</w:t>
      </w:r>
    </w:p>
    <w:p w14:paraId="52365621">
      <w:pPr>
        <w:pStyle w:val="16"/>
        <w:spacing w:line="360" w:lineRule="auto"/>
        <w:ind w:firstLine="480" w:firstLineChars="200"/>
        <w:rPr>
          <w:rFonts w:hint="eastAsia" w:hAnsi="宋体" w:cs="宋体"/>
          <w:color w:val="000000" w:themeColor="text1"/>
          <w:szCs w:val="20"/>
          <w:highlight w:val="none"/>
          <w14:textFill>
            <w14:solidFill>
              <w14:schemeClr w14:val="tx1"/>
            </w14:solidFill>
          </w14:textFill>
        </w:rPr>
      </w:pPr>
    </w:p>
    <w:p w14:paraId="6A052B83">
      <w:pPr>
        <w:spacing w:line="360" w:lineRule="auto"/>
        <w:ind w:firstLine="480" w:firstLineChars="200"/>
        <w:jc w:val="right"/>
        <w:rPr>
          <w:rFonts w:hint="eastAsia" w:ascii="宋体" w:hAnsi="宋体" w:cs="宋体"/>
          <w:color w:val="000000" w:themeColor="text1"/>
          <w:szCs w:val="20"/>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w:t>投标人名称（盖章或电子印章）：</w:t>
      </w:r>
    </w:p>
    <w:p w14:paraId="61019746">
      <w:pPr>
        <w:spacing w:line="360" w:lineRule="auto"/>
        <w:ind w:firstLine="480" w:firstLineChars="200"/>
        <w:jc w:val="center"/>
        <w:rPr>
          <w:rFonts w:hint="eastAsia" w:ascii="宋体" w:hAnsi="宋体" w:cs="宋体"/>
          <w:color w:val="000000" w:themeColor="text1"/>
          <w:szCs w:val="20"/>
          <w:highlight w:val="none"/>
          <w14:textFill>
            <w14:solidFill>
              <w14:schemeClr w14:val="tx1"/>
            </w14:solidFill>
          </w14:textFill>
        </w:rPr>
      </w:pPr>
      <w:r>
        <w:rPr>
          <w:rFonts w:hint="eastAsia" w:ascii="宋体" w:hAnsi="宋体" w:cs="宋体"/>
          <w:color w:val="000000" w:themeColor="text1"/>
          <w:szCs w:val="20"/>
          <w:highlight w:val="none"/>
          <w:lang w:val="en-US" w:eastAsia="zh-CN"/>
          <w14:textFill>
            <w14:solidFill>
              <w14:schemeClr w14:val="tx1"/>
            </w14:solidFill>
          </w14:textFill>
        </w:rPr>
        <w:t xml:space="preserve">                                      </w:t>
      </w:r>
      <w:r>
        <w:rPr>
          <w:rFonts w:hint="eastAsia" w:ascii="宋体" w:hAnsi="宋体" w:cs="宋体"/>
          <w:color w:val="000000" w:themeColor="text1"/>
          <w:szCs w:val="20"/>
          <w:highlight w:val="none"/>
          <w14:textFill>
            <w14:solidFill>
              <w14:schemeClr w14:val="tx1"/>
            </w14:solidFill>
          </w14:textFill>
        </w:rPr>
        <w:t>日   期：     年   月   日</w:t>
      </w:r>
    </w:p>
    <w:p w14:paraId="74B6145B">
      <w:pPr>
        <w:spacing w:line="360" w:lineRule="auto"/>
        <w:ind w:firstLine="422" w:firstLineChars="200"/>
        <w:jc w:val="both"/>
        <w:rPr>
          <w:rFonts w:hint="eastAsia" w:ascii="宋体" w:hAnsi="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14:textFill>
            <w14:solidFill>
              <w14:schemeClr w14:val="tx1"/>
            </w14:solidFill>
          </w14:textFill>
        </w:rPr>
        <w:t>注：1、从业人员、营业收入、资产总额填报上一年度数据，无上一年度数据的新成立企业可不填报。</w:t>
      </w:r>
    </w:p>
    <w:p w14:paraId="19B834A5">
      <w:pPr>
        <w:pStyle w:val="16"/>
        <w:spacing w:line="360" w:lineRule="auto"/>
        <w:ind w:firstLine="422" w:firstLineChars="200"/>
        <w:rPr>
          <w:b/>
          <w:bCs/>
          <w:color w:val="000000" w:themeColor="text1"/>
          <w:sz w:val="21"/>
          <w:szCs w:val="21"/>
          <w:highlight w:val="none"/>
          <w:u w:val="single"/>
          <w14:textFill>
            <w14:solidFill>
              <w14:schemeClr w14:val="tx1"/>
            </w14:solidFill>
          </w14:textFill>
        </w:rPr>
      </w:pPr>
      <w:r>
        <w:rPr>
          <w:rFonts w:hint="eastAsia"/>
          <w:b/>
          <w:bCs/>
          <w:color w:val="000000" w:themeColor="text1"/>
          <w:sz w:val="21"/>
          <w:szCs w:val="21"/>
          <w:highlight w:val="none"/>
          <w:u w:val="single"/>
          <w14:textFill>
            <w14:solidFill>
              <w14:schemeClr w14:val="tx1"/>
            </w14:solidFill>
          </w14:textFill>
        </w:rPr>
        <w:t>2、《中小企业声明函》（如有）适用于小微企业参加招投标活动的。投标人应当自行核实是否属于小微企业，并认真填写，若有虚假将追究其责任。</w:t>
      </w:r>
    </w:p>
    <w:p w14:paraId="317A13CB">
      <w:pPr>
        <w:pStyle w:val="16"/>
        <w:spacing w:line="360" w:lineRule="auto"/>
        <w:ind w:firstLine="422" w:firstLineChars="200"/>
        <w:rPr>
          <w:rFonts w:hint="eastAsia"/>
          <w:b/>
          <w:bCs/>
          <w:color w:val="000000" w:themeColor="text1"/>
          <w:sz w:val="21"/>
          <w:szCs w:val="21"/>
          <w:highlight w:val="none"/>
          <w:u w:val="single"/>
          <w14:textFill>
            <w14:solidFill>
              <w14:schemeClr w14:val="tx1"/>
            </w14:solidFill>
          </w14:textFill>
        </w:rPr>
      </w:pPr>
      <w:r>
        <w:rPr>
          <w:rFonts w:hint="eastAsia"/>
          <w:b/>
          <w:bCs/>
          <w:color w:val="000000" w:themeColor="text1"/>
          <w:sz w:val="21"/>
          <w:szCs w:val="21"/>
          <w:highlight w:val="none"/>
          <w:u w:val="single"/>
          <w14:textFill>
            <w14:solidFill>
              <w14:schemeClr w14:val="tx1"/>
            </w14:solidFill>
          </w14:textFill>
        </w:rPr>
        <w:t>3、需按照本项目对应行业出具《中小企业声明函》，而非按照供应商的经营范围出具。</w:t>
      </w:r>
    </w:p>
    <w:p w14:paraId="2501A68E">
      <w:pPr>
        <w:pStyle w:val="16"/>
        <w:spacing w:line="360" w:lineRule="auto"/>
        <w:ind w:firstLine="422" w:firstLineChars="200"/>
        <w:rPr>
          <w:rFonts w:hint="default" w:eastAsia="宋体"/>
          <w:b/>
          <w:bCs/>
          <w:color w:val="000000" w:themeColor="text1"/>
          <w:highlight w:val="none"/>
          <w:u w:val="single"/>
          <w:lang w:val="en-US" w:eastAsia="zh-CN"/>
          <w14:textFill>
            <w14:solidFill>
              <w14:schemeClr w14:val="tx1"/>
            </w14:solidFill>
          </w14:textFill>
        </w:rPr>
      </w:pPr>
      <w:r>
        <w:rPr>
          <w:rFonts w:hint="eastAsia"/>
          <w:b/>
          <w:bCs/>
          <w:color w:val="000000" w:themeColor="text1"/>
          <w:sz w:val="21"/>
          <w:szCs w:val="21"/>
          <w:highlight w:val="none"/>
          <w:u w:val="single"/>
          <w:lang w:val="en-US" w:eastAsia="zh-CN"/>
          <w14:textFill>
            <w14:solidFill>
              <w14:schemeClr w14:val="tx1"/>
            </w14:solidFill>
          </w14:textFill>
        </w:rPr>
        <w:t>4、小微企业划分标准按照《工业和信息化部 国家统计局国家发展和改革委员会财政部关于印发中小企业划型标准规定的通知》(工信部联企业(2011)300号)执行。本招标项目属于其他未列明行业。从业人员300人以下的为中小微型企业。其中，从业人员100人及以上的为中型企业;从业人员10人及以上的为小型企业;从业人员10人以下的为微型企业。</w:t>
      </w:r>
    </w:p>
    <w:p w14:paraId="4578D813">
      <w:pPr>
        <w:spacing w:line="360" w:lineRule="auto"/>
        <w:jc w:val="both"/>
        <w:rPr>
          <w:rFonts w:hint="eastAsia" w:ascii="宋体" w:hAnsi="宋体" w:cs="宋体"/>
          <w:b/>
          <w:bCs/>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br w:type="page"/>
      </w:r>
      <w:r>
        <w:rPr>
          <w:rFonts w:hint="eastAsia"/>
          <w:b/>
          <w:color w:val="000000" w:themeColor="text1"/>
          <w:highlight w:val="none"/>
          <w14:textFill>
            <w14:solidFill>
              <w14:schemeClr w14:val="tx1"/>
            </w14:solidFill>
          </w14:textFill>
        </w:rPr>
        <w:t>（二）监狱企业证明文件（格式）</w:t>
      </w:r>
    </w:p>
    <w:p w14:paraId="50BA9767">
      <w:pPr>
        <w:pStyle w:val="46"/>
        <w:jc w:val="center"/>
        <w:outlineLvl w:val="3"/>
        <w:rPr>
          <w:rFonts w:hint="default"/>
          <w:color w:val="000000" w:themeColor="text1"/>
          <w:highlight w:val="none"/>
          <w:lang w:eastAsia="zh-CN"/>
          <w14:textFill>
            <w14:solidFill>
              <w14:schemeClr w14:val="tx1"/>
            </w14:solidFill>
          </w14:textFill>
        </w:rPr>
      </w:pPr>
      <w:r>
        <w:rPr>
          <w:rFonts w:ascii="宋体" w:hAnsi="宋体" w:cs="宋体"/>
          <w:b/>
          <w:color w:val="000000" w:themeColor="text1"/>
          <w:kern w:val="2"/>
          <w:sz w:val="32"/>
          <w:szCs w:val="32"/>
          <w:highlight w:val="none"/>
          <w:lang w:eastAsia="zh-CN"/>
          <w14:textFill>
            <w14:solidFill>
              <w14:schemeClr w14:val="tx1"/>
            </w14:solidFill>
          </w14:textFill>
        </w:rPr>
        <w:t>监狱企业证明文件（如有）</w:t>
      </w:r>
    </w:p>
    <w:p w14:paraId="1CAD9AF1">
      <w:pPr>
        <w:pStyle w:val="46"/>
        <w:ind w:firstLine="480"/>
        <w:rPr>
          <w:rFonts w:hint="default"/>
          <w:color w:val="000000" w:themeColor="text1"/>
          <w:highlight w:val="none"/>
          <w:lang w:eastAsia="zh-CN"/>
          <w14:textFill>
            <w14:solidFill>
              <w14:schemeClr w14:val="tx1"/>
            </w14:solidFill>
          </w14:textFill>
        </w:rPr>
      </w:pPr>
    </w:p>
    <w:p w14:paraId="461CF613">
      <w:pPr>
        <w:pStyle w:val="46"/>
        <w:ind w:firstLine="480"/>
        <w:rPr>
          <w:rFonts w:hint="default"/>
          <w:color w:val="000000" w:themeColor="text1"/>
          <w:highlight w:val="none"/>
          <w:lang w:eastAsia="zh-CN"/>
          <w14:textFill>
            <w14:solidFill>
              <w14:schemeClr w14:val="tx1"/>
            </w14:solidFill>
          </w14:textFill>
        </w:rPr>
      </w:pPr>
    </w:p>
    <w:p w14:paraId="787CC454">
      <w:pPr>
        <w:pStyle w:val="46"/>
        <w:ind w:firstLine="480"/>
        <w:rPr>
          <w:rFonts w:hint="default"/>
          <w:color w:val="000000" w:themeColor="text1"/>
          <w:highlight w:val="none"/>
          <w:lang w:eastAsia="zh-CN"/>
          <w14:textFill>
            <w14:solidFill>
              <w14:schemeClr w14:val="tx1"/>
            </w14:solidFill>
          </w14:textFill>
        </w:rPr>
      </w:pPr>
    </w:p>
    <w:p w14:paraId="558FE00D">
      <w:pPr>
        <w:pStyle w:val="46"/>
        <w:ind w:firstLine="480"/>
        <w:rPr>
          <w:rFonts w:hint="default"/>
          <w:color w:val="000000" w:themeColor="text1"/>
          <w:highlight w:val="none"/>
          <w:lang w:eastAsia="zh-CN"/>
          <w14:textFill>
            <w14:solidFill>
              <w14:schemeClr w14:val="tx1"/>
            </w14:solidFill>
          </w14:textFill>
        </w:rPr>
      </w:pPr>
    </w:p>
    <w:p w14:paraId="7D7794D0">
      <w:pPr>
        <w:pStyle w:val="46"/>
        <w:ind w:firstLine="480"/>
        <w:rPr>
          <w:rFonts w:hint="default"/>
          <w:color w:val="000000" w:themeColor="text1"/>
          <w:highlight w:val="none"/>
          <w:lang w:eastAsia="zh-CN"/>
          <w14:textFill>
            <w14:solidFill>
              <w14:schemeClr w14:val="tx1"/>
            </w14:solidFill>
          </w14:textFill>
        </w:rPr>
      </w:pPr>
    </w:p>
    <w:p w14:paraId="4FFBD5AA">
      <w:pPr>
        <w:pStyle w:val="46"/>
        <w:ind w:firstLine="480"/>
        <w:rPr>
          <w:rFonts w:hint="default"/>
          <w:color w:val="000000" w:themeColor="text1"/>
          <w:highlight w:val="none"/>
          <w:lang w:eastAsia="zh-CN"/>
          <w14:textFill>
            <w14:solidFill>
              <w14:schemeClr w14:val="tx1"/>
            </w14:solidFill>
          </w14:textFill>
        </w:rPr>
      </w:pPr>
    </w:p>
    <w:p w14:paraId="6869CCF9">
      <w:pPr>
        <w:pStyle w:val="46"/>
        <w:ind w:firstLine="480"/>
        <w:rPr>
          <w:rFonts w:hint="default"/>
          <w:color w:val="000000" w:themeColor="text1"/>
          <w:highlight w:val="none"/>
          <w:lang w:eastAsia="zh-CN"/>
          <w14:textFill>
            <w14:solidFill>
              <w14:schemeClr w14:val="tx1"/>
            </w14:solidFill>
          </w14:textFill>
        </w:rPr>
      </w:pPr>
    </w:p>
    <w:p w14:paraId="6F067542">
      <w:pPr>
        <w:pStyle w:val="46"/>
        <w:ind w:firstLine="480"/>
        <w:rPr>
          <w:rFonts w:hint="default"/>
          <w:color w:val="000000" w:themeColor="text1"/>
          <w:highlight w:val="none"/>
          <w:lang w:eastAsia="zh-CN"/>
          <w14:textFill>
            <w14:solidFill>
              <w14:schemeClr w14:val="tx1"/>
            </w14:solidFill>
          </w14:textFill>
        </w:rPr>
      </w:pPr>
    </w:p>
    <w:p w14:paraId="776EC337">
      <w:pPr>
        <w:pStyle w:val="46"/>
        <w:ind w:firstLine="480"/>
        <w:rPr>
          <w:rFonts w:hint="default"/>
          <w:color w:val="000000" w:themeColor="text1"/>
          <w:highlight w:val="none"/>
          <w:lang w:eastAsia="zh-CN"/>
          <w14:textFill>
            <w14:solidFill>
              <w14:schemeClr w14:val="tx1"/>
            </w14:solidFill>
          </w14:textFill>
        </w:rPr>
      </w:pPr>
    </w:p>
    <w:p w14:paraId="5AC891B0">
      <w:pPr>
        <w:pStyle w:val="46"/>
        <w:ind w:firstLine="480"/>
        <w:rPr>
          <w:rFonts w:hint="default"/>
          <w:color w:val="000000" w:themeColor="text1"/>
          <w:highlight w:val="none"/>
          <w:lang w:eastAsia="zh-CN"/>
          <w14:textFill>
            <w14:solidFill>
              <w14:schemeClr w14:val="tx1"/>
            </w14:solidFill>
          </w14:textFill>
        </w:rPr>
      </w:pPr>
    </w:p>
    <w:p w14:paraId="33DE78E8">
      <w:pPr>
        <w:pStyle w:val="46"/>
        <w:ind w:firstLine="480"/>
        <w:rPr>
          <w:rFonts w:hint="default"/>
          <w:color w:val="000000" w:themeColor="text1"/>
          <w:highlight w:val="none"/>
          <w:lang w:eastAsia="zh-CN"/>
          <w14:textFill>
            <w14:solidFill>
              <w14:schemeClr w14:val="tx1"/>
            </w14:solidFill>
          </w14:textFill>
        </w:rPr>
      </w:pPr>
    </w:p>
    <w:p w14:paraId="785232AE">
      <w:pPr>
        <w:pStyle w:val="46"/>
        <w:ind w:firstLine="480"/>
        <w:rPr>
          <w:rFonts w:hint="default"/>
          <w:color w:val="000000" w:themeColor="text1"/>
          <w:highlight w:val="none"/>
          <w:lang w:eastAsia="zh-CN"/>
          <w14:textFill>
            <w14:solidFill>
              <w14:schemeClr w14:val="tx1"/>
            </w14:solidFill>
          </w14:textFill>
        </w:rPr>
      </w:pPr>
    </w:p>
    <w:p w14:paraId="62C03A0F">
      <w:pPr>
        <w:pStyle w:val="46"/>
        <w:ind w:firstLine="480"/>
        <w:rPr>
          <w:rFonts w:hint="default"/>
          <w:color w:val="000000" w:themeColor="text1"/>
          <w:highlight w:val="none"/>
          <w:lang w:eastAsia="zh-CN"/>
          <w14:textFill>
            <w14:solidFill>
              <w14:schemeClr w14:val="tx1"/>
            </w14:solidFill>
          </w14:textFill>
        </w:rPr>
      </w:pPr>
    </w:p>
    <w:p w14:paraId="395D5E76">
      <w:pPr>
        <w:pStyle w:val="46"/>
        <w:ind w:firstLine="480"/>
        <w:rPr>
          <w:rFonts w:hint="default"/>
          <w:color w:val="000000" w:themeColor="text1"/>
          <w:highlight w:val="none"/>
          <w:lang w:eastAsia="zh-CN"/>
          <w14:textFill>
            <w14:solidFill>
              <w14:schemeClr w14:val="tx1"/>
            </w14:solidFill>
          </w14:textFill>
        </w:rPr>
      </w:pPr>
    </w:p>
    <w:p w14:paraId="7C4414BA">
      <w:pPr>
        <w:pStyle w:val="46"/>
        <w:ind w:firstLine="480"/>
        <w:rPr>
          <w:rFonts w:hint="default"/>
          <w:color w:val="000000" w:themeColor="text1"/>
          <w:highlight w:val="none"/>
          <w:lang w:eastAsia="zh-CN"/>
          <w14:textFill>
            <w14:solidFill>
              <w14:schemeClr w14:val="tx1"/>
            </w14:solidFill>
          </w14:textFill>
        </w:rPr>
      </w:pPr>
    </w:p>
    <w:p w14:paraId="66A8812D">
      <w:pPr>
        <w:pStyle w:val="46"/>
        <w:ind w:firstLine="480"/>
        <w:rPr>
          <w:rFonts w:hint="default"/>
          <w:color w:val="000000" w:themeColor="text1"/>
          <w:highlight w:val="none"/>
          <w:lang w:eastAsia="zh-CN"/>
          <w14:textFill>
            <w14:solidFill>
              <w14:schemeClr w14:val="tx1"/>
            </w14:solidFill>
          </w14:textFill>
        </w:rPr>
      </w:pPr>
    </w:p>
    <w:p w14:paraId="51BC0F3F">
      <w:pPr>
        <w:pStyle w:val="46"/>
        <w:ind w:firstLine="480"/>
        <w:rPr>
          <w:rFonts w:hint="default"/>
          <w:color w:val="000000" w:themeColor="text1"/>
          <w:highlight w:val="none"/>
          <w:lang w:eastAsia="zh-CN"/>
          <w14:textFill>
            <w14:solidFill>
              <w14:schemeClr w14:val="tx1"/>
            </w14:solidFill>
          </w14:textFill>
        </w:rPr>
      </w:pPr>
    </w:p>
    <w:p w14:paraId="7D360727">
      <w:pPr>
        <w:pStyle w:val="46"/>
        <w:ind w:firstLine="480"/>
        <w:rPr>
          <w:rFonts w:hint="default"/>
          <w:color w:val="000000" w:themeColor="text1"/>
          <w:highlight w:val="none"/>
          <w:lang w:eastAsia="zh-CN"/>
          <w14:textFill>
            <w14:solidFill>
              <w14:schemeClr w14:val="tx1"/>
            </w14:solidFill>
          </w14:textFill>
        </w:rPr>
      </w:pPr>
    </w:p>
    <w:p w14:paraId="16D38EBD">
      <w:pPr>
        <w:pStyle w:val="46"/>
        <w:ind w:firstLine="480"/>
        <w:rPr>
          <w:rFonts w:hint="default"/>
          <w:color w:val="000000" w:themeColor="text1"/>
          <w:highlight w:val="none"/>
          <w:lang w:eastAsia="zh-CN"/>
          <w14:textFill>
            <w14:solidFill>
              <w14:schemeClr w14:val="tx1"/>
            </w14:solidFill>
          </w14:textFill>
        </w:rPr>
      </w:pPr>
    </w:p>
    <w:p w14:paraId="4EB7D548">
      <w:pPr>
        <w:pStyle w:val="46"/>
        <w:ind w:firstLine="480"/>
        <w:rPr>
          <w:rFonts w:hint="default"/>
          <w:color w:val="000000" w:themeColor="text1"/>
          <w:highlight w:val="none"/>
          <w:lang w:eastAsia="zh-CN"/>
          <w14:textFill>
            <w14:solidFill>
              <w14:schemeClr w14:val="tx1"/>
            </w14:solidFill>
          </w14:textFill>
        </w:rPr>
      </w:pPr>
    </w:p>
    <w:p w14:paraId="07B3CD08">
      <w:pPr>
        <w:pStyle w:val="46"/>
        <w:ind w:firstLine="480"/>
        <w:rPr>
          <w:rFonts w:hint="default"/>
          <w:color w:val="000000" w:themeColor="text1"/>
          <w:highlight w:val="none"/>
          <w:lang w:eastAsia="zh-CN"/>
          <w14:textFill>
            <w14:solidFill>
              <w14:schemeClr w14:val="tx1"/>
            </w14:solidFill>
          </w14:textFill>
        </w:rPr>
      </w:pPr>
    </w:p>
    <w:p w14:paraId="7A9A6943">
      <w:pPr>
        <w:pStyle w:val="46"/>
        <w:ind w:firstLine="480"/>
        <w:rPr>
          <w:rFonts w:hint="default"/>
          <w:color w:val="000000" w:themeColor="text1"/>
          <w:highlight w:val="none"/>
          <w:lang w:eastAsia="zh-CN"/>
          <w14:textFill>
            <w14:solidFill>
              <w14:schemeClr w14:val="tx1"/>
            </w14:solidFill>
          </w14:textFill>
        </w:rPr>
      </w:pPr>
    </w:p>
    <w:p w14:paraId="2260A284">
      <w:pPr>
        <w:pStyle w:val="46"/>
        <w:ind w:firstLine="480"/>
        <w:rPr>
          <w:rFonts w:hint="default"/>
          <w:color w:val="000000" w:themeColor="text1"/>
          <w:highlight w:val="none"/>
          <w:lang w:eastAsia="zh-CN"/>
          <w14:textFill>
            <w14:solidFill>
              <w14:schemeClr w14:val="tx1"/>
            </w14:solidFill>
          </w14:textFill>
        </w:rPr>
      </w:pPr>
    </w:p>
    <w:p w14:paraId="53C1DD3E">
      <w:pPr>
        <w:pStyle w:val="46"/>
        <w:ind w:firstLine="480"/>
        <w:rPr>
          <w:rFonts w:hint="default"/>
          <w:color w:val="000000" w:themeColor="text1"/>
          <w:highlight w:val="none"/>
          <w:lang w:eastAsia="zh-CN"/>
          <w14:textFill>
            <w14:solidFill>
              <w14:schemeClr w14:val="tx1"/>
            </w14:solidFill>
          </w14:textFill>
        </w:rPr>
      </w:pPr>
    </w:p>
    <w:p w14:paraId="790370FE">
      <w:pPr>
        <w:pStyle w:val="46"/>
        <w:ind w:firstLine="480"/>
        <w:rPr>
          <w:rFonts w:hint="default"/>
          <w:color w:val="000000" w:themeColor="text1"/>
          <w:highlight w:val="none"/>
          <w:lang w:eastAsia="zh-CN"/>
          <w14:textFill>
            <w14:solidFill>
              <w14:schemeClr w14:val="tx1"/>
            </w14:solidFill>
          </w14:textFill>
        </w:rPr>
      </w:pPr>
    </w:p>
    <w:p w14:paraId="54EA8BDA">
      <w:pPr>
        <w:pStyle w:val="46"/>
        <w:ind w:firstLine="480"/>
        <w:rPr>
          <w:rFonts w:hint="default"/>
          <w:color w:val="000000" w:themeColor="text1"/>
          <w:highlight w:val="none"/>
          <w:lang w:eastAsia="zh-CN"/>
          <w14:textFill>
            <w14:solidFill>
              <w14:schemeClr w14:val="tx1"/>
            </w14:solidFill>
          </w14:textFill>
        </w:rPr>
      </w:pPr>
    </w:p>
    <w:p w14:paraId="5DB67CBF">
      <w:pPr>
        <w:pStyle w:val="46"/>
        <w:ind w:firstLine="480"/>
        <w:rPr>
          <w:rFonts w:hint="default"/>
          <w:color w:val="000000" w:themeColor="text1"/>
          <w:highlight w:val="none"/>
          <w:lang w:eastAsia="zh-CN"/>
          <w14:textFill>
            <w14:solidFill>
              <w14:schemeClr w14:val="tx1"/>
            </w14:solidFill>
          </w14:textFill>
        </w:rPr>
      </w:pPr>
    </w:p>
    <w:p w14:paraId="7A4235F3">
      <w:pPr>
        <w:pStyle w:val="46"/>
        <w:ind w:firstLine="480"/>
        <w:rPr>
          <w:rFonts w:hint="default"/>
          <w:color w:val="000000" w:themeColor="text1"/>
          <w:highlight w:val="none"/>
          <w:lang w:eastAsia="zh-CN"/>
          <w14:textFill>
            <w14:solidFill>
              <w14:schemeClr w14:val="tx1"/>
            </w14:solidFill>
          </w14:textFill>
        </w:rPr>
      </w:pPr>
    </w:p>
    <w:p w14:paraId="124366A5">
      <w:pPr>
        <w:pStyle w:val="46"/>
        <w:ind w:firstLine="480"/>
        <w:rPr>
          <w:rFonts w:hint="default"/>
          <w:color w:val="000000" w:themeColor="text1"/>
          <w:highlight w:val="none"/>
          <w:lang w:eastAsia="zh-CN"/>
          <w14:textFill>
            <w14:solidFill>
              <w14:schemeClr w14:val="tx1"/>
            </w14:solidFill>
          </w14:textFill>
        </w:rPr>
      </w:pPr>
    </w:p>
    <w:p w14:paraId="0DB7E859">
      <w:pPr>
        <w:pStyle w:val="46"/>
        <w:ind w:firstLine="480"/>
        <w:rPr>
          <w:rFonts w:hint="default"/>
          <w:color w:val="000000" w:themeColor="text1"/>
          <w:highlight w:val="none"/>
          <w:lang w:eastAsia="zh-CN"/>
          <w14:textFill>
            <w14:solidFill>
              <w14:schemeClr w14:val="tx1"/>
            </w14:solidFill>
          </w14:textFill>
        </w:rPr>
      </w:pPr>
    </w:p>
    <w:p w14:paraId="2B2BA5F8">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注：1、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6A8B8C9D">
      <w:pPr>
        <w:keepNext w:val="0"/>
        <w:keepLines w:val="0"/>
        <w:pageBreakBefore w:val="0"/>
        <w:widowControl w:val="0"/>
        <w:kinsoku/>
        <w:wordWrap/>
        <w:overflowPunct/>
        <w:topLinePunct w:val="0"/>
        <w:autoSpaceDE/>
        <w:autoSpaceDN/>
        <w:bidi w:val="0"/>
        <w:adjustRightInd/>
        <w:snapToGrid/>
        <w:spacing w:line="360" w:lineRule="auto"/>
        <w:ind w:firstLine="964" w:firstLineChars="400"/>
        <w:jc w:val="both"/>
        <w:textAlignment w:val="auto"/>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2、监狱企业参与投标的，需提供由省级以上监狱管理局、戒毒管理局（含新疆生产建设兵团）出具的属于监狱企业的证明文件。监狱企业视同小微企业，无需再提供《中小企业声明函》。</w:t>
      </w:r>
    </w:p>
    <w:p w14:paraId="7951484F">
      <w:pPr>
        <w:pStyle w:val="46"/>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r>
        <w:rPr>
          <w:b/>
          <w:color w:val="000000" w:themeColor="text1"/>
          <w:sz w:val="24"/>
          <w:szCs w:val="24"/>
          <w:highlight w:val="none"/>
          <w:lang w:eastAsia="zh-CN"/>
          <w14:textFill>
            <w14:solidFill>
              <w14:schemeClr w14:val="tx1"/>
            </w14:solidFill>
          </w14:textFill>
        </w:rPr>
        <w:t>（三）残疾人福利性单位声明函</w:t>
      </w:r>
      <w:r>
        <w:rPr>
          <w:b/>
          <w:color w:val="000000" w:themeColor="text1"/>
          <w:sz w:val="24"/>
          <w:szCs w:val="24"/>
          <w:highlight w:val="none"/>
          <w14:textFill>
            <w14:solidFill>
              <w14:schemeClr w14:val="tx1"/>
            </w14:solidFill>
          </w14:textFill>
        </w:rPr>
        <w:t>（格式）</w:t>
      </w:r>
    </w:p>
    <w:p w14:paraId="1F100B60">
      <w:pPr>
        <w:pStyle w:val="46"/>
        <w:ind w:firstLine="480"/>
        <w:rPr>
          <w:rFonts w:hint="default"/>
          <w:color w:val="000000" w:themeColor="text1"/>
          <w:highlight w:val="none"/>
          <w14:textFill>
            <w14:solidFill>
              <w14:schemeClr w14:val="tx1"/>
            </w14:solidFill>
          </w14:textFill>
        </w:rPr>
      </w:pPr>
    </w:p>
    <w:p w14:paraId="6D6BD94B">
      <w:pPr>
        <w:pStyle w:val="46"/>
        <w:jc w:val="center"/>
        <w:outlineLvl w:val="3"/>
        <w:rPr>
          <w:rFonts w:ascii="宋体" w:hAnsi="宋体" w:cs="宋体"/>
          <w:b/>
          <w:color w:val="000000" w:themeColor="text1"/>
          <w:kern w:val="2"/>
          <w:sz w:val="32"/>
          <w:szCs w:val="32"/>
          <w:highlight w:val="none"/>
          <w:lang w:eastAsia="zh-CN"/>
          <w14:textFill>
            <w14:solidFill>
              <w14:schemeClr w14:val="tx1"/>
            </w14:solidFill>
          </w14:textFill>
        </w:rPr>
      </w:pPr>
      <w:r>
        <w:rPr>
          <w:rFonts w:ascii="宋体" w:hAnsi="宋体" w:cs="宋体"/>
          <w:b/>
          <w:color w:val="000000" w:themeColor="text1"/>
          <w:kern w:val="2"/>
          <w:sz w:val="32"/>
          <w:szCs w:val="32"/>
          <w:highlight w:val="none"/>
          <w:lang w:eastAsia="zh-CN"/>
          <w14:textFill>
            <w14:solidFill>
              <w14:schemeClr w14:val="tx1"/>
            </w14:solidFill>
          </w14:textFill>
        </w:rPr>
        <w:t>残疾人福利性单位声明函（如有）</w:t>
      </w:r>
    </w:p>
    <w:p w14:paraId="46210FCB">
      <w:pPr>
        <w:pStyle w:val="46"/>
        <w:spacing w:line="360" w:lineRule="auto"/>
        <w:ind w:firstLine="480" w:firstLineChars="200"/>
        <w:rPr>
          <w:rFonts w:ascii="宋体" w:hAnsi="宋体" w:cs="宋体"/>
          <w:color w:val="000000" w:themeColor="text1"/>
          <w:sz w:val="24"/>
          <w:highlight w:val="none"/>
          <w14:textFill>
            <w14:solidFill>
              <w14:schemeClr w14:val="tx1"/>
            </w14:solidFill>
          </w14:textFill>
        </w:rPr>
      </w:pPr>
    </w:p>
    <w:p w14:paraId="45495A08">
      <w:pPr>
        <w:pStyle w:val="46"/>
        <w:spacing w:line="360" w:lineRule="auto"/>
        <w:ind w:firstLine="480" w:firstLineChars="200"/>
        <w:rPr>
          <w:rFonts w:hint="default"/>
          <w:color w:val="000000" w:themeColor="text1"/>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致：</w:t>
      </w:r>
      <w:r>
        <w:rPr>
          <w:rFonts w:ascii="宋体" w:hAnsi="宋体" w:cs="宋体"/>
          <w:color w:val="000000" w:themeColor="text1"/>
          <w:sz w:val="24"/>
          <w:highlight w:val="none"/>
          <w:u w:val="single"/>
          <w14:textFill>
            <w14:solidFill>
              <w14:schemeClr w14:val="tx1"/>
            </w14:solidFill>
          </w14:textFill>
        </w:rPr>
        <w:t xml:space="preserve">        （招标人）</w:t>
      </w:r>
      <w:r>
        <w:rPr>
          <w:rFonts w:ascii="宋体" w:hAnsi="宋体" w:cs="宋体"/>
          <w:color w:val="000000" w:themeColor="text1"/>
          <w:sz w:val="24"/>
          <w:highlight w:val="none"/>
          <w:u w:val="single"/>
          <w:lang w:eastAsia="zh-CN"/>
          <w14:textFill>
            <w14:solidFill>
              <w14:schemeClr w14:val="tx1"/>
            </w14:solidFill>
          </w14:textFill>
        </w:rPr>
        <w:t xml:space="preserve">         </w:t>
      </w:r>
    </w:p>
    <w:p w14:paraId="26D84D80">
      <w:pPr>
        <w:pStyle w:val="46"/>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本单位郑重声明，根据《财政部 民政部 中国残疾人联合会关于促进残疾人就业政府采购政策的通知》（财库〔2017〕141号）的规定，本单位为符合条件的残疾人福利性单位，且本单位参加</w:t>
      </w:r>
      <w:r>
        <w:rPr>
          <w:rFonts w:ascii="宋体" w:hAnsi="宋体" w:cs="宋体"/>
          <w:color w:val="000000" w:themeColor="text1"/>
          <w:sz w:val="24"/>
          <w:highlight w:val="none"/>
          <w:u w:val="single"/>
          <w14:textFill>
            <w14:solidFill>
              <w14:schemeClr w14:val="tx1"/>
            </w14:solidFill>
          </w14:textFill>
        </w:rPr>
        <w:t xml:space="preserve">        （招标人）</w:t>
      </w:r>
      <w:r>
        <w:rPr>
          <w:rFonts w:ascii="宋体" w:hAnsi="宋体" w:cs="宋体"/>
          <w:color w:val="000000" w:themeColor="text1"/>
          <w:sz w:val="24"/>
          <w:highlight w:val="none"/>
          <w:u w:val="single"/>
          <w:lang w:eastAsia="zh-CN"/>
          <w14:textFill>
            <w14:solidFill>
              <w14:schemeClr w14:val="tx1"/>
            </w14:solidFill>
          </w14:textFill>
        </w:rPr>
        <w:t xml:space="preserve">         </w:t>
      </w:r>
      <w:r>
        <w:rPr>
          <w:rFonts w:ascii="宋体" w:hAnsi="宋体" w:cs="宋体"/>
          <w:color w:val="000000" w:themeColor="text1"/>
          <w:sz w:val="24"/>
          <w:szCs w:val="24"/>
          <w:highlight w:val="none"/>
          <w14:textFill>
            <w14:solidFill>
              <w14:schemeClr w14:val="tx1"/>
            </w14:solidFill>
          </w14:textFill>
        </w:rPr>
        <w:t>单位的</w:t>
      </w:r>
      <w:r>
        <w:rPr>
          <w:rFonts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lang w:eastAsia="zh-CN"/>
          <w14:textFill>
            <w14:solidFill>
              <w14:schemeClr w14:val="tx1"/>
            </w14:solidFill>
          </w14:textFill>
        </w:rPr>
        <w:t>标段</w:t>
      </w:r>
      <w:r>
        <w:rPr>
          <w:rFonts w:ascii="宋体" w:hAnsi="宋体" w:cs="宋体"/>
          <w:color w:val="000000" w:themeColor="text1"/>
          <w:sz w:val="24"/>
          <w:highlight w:val="none"/>
          <w:u w:val="single"/>
          <w:lang w:eastAsia="zh-CN"/>
          <w14:textFill>
            <w14:solidFill>
              <w14:schemeClr w14:val="tx1"/>
            </w14:solidFill>
          </w14:textFill>
        </w:rPr>
        <w:t>名称</w:t>
      </w:r>
      <w:r>
        <w:rPr>
          <w:rFonts w:ascii="宋体" w:hAnsi="宋体" w:cs="宋体"/>
          <w:color w:val="000000" w:themeColor="text1"/>
          <w:sz w:val="24"/>
          <w:highlight w:val="none"/>
          <w:u w:val="single"/>
          <w14:textFill>
            <w14:solidFill>
              <w14:schemeClr w14:val="tx1"/>
            </w14:solidFill>
          </w14:textFill>
        </w:rPr>
        <w:t>）</w:t>
      </w:r>
      <w:r>
        <w:rPr>
          <w:rFonts w:ascii="宋体" w:hAnsi="宋体" w:cs="宋体"/>
          <w:color w:val="000000" w:themeColor="text1"/>
          <w:sz w:val="24"/>
          <w:highlight w:val="none"/>
          <w:u w:val="single"/>
          <w:lang w:eastAsia="zh-CN"/>
          <w14:textFill>
            <w14:solidFill>
              <w14:schemeClr w14:val="tx1"/>
            </w14:solidFill>
          </w14:textFill>
        </w:rPr>
        <w:t xml:space="preserve">         </w:t>
      </w:r>
      <w:r>
        <w:rPr>
          <w:rFonts w:ascii="宋体" w:hAnsi="宋体" w:cs="宋体"/>
          <w:color w:val="000000" w:themeColor="text1"/>
          <w:sz w:val="24"/>
          <w:highlight w:val="none"/>
          <w:lang w:eastAsia="zh-CN"/>
          <w14:textFill>
            <w14:solidFill>
              <w14:schemeClr w14:val="tx1"/>
            </w14:solidFill>
          </w14:textFill>
        </w:rPr>
        <w:t>项目</w:t>
      </w:r>
      <w:r>
        <w:rPr>
          <w:rFonts w:ascii="宋体" w:hAnsi="宋体" w:cs="宋体"/>
          <w:color w:val="000000" w:themeColor="text1"/>
          <w:sz w:val="24"/>
          <w:szCs w:val="24"/>
          <w:highlight w:val="none"/>
          <w:lang w:eastAsia="zh-CN"/>
          <w14:textFill>
            <w14:solidFill>
              <w14:schemeClr w14:val="tx1"/>
            </w14:solidFill>
          </w14:textFill>
        </w:rPr>
        <w:t>招标</w:t>
      </w:r>
      <w:r>
        <w:rPr>
          <w:rFonts w:ascii="宋体" w:hAnsi="宋体" w:cs="宋体"/>
          <w:color w:val="000000" w:themeColor="text1"/>
          <w:sz w:val="24"/>
          <w:szCs w:val="24"/>
          <w:highlight w:val="none"/>
          <w14:textFill>
            <w14:solidFill>
              <w14:schemeClr w14:val="tx1"/>
            </w14:solidFill>
          </w14:textFill>
        </w:rPr>
        <w:t>活动</w:t>
      </w:r>
      <w:r>
        <w:rPr>
          <w:rFonts w:ascii="宋体" w:hAnsi="宋体" w:cs="宋体"/>
          <w:color w:val="000000" w:themeColor="text1"/>
          <w:sz w:val="24"/>
          <w:szCs w:val="24"/>
          <w:highlight w:val="none"/>
          <w:lang w:eastAsia="zh-CN"/>
          <w14:textFill>
            <w14:solidFill>
              <w14:schemeClr w14:val="tx1"/>
            </w14:solidFill>
          </w14:textFill>
        </w:rPr>
        <w:t>，</w:t>
      </w:r>
      <w:r>
        <w:rPr>
          <w:rFonts w:ascii="宋体" w:hAnsi="宋体" w:cs="宋体"/>
          <w:color w:val="000000" w:themeColor="text1"/>
          <w:sz w:val="24"/>
          <w:szCs w:val="24"/>
          <w:highlight w:val="none"/>
          <w14:textFill>
            <w14:solidFill>
              <w14:schemeClr w14:val="tx1"/>
            </w14:solidFill>
          </w14:textFill>
        </w:rPr>
        <w:t>由本单位承担</w:t>
      </w:r>
      <w:r>
        <w:rPr>
          <w:rFonts w:hint="eastAsia" w:ascii="宋体" w:hAnsi="宋体" w:cs="宋体"/>
          <w:color w:val="000000" w:themeColor="text1"/>
          <w:sz w:val="24"/>
          <w:szCs w:val="24"/>
          <w:highlight w:val="none"/>
          <w:lang w:val="en-US" w:eastAsia="zh-CN"/>
          <w14:textFill>
            <w14:solidFill>
              <w14:schemeClr w14:val="tx1"/>
            </w14:solidFill>
          </w14:textFill>
        </w:rPr>
        <w:t>服务</w:t>
      </w:r>
      <w:r>
        <w:rPr>
          <w:rFonts w:ascii="宋体" w:hAnsi="宋体" w:cs="宋体"/>
          <w:color w:val="000000" w:themeColor="text1"/>
          <w:sz w:val="24"/>
          <w:szCs w:val="24"/>
          <w:highlight w:val="none"/>
          <w14:textFill>
            <w14:solidFill>
              <w14:schemeClr w14:val="tx1"/>
            </w14:solidFill>
          </w14:textFill>
        </w:rPr>
        <w:t>。</w:t>
      </w:r>
    </w:p>
    <w:p w14:paraId="3B9881A2">
      <w:pPr>
        <w:pStyle w:val="46"/>
        <w:spacing w:line="360" w:lineRule="auto"/>
        <w:ind w:firstLine="480" w:firstLineChars="200"/>
        <w:rPr>
          <w:rFonts w:hint="default"/>
          <w:color w:val="000000" w:themeColor="text1"/>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本单位对上述声明的真实性负责。如有虚假，将依法承担相应责任。</w:t>
      </w:r>
    </w:p>
    <w:p w14:paraId="55CE9A81">
      <w:pPr>
        <w:spacing w:line="360" w:lineRule="auto"/>
        <w:ind w:firstLine="5040" w:firstLineChars="2100"/>
        <w:jc w:val="both"/>
        <w:rPr>
          <w:rFonts w:hint="eastAsia" w:ascii="宋体" w:hAnsi="宋体" w:cs="宋体"/>
          <w:color w:val="000000" w:themeColor="text1"/>
          <w:szCs w:val="20"/>
          <w:highlight w:val="none"/>
          <w14:textFill>
            <w14:solidFill>
              <w14:schemeClr w14:val="tx1"/>
            </w14:solidFill>
          </w14:textFill>
        </w:rPr>
      </w:pPr>
    </w:p>
    <w:p w14:paraId="0D1F62ED">
      <w:pPr>
        <w:spacing w:line="360" w:lineRule="auto"/>
        <w:ind w:firstLine="5040" w:firstLineChars="2100"/>
        <w:jc w:val="both"/>
        <w:rPr>
          <w:rFonts w:hint="eastAsia" w:ascii="宋体" w:hAnsi="宋体" w:cs="宋体"/>
          <w:color w:val="000000" w:themeColor="text1"/>
          <w:szCs w:val="20"/>
          <w:highlight w:val="none"/>
          <w14:textFill>
            <w14:solidFill>
              <w14:schemeClr w14:val="tx1"/>
            </w14:solidFill>
          </w14:textFill>
        </w:rPr>
      </w:pPr>
    </w:p>
    <w:p w14:paraId="1F177129">
      <w:pPr>
        <w:pStyle w:val="16"/>
        <w:rPr>
          <w:rFonts w:hint="eastAsia" w:hAnsi="宋体" w:cs="宋体"/>
          <w:color w:val="000000" w:themeColor="text1"/>
          <w:szCs w:val="20"/>
          <w:highlight w:val="none"/>
          <w14:textFill>
            <w14:solidFill>
              <w14:schemeClr w14:val="tx1"/>
            </w14:solidFill>
          </w14:textFill>
        </w:rPr>
      </w:pPr>
    </w:p>
    <w:p w14:paraId="66B0569A">
      <w:pPr>
        <w:pStyle w:val="16"/>
        <w:rPr>
          <w:rFonts w:hint="eastAsia" w:hAnsi="宋体" w:cs="宋体"/>
          <w:color w:val="000000" w:themeColor="text1"/>
          <w:szCs w:val="20"/>
          <w:highlight w:val="none"/>
          <w14:textFill>
            <w14:solidFill>
              <w14:schemeClr w14:val="tx1"/>
            </w14:solidFill>
          </w14:textFill>
        </w:rPr>
      </w:pPr>
    </w:p>
    <w:p w14:paraId="0576A2BF">
      <w:pPr>
        <w:spacing w:line="360" w:lineRule="auto"/>
        <w:ind w:firstLine="5040" w:firstLineChars="2100"/>
        <w:jc w:val="both"/>
        <w:rPr>
          <w:rFonts w:hint="eastAsia" w:ascii="宋体" w:hAnsi="宋体" w:cs="宋体"/>
          <w:color w:val="000000" w:themeColor="text1"/>
          <w:szCs w:val="20"/>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w:t>投标人名称（盖章或电子印章）：</w:t>
      </w:r>
    </w:p>
    <w:p w14:paraId="1F2AF058">
      <w:pPr>
        <w:spacing w:line="360" w:lineRule="auto"/>
        <w:ind w:firstLine="5040" w:firstLineChars="2100"/>
        <w:jc w:val="both"/>
        <w:rPr>
          <w:color w:val="000000" w:themeColor="text1"/>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w:t>日   期：     年   月   日</w:t>
      </w:r>
    </w:p>
    <w:p w14:paraId="312E87E9">
      <w:pPr>
        <w:spacing w:line="360" w:lineRule="auto"/>
        <w:jc w:val="center"/>
        <w:rPr>
          <w:b/>
          <w:bCs/>
          <w:color w:val="000000" w:themeColor="text1"/>
          <w:highlight w:val="none"/>
          <w14:textFill>
            <w14:solidFill>
              <w14:schemeClr w14:val="tx1"/>
            </w14:solidFill>
          </w14:textFill>
        </w:rPr>
      </w:pPr>
    </w:p>
    <w:p w14:paraId="5062B9F1">
      <w:pPr>
        <w:spacing w:line="360" w:lineRule="auto"/>
        <w:jc w:val="center"/>
        <w:rPr>
          <w:b/>
          <w:bCs/>
          <w:color w:val="000000" w:themeColor="text1"/>
          <w:highlight w:val="none"/>
          <w14:textFill>
            <w14:solidFill>
              <w14:schemeClr w14:val="tx1"/>
            </w14:solidFill>
          </w14:textFill>
        </w:rPr>
      </w:pPr>
    </w:p>
    <w:p w14:paraId="567FBDD9">
      <w:pPr>
        <w:spacing w:line="360" w:lineRule="auto"/>
        <w:jc w:val="center"/>
        <w:rPr>
          <w:b/>
          <w:bCs/>
          <w:color w:val="000000" w:themeColor="text1"/>
          <w:highlight w:val="none"/>
          <w14:textFill>
            <w14:solidFill>
              <w14:schemeClr w14:val="tx1"/>
            </w14:solidFill>
          </w14:textFill>
        </w:rPr>
      </w:pPr>
    </w:p>
    <w:p w14:paraId="1B4ADC59">
      <w:pPr>
        <w:spacing w:line="360" w:lineRule="auto"/>
        <w:jc w:val="center"/>
        <w:rPr>
          <w:b/>
          <w:bCs/>
          <w:color w:val="000000" w:themeColor="text1"/>
          <w:highlight w:val="none"/>
          <w14:textFill>
            <w14:solidFill>
              <w14:schemeClr w14:val="tx1"/>
            </w14:solidFill>
          </w14:textFill>
        </w:rPr>
      </w:pPr>
    </w:p>
    <w:p w14:paraId="40FA89D2">
      <w:pPr>
        <w:spacing w:line="360" w:lineRule="auto"/>
        <w:jc w:val="center"/>
        <w:rPr>
          <w:b/>
          <w:bCs/>
          <w:color w:val="000000" w:themeColor="text1"/>
          <w:highlight w:val="none"/>
          <w14:textFill>
            <w14:solidFill>
              <w14:schemeClr w14:val="tx1"/>
            </w14:solidFill>
          </w14:textFill>
        </w:rPr>
      </w:pPr>
    </w:p>
    <w:p w14:paraId="7411A798">
      <w:pPr>
        <w:spacing w:line="360" w:lineRule="auto"/>
        <w:jc w:val="center"/>
        <w:rPr>
          <w:b/>
          <w:bCs/>
          <w:color w:val="000000" w:themeColor="text1"/>
          <w:highlight w:val="none"/>
          <w14:textFill>
            <w14:solidFill>
              <w14:schemeClr w14:val="tx1"/>
            </w14:solidFill>
          </w14:textFill>
        </w:rPr>
      </w:pPr>
    </w:p>
    <w:p w14:paraId="1A84406D">
      <w:pPr>
        <w:spacing w:line="360" w:lineRule="auto"/>
        <w:jc w:val="center"/>
        <w:rPr>
          <w:b/>
          <w:bCs/>
          <w:color w:val="000000" w:themeColor="text1"/>
          <w:highlight w:val="none"/>
          <w14:textFill>
            <w14:solidFill>
              <w14:schemeClr w14:val="tx1"/>
            </w14:solidFill>
          </w14:textFill>
        </w:rPr>
      </w:pPr>
    </w:p>
    <w:p w14:paraId="18F15D94">
      <w:pPr>
        <w:spacing w:line="360" w:lineRule="auto"/>
        <w:jc w:val="center"/>
        <w:rPr>
          <w:b/>
          <w:bCs/>
          <w:color w:val="000000" w:themeColor="text1"/>
          <w:highlight w:val="none"/>
          <w14:textFill>
            <w14:solidFill>
              <w14:schemeClr w14:val="tx1"/>
            </w14:solidFill>
          </w14:textFill>
        </w:rPr>
      </w:pPr>
    </w:p>
    <w:p w14:paraId="3B833FA3">
      <w:pPr>
        <w:spacing w:line="360" w:lineRule="auto"/>
        <w:jc w:val="center"/>
        <w:rPr>
          <w:b/>
          <w:bCs/>
          <w:color w:val="000000" w:themeColor="text1"/>
          <w:highlight w:val="none"/>
          <w14:textFill>
            <w14:solidFill>
              <w14:schemeClr w14:val="tx1"/>
            </w14:solidFill>
          </w14:textFill>
        </w:rPr>
      </w:pPr>
    </w:p>
    <w:p w14:paraId="2A91B895">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b/>
          <w:bCs/>
          <w:color w:val="000000" w:themeColor="text1"/>
          <w:highlight w:val="none"/>
          <w14:textFill>
            <w14:solidFill>
              <w14:schemeClr w14:val="tx1"/>
            </w14:solidFill>
          </w14:textFill>
        </w:rPr>
      </w:pPr>
    </w:p>
    <w:p w14:paraId="5B7C9F23">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注：1、残疾人福利性单位声明函（如有）适用于残疾人福利性单位参加招投标活动的。本函未填写的视作未做声明。</w:t>
      </w:r>
    </w:p>
    <w:p w14:paraId="253378B8">
      <w:pPr>
        <w:autoSpaceDE/>
        <w:autoSpaceDN/>
        <w:adjustRightInd/>
        <w:ind w:firstLine="482" w:firstLineChars="200"/>
        <w:jc w:val="both"/>
        <w:outlineLvl w:val="1"/>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2、残疾人福利性单位视同小微企业，无需再提供《中小企业声明函》。</w:t>
      </w:r>
    </w:p>
    <w:p w14:paraId="1B10E84A">
      <w:pPr>
        <w:jc w:val="left"/>
        <w:outlineLvl w:val="1"/>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br w:type="page"/>
      </w:r>
    </w:p>
    <w:p w14:paraId="4AFB81A7">
      <w:pPr>
        <w:numPr>
          <w:ilvl w:val="0"/>
          <w:numId w:val="0"/>
        </w:numPr>
        <w:rPr>
          <w:rFonts w:hint="eastAsia"/>
          <w:highlight w:val="none"/>
        </w:rPr>
      </w:pPr>
    </w:p>
    <w:p w14:paraId="63D2744E">
      <w:pPr>
        <w:numPr>
          <w:ilvl w:val="0"/>
          <w:numId w:val="0"/>
        </w:numPr>
        <w:rPr>
          <w:rFonts w:hint="eastAsia" w:ascii="宋体" w:hAnsi="宋体" w:cs="宋体"/>
          <w:color w:val="auto"/>
          <w:sz w:val="28"/>
          <w:szCs w:val="24"/>
          <w:highlight w:val="none"/>
        </w:rPr>
      </w:pPr>
    </w:p>
    <w:p w14:paraId="48E37A0F">
      <w:pPr>
        <w:pStyle w:val="16"/>
        <w:spacing w:line="360" w:lineRule="auto"/>
        <w:jc w:val="center"/>
        <w:rPr>
          <w:rFonts w:hint="eastAsia" w:hAnsi="宋体" w:cs="宋体"/>
          <w:highlight w:val="none"/>
        </w:rPr>
      </w:pPr>
      <w:r>
        <w:rPr>
          <w:rFonts w:hint="eastAsia" w:hAnsi="宋体" w:cs="宋体"/>
          <w:sz w:val="24"/>
          <w:szCs w:val="24"/>
          <w:highlight w:val="none"/>
        </w:rPr>
        <w:t>投标人认为需提供的其他资料（如有）。</w:t>
      </w:r>
    </w:p>
    <w:p w14:paraId="1BCE5F6D">
      <w:pPr>
        <w:rPr>
          <w:rFonts w:hint="eastAsia" w:ascii="宋体" w:hAnsi="宋体" w:eastAsia="宋体" w:cs="宋体"/>
          <w:color w:val="auto"/>
          <w:sz w:val="28"/>
          <w:szCs w:val="24"/>
          <w:highlight w:val="none"/>
        </w:rPr>
      </w:pPr>
      <w:r>
        <w:rPr>
          <w:rFonts w:hint="eastAsia" w:ascii="宋体" w:hAnsi="宋体" w:eastAsia="宋体" w:cs="宋体"/>
          <w:color w:val="auto"/>
          <w:sz w:val="28"/>
          <w:szCs w:val="24"/>
          <w:highlight w:val="none"/>
        </w:rPr>
        <w:br w:type="page"/>
      </w:r>
    </w:p>
    <w:p w14:paraId="48FF14DC">
      <w:pPr>
        <w:pStyle w:val="4"/>
        <w:numPr>
          <w:ilvl w:val="0"/>
          <w:numId w:val="2"/>
        </w:numPr>
        <w:jc w:val="center"/>
        <w:outlineLvl w:val="1"/>
        <w:rPr>
          <w:rFonts w:hint="eastAsia" w:ascii="宋体" w:hAnsi="宋体" w:eastAsia="宋体" w:cs="宋体"/>
          <w:color w:val="auto"/>
          <w:sz w:val="28"/>
          <w:szCs w:val="24"/>
          <w:highlight w:val="none"/>
          <w:lang w:eastAsia="zh-CN"/>
        </w:rPr>
      </w:pPr>
      <w:r>
        <w:rPr>
          <w:rFonts w:hint="eastAsia" w:ascii="宋体" w:hAnsi="宋体" w:eastAsia="宋体" w:cs="宋体"/>
          <w:color w:val="auto"/>
          <w:sz w:val="28"/>
          <w:szCs w:val="24"/>
          <w:highlight w:val="none"/>
          <w:lang w:eastAsia="zh-CN"/>
        </w:rPr>
        <w:t>投标文件（定标部分）</w:t>
      </w:r>
    </w:p>
    <w:p w14:paraId="7BA48499">
      <w:pPr>
        <w:jc w:val="center"/>
        <w:rPr>
          <w:rFonts w:hint="eastAsia"/>
          <w:highlight w:val="none"/>
        </w:rPr>
        <w:sectPr>
          <w:headerReference r:id="rId19" w:type="default"/>
          <w:footerReference r:id="rId20" w:type="default"/>
          <w:pgSz w:w="11905" w:h="16838"/>
          <w:pgMar w:top="1417" w:right="1417" w:bottom="1417" w:left="1417" w:header="992" w:footer="992" w:gutter="0"/>
          <w:lnNumType w:countBy="0" w:distance="360"/>
          <w:cols w:space="720" w:num="1"/>
        </w:sectPr>
      </w:pPr>
      <w:r>
        <w:rPr>
          <w:rFonts w:hint="eastAsia" w:ascii="宋体" w:hAnsi="宋体" w:cs="宋体"/>
          <w:color w:val="000000"/>
          <w:sz w:val="32"/>
          <w:szCs w:val="32"/>
          <w:highlight w:val="none"/>
          <w:lang w:eastAsia="zh-CN"/>
        </w:rPr>
        <w:t>（</w:t>
      </w:r>
      <w:r>
        <w:rPr>
          <w:rFonts w:hint="eastAsia" w:ascii="宋体" w:hAnsi="宋体" w:cs="宋体"/>
          <w:color w:val="000000"/>
          <w:sz w:val="32"/>
          <w:szCs w:val="32"/>
          <w:highlight w:val="none"/>
          <w:lang w:val="en-US" w:eastAsia="zh-CN"/>
        </w:rPr>
        <w:t>格式自定义</w:t>
      </w:r>
      <w:r>
        <w:rPr>
          <w:rFonts w:hint="eastAsia" w:ascii="宋体" w:hAnsi="宋体" w:cs="宋体"/>
          <w:color w:val="000000"/>
          <w:sz w:val="32"/>
          <w:szCs w:val="32"/>
          <w:highlight w:val="none"/>
          <w:lang w:eastAsia="zh-CN"/>
        </w:rPr>
        <w:t>）</w:t>
      </w:r>
    </w:p>
    <w:p w14:paraId="2A7C3B39">
      <w:pPr>
        <w:pStyle w:val="3"/>
        <w:outlineLvl w:val="0"/>
        <w:rPr>
          <w:rFonts w:hint="eastAsia" w:cs="宋体"/>
          <w:color w:val="auto"/>
          <w:sz w:val="44"/>
          <w:szCs w:val="44"/>
          <w:highlight w:val="none"/>
        </w:rPr>
      </w:pPr>
      <w:bookmarkStart w:id="155" w:name="_Toc17258"/>
      <w:r>
        <w:rPr>
          <w:rFonts w:hint="eastAsia" w:cs="宋体"/>
          <w:color w:val="auto"/>
          <w:sz w:val="44"/>
          <w:szCs w:val="44"/>
          <w:highlight w:val="none"/>
          <w:lang w:val="en-US" w:eastAsia="zh-CN"/>
        </w:rPr>
        <w:t xml:space="preserve">第七章 </w:t>
      </w:r>
      <w:r>
        <w:rPr>
          <w:rFonts w:hint="eastAsia" w:cs="宋体"/>
          <w:color w:val="auto"/>
          <w:sz w:val="44"/>
          <w:szCs w:val="44"/>
          <w:highlight w:val="none"/>
        </w:rPr>
        <w:t>投标人须知前附表规定的其他资料。</w:t>
      </w:r>
      <w:bookmarkEnd w:id="155"/>
    </w:p>
    <w:p w14:paraId="63666BBE">
      <w:pPr>
        <w:rPr>
          <w:rFonts w:hint="eastAsia" w:ascii="宋体" w:hAnsi="宋体" w:cs="宋体"/>
          <w:color w:val="auto"/>
          <w:sz w:val="24"/>
          <w:szCs w:val="24"/>
          <w:highlight w:val="none"/>
        </w:rPr>
      </w:pPr>
    </w:p>
    <w:p w14:paraId="0576BEAA">
      <w:pPr>
        <w:pStyle w:val="4"/>
        <w:jc w:val="center"/>
        <w:outlineLvl w:val="0"/>
        <w:rPr>
          <w:rFonts w:hint="eastAsia" w:cs="宋体"/>
          <w:color w:val="auto"/>
          <w:sz w:val="30"/>
          <w:szCs w:val="24"/>
          <w:highlight w:val="none"/>
          <w:lang w:val="en-US" w:eastAsia="zh-CN"/>
        </w:rPr>
      </w:pPr>
      <w:bookmarkStart w:id="156" w:name="_Toc21589"/>
      <w:r>
        <w:rPr>
          <w:rFonts w:hint="eastAsia" w:cs="宋体"/>
          <w:color w:val="auto"/>
          <w:sz w:val="30"/>
          <w:szCs w:val="24"/>
          <w:highlight w:val="none"/>
          <w:lang w:val="en-US" w:eastAsia="zh-CN"/>
        </w:rPr>
        <w:t>否决性条款汇总</w:t>
      </w:r>
    </w:p>
    <w:p w14:paraId="676E7464">
      <w:pPr>
        <w:widowControl/>
        <w:spacing w:after="0" w:line="240" w:lineRule="auto"/>
        <w:ind w:firstLine="482"/>
        <w:jc w:val="center"/>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否决性条款单列参考格式</w:t>
      </w:r>
    </w:p>
    <w:p w14:paraId="4745A021">
      <w:pPr>
        <w:widowControl/>
        <w:spacing w:after="135" w:line="585" w:lineRule="atLeast"/>
        <w:ind w:firstLine="480"/>
        <w:jc w:val="center"/>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（*格式仅供参考，条款的实际内容应与招标文件条款相对应）</w:t>
      </w:r>
    </w:p>
    <w:p w14:paraId="19CF672E">
      <w:pPr>
        <w:widowControl/>
        <w:autoSpaceDE/>
        <w:autoSpaceDN/>
        <w:adjustRightInd/>
        <w:spacing w:after="135"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招标人应当在招标文件中将否决性条款集中载明，未集中载明的否决性投标条款，评标时不予认可。如招标文件澄清或修改的内容中增加、删除、修改否决性条款的，招标人应当集中载明调整后完整的否决性条款，并依法发给潜在投标人或投标人。</w:t>
      </w:r>
    </w:p>
    <w:p w14:paraId="3E84637D">
      <w:pPr>
        <w:widowControl/>
        <w:autoSpaceDE/>
        <w:autoSpaceDN/>
        <w:adjustRightInd/>
        <w:spacing w:after="135"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否决性条款指招标文件中规定的拒绝受理或者作无效标以及不合格标处理等否定投标文件效力的条款。否决性条款应当意思表示明确、易于判断，不得含有“实质性不响应招标文件要求”、“投标文件中附有招标人不可接受的条件”等评标委员会难以界定的条款。</w:t>
      </w:r>
    </w:p>
    <w:p w14:paraId="27D7CE7B">
      <w:pPr>
        <w:widowControl/>
        <w:autoSpaceDE/>
        <w:autoSpaceDN/>
        <w:adjustRightInd/>
        <w:spacing w:after="135"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不得将文件顺序、明显的文字错误、表格填写信息增加或格式调整等内容等列为否决投标的情形。评委发现资格审查文件中含义不明确、对同类问题表述不一致、有明显文字和计算错误的，应当要求投标人作必要的澄清、说明后再判定投标人是否通过资格审查，不得直接认定其不通过资格审查。</w:t>
      </w:r>
    </w:p>
    <w:p w14:paraId="437AAEC9">
      <w:pPr>
        <w:widowControl/>
        <w:spacing w:after="135"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一、开标时，出现下列情形之一的，不参与资格审查和评标</w:t>
      </w:r>
    </w:p>
    <w:p w14:paraId="31ABA16A">
      <w:pPr>
        <w:widowControl/>
        <w:spacing w:after="135"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1.未成功递交投标文件的；</w:t>
      </w:r>
    </w:p>
    <w:p w14:paraId="7CC13CBB">
      <w:pPr>
        <w:widowControl/>
        <w:spacing w:after="135"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因投标人原因造成投标文件未解密的；</w:t>
      </w:r>
    </w:p>
    <w:p w14:paraId="2C04B794">
      <w:pPr>
        <w:widowControl/>
        <w:spacing w:after="135"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3.两个（含两个）以上的投标人加密打包投标文件电脑机器特征码一致的；</w:t>
      </w:r>
    </w:p>
    <w:p w14:paraId="05979DB3">
      <w:pPr>
        <w:widowControl/>
        <w:spacing w:after="135"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w:t>
      </w:r>
      <w:r>
        <w:rPr>
          <w:rFonts w:hint="eastAsia" w:ascii="宋体" w:hAnsi="宋体" w:eastAsia="宋体" w:cs="宋体"/>
          <w:color w:val="auto"/>
          <w:sz w:val="24"/>
          <w:highlight w:val="none"/>
        </w:rPr>
        <w:t>电子投标文件未在投标截止时间前完整上传并保存在</w:t>
      </w:r>
      <w:r>
        <w:rPr>
          <w:rFonts w:hint="eastAsia" w:ascii="宋体" w:hAnsi="宋体" w:cs="宋体"/>
          <w:color w:val="auto"/>
          <w:sz w:val="24"/>
          <w:szCs w:val="24"/>
          <w:highlight w:val="none"/>
          <w:lang w:eastAsia="zh-CN"/>
        </w:rPr>
        <w:t>广州交易集团有限公司（广州公共资源交易中心）</w:t>
      </w:r>
      <w:r>
        <w:rPr>
          <w:rFonts w:hint="eastAsia" w:ascii="宋体" w:hAnsi="宋体" w:eastAsia="宋体" w:cs="宋体"/>
          <w:color w:val="auto"/>
          <w:sz w:val="24"/>
          <w:highlight w:val="none"/>
        </w:rPr>
        <w:t>电子评标系统且取得回执的</w:t>
      </w:r>
      <w:r>
        <w:rPr>
          <w:rFonts w:hint="eastAsia" w:ascii="宋体" w:hAnsi="宋体" w:eastAsia="宋体" w:cs="宋体"/>
          <w:color w:val="auto"/>
          <w:sz w:val="24"/>
          <w:highlight w:val="none"/>
          <w:lang w:eastAsia="zh-CN"/>
        </w:rPr>
        <w:t>；</w:t>
      </w:r>
    </w:p>
    <w:p w14:paraId="17531294">
      <w:pPr>
        <w:widowControl/>
        <w:spacing w:after="135" w:line="360" w:lineRule="auto"/>
        <w:ind w:firstLine="480" w:firstLineChars="200"/>
        <w:jc w:val="left"/>
        <w:rPr>
          <w:rFonts w:hint="eastAsia" w:ascii="宋体" w:hAnsi="宋体" w:eastAsia="宋体" w:cs="宋体"/>
          <w:color w:val="auto"/>
          <w:sz w:val="24"/>
          <w:highlight w:val="none"/>
          <w:lang w:eastAsia="zh-CN"/>
        </w:rPr>
      </w:pPr>
      <w:r>
        <w:rPr>
          <w:rFonts w:hint="eastAsia" w:ascii="宋体" w:hAnsi="宋体" w:eastAsia="宋体" w:cs="宋体"/>
          <w:color w:val="auto"/>
          <w:kern w:val="0"/>
          <w:sz w:val="24"/>
          <w:szCs w:val="24"/>
          <w:highlight w:val="none"/>
        </w:rPr>
        <w:t>5.</w:t>
      </w:r>
      <w:r>
        <w:rPr>
          <w:rFonts w:hint="eastAsia" w:ascii="宋体" w:hAnsi="宋体" w:eastAsia="宋体" w:cs="宋体"/>
          <w:color w:val="auto"/>
          <w:sz w:val="24"/>
          <w:highlight w:val="none"/>
        </w:rPr>
        <w:t>投标文件未按招标文件要求进行电子签章，并进行加密的</w:t>
      </w:r>
      <w:r>
        <w:rPr>
          <w:rFonts w:hint="eastAsia" w:ascii="宋体" w:hAnsi="宋体" w:eastAsia="宋体" w:cs="宋体"/>
          <w:color w:val="auto"/>
          <w:sz w:val="24"/>
          <w:highlight w:val="none"/>
          <w:lang w:eastAsia="zh-CN"/>
        </w:rPr>
        <w:t>；</w:t>
      </w:r>
    </w:p>
    <w:p w14:paraId="541B1087">
      <w:pPr>
        <w:widowControl/>
        <w:spacing w:after="135"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电子投标文件中投标人电子签章不完整的；</w:t>
      </w:r>
    </w:p>
    <w:p w14:paraId="71683388">
      <w:pPr>
        <w:widowControl/>
        <w:spacing w:after="135"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kern w:val="0"/>
          <w:sz w:val="24"/>
          <w:szCs w:val="24"/>
          <w:highlight w:val="none"/>
          <w:lang w:val="en-US" w:eastAsia="zh-CN"/>
        </w:rPr>
        <w:t>7.</w:t>
      </w:r>
      <w:r>
        <w:rPr>
          <w:rFonts w:hint="eastAsia" w:ascii="宋体" w:hAnsi="宋体" w:eastAsia="宋体" w:cs="宋体"/>
          <w:color w:val="auto"/>
          <w:sz w:val="24"/>
          <w:highlight w:val="none"/>
        </w:rPr>
        <w:t>电子投标文件损坏或格式不正确的；</w:t>
      </w:r>
    </w:p>
    <w:p w14:paraId="532AA29D">
      <w:pPr>
        <w:widowControl/>
        <w:spacing w:after="135"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kern w:val="0"/>
          <w:sz w:val="24"/>
          <w:szCs w:val="24"/>
          <w:highlight w:val="none"/>
          <w:lang w:val="en-US" w:eastAsia="zh-CN"/>
        </w:rPr>
        <w:t>8.</w:t>
      </w:r>
      <w:r>
        <w:rPr>
          <w:rFonts w:hint="eastAsia" w:ascii="宋体" w:hAnsi="宋体" w:eastAsia="宋体" w:cs="宋体"/>
          <w:color w:val="auto"/>
          <w:sz w:val="24"/>
          <w:highlight w:val="none"/>
        </w:rPr>
        <w:t>电子投标文件未加密的；</w:t>
      </w:r>
    </w:p>
    <w:p w14:paraId="00529464">
      <w:pPr>
        <w:widowControl/>
        <w:spacing w:after="135"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highlight w:val="none"/>
          <w:lang w:val="en-US" w:eastAsia="zh-CN"/>
        </w:rPr>
        <w:t>9.</w:t>
      </w:r>
      <w:r>
        <w:rPr>
          <w:rFonts w:hint="eastAsia" w:ascii="宋体" w:hAnsi="宋体" w:eastAsia="宋体" w:cs="宋体"/>
          <w:color w:val="auto"/>
          <w:highlight w:val="none"/>
        </w:rPr>
        <w:t>投标文件以纸质形式提供的。</w:t>
      </w:r>
    </w:p>
    <w:p w14:paraId="4F264478">
      <w:pPr>
        <w:widowControl/>
        <w:spacing w:after="135"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二、作无效投标的情形</w:t>
      </w:r>
    </w:p>
    <w:p w14:paraId="4DDB4ECA">
      <w:pPr>
        <w:widowControl/>
        <w:spacing w:after="135" w:line="360" w:lineRule="auto"/>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1. 投标文件不符合招标文件评标办法中资格评审标准、形式评审标准、响应性评审标准的要求</w:t>
      </w:r>
      <w:r>
        <w:rPr>
          <w:rFonts w:hint="eastAsia" w:ascii="宋体" w:hAnsi="宋体" w:eastAsia="宋体" w:cs="宋体"/>
          <w:color w:val="auto"/>
          <w:kern w:val="0"/>
          <w:sz w:val="24"/>
          <w:szCs w:val="24"/>
          <w:highlight w:val="none"/>
          <w:lang w:eastAsia="zh-CN"/>
        </w:rPr>
        <w:t>；</w:t>
      </w:r>
    </w:p>
    <w:p w14:paraId="59FE863C">
      <w:pPr>
        <w:widowControl/>
        <w:spacing w:after="135"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三、作不合格标处理的情形</w:t>
      </w:r>
    </w:p>
    <w:p w14:paraId="52284C0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1.投标人的报价明显低于其他投标报价，使得其投标报价可能低于其个别成本的，应当要求该投标人作出书面说明并提供相关证明材料。投标人不能合理说明或者不能提供相关证明材料的；</w:t>
      </w:r>
    </w:p>
    <w:p w14:paraId="020496D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2.投标报价有算术错误的，评标委员会按</w:t>
      </w:r>
      <w:r>
        <w:rPr>
          <w:rFonts w:hint="eastAsia" w:ascii="宋体" w:hAnsi="宋体" w:cs="宋体"/>
          <w:color w:val="auto"/>
          <w:sz w:val="24"/>
          <w:highlight w:val="none"/>
          <w:lang w:val="en-US" w:eastAsia="zh-CN"/>
        </w:rPr>
        <w:t>第三章3.1.3</w:t>
      </w:r>
      <w:r>
        <w:rPr>
          <w:rFonts w:hint="eastAsia" w:ascii="宋体" w:hAnsi="宋体" w:eastAsia="宋体" w:cs="宋体"/>
          <w:color w:val="auto"/>
          <w:sz w:val="24"/>
          <w:highlight w:val="none"/>
        </w:rPr>
        <w:t>原则对投标报价进行修正，修正的价格经投标人书面确认后具有约束力。投标人不接受修正价格的，评标委员会应当否决其投标；</w:t>
      </w:r>
    </w:p>
    <w:p w14:paraId="2FB13DA2">
      <w:p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3.投标文件有不符合招标文件评标办法初步评审标准中任何一项情形的；</w:t>
      </w:r>
    </w:p>
    <w:p w14:paraId="281E6055">
      <w:p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4.投标人存在第二章“投标人须知”第1.4.3项规定的任何一种情形的；</w:t>
      </w:r>
    </w:p>
    <w:p w14:paraId="3BB51D6F">
      <w:p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5.投标人存在串通投标或弄虚作假或有其他违法行为的；</w:t>
      </w:r>
    </w:p>
    <w:p w14:paraId="48D1E636">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sz w:val="24"/>
          <w:highlight w:val="none"/>
        </w:rPr>
        <w:t>6.不按评标委员会要求澄清、说明或补正的。</w:t>
      </w:r>
    </w:p>
    <w:bookmarkEnd w:id="156"/>
    <w:p w14:paraId="31A91C3B">
      <w:pPr>
        <w:spacing w:line="360" w:lineRule="auto"/>
        <w:ind w:firstLine="484" w:firstLineChars="202"/>
        <w:rPr>
          <w:rFonts w:hint="eastAsia" w:ascii="宋体" w:hAnsi="宋体" w:eastAsia="宋体" w:cs="宋体"/>
          <w:color w:val="auto"/>
          <w:kern w:val="21"/>
          <w:sz w:val="24"/>
          <w:szCs w:val="24"/>
          <w:highlight w:val="none"/>
        </w:rPr>
      </w:pPr>
    </w:p>
    <w:p w14:paraId="6E2FE319">
      <w:pPr>
        <w:rPr>
          <w:rFonts w:hint="eastAsia" w:ascii="宋体" w:hAnsi="宋体" w:cs="宋体"/>
        </w:rPr>
      </w:pPr>
    </w:p>
    <w:p w14:paraId="2BDF4EB0">
      <w:pPr>
        <w:rPr>
          <w:rFonts w:hint="eastAsia" w:ascii="宋体" w:hAnsi="宋体" w:cs="宋体"/>
        </w:rPr>
      </w:pPr>
    </w:p>
    <w:p w14:paraId="4C1137BC">
      <w:pPr>
        <w:rPr>
          <w:rFonts w:hint="eastAsia" w:ascii="宋体" w:hAnsi="宋体" w:cs="宋体"/>
        </w:rPr>
      </w:pPr>
    </w:p>
    <w:p w14:paraId="608597C6">
      <w:pPr>
        <w:rPr>
          <w:rFonts w:hint="eastAsia" w:ascii="宋体" w:hAnsi="宋体" w:cs="宋体"/>
        </w:rPr>
      </w:pPr>
    </w:p>
    <w:sectPr>
      <w:pgSz w:w="11905" w:h="16838"/>
      <w:pgMar w:top="1417" w:right="1417" w:bottom="1417" w:left="1417" w:header="992" w:footer="992" w:gutter="0"/>
      <w:lnNumType w:countBy="0" w:distance="36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0D"/>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JhengHei">
    <w:panose1 w:val="020B0604030504040204"/>
    <w:charset w:val="88"/>
    <w:family w:val="swiss"/>
    <w:pitch w:val="default"/>
    <w:sig w:usb0="00000087" w:usb1="28AF4000" w:usb2="00000016" w:usb3="00000000" w:csb0="00100009"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Wingdings 2">
    <w:altName w:val="Wingdings"/>
    <w:panose1 w:val="05020102010507070707"/>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635366">
    <w:pPr>
      <w:pStyle w:val="17"/>
      <w:rPr>
        <w:rFonts w:hint="default"/>
        <w:sz w:val="18"/>
        <w:szCs w:val="24"/>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A9A8DD">
    <w:pPr>
      <w:pStyle w:val="12"/>
      <w:kinsoku w:val="0"/>
      <w:overflowPunct w:val="0"/>
      <w:spacing w:line="14" w:lineRule="auto"/>
      <w:ind w:left="0"/>
      <w:rPr>
        <w:rFonts w:hint="default"/>
        <w:sz w:val="20"/>
        <w:szCs w:val="24"/>
      </w:rPr>
    </w:pPr>
    <w:r>
      <w:rPr>
        <w:rFonts w:hint="default"/>
        <w:sz w:val="21"/>
        <w:szCs w:val="24"/>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67005" cy="139700"/>
              <wp:effectExtent l="0" t="0" r="0" b="0"/>
              <wp:wrapNone/>
              <wp:docPr id="10" name="文本框 17"/>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14:paraId="3A3F9BCC">
                          <w:pPr>
                            <w:pStyle w:val="12"/>
                            <w:kinsoku w:val="0"/>
                            <w:overflowPunct w:val="0"/>
                            <w:spacing w:line="203" w:lineRule="exact"/>
                            <w:ind w:left="40"/>
                            <w:rPr>
                              <w:rFonts w:hint="default" w:ascii="Calibri" w:hAnsi="Calibri" w:eastAsia="Calibri"/>
                              <w:sz w:val="18"/>
                              <w:szCs w:val="24"/>
                            </w:rPr>
                          </w:pPr>
                          <w:r>
                            <w:rPr>
                              <w:rFonts w:hint="default" w:ascii="Calibri" w:hAnsi="Calibri" w:eastAsia="Calibri"/>
                              <w:w w:val="99"/>
                              <w:sz w:val="18"/>
                              <w:szCs w:val="24"/>
                            </w:rPr>
                            <w:fldChar w:fldCharType="begin"/>
                          </w:r>
                          <w:r>
                            <w:rPr>
                              <w:rFonts w:hint="default" w:ascii="Calibri" w:hAnsi="Calibri" w:eastAsia="Calibri"/>
                              <w:w w:val="99"/>
                              <w:sz w:val="18"/>
                              <w:szCs w:val="24"/>
                            </w:rPr>
                            <w:instrText xml:space="preserve"> PAGE </w:instrText>
                          </w:r>
                          <w:r>
                            <w:rPr>
                              <w:rFonts w:hint="default" w:ascii="Calibri" w:hAnsi="Calibri" w:eastAsia="Calibri"/>
                              <w:w w:val="99"/>
                              <w:sz w:val="18"/>
                              <w:szCs w:val="24"/>
                            </w:rPr>
                            <w:fldChar w:fldCharType="separate"/>
                          </w:r>
                          <w:r>
                            <w:rPr>
                              <w:rFonts w:hint="default" w:ascii="Calibri" w:hAnsi="Calibri" w:eastAsia="Calibri"/>
                              <w:w w:val="99"/>
                              <w:sz w:val="18"/>
                              <w:szCs w:val="24"/>
                            </w:rPr>
                            <w:fldChar w:fldCharType="end"/>
                          </w:r>
                        </w:p>
                      </w:txbxContent>
                    </wps:txbx>
                    <wps:bodyPr wrap="square" lIns="0" tIns="0" rIns="0" bIns="0" upright="1"/>
                  </wps:wsp>
                </a:graphicData>
              </a:graphic>
            </wp:anchor>
          </w:drawing>
        </mc:Choice>
        <mc:Fallback>
          <w:pict>
            <v:shape id="文本框 17" o:spid="_x0000_s1026" o:spt="202" type="#_x0000_t202" style="position:absolute;left:0pt;margin-top:0pt;height:11pt;width:13.15pt;mso-position-horizontal:center;mso-position-horizontal-relative:margin;z-index:251666432;mso-width-relative:page;mso-height-relative:page;" filled="f" stroked="f" coordsize="21600,21600" o:gfxdata="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GbJP2jTAAAAAwEAAA8AAAAAAAAAAQAgAAAAIgAAAGRycy9kb3ducmV2LnhtbFBL&#10;AQIUABQAAAAIAIdO4kBV9Gr3wgEAAIEDAAAOAAAAAAAAAAEAIAAAACIBAABkcnMvZTJvRG9jLnht&#10;bFBLBQYAAAAABgAGAFkBAABWBQAAAAA=&#10;">
              <v:fill on="f" focussize="0,0"/>
              <v:stroke on="f"/>
              <v:imagedata o:title=""/>
              <o:lock v:ext="edit" aspectratio="f"/>
              <v:textbox inset="0mm,0mm,0mm,0mm">
                <w:txbxContent>
                  <w:p w14:paraId="3A3F9BCC">
                    <w:pPr>
                      <w:pStyle w:val="12"/>
                      <w:kinsoku w:val="0"/>
                      <w:overflowPunct w:val="0"/>
                      <w:spacing w:line="203" w:lineRule="exact"/>
                      <w:ind w:left="40"/>
                      <w:rPr>
                        <w:rFonts w:hint="default" w:ascii="Calibri" w:hAnsi="Calibri" w:eastAsia="Calibri"/>
                        <w:sz w:val="18"/>
                        <w:szCs w:val="24"/>
                      </w:rPr>
                    </w:pPr>
                    <w:r>
                      <w:rPr>
                        <w:rFonts w:hint="default" w:ascii="Calibri" w:hAnsi="Calibri" w:eastAsia="Calibri"/>
                        <w:w w:val="99"/>
                        <w:sz w:val="18"/>
                        <w:szCs w:val="24"/>
                      </w:rPr>
                      <w:fldChar w:fldCharType="begin"/>
                    </w:r>
                    <w:r>
                      <w:rPr>
                        <w:rFonts w:hint="default" w:ascii="Calibri" w:hAnsi="Calibri" w:eastAsia="Calibri"/>
                        <w:w w:val="99"/>
                        <w:sz w:val="18"/>
                        <w:szCs w:val="24"/>
                      </w:rPr>
                      <w:instrText xml:space="preserve"> PAGE </w:instrText>
                    </w:r>
                    <w:r>
                      <w:rPr>
                        <w:rFonts w:hint="default" w:ascii="Calibri" w:hAnsi="Calibri" w:eastAsia="Calibri"/>
                        <w:w w:val="99"/>
                        <w:sz w:val="18"/>
                        <w:szCs w:val="24"/>
                      </w:rPr>
                      <w:fldChar w:fldCharType="separate"/>
                    </w:r>
                    <w:r>
                      <w:rPr>
                        <w:rFonts w:hint="default" w:ascii="Calibri" w:hAnsi="Calibri" w:eastAsia="Calibri"/>
                        <w:w w:val="99"/>
                        <w:sz w:val="18"/>
                        <w:szCs w:val="24"/>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C142BF">
    <w:pPr>
      <w:pStyle w:val="12"/>
      <w:kinsoku w:val="0"/>
      <w:overflowPunct w:val="0"/>
      <w:spacing w:line="14" w:lineRule="auto"/>
      <w:ind w:left="0"/>
      <w:rPr>
        <w:rFonts w:hint="default"/>
        <w:sz w:val="20"/>
        <w:szCs w:val="24"/>
      </w:rPr>
    </w:pPr>
    <w:r>
      <w:rPr>
        <w:rFonts w:hint="default"/>
        <w:sz w:val="21"/>
        <w:szCs w:val="24"/>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67005" cy="139700"/>
              <wp:effectExtent l="0" t="0" r="0" b="0"/>
              <wp:wrapNone/>
              <wp:docPr id="11" name="文本框 17"/>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14:paraId="2733231C">
                          <w:pPr>
                            <w:pStyle w:val="12"/>
                            <w:kinsoku w:val="0"/>
                            <w:overflowPunct w:val="0"/>
                            <w:spacing w:line="203" w:lineRule="exact"/>
                            <w:ind w:left="40"/>
                            <w:rPr>
                              <w:rFonts w:hint="default" w:ascii="Calibri" w:hAnsi="Calibri" w:eastAsia="Calibri"/>
                              <w:sz w:val="18"/>
                              <w:szCs w:val="24"/>
                            </w:rPr>
                          </w:pPr>
                          <w:r>
                            <w:rPr>
                              <w:rFonts w:hint="default" w:ascii="Calibri" w:hAnsi="Calibri" w:eastAsia="Calibri"/>
                              <w:w w:val="99"/>
                              <w:sz w:val="18"/>
                              <w:szCs w:val="24"/>
                            </w:rPr>
                            <w:fldChar w:fldCharType="begin"/>
                          </w:r>
                          <w:r>
                            <w:rPr>
                              <w:rFonts w:hint="default" w:ascii="Calibri" w:hAnsi="Calibri" w:eastAsia="Calibri"/>
                              <w:w w:val="99"/>
                              <w:sz w:val="18"/>
                              <w:szCs w:val="24"/>
                            </w:rPr>
                            <w:instrText xml:space="preserve"> PAGE </w:instrText>
                          </w:r>
                          <w:r>
                            <w:rPr>
                              <w:rFonts w:hint="default" w:ascii="Calibri" w:hAnsi="Calibri" w:eastAsia="Calibri"/>
                              <w:w w:val="99"/>
                              <w:sz w:val="18"/>
                              <w:szCs w:val="24"/>
                            </w:rPr>
                            <w:fldChar w:fldCharType="separate"/>
                          </w:r>
                          <w:r>
                            <w:rPr>
                              <w:rFonts w:hint="default" w:ascii="Calibri" w:hAnsi="Calibri" w:eastAsia="Calibri"/>
                              <w:w w:val="99"/>
                              <w:sz w:val="18"/>
                              <w:szCs w:val="24"/>
                            </w:rPr>
                            <w:fldChar w:fldCharType="end"/>
                          </w:r>
                        </w:p>
                      </w:txbxContent>
                    </wps:txbx>
                    <wps:bodyPr wrap="square" lIns="0" tIns="0" rIns="0" bIns="0" upright="1"/>
                  </wps:wsp>
                </a:graphicData>
              </a:graphic>
            </wp:anchor>
          </w:drawing>
        </mc:Choice>
        <mc:Fallback>
          <w:pict>
            <v:shape id="文本框 17" o:spid="_x0000_s1026" o:spt="202" type="#_x0000_t202" style="position:absolute;left:0pt;margin-top:0pt;height:11pt;width:13.15pt;mso-position-horizontal:center;mso-position-horizontal-relative:margin;z-index:251667456;mso-width-relative:page;mso-height-relative:page;" filled="f" stroked="f" coordsize="21600,21600" o:gfxdata="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GbJP2jTAAAAAwEAAA8AAAAAAAAAAQAgAAAAIgAAAGRycy9kb3ducmV2LnhtbFBL&#10;AQIUABQAAAAIAIdO4kCVlHMIwgEAAIEDAAAOAAAAAAAAAAEAIAAAACIBAABkcnMvZTJvRG9jLnht&#10;bFBLBQYAAAAABgAGAFkBAABWBQAAAAA=&#10;">
              <v:fill on="f" focussize="0,0"/>
              <v:stroke on="f"/>
              <v:imagedata o:title=""/>
              <o:lock v:ext="edit" aspectratio="f"/>
              <v:textbox inset="0mm,0mm,0mm,0mm">
                <w:txbxContent>
                  <w:p w14:paraId="2733231C">
                    <w:pPr>
                      <w:pStyle w:val="12"/>
                      <w:kinsoku w:val="0"/>
                      <w:overflowPunct w:val="0"/>
                      <w:spacing w:line="203" w:lineRule="exact"/>
                      <w:ind w:left="40"/>
                      <w:rPr>
                        <w:rFonts w:hint="default" w:ascii="Calibri" w:hAnsi="Calibri" w:eastAsia="Calibri"/>
                        <w:sz w:val="18"/>
                        <w:szCs w:val="24"/>
                      </w:rPr>
                    </w:pPr>
                    <w:r>
                      <w:rPr>
                        <w:rFonts w:hint="default" w:ascii="Calibri" w:hAnsi="Calibri" w:eastAsia="Calibri"/>
                        <w:w w:val="99"/>
                        <w:sz w:val="18"/>
                        <w:szCs w:val="24"/>
                      </w:rPr>
                      <w:fldChar w:fldCharType="begin"/>
                    </w:r>
                    <w:r>
                      <w:rPr>
                        <w:rFonts w:hint="default" w:ascii="Calibri" w:hAnsi="Calibri" w:eastAsia="Calibri"/>
                        <w:w w:val="99"/>
                        <w:sz w:val="18"/>
                        <w:szCs w:val="24"/>
                      </w:rPr>
                      <w:instrText xml:space="preserve"> PAGE </w:instrText>
                    </w:r>
                    <w:r>
                      <w:rPr>
                        <w:rFonts w:hint="default" w:ascii="Calibri" w:hAnsi="Calibri" w:eastAsia="Calibri"/>
                        <w:w w:val="99"/>
                        <w:sz w:val="18"/>
                        <w:szCs w:val="24"/>
                      </w:rPr>
                      <w:fldChar w:fldCharType="separate"/>
                    </w:r>
                    <w:r>
                      <w:rPr>
                        <w:rFonts w:hint="default" w:ascii="Calibri" w:hAnsi="Calibri" w:eastAsia="Calibri"/>
                        <w:w w:val="99"/>
                        <w:sz w:val="18"/>
                        <w:szCs w:val="24"/>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5F8C5A">
    <w:pPr>
      <w:pStyle w:val="12"/>
      <w:kinsoku w:val="0"/>
      <w:overflowPunct w:val="0"/>
      <w:spacing w:line="14" w:lineRule="auto"/>
      <w:ind w:left="0"/>
      <w:rPr>
        <w:rFonts w:hint="default"/>
        <w:sz w:val="20"/>
        <w:szCs w:val="24"/>
      </w:rPr>
    </w:pPr>
    <w:r>
      <w:rPr>
        <w:rFonts w:hint="default"/>
        <w:sz w:val="21"/>
        <w:szCs w:val="24"/>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67005" cy="139700"/>
              <wp:effectExtent l="0" t="0" r="0" b="0"/>
              <wp:wrapNone/>
              <wp:docPr id="9" name="文本框 17"/>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14:paraId="434213A1">
                          <w:pPr>
                            <w:pStyle w:val="12"/>
                            <w:kinsoku w:val="0"/>
                            <w:overflowPunct w:val="0"/>
                            <w:spacing w:line="203" w:lineRule="exact"/>
                            <w:ind w:left="40"/>
                            <w:rPr>
                              <w:rFonts w:hint="default" w:ascii="Calibri" w:hAnsi="Calibri" w:eastAsia="Calibri"/>
                              <w:sz w:val="18"/>
                              <w:szCs w:val="24"/>
                            </w:rPr>
                          </w:pPr>
                          <w:r>
                            <w:rPr>
                              <w:rFonts w:hint="default" w:ascii="Calibri" w:hAnsi="Calibri" w:eastAsia="Calibri"/>
                              <w:w w:val="99"/>
                              <w:sz w:val="18"/>
                              <w:szCs w:val="24"/>
                            </w:rPr>
                            <w:fldChar w:fldCharType="begin"/>
                          </w:r>
                          <w:r>
                            <w:rPr>
                              <w:rFonts w:hint="default" w:ascii="Calibri" w:hAnsi="Calibri" w:eastAsia="Calibri"/>
                              <w:w w:val="99"/>
                              <w:sz w:val="18"/>
                              <w:szCs w:val="24"/>
                            </w:rPr>
                            <w:instrText xml:space="preserve"> PAGE </w:instrText>
                          </w:r>
                          <w:r>
                            <w:rPr>
                              <w:rFonts w:hint="default" w:ascii="Calibri" w:hAnsi="Calibri" w:eastAsia="Calibri"/>
                              <w:w w:val="99"/>
                              <w:sz w:val="18"/>
                              <w:szCs w:val="24"/>
                            </w:rPr>
                            <w:fldChar w:fldCharType="separate"/>
                          </w:r>
                          <w:r>
                            <w:rPr>
                              <w:rFonts w:hint="default" w:ascii="Calibri" w:hAnsi="Calibri" w:eastAsia="Calibri"/>
                              <w:w w:val="99"/>
                              <w:sz w:val="18"/>
                              <w:szCs w:val="24"/>
                            </w:rPr>
                            <w:fldChar w:fldCharType="end"/>
                          </w:r>
                        </w:p>
                      </w:txbxContent>
                    </wps:txbx>
                    <wps:bodyPr wrap="square" lIns="0" tIns="0" rIns="0" bIns="0" upright="1"/>
                  </wps:wsp>
                </a:graphicData>
              </a:graphic>
            </wp:anchor>
          </w:drawing>
        </mc:Choice>
        <mc:Fallback>
          <w:pict>
            <v:shape id="文本框 17" o:spid="_x0000_s1026" o:spt="202" type="#_x0000_t202" style="position:absolute;left:0pt;margin-top:0pt;height:11pt;width:13.15pt;mso-position-horizontal:center;mso-position-horizontal-relative:margin;z-index:251665408;mso-width-relative:page;mso-height-relative:page;" filled="f" stroked="f" coordsize="21600,21600" o:gfxdata="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myT9o0wAAAAMBAAAPAAAAAAAAAAEAIAAAACIAAABkcnMvZG93bnJldi54bWxQ&#10;SwECFAAUAAAACACHTuJABsPAGMMBAACAAwAADgAAAAAAAAABACAAAAAiAQAAZHJzL2Uyb0RvYy54&#10;bWxQSwUGAAAAAAYABgBZAQAAVwUAAAAA&#10;">
              <v:fill on="f" focussize="0,0"/>
              <v:stroke on="f"/>
              <v:imagedata o:title=""/>
              <o:lock v:ext="edit" aspectratio="f"/>
              <v:textbox inset="0mm,0mm,0mm,0mm">
                <w:txbxContent>
                  <w:p w14:paraId="434213A1">
                    <w:pPr>
                      <w:pStyle w:val="12"/>
                      <w:kinsoku w:val="0"/>
                      <w:overflowPunct w:val="0"/>
                      <w:spacing w:line="203" w:lineRule="exact"/>
                      <w:ind w:left="40"/>
                      <w:rPr>
                        <w:rFonts w:hint="default" w:ascii="Calibri" w:hAnsi="Calibri" w:eastAsia="Calibri"/>
                        <w:sz w:val="18"/>
                        <w:szCs w:val="24"/>
                      </w:rPr>
                    </w:pPr>
                    <w:r>
                      <w:rPr>
                        <w:rFonts w:hint="default" w:ascii="Calibri" w:hAnsi="Calibri" w:eastAsia="Calibri"/>
                        <w:w w:val="99"/>
                        <w:sz w:val="18"/>
                        <w:szCs w:val="24"/>
                      </w:rPr>
                      <w:fldChar w:fldCharType="begin"/>
                    </w:r>
                    <w:r>
                      <w:rPr>
                        <w:rFonts w:hint="default" w:ascii="Calibri" w:hAnsi="Calibri" w:eastAsia="Calibri"/>
                        <w:w w:val="99"/>
                        <w:sz w:val="18"/>
                        <w:szCs w:val="24"/>
                      </w:rPr>
                      <w:instrText xml:space="preserve"> PAGE </w:instrText>
                    </w:r>
                    <w:r>
                      <w:rPr>
                        <w:rFonts w:hint="default" w:ascii="Calibri" w:hAnsi="Calibri" w:eastAsia="Calibri"/>
                        <w:w w:val="99"/>
                        <w:sz w:val="18"/>
                        <w:szCs w:val="24"/>
                      </w:rPr>
                      <w:fldChar w:fldCharType="separate"/>
                    </w:r>
                    <w:r>
                      <w:rPr>
                        <w:rFonts w:hint="default" w:ascii="Calibri" w:hAnsi="Calibri" w:eastAsia="Calibri"/>
                        <w:w w:val="99"/>
                        <w:sz w:val="18"/>
                        <w:szCs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F2ED83">
    <w:pPr>
      <w:pStyle w:val="12"/>
      <w:kinsoku w:val="0"/>
      <w:overflowPunct w:val="0"/>
      <w:spacing w:line="14" w:lineRule="auto"/>
      <w:ind w:left="0"/>
      <w:rPr>
        <w:rFonts w:hint="default"/>
        <w:sz w:val="18"/>
        <w:szCs w:val="24"/>
      </w:rPr>
    </w:pPr>
    <w:r>
      <w:rPr>
        <w:rFonts w:hint="default" w:ascii="Calibri" w:hAnsi="Calibri" w:eastAsia="Calibri"/>
        <w:sz w:val="21"/>
        <w:szCs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09220" cy="1397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09220" cy="139700"/>
                      </a:xfrm>
                      <a:prstGeom prst="rect">
                        <a:avLst/>
                      </a:prstGeom>
                      <a:noFill/>
                      <a:ln>
                        <a:noFill/>
                      </a:ln>
                    </wps:spPr>
                    <wps:txbx>
                      <w:txbxContent>
                        <w:p w14:paraId="5DF9F5B3">
                          <w:pPr>
                            <w:pStyle w:val="12"/>
                            <w:kinsoku w:val="0"/>
                            <w:overflowPunct w:val="0"/>
                            <w:spacing w:line="203" w:lineRule="exact"/>
                            <w:ind w:left="40"/>
                            <w:rPr>
                              <w:rFonts w:hint="default" w:ascii="Calibri" w:hAnsi="Calibri" w:eastAsia="Calibri"/>
                              <w:sz w:val="18"/>
                              <w:szCs w:val="24"/>
                            </w:rPr>
                          </w:pPr>
                          <w:r>
                            <w:rPr>
                              <w:rFonts w:hint="default" w:ascii="Calibri" w:hAnsi="Calibri" w:eastAsia="Calibri"/>
                              <w:w w:val="99"/>
                              <w:sz w:val="18"/>
                              <w:szCs w:val="24"/>
                            </w:rPr>
                            <w:fldChar w:fldCharType="begin"/>
                          </w:r>
                          <w:r>
                            <w:rPr>
                              <w:rFonts w:hint="default" w:ascii="Calibri" w:hAnsi="Calibri" w:eastAsia="Calibri"/>
                              <w:w w:val="99"/>
                              <w:sz w:val="18"/>
                              <w:szCs w:val="24"/>
                            </w:rPr>
                            <w:instrText xml:space="preserve"> PAGE </w:instrText>
                          </w:r>
                          <w:r>
                            <w:rPr>
                              <w:rFonts w:hint="default" w:ascii="Calibri" w:hAnsi="Calibri" w:eastAsia="Calibri"/>
                              <w:w w:val="99"/>
                              <w:sz w:val="18"/>
                              <w:szCs w:val="24"/>
                            </w:rPr>
                            <w:fldChar w:fldCharType="separate"/>
                          </w:r>
                          <w:r>
                            <w:rPr>
                              <w:rFonts w:hint="default" w:ascii="Calibri" w:hAnsi="Calibri" w:eastAsia="Calibri"/>
                              <w:w w:val="99"/>
                              <w:sz w:val="18"/>
                              <w:szCs w:val="24"/>
                            </w:rPr>
                            <w:fldChar w:fldCharType="end"/>
                          </w:r>
                        </w:p>
                      </w:txbxContent>
                    </wps:txbx>
                    <wps:bodyPr vert="horz" wrap="square" lIns="0" tIns="0" rIns="0" bIns="0" anchor="t" anchorCtr="0" upright="1"/>
                  </wps:wsp>
                </a:graphicData>
              </a:graphic>
            </wp:anchor>
          </w:drawing>
        </mc:Choice>
        <mc:Fallback>
          <w:pict>
            <v:shape id="_x0000_s1026" o:spid="_x0000_s1026" o:spt="202" type="#_x0000_t202" style="position:absolute;left:0pt;margin-top:0pt;height:11pt;width:8.6pt;mso-position-horizontal:center;mso-position-horizontal-relative:margin;z-index:251660288;mso-width-relative:page;mso-height-relative:page;" filled="f" stroked="f" coordsize="21600,21600" o:gfxdata="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WRA6i0wAAAAMBAAAPAAAAAAAAAAEAIAAA&#10;ACIAAABkcnMvZG93bnJldi54bWxQSwECFAAUAAAACACHTuJAP9E6UNgBAACkAwAADgAAAAAAAAAB&#10;ACAAAAAiAQAAZHJzL2Uyb0RvYy54bWxQSwUGAAAAAAYABgBZAQAAbAUAAAAA&#10;">
              <v:fill on="f" focussize="0,0"/>
              <v:stroke on="f"/>
              <v:imagedata o:title=""/>
              <o:lock v:ext="edit" aspectratio="f"/>
              <v:textbox inset="0mm,0mm,0mm,0mm">
                <w:txbxContent>
                  <w:p w14:paraId="5DF9F5B3">
                    <w:pPr>
                      <w:pStyle w:val="12"/>
                      <w:kinsoku w:val="0"/>
                      <w:overflowPunct w:val="0"/>
                      <w:spacing w:line="203" w:lineRule="exact"/>
                      <w:ind w:left="40"/>
                      <w:rPr>
                        <w:rFonts w:hint="default" w:ascii="Calibri" w:hAnsi="Calibri" w:eastAsia="Calibri"/>
                        <w:sz w:val="18"/>
                        <w:szCs w:val="24"/>
                      </w:rPr>
                    </w:pPr>
                    <w:r>
                      <w:rPr>
                        <w:rFonts w:hint="default" w:ascii="Calibri" w:hAnsi="Calibri" w:eastAsia="Calibri"/>
                        <w:w w:val="99"/>
                        <w:sz w:val="18"/>
                        <w:szCs w:val="24"/>
                      </w:rPr>
                      <w:fldChar w:fldCharType="begin"/>
                    </w:r>
                    <w:r>
                      <w:rPr>
                        <w:rFonts w:hint="default" w:ascii="Calibri" w:hAnsi="Calibri" w:eastAsia="Calibri"/>
                        <w:w w:val="99"/>
                        <w:sz w:val="18"/>
                        <w:szCs w:val="24"/>
                      </w:rPr>
                      <w:instrText xml:space="preserve"> PAGE </w:instrText>
                    </w:r>
                    <w:r>
                      <w:rPr>
                        <w:rFonts w:hint="default" w:ascii="Calibri" w:hAnsi="Calibri" w:eastAsia="Calibri"/>
                        <w:w w:val="99"/>
                        <w:sz w:val="18"/>
                        <w:szCs w:val="24"/>
                      </w:rPr>
                      <w:fldChar w:fldCharType="separate"/>
                    </w:r>
                    <w:r>
                      <w:rPr>
                        <w:rFonts w:hint="default" w:ascii="Calibri" w:hAnsi="Calibri" w:eastAsia="Calibri"/>
                        <w:w w:val="99"/>
                        <w:sz w:val="18"/>
                        <w:szCs w:val="24"/>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BDE409">
    <w:pPr>
      <w:pStyle w:val="12"/>
      <w:kinsoku w:val="0"/>
      <w:overflowPunct w:val="0"/>
      <w:spacing w:line="14" w:lineRule="auto"/>
      <w:ind w:left="0"/>
      <w:rPr>
        <w:rFonts w:hint="default"/>
        <w:sz w:val="20"/>
        <w:szCs w:val="24"/>
      </w:rPr>
    </w:pPr>
    <w:r>
      <w:rPr>
        <w:rFonts w:hint="default"/>
        <w:sz w:val="21"/>
        <w:szCs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67005" cy="139700"/>
              <wp:effectExtent l="0" t="0" r="0" b="0"/>
              <wp:wrapNone/>
              <wp:docPr id="2" name="文本框 5"/>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14:paraId="306B48D2">
                          <w:pPr>
                            <w:pStyle w:val="12"/>
                            <w:kinsoku w:val="0"/>
                            <w:overflowPunct w:val="0"/>
                            <w:spacing w:line="203" w:lineRule="exact"/>
                            <w:ind w:left="40"/>
                            <w:rPr>
                              <w:rFonts w:hint="default" w:ascii="Calibri" w:hAnsi="Calibri" w:eastAsia="Calibri"/>
                              <w:sz w:val="18"/>
                              <w:szCs w:val="24"/>
                            </w:rPr>
                          </w:pPr>
                          <w:r>
                            <w:rPr>
                              <w:rFonts w:hint="default" w:ascii="Calibri" w:hAnsi="Calibri" w:eastAsia="Calibri"/>
                              <w:w w:val="99"/>
                              <w:sz w:val="18"/>
                              <w:szCs w:val="24"/>
                            </w:rPr>
                            <w:fldChar w:fldCharType="begin"/>
                          </w:r>
                          <w:r>
                            <w:rPr>
                              <w:rFonts w:hint="default" w:ascii="Calibri" w:hAnsi="Calibri" w:eastAsia="Calibri"/>
                              <w:w w:val="99"/>
                              <w:sz w:val="18"/>
                              <w:szCs w:val="24"/>
                            </w:rPr>
                            <w:instrText xml:space="preserve"> PAGE </w:instrText>
                          </w:r>
                          <w:r>
                            <w:rPr>
                              <w:rFonts w:hint="default" w:ascii="Calibri" w:hAnsi="Calibri" w:eastAsia="Calibri"/>
                              <w:w w:val="99"/>
                              <w:sz w:val="18"/>
                              <w:szCs w:val="24"/>
                            </w:rPr>
                            <w:fldChar w:fldCharType="separate"/>
                          </w:r>
                          <w:r>
                            <w:rPr>
                              <w:rFonts w:hint="default" w:ascii="Calibri" w:hAnsi="Calibri" w:eastAsia="Calibri"/>
                              <w:w w:val="99"/>
                              <w:sz w:val="18"/>
                              <w:szCs w:val="24"/>
                            </w:rPr>
                            <w:fldChar w:fldCharType="end"/>
                          </w:r>
                        </w:p>
                      </w:txbxContent>
                    </wps:txbx>
                    <wps:bodyPr vert="horz" wrap="square" lIns="0" tIns="0" rIns="0" bIns="0" anchor="t" anchorCtr="0" upright="1"/>
                  </wps:wsp>
                </a:graphicData>
              </a:graphic>
            </wp:anchor>
          </w:drawing>
        </mc:Choice>
        <mc:Fallback>
          <w:pict>
            <v:shape id="文本框 5" o:spid="_x0000_s1026" o:spt="202" type="#_x0000_t202" style="position:absolute;left:0pt;margin-top:0pt;height:11pt;width:13.15pt;mso-position-horizontal:center;mso-position-horizontal-relative:margin;z-index:251661312;mso-width-relative:page;mso-height-relative:page;" filled="f" stroked="f" coordsize="21600,21600" o:gfxdata="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GbJP2jTAAAAAwEAAA8AAAAAAAAAAQAgAAAA&#10;IgAAAGRycy9kb3ducmV2LnhtbFBLAQIUABQAAAAIAIdO4kAsxo181wEAAKQDAAAOAAAAAAAAAAEA&#10;IAAAACIBAABkcnMvZTJvRG9jLnhtbFBLBQYAAAAABgAGAFkBAABrBQAAAAA=&#10;">
              <v:fill on="f" focussize="0,0"/>
              <v:stroke on="f"/>
              <v:imagedata o:title=""/>
              <o:lock v:ext="edit" aspectratio="f"/>
              <v:textbox inset="0mm,0mm,0mm,0mm">
                <w:txbxContent>
                  <w:p w14:paraId="306B48D2">
                    <w:pPr>
                      <w:pStyle w:val="12"/>
                      <w:kinsoku w:val="0"/>
                      <w:overflowPunct w:val="0"/>
                      <w:spacing w:line="203" w:lineRule="exact"/>
                      <w:ind w:left="40"/>
                      <w:rPr>
                        <w:rFonts w:hint="default" w:ascii="Calibri" w:hAnsi="Calibri" w:eastAsia="Calibri"/>
                        <w:sz w:val="18"/>
                        <w:szCs w:val="24"/>
                      </w:rPr>
                    </w:pPr>
                    <w:r>
                      <w:rPr>
                        <w:rFonts w:hint="default" w:ascii="Calibri" w:hAnsi="Calibri" w:eastAsia="Calibri"/>
                        <w:w w:val="99"/>
                        <w:sz w:val="18"/>
                        <w:szCs w:val="24"/>
                      </w:rPr>
                      <w:fldChar w:fldCharType="begin"/>
                    </w:r>
                    <w:r>
                      <w:rPr>
                        <w:rFonts w:hint="default" w:ascii="Calibri" w:hAnsi="Calibri" w:eastAsia="Calibri"/>
                        <w:w w:val="99"/>
                        <w:sz w:val="18"/>
                        <w:szCs w:val="24"/>
                      </w:rPr>
                      <w:instrText xml:space="preserve"> PAGE </w:instrText>
                    </w:r>
                    <w:r>
                      <w:rPr>
                        <w:rFonts w:hint="default" w:ascii="Calibri" w:hAnsi="Calibri" w:eastAsia="Calibri"/>
                        <w:w w:val="99"/>
                        <w:sz w:val="18"/>
                        <w:szCs w:val="24"/>
                      </w:rPr>
                      <w:fldChar w:fldCharType="separate"/>
                    </w:r>
                    <w:r>
                      <w:rPr>
                        <w:rFonts w:hint="default" w:ascii="Calibri" w:hAnsi="Calibri" w:eastAsia="Calibri"/>
                        <w:w w:val="99"/>
                        <w:sz w:val="18"/>
                        <w:szCs w:val="24"/>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74A84">
    <w:pPr>
      <w:pStyle w:val="12"/>
      <w:kinsoku w:val="0"/>
      <w:overflowPunct w:val="0"/>
      <w:spacing w:line="14" w:lineRule="auto"/>
      <w:ind w:left="0"/>
      <w:rPr>
        <w:rFonts w:hint="default"/>
        <w:sz w:val="18"/>
        <w:szCs w:val="24"/>
      </w:rPr>
    </w:pPr>
    <w:r>
      <w:rPr>
        <w:rFonts w:hint="default"/>
        <w:sz w:val="21"/>
        <w:szCs w:val="24"/>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67005" cy="139700"/>
              <wp:effectExtent l="0" t="0" r="0" b="0"/>
              <wp:wrapNone/>
              <wp:docPr id="8" name="文本框 7"/>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14:paraId="4C8478FC">
                          <w:pPr>
                            <w:pStyle w:val="12"/>
                            <w:kinsoku w:val="0"/>
                            <w:overflowPunct w:val="0"/>
                            <w:spacing w:line="203" w:lineRule="exact"/>
                            <w:ind w:left="40"/>
                            <w:rPr>
                              <w:rFonts w:hint="default" w:ascii="Calibri" w:hAnsi="Calibri" w:eastAsia="Calibri"/>
                              <w:sz w:val="18"/>
                              <w:szCs w:val="24"/>
                            </w:rPr>
                          </w:pPr>
                          <w:r>
                            <w:rPr>
                              <w:rFonts w:hint="default" w:ascii="Calibri" w:hAnsi="Calibri" w:eastAsia="Calibri"/>
                              <w:w w:val="99"/>
                              <w:sz w:val="18"/>
                              <w:szCs w:val="24"/>
                            </w:rPr>
                            <w:fldChar w:fldCharType="begin"/>
                          </w:r>
                          <w:r>
                            <w:rPr>
                              <w:rFonts w:hint="default" w:ascii="Calibri" w:hAnsi="Calibri" w:eastAsia="Calibri"/>
                              <w:w w:val="99"/>
                              <w:sz w:val="18"/>
                              <w:szCs w:val="24"/>
                            </w:rPr>
                            <w:instrText xml:space="preserve"> PAGE </w:instrText>
                          </w:r>
                          <w:r>
                            <w:rPr>
                              <w:rFonts w:hint="default" w:ascii="Calibri" w:hAnsi="Calibri" w:eastAsia="Calibri"/>
                              <w:w w:val="99"/>
                              <w:sz w:val="18"/>
                              <w:szCs w:val="24"/>
                            </w:rPr>
                            <w:fldChar w:fldCharType="separate"/>
                          </w:r>
                          <w:r>
                            <w:rPr>
                              <w:rFonts w:hint="default" w:ascii="Calibri" w:hAnsi="Calibri" w:eastAsia="Calibri"/>
                              <w:w w:val="99"/>
                              <w:sz w:val="18"/>
                              <w:szCs w:val="24"/>
                            </w:rPr>
                            <w:fldChar w:fldCharType="end"/>
                          </w:r>
                        </w:p>
                      </w:txbxContent>
                    </wps:txbx>
                    <wps:bodyPr wrap="square" lIns="0" tIns="0" rIns="0" bIns="0" upright="1"/>
                  </wps:wsp>
                </a:graphicData>
              </a:graphic>
            </wp:anchor>
          </w:drawing>
        </mc:Choice>
        <mc:Fallback>
          <w:pict>
            <v:shape id="文本框 7" o:spid="_x0000_s1026" o:spt="202" type="#_x0000_t202" style="position:absolute;left:0pt;margin-top:0pt;height:11pt;width:13.15pt;mso-position-horizontal:center;mso-position-horizontal-relative:margin;z-index:251664384;mso-width-relative:page;mso-height-relative:page;" filled="f" stroked="f" coordsize="21600,21600" o:gfxdata="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sk/aNMAAAADAQAADwAAAAAAAAABACAAAAAiAAAAZHJzL2Rvd25yZXYueG1sUEsB&#10;AhQAFAAAAAgAh07iQDdTT57BAQAAfwMAAA4AAAAAAAAAAQAgAAAAIgEAAGRycy9lMm9Eb2MueG1s&#10;UEsFBgAAAAAGAAYAWQEAAFUFAAAAAA==&#10;">
              <v:fill on="f" focussize="0,0"/>
              <v:stroke on="f"/>
              <v:imagedata o:title=""/>
              <o:lock v:ext="edit" aspectratio="f"/>
              <v:textbox inset="0mm,0mm,0mm,0mm">
                <w:txbxContent>
                  <w:p w14:paraId="4C8478FC">
                    <w:pPr>
                      <w:pStyle w:val="12"/>
                      <w:kinsoku w:val="0"/>
                      <w:overflowPunct w:val="0"/>
                      <w:spacing w:line="203" w:lineRule="exact"/>
                      <w:ind w:left="40"/>
                      <w:rPr>
                        <w:rFonts w:hint="default" w:ascii="Calibri" w:hAnsi="Calibri" w:eastAsia="Calibri"/>
                        <w:sz w:val="18"/>
                        <w:szCs w:val="24"/>
                      </w:rPr>
                    </w:pPr>
                    <w:r>
                      <w:rPr>
                        <w:rFonts w:hint="default" w:ascii="Calibri" w:hAnsi="Calibri" w:eastAsia="Calibri"/>
                        <w:w w:val="99"/>
                        <w:sz w:val="18"/>
                        <w:szCs w:val="24"/>
                      </w:rPr>
                      <w:fldChar w:fldCharType="begin"/>
                    </w:r>
                    <w:r>
                      <w:rPr>
                        <w:rFonts w:hint="default" w:ascii="Calibri" w:hAnsi="Calibri" w:eastAsia="Calibri"/>
                        <w:w w:val="99"/>
                        <w:sz w:val="18"/>
                        <w:szCs w:val="24"/>
                      </w:rPr>
                      <w:instrText xml:space="preserve"> PAGE </w:instrText>
                    </w:r>
                    <w:r>
                      <w:rPr>
                        <w:rFonts w:hint="default" w:ascii="Calibri" w:hAnsi="Calibri" w:eastAsia="Calibri"/>
                        <w:w w:val="99"/>
                        <w:sz w:val="18"/>
                        <w:szCs w:val="24"/>
                      </w:rPr>
                      <w:fldChar w:fldCharType="separate"/>
                    </w:r>
                    <w:r>
                      <w:rPr>
                        <w:rFonts w:hint="default" w:ascii="Calibri" w:hAnsi="Calibri" w:eastAsia="Calibri"/>
                        <w:w w:val="99"/>
                        <w:sz w:val="18"/>
                        <w:szCs w:val="24"/>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C76B4B">
    <w:pPr>
      <w:pStyle w:val="12"/>
      <w:kinsoku w:val="0"/>
      <w:overflowPunct w:val="0"/>
      <w:spacing w:line="14" w:lineRule="auto"/>
      <w:ind w:left="0"/>
      <w:rPr>
        <w:rFonts w:hint="default"/>
        <w:sz w:val="20"/>
        <w:szCs w:val="24"/>
      </w:rPr>
    </w:pPr>
    <w:r>
      <w:rPr>
        <w:rFonts w:hint="default"/>
        <w:sz w:val="21"/>
        <w:szCs w:val="2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67005" cy="139700"/>
              <wp:effectExtent l="0" t="0" r="0" b="0"/>
              <wp:wrapNone/>
              <wp:docPr id="3" name="文本框 13"/>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14:paraId="7D2023D3">
                          <w:pPr>
                            <w:pStyle w:val="12"/>
                            <w:kinsoku w:val="0"/>
                            <w:overflowPunct w:val="0"/>
                            <w:spacing w:line="203" w:lineRule="exact"/>
                            <w:ind w:left="40"/>
                            <w:rPr>
                              <w:rFonts w:hint="default" w:ascii="Calibri" w:hAnsi="Calibri" w:eastAsia="Calibri"/>
                              <w:sz w:val="18"/>
                              <w:szCs w:val="24"/>
                            </w:rPr>
                          </w:pPr>
                          <w:r>
                            <w:rPr>
                              <w:rFonts w:hint="default" w:ascii="Calibri" w:hAnsi="Calibri" w:eastAsia="Calibri"/>
                              <w:w w:val="99"/>
                              <w:sz w:val="18"/>
                              <w:szCs w:val="24"/>
                            </w:rPr>
                            <w:fldChar w:fldCharType="begin"/>
                          </w:r>
                          <w:r>
                            <w:rPr>
                              <w:rFonts w:hint="default" w:ascii="Calibri" w:hAnsi="Calibri" w:eastAsia="Calibri"/>
                              <w:w w:val="99"/>
                              <w:sz w:val="18"/>
                              <w:szCs w:val="24"/>
                            </w:rPr>
                            <w:instrText xml:space="preserve"> PAGE </w:instrText>
                          </w:r>
                          <w:r>
                            <w:rPr>
                              <w:rFonts w:hint="default" w:ascii="Calibri" w:hAnsi="Calibri" w:eastAsia="Calibri"/>
                              <w:w w:val="99"/>
                              <w:sz w:val="18"/>
                              <w:szCs w:val="24"/>
                            </w:rPr>
                            <w:fldChar w:fldCharType="separate"/>
                          </w:r>
                          <w:r>
                            <w:rPr>
                              <w:rFonts w:hint="default" w:ascii="Calibri" w:hAnsi="Calibri" w:eastAsia="Calibri"/>
                              <w:w w:val="99"/>
                              <w:sz w:val="18"/>
                              <w:szCs w:val="24"/>
                            </w:rPr>
                            <w:fldChar w:fldCharType="end"/>
                          </w:r>
                        </w:p>
                      </w:txbxContent>
                    </wps:txbx>
                    <wps:bodyPr vert="horz" wrap="square" lIns="0" tIns="0" rIns="0" bIns="0" anchor="t" anchorCtr="0" upright="1"/>
                  </wps:wsp>
                </a:graphicData>
              </a:graphic>
            </wp:anchor>
          </w:drawing>
        </mc:Choice>
        <mc:Fallback>
          <w:pict>
            <v:shape id="文本框 13" o:spid="_x0000_s1026" o:spt="202" type="#_x0000_t202" style="position:absolute;left:0pt;margin-top:0pt;height:11pt;width:13.15pt;mso-position-horizontal:center;mso-position-horizontal-relative:margin;z-index:251662336;mso-width-relative:page;mso-height-relative:page;" filled="f" stroked="f" coordsize="21600,21600" o:gfxdata="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myT9o0wAAAAMBAAAPAAAAAAAAAAEAIAAA&#10;ACIAAABkcnMvZG93bnJldi54bWxQSwECFAAUAAAACACHTuJAHeZl9NgBAAClAwAADgAAAAAAAAAB&#10;ACAAAAAiAQAAZHJzL2Uyb0RvYy54bWxQSwUGAAAAAAYABgBZAQAAbAUAAAAA&#10;">
              <v:fill on="f" focussize="0,0"/>
              <v:stroke on="f"/>
              <v:imagedata o:title=""/>
              <o:lock v:ext="edit" aspectratio="f"/>
              <v:textbox inset="0mm,0mm,0mm,0mm">
                <w:txbxContent>
                  <w:p w14:paraId="7D2023D3">
                    <w:pPr>
                      <w:pStyle w:val="12"/>
                      <w:kinsoku w:val="0"/>
                      <w:overflowPunct w:val="0"/>
                      <w:spacing w:line="203" w:lineRule="exact"/>
                      <w:ind w:left="40"/>
                      <w:rPr>
                        <w:rFonts w:hint="default" w:ascii="Calibri" w:hAnsi="Calibri" w:eastAsia="Calibri"/>
                        <w:sz w:val="18"/>
                        <w:szCs w:val="24"/>
                      </w:rPr>
                    </w:pPr>
                    <w:r>
                      <w:rPr>
                        <w:rFonts w:hint="default" w:ascii="Calibri" w:hAnsi="Calibri" w:eastAsia="Calibri"/>
                        <w:w w:val="99"/>
                        <w:sz w:val="18"/>
                        <w:szCs w:val="24"/>
                      </w:rPr>
                      <w:fldChar w:fldCharType="begin"/>
                    </w:r>
                    <w:r>
                      <w:rPr>
                        <w:rFonts w:hint="default" w:ascii="Calibri" w:hAnsi="Calibri" w:eastAsia="Calibri"/>
                        <w:w w:val="99"/>
                        <w:sz w:val="18"/>
                        <w:szCs w:val="24"/>
                      </w:rPr>
                      <w:instrText xml:space="preserve"> PAGE </w:instrText>
                    </w:r>
                    <w:r>
                      <w:rPr>
                        <w:rFonts w:hint="default" w:ascii="Calibri" w:hAnsi="Calibri" w:eastAsia="Calibri"/>
                        <w:w w:val="99"/>
                        <w:sz w:val="18"/>
                        <w:szCs w:val="24"/>
                      </w:rPr>
                      <w:fldChar w:fldCharType="separate"/>
                    </w:r>
                    <w:r>
                      <w:rPr>
                        <w:rFonts w:hint="default" w:ascii="Calibri" w:hAnsi="Calibri" w:eastAsia="Calibri"/>
                        <w:w w:val="99"/>
                        <w:sz w:val="18"/>
                        <w:szCs w:val="24"/>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26A9B8">
    <w:pPr>
      <w:pStyle w:val="17"/>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60E403D">
                          <w:pPr>
                            <w:pStyle w:val="17"/>
                            <w:rPr>
                              <w:rStyle w:val="29"/>
                            </w:rPr>
                          </w:pPr>
                          <w:r>
                            <w:fldChar w:fldCharType="begin"/>
                          </w:r>
                          <w:r>
                            <w:rPr>
                              <w:rStyle w:val="29"/>
                            </w:rPr>
                            <w:instrText xml:space="preserve">PAGE  </w:instrText>
                          </w:r>
                          <w:r>
                            <w:fldChar w:fldCharType="separate"/>
                          </w:r>
                          <w:r>
                            <w:rPr>
                              <w:rStyle w:val="29"/>
                            </w:rPr>
                            <w:t>55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dYBIgyAgAAZQ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1gEiDICAABlBAAADgAAAAAAAAABACAAAAAfAQAAZHJzL2Uyb0RvYy54bWxQSwUG&#10;AAAAAAYABgBZAQAAwwUAAAAA&#10;">
              <v:fill on="f" focussize="0,0"/>
              <v:stroke on="f" weight="0.5pt"/>
              <v:imagedata o:title=""/>
              <o:lock v:ext="edit" aspectratio="f"/>
              <v:textbox inset="0mm,0mm,0mm,0mm" style="mso-fit-shape-to-text:t;">
                <w:txbxContent>
                  <w:p w14:paraId="260E403D">
                    <w:pPr>
                      <w:pStyle w:val="17"/>
                      <w:rPr>
                        <w:rStyle w:val="29"/>
                      </w:rPr>
                    </w:pPr>
                    <w:r>
                      <w:fldChar w:fldCharType="begin"/>
                    </w:r>
                    <w:r>
                      <w:rPr>
                        <w:rStyle w:val="29"/>
                      </w:rPr>
                      <w:instrText xml:space="preserve">PAGE  </w:instrText>
                    </w:r>
                    <w:r>
                      <w:fldChar w:fldCharType="separate"/>
                    </w:r>
                    <w:r>
                      <w:rPr>
                        <w:rStyle w:val="29"/>
                      </w:rPr>
                      <w:t>55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D10E6D">
    <w:pPr>
      <w:pStyle w:val="17"/>
      <w:framePr w:wrap="around" w:vAnchor="text" w:hAnchor="margin" w:xAlign="right" w:y="1"/>
      <w:rPr>
        <w:rStyle w:val="29"/>
      </w:rPr>
    </w:pPr>
    <w:r>
      <w:fldChar w:fldCharType="begin"/>
    </w:r>
    <w:r>
      <w:rPr>
        <w:rStyle w:val="29"/>
      </w:rPr>
      <w:instrText xml:space="preserve">PAGE  </w:instrText>
    </w:r>
    <w:r>
      <w:fldChar w:fldCharType="end"/>
    </w:r>
  </w:p>
  <w:p w14:paraId="6AA3C081">
    <w:pPr>
      <w:pStyle w:val="17"/>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F2986B">
    <w:pPr>
      <w:pStyle w:val="12"/>
      <w:kinsoku w:val="0"/>
      <w:overflowPunct w:val="0"/>
      <w:spacing w:line="14" w:lineRule="auto"/>
      <w:ind w:left="0"/>
      <w:rPr>
        <w:rFonts w:hint="default"/>
        <w:sz w:val="20"/>
        <w:szCs w:val="24"/>
      </w:rPr>
    </w:pPr>
    <w:r>
      <w:rPr>
        <w:rFonts w:hint="default"/>
        <w:sz w:val="21"/>
        <w:szCs w:val="24"/>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67005" cy="139700"/>
              <wp:effectExtent l="0" t="0" r="0" b="0"/>
              <wp:wrapNone/>
              <wp:docPr id="4" name="文本框 15"/>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14:paraId="1E7E2C4A">
                          <w:pPr>
                            <w:pStyle w:val="12"/>
                            <w:kinsoku w:val="0"/>
                            <w:overflowPunct w:val="0"/>
                            <w:spacing w:line="203" w:lineRule="exact"/>
                            <w:ind w:left="40"/>
                            <w:rPr>
                              <w:rFonts w:hint="default" w:ascii="Calibri" w:hAnsi="Calibri" w:eastAsia="Calibri"/>
                              <w:sz w:val="18"/>
                              <w:szCs w:val="24"/>
                            </w:rPr>
                          </w:pPr>
                          <w:r>
                            <w:rPr>
                              <w:rFonts w:hint="default" w:ascii="Calibri" w:hAnsi="Calibri" w:eastAsia="Calibri"/>
                              <w:w w:val="99"/>
                              <w:sz w:val="18"/>
                              <w:szCs w:val="24"/>
                            </w:rPr>
                            <w:fldChar w:fldCharType="begin"/>
                          </w:r>
                          <w:r>
                            <w:rPr>
                              <w:rFonts w:hint="default" w:ascii="Calibri" w:hAnsi="Calibri" w:eastAsia="Calibri"/>
                              <w:w w:val="99"/>
                              <w:sz w:val="18"/>
                              <w:szCs w:val="24"/>
                            </w:rPr>
                            <w:instrText xml:space="preserve"> PAGE </w:instrText>
                          </w:r>
                          <w:r>
                            <w:rPr>
                              <w:rFonts w:hint="default" w:ascii="Calibri" w:hAnsi="Calibri" w:eastAsia="Calibri"/>
                              <w:w w:val="99"/>
                              <w:sz w:val="18"/>
                              <w:szCs w:val="24"/>
                            </w:rPr>
                            <w:fldChar w:fldCharType="separate"/>
                          </w:r>
                          <w:r>
                            <w:rPr>
                              <w:rFonts w:hint="default" w:ascii="Calibri" w:hAnsi="Calibri" w:eastAsia="Calibri"/>
                              <w:w w:val="99"/>
                              <w:sz w:val="18"/>
                              <w:szCs w:val="24"/>
                            </w:rPr>
                            <w:fldChar w:fldCharType="end"/>
                          </w:r>
                        </w:p>
                      </w:txbxContent>
                    </wps:txbx>
                    <wps:bodyPr vert="horz" wrap="square" lIns="0" tIns="0" rIns="0" bIns="0" anchor="t" anchorCtr="0" upright="1"/>
                  </wps:wsp>
                </a:graphicData>
              </a:graphic>
            </wp:anchor>
          </w:drawing>
        </mc:Choice>
        <mc:Fallback>
          <w:pict>
            <v:shape id="文本框 15" o:spid="_x0000_s1026" o:spt="202" type="#_x0000_t202" style="position:absolute;left:0pt;margin-top:0pt;height:11pt;width:13.15pt;mso-position-horizontal:center;mso-position-horizontal-relative:margin;z-index:251663360;mso-width-relative:page;mso-height-relative:page;" filled="f" stroked="f" coordsize="21600,21600" o:gfxdata="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myT9o0wAAAAMBAAAPAAAAAAAAAAEAIAAA&#10;ACIAAABkcnMvZG93bnJldi54bWxQSwECFAAUAAAACACHTuJAV426ANgBAAClAwAADgAAAAAAAAAB&#10;ACAAAAAiAQAAZHJzL2Uyb0RvYy54bWxQSwUGAAAAAAYABgBZAQAAbAUAAAAA&#10;">
              <v:fill on="f" focussize="0,0"/>
              <v:stroke on="f"/>
              <v:imagedata o:title=""/>
              <o:lock v:ext="edit" aspectratio="f"/>
              <v:textbox inset="0mm,0mm,0mm,0mm">
                <w:txbxContent>
                  <w:p w14:paraId="1E7E2C4A">
                    <w:pPr>
                      <w:pStyle w:val="12"/>
                      <w:kinsoku w:val="0"/>
                      <w:overflowPunct w:val="0"/>
                      <w:spacing w:line="203" w:lineRule="exact"/>
                      <w:ind w:left="40"/>
                      <w:rPr>
                        <w:rFonts w:hint="default" w:ascii="Calibri" w:hAnsi="Calibri" w:eastAsia="Calibri"/>
                        <w:sz w:val="18"/>
                        <w:szCs w:val="24"/>
                      </w:rPr>
                    </w:pPr>
                    <w:r>
                      <w:rPr>
                        <w:rFonts w:hint="default" w:ascii="Calibri" w:hAnsi="Calibri" w:eastAsia="Calibri"/>
                        <w:w w:val="99"/>
                        <w:sz w:val="18"/>
                        <w:szCs w:val="24"/>
                      </w:rPr>
                      <w:fldChar w:fldCharType="begin"/>
                    </w:r>
                    <w:r>
                      <w:rPr>
                        <w:rFonts w:hint="default" w:ascii="Calibri" w:hAnsi="Calibri" w:eastAsia="Calibri"/>
                        <w:w w:val="99"/>
                        <w:sz w:val="18"/>
                        <w:szCs w:val="24"/>
                      </w:rPr>
                      <w:instrText xml:space="preserve"> PAGE </w:instrText>
                    </w:r>
                    <w:r>
                      <w:rPr>
                        <w:rFonts w:hint="default" w:ascii="Calibri" w:hAnsi="Calibri" w:eastAsia="Calibri"/>
                        <w:w w:val="99"/>
                        <w:sz w:val="18"/>
                        <w:szCs w:val="24"/>
                      </w:rPr>
                      <w:fldChar w:fldCharType="separate"/>
                    </w:r>
                    <w:r>
                      <w:rPr>
                        <w:rFonts w:hint="default" w:ascii="Calibri" w:hAnsi="Calibri" w:eastAsia="Calibri"/>
                        <w:w w:val="99"/>
                        <w:sz w:val="18"/>
                        <w:szCs w:val="24"/>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A674A7">
    <w:pPr>
      <w:pStyle w:val="12"/>
      <w:kinsoku w:val="0"/>
      <w:overflowPunct w:val="0"/>
      <w:spacing w:line="14" w:lineRule="auto"/>
      <w:ind w:left="0"/>
      <w:rPr>
        <w:rFonts w:hint="default"/>
        <w:sz w:val="20"/>
        <w:szCs w:val="24"/>
      </w:rPr>
    </w:pPr>
    <w:r>
      <w:rPr>
        <w:rFonts w:hint="default"/>
        <w:sz w:val="21"/>
        <w:szCs w:val="24"/>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67005" cy="139700"/>
              <wp:effectExtent l="0" t="0" r="0" b="0"/>
              <wp:wrapNone/>
              <wp:docPr id="12" name="文本框 17"/>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14:paraId="5A7D0330">
                          <w:pPr>
                            <w:pStyle w:val="12"/>
                            <w:kinsoku w:val="0"/>
                            <w:overflowPunct w:val="0"/>
                            <w:spacing w:line="203" w:lineRule="exact"/>
                            <w:ind w:left="40"/>
                            <w:rPr>
                              <w:rFonts w:hint="default" w:ascii="Calibri" w:hAnsi="Calibri" w:eastAsia="Calibri"/>
                              <w:sz w:val="18"/>
                              <w:szCs w:val="24"/>
                            </w:rPr>
                          </w:pPr>
                          <w:r>
                            <w:rPr>
                              <w:rFonts w:hint="default" w:ascii="Calibri" w:hAnsi="Calibri" w:eastAsia="Calibri"/>
                              <w:w w:val="99"/>
                              <w:sz w:val="18"/>
                              <w:szCs w:val="24"/>
                            </w:rPr>
                            <w:fldChar w:fldCharType="begin"/>
                          </w:r>
                          <w:r>
                            <w:rPr>
                              <w:rFonts w:hint="default" w:ascii="Calibri" w:hAnsi="Calibri" w:eastAsia="Calibri"/>
                              <w:w w:val="99"/>
                              <w:sz w:val="18"/>
                              <w:szCs w:val="24"/>
                            </w:rPr>
                            <w:instrText xml:space="preserve"> PAGE </w:instrText>
                          </w:r>
                          <w:r>
                            <w:rPr>
                              <w:rFonts w:hint="default" w:ascii="Calibri" w:hAnsi="Calibri" w:eastAsia="Calibri"/>
                              <w:w w:val="99"/>
                              <w:sz w:val="18"/>
                              <w:szCs w:val="24"/>
                            </w:rPr>
                            <w:fldChar w:fldCharType="separate"/>
                          </w:r>
                          <w:r>
                            <w:rPr>
                              <w:rFonts w:hint="default" w:ascii="Calibri" w:hAnsi="Calibri" w:eastAsia="Calibri"/>
                              <w:w w:val="99"/>
                              <w:sz w:val="18"/>
                              <w:szCs w:val="24"/>
                            </w:rPr>
                            <w:fldChar w:fldCharType="end"/>
                          </w:r>
                        </w:p>
                      </w:txbxContent>
                    </wps:txbx>
                    <wps:bodyPr wrap="square" lIns="0" tIns="0" rIns="0" bIns="0" upright="1"/>
                  </wps:wsp>
                </a:graphicData>
              </a:graphic>
            </wp:anchor>
          </w:drawing>
        </mc:Choice>
        <mc:Fallback>
          <w:pict>
            <v:shape id="文本框 17" o:spid="_x0000_s1026" o:spt="202" type="#_x0000_t202" style="position:absolute;left:0pt;margin-top:0pt;height:11pt;width:13.15pt;mso-position-horizontal:center;mso-position-horizontal-relative:margin;z-index:251668480;mso-width-relative:page;mso-height-relative:page;" filled="f" stroked="f" coordsize="21600,21600" o:gfxdata="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myT9o0wAAAAMBAAAPAAAAAAAAAAEAIAAAACIAAABkcnMvZG93bnJldi54bWxQ&#10;SwECFAAUAAAACACHTuJAlDMp0sMBAACBAwAADgAAAAAAAAABACAAAAAiAQAAZHJzL2Uyb0RvYy54&#10;bWxQSwUGAAAAAAYABgBZAQAAVwUAAAAA&#10;">
              <v:fill on="f" focussize="0,0"/>
              <v:stroke on="f"/>
              <v:imagedata o:title=""/>
              <o:lock v:ext="edit" aspectratio="f"/>
              <v:textbox inset="0mm,0mm,0mm,0mm">
                <w:txbxContent>
                  <w:p w14:paraId="5A7D0330">
                    <w:pPr>
                      <w:pStyle w:val="12"/>
                      <w:kinsoku w:val="0"/>
                      <w:overflowPunct w:val="0"/>
                      <w:spacing w:line="203" w:lineRule="exact"/>
                      <w:ind w:left="40"/>
                      <w:rPr>
                        <w:rFonts w:hint="default" w:ascii="Calibri" w:hAnsi="Calibri" w:eastAsia="Calibri"/>
                        <w:sz w:val="18"/>
                        <w:szCs w:val="24"/>
                      </w:rPr>
                    </w:pPr>
                    <w:r>
                      <w:rPr>
                        <w:rFonts w:hint="default" w:ascii="Calibri" w:hAnsi="Calibri" w:eastAsia="Calibri"/>
                        <w:w w:val="99"/>
                        <w:sz w:val="18"/>
                        <w:szCs w:val="24"/>
                      </w:rPr>
                      <w:fldChar w:fldCharType="begin"/>
                    </w:r>
                    <w:r>
                      <w:rPr>
                        <w:rFonts w:hint="default" w:ascii="Calibri" w:hAnsi="Calibri" w:eastAsia="Calibri"/>
                        <w:w w:val="99"/>
                        <w:sz w:val="18"/>
                        <w:szCs w:val="24"/>
                      </w:rPr>
                      <w:instrText xml:space="preserve"> PAGE </w:instrText>
                    </w:r>
                    <w:r>
                      <w:rPr>
                        <w:rFonts w:hint="default" w:ascii="Calibri" w:hAnsi="Calibri" w:eastAsia="Calibri"/>
                        <w:w w:val="99"/>
                        <w:sz w:val="18"/>
                        <w:szCs w:val="24"/>
                      </w:rPr>
                      <w:fldChar w:fldCharType="separate"/>
                    </w:r>
                    <w:r>
                      <w:rPr>
                        <w:rFonts w:hint="default" w:ascii="Calibri" w:hAnsi="Calibri" w:eastAsia="Calibri"/>
                        <w:w w:val="99"/>
                        <w:sz w:val="18"/>
                        <w:szCs w:val="24"/>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62299">
    <w:pPr>
      <w:pStyle w:val="18"/>
      <w:rPr>
        <w:rFonts w:hint="default"/>
        <w:sz w:val="18"/>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45515C">
    <w:pPr>
      <w:pStyle w:val="18"/>
      <w:rPr>
        <w:rFonts w:hint="default"/>
        <w:sz w:val="18"/>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AC0A14">
    <w:pPr>
      <w:pStyle w:val="18"/>
      <w:rPr>
        <w:rFonts w:hint="default"/>
        <w:sz w:val="18"/>
        <w:szCs w:val="2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604FF0">
    <w:pPr>
      <w:pStyle w:val="18"/>
      <w:rPr>
        <w:rFonts w:hint="default"/>
        <w:sz w:val="18"/>
        <w:szCs w:val="24"/>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DD68E4">
    <w:pPr>
      <w:pStyle w:val="18"/>
      <w:rPr>
        <w:rFonts w:hint="default"/>
        <w:sz w:val="18"/>
        <w:szCs w:val="24"/>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2C27E2">
    <w:pPr>
      <w:pStyle w:val="18"/>
      <w:rPr>
        <w:rFonts w:hint="default"/>
        <w:sz w:val="18"/>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3BD1E1"/>
    <w:multiLevelType w:val="singleLevel"/>
    <w:tmpl w:val="2A3BD1E1"/>
    <w:lvl w:ilvl="0" w:tentative="0">
      <w:start w:val="1"/>
      <w:numFmt w:val="decimal"/>
      <w:suff w:val="nothing"/>
      <w:lvlText w:val="%1、"/>
      <w:lvlJc w:val="left"/>
    </w:lvl>
  </w:abstractNum>
  <w:abstractNum w:abstractNumId="1">
    <w:nsid w:val="67A33BB9"/>
    <w:multiLevelType w:val="singleLevel"/>
    <w:tmpl w:val="67A33BB9"/>
    <w:lvl w:ilvl="0" w:tentative="0">
      <w:start w:val="7"/>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HorizontalSpacing w:val="120"/>
  <w:drawingGridVerticalSpacing w:val="120"/>
  <w:displayHorizontalDrawingGridEvery w:val="1"/>
  <w:displayVerticalDrawingGridEvery w:val="1"/>
  <w:doNotUseMarginsForDrawingGridOrigin w:val="1"/>
  <w:drawingGridHorizontalOrigin w:val="1701"/>
  <w:drawingGridVerticalOrigin w:val="1984"/>
  <w:doNotShadeFormData w:val="1"/>
  <w:noPunctuationKerning w:val="1"/>
  <w:characterSpacingControl w:val="doNotCompress"/>
  <w:doNotValidateAgainstSchema/>
  <w:doNotDemarcateInvalidXml/>
  <w:hdrShapeDefaults>
    <o:shapelayout v:ext="edit">
      <o:idmap v:ext="edit" data="1"/>
    </o:shapelayout>
  </w:hdrShapeDefaults>
  <w:compat>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00172A27"/>
    <w:rsid w:val="003964C8"/>
    <w:rsid w:val="01275B88"/>
    <w:rsid w:val="012C2953"/>
    <w:rsid w:val="015F5C05"/>
    <w:rsid w:val="020F624B"/>
    <w:rsid w:val="029702A0"/>
    <w:rsid w:val="02C61C3C"/>
    <w:rsid w:val="03932888"/>
    <w:rsid w:val="042A17F5"/>
    <w:rsid w:val="04570E11"/>
    <w:rsid w:val="04590E88"/>
    <w:rsid w:val="055A6E6C"/>
    <w:rsid w:val="070204F3"/>
    <w:rsid w:val="079D30DF"/>
    <w:rsid w:val="07C57EB5"/>
    <w:rsid w:val="08C473E5"/>
    <w:rsid w:val="092A0515"/>
    <w:rsid w:val="09452310"/>
    <w:rsid w:val="09C27272"/>
    <w:rsid w:val="0B236B3A"/>
    <w:rsid w:val="0BBE7DB6"/>
    <w:rsid w:val="0C997CA3"/>
    <w:rsid w:val="0D123C8D"/>
    <w:rsid w:val="0DE16873"/>
    <w:rsid w:val="0DFA281E"/>
    <w:rsid w:val="0F8C0A60"/>
    <w:rsid w:val="10112B38"/>
    <w:rsid w:val="11045F0A"/>
    <w:rsid w:val="114E5052"/>
    <w:rsid w:val="11702C8D"/>
    <w:rsid w:val="118E286E"/>
    <w:rsid w:val="11A44F56"/>
    <w:rsid w:val="129D0B9C"/>
    <w:rsid w:val="1318679B"/>
    <w:rsid w:val="132C0BC1"/>
    <w:rsid w:val="13833692"/>
    <w:rsid w:val="138A3AAD"/>
    <w:rsid w:val="14773A8D"/>
    <w:rsid w:val="14D84B7D"/>
    <w:rsid w:val="14E03A03"/>
    <w:rsid w:val="15466B5B"/>
    <w:rsid w:val="15FA071C"/>
    <w:rsid w:val="17214CB6"/>
    <w:rsid w:val="179624AC"/>
    <w:rsid w:val="184711C8"/>
    <w:rsid w:val="187237A6"/>
    <w:rsid w:val="188D04C6"/>
    <w:rsid w:val="189B1E31"/>
    <w:rsid w:val="18A9301C"/>
    <w:rsid w:val="193D231A"/>
    <w:rsid w:val="1AE837D0"/>
    <w:rsid w:val="1C852C28"/>
    <w:rsid w:val="1D7138BC"/>
    <w:rsid w:val="1D8B6EF6"/>
    <w:rsid w:val="1EAE2913"/>
    <w:rsid w:val="1F493040"/>
    <w:rsid w:val="1FB76ED1"/>
    <w:rsid w:val="20CE3F4B"/>
    <w:rsid w:val="21A27D50"/>
    <w:rsid w:val="221729FA"/>
    <w:rsid w:val="2338257F"/>
    <w:rsid w:val="235F650A"/>
    <w:rsid w:val="237C55D4"/>
    <w:rsid w:val="247C0C4C"/>
    <w:rsid w:val="25A44C59"/>
    <w:rsid w:val="26CF6181"/>
    <w:rsid w:val="288B74C9"/>
    <w:rsid w:val="296004DC"/>
    <w:rsid w:val="29824AA8"/>
    <w:rsid w:val="2A094CB1"/>
    <w:rsid w:val="2B583B1C"/>
    <w:rsid w:val="2CF972DD"/>
    <w:rsid w:val="2D07305C"/>
    <w:rsid w:val="2DB43E82"/>
    <w:rsid w:val="2E2677B0"/>
    <w:rsid w:val="2E6508F1"/>
    <w:rsid w:val="2E9221A6"/>
    <w:rsid w:val="2EAD14DA"/>
    <w:rsid w:val="2F4A16AB"/>
    <w:rsid w:val="2FB17508"/>
    <w:rsid w:val="2FF069AD"/>
    <w:rsid w:val="300375DA"/>
    <w:rsid w:val="30995910"/>
    <w:rsid w:val="322B758E"/>
    <w:rsid w:val="324A2A66"/>
    <w:rsid w:val="32D57EA5"/>
    <w:rsid w:val="32D96FCE"/>
    <w:rsid w:val="34F05496"/>
    <w:rsid w:val="358944C3"/>
    <w:rsid w:val="36115F43"/>
    <w:rsid w:val="368C042F"/>
    <w:rsid w:val="369B135C"/>
    <w:rsid w:val="36BD1621"/>
    <w:rsid w:val="37090E2F"/>
    <w:rsid w:val="3754025C"/>
    <w:rsid w:val="37865B8C"/>
    <w:rsid w:val="37D02C75"/>
    <w:rsid w:val="38BB303E"/>
    <w:rsid w:val="38BF6FDF"/>
    <w:rsid w:val="39037C61"/>
    <w:rsid w:val="39750026"/>
    <w:rsid w:val="3A960DB6"/>
    <w:rsid w:val="3AE64F8C"/>
    <w:rsid w:val="3B35720A"/>
    <w:rsid w:val="3C490B4F"/>
    <w:rsid w:val="3D4C5207"/>
    <w:rsid w:val="3DD92726"/>
    <w:rsid w:val="3DE67131"/>
    <w:rsid w:val="3DF5764D"/>
    <w:rsid w:val="3EFC16BE"/>
    <w:rsid w:val="3F73654C"/>
    <w:rsid w:val="3FF71AA2"/>
    <w:rsid w:val="403536BA"/>
    <w:rsid w:val="42D47FAD"/>
    <w:rsid w:val="436865A2"/>
    <w:rsid w:val="44092A22"/>
    <w:rsid w:val="44523338"/>
    <w:rsid w:val="45346C6B"/>
    <w:rsid w:val="46A87A2F"/>
    <w:rsid w:val="473A07C7"/>
    <w:rsid w:val="473F7B8B"/>
    <w:rsid w:val="47B67BBB"/>
    <w:rsid w:val="489C6820"/>
    <w:rsid w:val="49121D1E"/>
    <w:rsid w:val="49247828"/>
    <w:rsid w:val="4A742A58"/>
    <w:rsid w:val="4AB1638A"/>
    <w:rsid w:val="4B3E45F3"/>
    <w:rsid w:val="4CF21C70"/>
    <w:rsid w:val="4D0369F0"/>
    <w:rsid w:val="4D903A6C"/>
    <w:rsid w:val="502E571C"/>
    <w:rsid w:val="51070B09"/>
    <w:rsid w:val="516170C4"/>
    <w:rsid w:val="51F856D5"/>
    <w:rsid w:val="5223443E"/>
    <w:rsid w:val="522C3C23"/>
    <w:rsid w:val="529C2335"/>
    <w:rsid w:val="52A929CD"/>
    <w:rsid w:val="53EF77F2"/>
    <w:rsid w:val="547E30AE"/>
    <w:rsid w:val="55096426"/>
    <w:rsid w:val="55575D22"/>
    <w:rsid w:val="57E70337"/>
    <w:rsid w:val="58336D20"/>
    <w:rsid w:val="58E533AC"/>
    <w:rsid w:val="59272B2E"/>
    <w:rsid w:val="5A330B73"/>
    <w:rsid w:val="5ADC56B4"/>
    <w:rsid w:val="5C7865A1"/>
    <w:rsid w:val="5C927DDE"/>
    <w:rsid w:val="5D523A3C"/>
    <w:rsid w:val="5D75554C"/>
    <w:rsid w:val="5E0240E9"/>
    <w:rsid w:val="5E490C8B"/>
    <w:rsid w:val="5ED315EF"/>
    <w:rsid w:val="5F4D3766"/>
    <w:rsid w:val="60A8239F"/>
    <w:rsid w:val="61EA613C"/>
    <w:rsid w:val="62172BB5"/>
    <w:rsid w:val="62597CCC"/>
    <w:rsid w:val="62AB097F"/>
    <w:rsid w:val="62BB337C"/>
    <w:rsid w:val="62C12D55"/>
    <w:rsid w:val="62D67852"/>
    <w:rsid w:val="63387419"/>
    <w:rsid w:val="63DB2CB0"/>
    <w:rsid w:val="654A3E4B"/>
    <w:rsid w:val="65D76672"/>
    <w:rsid w:val="66CA3897"/>
    <w:rsid w:val="674F47BC"/>
    <w:rsid w:val="69721821"/>
    <w:rsid w:val="69B47845"/>
    <w:rsid w:val="6AC8299D"/>
    <w:rsid w:val="6B422BCB"/>
    <w:rsid w:val="6B6E7799"/>
    <w:rsid w:val="6EFA2786"/>
    <w:rsid w:val="6EFB77FF"/>
    <w:rsid w:val="6F585C48"/>
    <w:rsid w:val="6FB6545E"/>
    <w:rsid w:val="6FDC5A0F"/>
    <w:rsid w:val="701A6C5A"/>
    <w:rsid w:val="702B37BF"/>
    <w:rsid w:val="716F2C97"/>
    <w:rsid w:val="727F487D"/>
    <w:rsid w:val="72B333C6"/>
    <w:rsid w:val="72C963D7"/>
    <w:rsid w:val="731D539E"/>
    <w:rsid w:val="731E0F50"/>
    <w:rsid w:val="7334394F"/>
    <w:rsid w:val="736304E2"/>
    <w:rsid w:val="7472484C"/>
    <w:rsid w:val="757635DC"/>
    <w:rsid w:val="760C28FB"/>
    <w:rsid w:val="768B2E4B"/>
    <w:rsid w:val="76A25114"/>
    <w:rsid w:val="76F40832"/>
    <w:rsid w:val="77563D2B"/>
    <w:rsid w:val="77B35BDB"/>
    <w:rsid w:val="77F34C42"/>
    <w:rsid w:val="7811525D"/>
    <w:rsid w:val="78377FF2"/>
    <w:rsid w:val="7838546B"/>
    <w:rsid w:val="784210E3"/>
    <w:rsid w:val="78DC622E"/>
    <w:rsid w:val="79577CF8"/>
    <w:rsid w:val="79BF259A"/>
    <w:rsid w:val="7AD16771"/>
    <w:rsid w:val="7B490AB1"/>
    <w:rsid w:val="7B8A5777"/>
    <w:rsid w:val="7D4B3C28"/>
    <w:rsid w:val="7DCE4049"/>
    <w:rsid w:val="7E663B60"/>
    <w:rsid w:val="7E8D2B2E"/>
    <w:rsid w:val="7EA43DA1"/>
    <w:rsid w:val="7F267377"/>
    <w:rsid w:val="7F524BFA"/>
    <w:rsid w:val="7FAA759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1" w:semiHidden="0" w:name="Normal"/>
    <w:lsdException w:qFormat="1" w:uiPriority="1" w:semiHidden="0" w:name="heading 1"/>
    <w:lsdException w:qFormat="1" w:uiPriority="1" w:semiHidden="0" w:name="heading 2"/>
    <w:lsdException w:qFormat="1" w:uiPriority="1" w:semiHidden="0" w:name="heading 3"/>
    <w:lsdException w:qFormat="1" w:uiPriority="1" w:semiHidden="0" w:name="heading 4"/>
    <w:lsdException w:qFormat="1" w:uiPriority="1" w:semiHidden="0" w:name="heading 5"/>
    <w:lsdException w:qFormat="1" w:uiPriority="1"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qFormat="1" w:unhideWhenUsed="0" w:uiPriority="99" w:semiHidden="0" w:name="index 2"/>
    <w:lsdException w:qFormat="1" w:unhideWhenUsed="0" w:uiPriority="99" w:semiHidden="0" w:name="index 3"/>
    <w:lsdException w:qFormat="1" w:unhideWhenUsed="0"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iPriority="0" w:semiHidden="0" w:name="Normal Indent"/>
    <w:lsdException w:qFormat="1" w:unhideWhenUsed="0" w:uiPriority="99" w:semiHidden="0" w:name="footnote text"/>
    <w:lsdException w:qFormat="1" w:uiPriority="99" w:semiHidden="0" w:name="annotation text"/>
    <w:lsdException w:qFormat="1" w:uiPriority="99" w:semiHidden="0" w:name="header"/>
    <w:lsdException w:qFormat="1" w:uiPriority="99" w:semiHidden="0" w:name="footer"/>
    <w:lsdException w:qFormat="1" w:unhideWhenUsed="0" w:uiPriority="99" w:semiHidden="0" w:name="index heading"/>
    <w:lsdException w:qFormat="1" w:unhideWhenUsed="0" w:uiPriority="99" w:semiHidden="0" w:name="caption"/>
    <w:lsdException w:qFormat="1" w:unhideWhenUsed="0" w:uiPriority="99" w:semiHidden="0" w:name="table of figures"/>
    <w:lsdException w:qFormat="1" w:unhideWhenUsed="0" w:uiPriority="99" w:semiHidden="0" w:name="envelope address"/>
    <w:lsdException w:qFormat="1" w:unhideWhenUsed="0" w:uiPriority="0" w:semiHidden="0" w:name="envelope return"/>
    <w:lsdException w:qFormat="1" w:unhideWhenUsed="0" w:uiPriority="99" w:semiHidden="0" w:name="footnote reference"/>
    <w:lsdException w:qFormat="1" w:unhideWhenUsed="0" w:uiPriority="99" w:semiHidden="0" w:name="annotation reference"/>
    <w:lsdException w:qFormat="1" w:unhideWhenUsed="0" w:uiPriority="99" w:semiHidden="0" w:name="line number"/>
    <w:lsdException w:qFormat="1" w:unhideWhenUsed="0" w:uiPriority="0" w:semiHidden="0" w:name="page number"/>
    <w:lsdException w:qFormat="1" w:unhideWhenUsed="0" w:uiPriority="99" w:semiHidden="0" w:name="endnote reference"/>
    <w:lsdException w:qFormat="1" w:unhideWhenUsed="0" w:uiPriority="99" w:semiHidden="0" w:name="endnote text"/>
    <w:lsdException w:qFormat="1" w:unhideWhenUsed="0" w:uiPriority="99" w:semiHidden="0" w:name="table of authorities"/>
    <w:lsdException w:qFormat="1" w:unhideWhenUsed="0" w:uiPriority="99" w:semiHidden="0" w:name="macro"/>
    <w:lsdException w:qFormat="1" w:unhideWhenUsed="0" w:uiPriority="99" w:semiHidden="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0" w:semiHidden="0" w:name="Title"/>
    <w:lsdException w:qFormat="1" w:unhideWhenUsed="0" w:uiPriority="99" w:semiHidden="0" w:name="Closing"/>
    <w:lsdException w:qFormat="1" w:unhideWhenUsed="0" w:uiPriority="99" w:semiHidden="0" w:name="Signature"/>
    <w:lsdException w:qFormat="1" w:uiPriority="99" w:semiHidden="0" w:name="Default Paragraph Font"/>
    <w:lsdException w:qFormat="1" w:uiPriority="1" w:semiHidden="0" w:name="Body Text"/>
    <w:lsdException w:qFormat="1" w:unhideWhenUsed="0" w:uiPriority="0"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qFormat="1" w:unhideWhenUsed="0" w:uiPriority="99" w:semiHidden="0" w:name="Message Header"/>
    <w:lsdException w:qFormat="1" w:unhideWhenUsed="0" w:uiPriority="99" w:semiHidden="0" w:name="Subtitle"/>
    <w:lsdException w:qFormat="1" w:unhideWhenUsed="0" w:uiPriority="99" w:semiHidden="0" w:name="Salutation"/>
    <w:lsdException w:qFormat="1" w:unhideWhenUsed="0" w:uiPriority="99" w:semiHidden="0" w:name="Date"/>
    <w:lsdException w:qFormat="1" w:uiPriority="0" w:semiHidden="0" w:name="Body Text First Indent"/>
    <w:lsdException w:qFormat="1" w:unhideWhenUsed="0" w:uiPriority="0" w:semiHidden="0" w:name="Body Text First Indent 2"/>
    <w:lsdException w:qFormat="1" w:unhideWhenUsed="0" w:uiPriority="0" w:semiHidden="0" w:name="Note Heading"/>
    <w:lsdException w:qFormat="1" w:uiPriority="0" w:semiHidden="0" w:name="Body Text 2"/>
    <w:lsdException w:qFormat="1" w:uiPriority="0"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iPriority="0" w:semiHidden="0" w:name="Plain Text"/>
    <w:lsdException w:qFormat="1" w:unhideWhenUsed="0" w:uiPriority="99" w:semiHidden="0" w:name="E-mail Signature"/>
    <w:lsdException w:qFormat="1" w:uiPriority="99" w:semiHidden="0" w:name="Normal (Web)"/>
    <w:lsdException w:qFormat="1" w:unhideWhenUsed="0" w:uiPriority="99" w:semiHidden="0" w:name="HTML Acronym"/>
    <w:lsdException w:qFormat="1" w:unhideWhenUsed="0" w:uiPriority="99"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nhideWhenUsed="0" w:uiPriority="0" w:semiHidden="0" w:name="Normal Table"/>
    <w:lsdException w:qFormat="1" w:unhideWhenUsed="0" w:uiPriority="99" w:semiHidden="0" w:name="annotation subject"/>
    <w:lsdException w:qFormat="1" w:unhideWhenUsed="0" w:uiPriority="99" w:semiHidden="0" w:name="Table Simple 1"/>
    <w:lsdException w:qFormat="1" w:unhideWhenUsed="0" w:uiPriority="99" w:semiHidden="0" w:name="Table Simple 2"/>
    <w:lsdException w:qFormat="1" w:unhideWhenUsed="0" w:uiPriority="99" w:semiHidden="0" w:name="Table Simple 3"/>
    <w:lsdException w:qFormat="1" w:unhideWhenUsed="0" w:uiPriority="99" w:semiHidden="0" w:name="Table Classic 1"/>
    <w:lsdException w:qFormat="1" w:unhideWhenUsed="0" w:uiPriority="99" w:semiHidden="0" w:name="Table Classic 2"/>
    <w:lsdException w:qFormat="1" w:unhideWhenUsed="0" w:uiPriority="99" w:semiHidden="0" w:name="Table Classic 3"/>
    <w:lsdException w:qFormat="1" w:unhideWhenUsed="0" w:uiPriority="99" w:semiHidden="0" w:name="Table Classic 4"/>
    <w:lsdException w:qFormat="1" w:unhideWhenUsed="0" w:uiPriority="99" w:semiHidden="0" w:name="Table Colorful 1"/>
    <w:lsdException w:qFormat="1" w:unhideWhenUsed="0" w:uiPriority="99" w:semiHidden="0" w:name="Table Colorful 2"/>
    <w:lsdException w:qFormat="1" w:unhideWhenUsed="0" w:uiPriority="99" w:semiHidden="0" w:name="Table Colorful 3"/>
    <w:lsdException w:qFormat="1" w:unhideWhenUsed="0" w:uiPriority="99" w:semiHidden="0" w:name="Table Columns 1"/>
    <w:lsdException w:qFormat="1" w:unhideWhenUsed="0" w:uiPriority="99" w:semiHidden="0" w:name="Table Columns 2"/>
    <w:lsdException w:qFormat="1" w:unhideWhenUsed="0" w:uiPriority="99" w:semiHidden="0" w:name="Table Columns 3"/>
    <w:lsdException w:qFormat="1" w:unhideWhenUsed="0" w:uiPriority="99" w:semiHidden="0" w:name="Table Columns 4"/>
    <w:lsdException w:qFormat="1" w:unhideWhenUsed="0" w:uiPriority="99" w:semiHidden="0" w:name="Table Columns 5"/>
    <w:lsdException w:qFormat="1" w:unhideWhenUsed="0" w:uiPriority="99" w:semiHidden="0" w:name="Table Grid 1"/>
    <w:lsdException w:qFormat="1" w:unhideWhenUsed="0" w:uiPriority="99" w:semiHidden="0" w:name="Table Grid 2"/>
    <w:lsdException w:qFormat="1" w:unhideWhenUsed="0" w:uiPriority="99" w:semiHidden="0" w:name="Table Grid 3"/>
    <w:lsdException w:qFormat="1" w:unhideWhenUsed="0" w:uiPriority="99" w:semiHidden="0" w:name="Table Grid 4"/>
    <w:lsdException w:qFormat="1" w:unhideWhenUsed="0" w:uiPriority="99" w:semiHidden="0" w:name="Table Grid 5"/>
    <w:lsdException w:qFormat="1" w:unhideWhenUsed="0" w:uiPriority="99" w:semiHidden="0" w:name="Table Grid 6"/>
    <w:lsdException w:qFormat="1" w:unhideWhenUsed="0" w:uiPriority="99" w:semiHidden="0" w:name="Table Grid 7"/>
    <w:lsdException w:qFormat="1" w:unhideWhenUsed="0" w:uiPriority="99" w:semiHidden="0" w:name="Table Grid 8"/>
    <w:lsdException w:qFormat="1" w:unhideWhenUsed="0" w:uiPriority="99" w:semiHidden="0" w:name="Table List 1"/>
    <w:lsdException w:qFormat="1" w:unhideWhenUsed="0" w:uiPriority="99" w:semiHidden="0" w:name="Table List 2"/>
    <w:lsdException w:qFormat="1" w:unhideWhenUsed="0" w:uiPriority="99" w:semiHidden="0" w:name="Table List 3"/>
    <w:lsdException w:qFormat="1" w:unhideWhenUsed="0" w:uiPriority="99" w:semiHidden="0" w:name="Table List 4"/>
    <w:lsdException w:qFormat="1" w:unhideWhenUsed="0" w:uiPriority="99" w:semiHidden="0" w:name="Table List 5"/>
    <w:lsdException w:qFormat="1" w:unhideWhenUsed="0" w:uiPriority="99" w:semiHidden="0" w:name="Table List 6"/>
    <w:lsdException w:qFormat="1" w:unhideWhenUsed="0" w:uiPriority="99" w:semiHidden="0" w:name="Table List 7"/>
    <w:lsdException w:qFormat="1" w:unhideWhenUsed="0" w:uiPriority="99" w:semiHidden="0" w:name="Table List 8"/>
    <w:lsdException w:qFormat="1" w:unhideWhenUsed="0" w:uiPriority="99" w:semiHidden="0" w:name="Table 3D effects 1"/>
    <w:lsdException w:qFormat="1" w:unhideWhenUsed="0" w:uiPriority="99" w:semiHidden="0" w:name="Table 3D effects 2"/>
    <w:lsdException w:qFormat="1" w:unhideWhenUsed="0" w:uiPriority="99" w:semiHidden="0" w:name="Table 3D effects 3"/>
    <w:lsdException w:qFormat="1" w:unhideWhenUsed="0" w:uiPriority="99" w:semiHidden="0" w:name="Table Contemporary"/>
    <w:lsdException w:qFormat="1" w:unhideWhenUsed="0" w:uiPriority="99" w:semiHidden="0" w:name="Table Elegant"/>
    <w:lsdException w:qFormat="1" w:unhideWhenUsed="0" w:uiPriority="99" w:semiHidden="0" w:name="Table Professional"/>
    <w:lsdException w:qFormat="1" w:unhideWhenUsed="0" w:uiPriority="99" w:semiHidden="0" w:name="Table Subtle 1"/>
    <w:lsdException w:qFormat="1" w:unhideWhenUsed="0" w:uiPriority="99" w:semiHidden="0" w:name="Table Subtle 2"/>
    <w:lsdException w:qFormat="1" w:unhideWhenUsed="0" w:uiPriority="99" w:semiHidden="0" w:name="Table Web 1"/>
    <w:lsdException w:qFormat="1" w:unhideWhenUsed="0" w:uiPriority="99" w:semiHidden="0" w:name="Table Web 2"/>
    <w:lsdException w:qFormat="1" w:unhideWhenUsed="0" w:uiPriority="99" w:semiHidden="0" w:name="Table Web 3"/>
    <w:lsdException w:qFormat="1" w:unhideWhenUsed="0" w:uiPriority="99" w:semiHidden="0" w:name="Balloon Text"/>
    <w:lsdException w:qFormat="1" w:unhideWhenUsed="0" w:uiPriority="99" w:semiHidden="0" w:name="Table Grid"/>
    <w:lsdException w:qFormat="1" w:unhideWhenUsed="0" w:uiPriority="99"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unhideWhenUsed/>
    <w:qFormat/>
    <w:uiPriority w:val="1"/>
    <w:pPr>
      <w:widowControl w:val="0"/>
      <w:autoSpaceDE w:val="0"/>
      <w:autoSpaceDN w:val="0"/>
      <w:adjustRightInd w:val="0"/>
    </w:pPr>
    <w:rPr>
      <w:rFonts w:hint="default" w:ascii="Times New Roman" w:hAnsi="Times New Roman" w:eastAsia="宋体" w:cs="Times New Roman"/>
      <w:sz w:val="24"/>
      <w:szCs w:val="24"/>
    </w:rPr>
  </w:style>
  <w:style w:type="paragraph" w:styleId="2">
    <w:name w:val="heading 1"/>
    <w:basedOn w:val="1"/>
    <w:next w:val="1"/>
    <w:autoRedefine/>
    <w:unhideWhenUsed/>
    <w:qFormat/>
    <w:uiPriority w:val="1"/>
    <w:pPr>
      <w:ind w:left="3"/>
      <w:jc w:val="center"/>
      <w:outlineLvl w:val="0"/>
    </w:pPr>
    <w:rPr>
      <w:rFonts w:hint="eastAsia" w:ascii="Microsoft JhengHei" w:hAnsi="Microsoft JhengHei" w:eastAsia="Microsoft JhengHei"/>
      <w:b/>
      <w:sz w:val="44"/>
      <w:szCs w:val="24"/>
    </w:rPr>
  </w:style>
  <w:style w:type="paragraph" w:styleId="3">
    <w:name w:val="heading 2"/>
    <w:basedOn w:val="1"/>
    <w:next w:val="1"/>
    <w:link w:val="41"/>
    <w:autoRedefine/>
    <w:unhideWhenUsed/>
    <w:qFormat/>
    <w:uiPriority w:val="1"/>
    <w:pPr>
      <w:ind w:left="3"/>
      <w:jc w:val="center"/>
      <w:outlineLvl w:val="1"/>
    </w:pPr>
    <w:rPr>
      <w:rFonts w:hint="default" w:ascii="宋体" w:hAnsi="宋体" w:eastAsia="宋体"/>
      <w:sz w:val="30"/>
      <w:szCs w:val="24"/>
    </w:rPr>
  </w:style>
  <w:style w:type="paragraph" w:styleId="4">
    <w:name w:val="heading 3"/>
    <w:basedOn w:val="1"/>
    <w:next w:val="1"/>
    <w:link w:val="33"/>
    <w:unhideWhenUsed/>
    <w:qFormat/>
    <w:uiPriority w:val="1"/>
    <w:pPr>
      <w:spacing w:before="50" w:beforeLines="50" w:after="50" w:afterLines="50" w:line="360" w:lineRule="auto"/>
      <w:outlineLvl w:val="2"/>
    </w:pPr>
    <w:rPr>
      <w:rFonts w:hint="default" w:ascii="宋体" w:hAnsi="宋体" w:eastAsia="宋体"/>
      <w:b/>
      <w:sz w:val="24"/>
      <w:szCs w:val="24"/>
    </w:rPr>
  </w:style>
  <w:style w:type="paragraph" w:styleId="5">
    <w:name w:val="heading 4"/>
    <w:basedOn w:val="1"/>
    <w:next w:val="1"/>
    <w:unhideWhenUsed/>
    <w:qFormat/>
    <w:uiPriority w:val="1"/>
    <w:pPr>
      <w:outlineLvl w:val="3"/>
    </w:pPr>
    <w:rPr>
      <w:rFonts w:hint="default" w:ascii="宋体" w:hAnsi="宋体" w:eastAsia="宋体"/>
      <w:sz w:val="28"/>
      <w:szCs w:val="24"/>
    </w:rPr>
  </w:style>
  <w:style w:type="paragraph" w:styleId="6">
    <w:name w:val="heading 5"/>
    <w:basedOn w:val="1"/>
    <w:next w:val="1"/>
    <w:unhideWhenUsed/>
    <w:qFormat/>
    <w:uiPriority w:val="1"/>
    <w:pPr>
      <w:ind w:left="237"/>
      <w:outlineLvl w:val="4"/>
    </w:pPr>
    <w:rPr>
      <w:rFonts w:hint="default" w:ascii="宋体" w:hAnsi="宋体" w:eastAsia="宋体"/>
      <w:sz w:val="28"/>
      <w:szCs w:val="24"/>
    </w:rPr>
  </w:style>
  <w:style w:type="paragraph" w:styleId="7">
    <w:name w:val="heading 6"/>
    <w:basedOn w:val="1"/>
    <w:next w:val="1"/>
    <w:unhideWhenUsed/>
    <w:qFormat/>
    <w:uiPriority w:val="1"/>
    <w:pPr>
      <w:ind w:left="513"/>
      <w:outlineLvl w:val="5"/>
    </w:pPr>
    <w:rPr>
      <w:rFonts w:hint="eastAsia" w:ascii="Times New Roman" w:hAnsi="Times New Roman" w:eastAsia="Times New Roman"/>
      <w:b/>
      <w:sz w:val="21"/>
      <w:szCs w:val="24"/>
    </w:rPr>
  </w:style>
  <w:style w:type="character" w:default="1" w:styleId="28">
    <w:name w:val="Default Paragraph Font"/>
    <w:autoRedefine/>
    <w:unhideWhenUsed/>
    <w:qFormat/>
    <w:uiPriority w:val="99"/>
    <w:rPr>
      <w:rFonts w:hint="default"/>
      <w:sz w:val="24"/>
      <w:szCs w:val="24"/>
    </w:rPr>
  </w:style>
  <w:style w:type="table" w:default="1" w:styleId="27">
    <w:name w:val="Normal Table"/>
    <w:autoRedefine/>
    <w:qFormat/>
    <w:uiPriority w:val="0"/>
    <w:tblPr>
      <w:tblCellMar>
        <w:top w:w="0" w:type="dxa"/>
        <w:left w:w="108" w:type="dxa"/>
        <w:bottom w:w="0" w:type="dxa"/>
        <w:right w:w="108" w:type="dxa"/>
      </w:tblCellMar>
    </w:tblPr>
  </w:style>
  <w:style w:type="paragraph" w:styleId="8">
    <w:name w:val="Note Heading"/>
    <w:basedOn w:val="1"/>
    <w:next w:val="1"/>
    <w:qFormat/>
    <w:uiPriority w:val="0"/>
    <w:pPr>
      <w:snapToGrid w:val="0"/>
      <w:spacing w:line="320" w:lineRule="exact"/>
      <w:ind w:firstLine="413" w:firstLineChars="200"/>
    </w:pPr>
    <w:rPr>
      <w:rFonts w:ascii="宋体" w:hAnsi="宋体"/>
      <w:b/>
      <w:color w:val="000000"/>
    </w:rPr>
  </w:style>
  <w:style w:type="paragraph" w:styleId="9">
    <w:name w:val="Normal Indent"/>
    <w:basedOn w:val="1"/>
    <w:next w:val="1"/>
    <w:unhideWhenUsed/>
    <w:qFormat/>
    <w:uiPriority w:val="0"/>
    <w:pPr>
      <w:ind w:firstLine="420" w:firstLineChars="200"/>
    </w:pPr>
  </w:style>
  <w:style w:type="paragraph" w:styleId="10">
    <w:name w:val="annotation text"/>
    <w:basedOn w:val="1"/>
    <w:unhideWhenUsed/>
    <w:qFormat/>
    <w:uiPriority w:val="99"/>
    <w:pPr>
      <w:jc w:val="left"/>
    </w:pPr>
  </w:style>
  <w:style w:type="paragraph" w:styleId="11">
    <w:name w:val="Body Text 3"/>
    <w:basedOn w:val="1"/>
    <w:unhideWhenUsed/>
    <w:qFormat/>
    <w:uiPriority w:val="0"/>
    <w:pPr>
      <w:widowControl w:val="0"/>
      <w:spacing w:beforeLines="0" w:after="120" w:afterLines="0"/>
      <w:jc w:val="both"/>
    </w:pPr>
    <w:rPr>
      <w:rFonts w:hint="eastAsia" w:ascii="Times New Roman" w:hAnsi="Times New Roman" w:eastAsia="Times New Roman" w:cs="Times New Roman"/>
      <w:kern w:val="2"/>
      <w:sz w:val="16"/>
      <w:szCs w:val="16"/>
      <w:lang w:val="en-US" w:eastAsia="zh-CN" w:bidi="ar-SA"/>
    </w:rPr>
  </w:style>
  <w:style w:type="paragraph" w:styleId="12">
    <w:name w:val="Body Text"/>
    <w:basedOn w:val="1"/>
    <w:next w:val="1"/>
    <w:autoRedefine/>
    <w:unhideWhenUsed/>
    <w:qFormat/>
    <w:uiPriority w:val="1"/>
    <w:pPr>
      <w:ind w:left="520"/>
    </w:pPr>
    <w:rPr>
      <w:rFonts w:hint="default" w:ascii="宋体" w:hAnsi="宋体" w:eastAsia="宋体"/>
      <w:sz w:val="21"/>
      <w:szCs w:val="24"/>
    </w:rPr>
  </w:style>
  <w:style w:type="paragraph" w:styleId="13">
    <w:name w:val="Body Text Indent"/>
    <w:basedOn w:val="1"/>
    <w:next w:val="14"/>
    <w:autoRedefine/>
    <w:qFormat/>
    <w:uiPriority w:val="0"/>
    <w:pPr>
      <w:spacing w:after="120"/>
      <w:ind w:left="420" w:leftChars="200"/>
    </w:pPr>
  </w:style>
  <w:style w:type="paragraph" w:styleId="14">
    <w:name w:val="envelope return"/>
    <w:basedOn w:val="1"/>
    <w:autoRedefine/>
    <w:qFormat/>
    <w:uiPriority w:val="0"/>
    <w:pPr>
      <w:snapToGrid w:val="0"/>
    </w:pPr>
    <w:rPr>
      <w:rFonts w:ascii="Arial" w:hAnsi="Arial"/>
      <w:szCs w:val="24"/>
    </w:rPr>
  </w:style>
  <w:style w:type="paragraph" w:styleId="15">
    <w:name w:val="toc 3"/>
    <w:basedOn w:val="1"/>
    <w:next w:val="1"/>
    <w:autoRedefine/>
    <w:qFormat/>
    <w:uiPriority w:val="99"/>
    <w:pPr>
      <w:ind w:left="840" w:leftChars="400"/>
    </w:pPr>
  </w:style>
  <w:style w:type="paragraph" w:styleId="16">
    <w:name w:val="Plain Text"/>
    <w:basedOn w:val="1"/>
    <w:next w:val="1"/>
    <w:autoRedefine/>
    <w:unhideWhenUsed/>
    <w:qFormat/>
    <w:uiPriority w:val="0"/>
    <w:rPr>
      <w:rFonts w:hint="default" w:ascii="宋体" w:hAnsi="Courier New" w:eastAsia="宋体"/>
      <w:sz w:val="24"/>
      <w:szCs w:val="24"/>
    </w:rPr>
  </w:style>
  <w:style w:type="paragraph" w:styleId="17">
    <w:name w:val="footer"/>
    <w:basedOn w:val="1"/>
    <w:autoRedefine/>
    <w:unhideWhenUsed/>
    <w:qFormat/>
    <w:uiPriority w:val="99"/>
    <w:pPr>
      <w:tabs>
        <w:tab w:val="center" w:pos="4153"/>
        <w:tab w:val="right" w:pos="8306"/>
      </w:tabs>
      <w:snapToGrid w:val="0"/>
    </w:pPr>
    <w:rPr>
      <w:rFonts w:hint="default"/>
      <w:sz w:val="18"/>
      <w:szCs w:val="24"/>
    </w:rPr>
  </w:style>
  <w:style w:type="paragraph" w:styleId="18">
    <w:name w:val="header"/>
    <w:basedOn w:val="1"/>
    <w:autoRedefine/>
    <w:unhideWhenUsed/>
    <w:qFormat/>
    <w:uiPriority w:val="99"/>
    <w:pPr>
      <w:tabs>
        <w:tab w:val="center" w:pos="4153"/>
        <w:tab w:val="right" w:pos="8306"/>
      </w:tabs>
      <w:snapToGrid w:val="0"/>
      <w:jc w:val="both"/>
    </w:pPr>
    <w:rPr>
      <w:rFonts w:hint="default"/>
      <w:sz w:val="18"/>
      <w:szCs w:val="24"/>
    </w:rPr>
  </w:style>
  <w:style w:type="paragraph" w:styleId="19">
    <w:name w:val="toc 1"/>
    <w:basedOn w:val="1"/>
    <w:next w:val="1"/>
    <w:autoRedefine/>
    <w:qFormat/>
    <w:uiPriority w:val="99"/>
  </w:style>
  <w:style w:type="paragraph" w:styleId="20">
    <w:name w:val="toc 2"/>
    <w:basedOn w:val="1"/>
    <w:next w:val="1"/>
    <w:autoRedefine/>
    <w:qFormat/>
    <w:uiPriority w:val="99"/>
    <w:pPr>
      <w:ind w:left="420" w:leftChars="200"/>
    </w:pPr>
  </w:style>
  <w:style w:type="paragraph" w:styleId="21">
    <w:name w:val="Body Text 2"/>
    <w:basedOn w:val="1"/>
    <w:autoRedefine/>
    <w:unhideWhenUsed/>
    <w:qFormat/>
    <w:uiPriority w:val="0"/>
    <w:rPr>
      <w:rFonts w:ascii="宋体" w:hAnsi="宋体" w:eastAsia="楷体_GB2312"/>
      <w:kern w:val="0"/>
      <w:sz w:val="20"/>
      <w:szCs w:val="24"/>
      <w:u w:val="single"/>
    </w:rPr>
  </w:style>
  <w:style w:type="paragraph" w:styleId="22">
    <w:name w:val="Normal (Web)"/>
    <w:basedOn w:val="1"/>
    <w:autoRedefine/>
    <w:unhideWhenUsed/>
    <w:qFormat/>
    <w:uiPriority w:val="99"/>
    <w:pPr>
      <w:widowControl/>
      <w:spacing w:before="100" w:beforeAutospacing="1" w:after="100" w:afterAutospacing="1"/>
    </w:pPr>
    <w:rPr>
      <w:rFonts w:hint="eastAsia" w:ascii="Times New Roman" w:hAnsi="Times New Roman" w:eastAsia="Times New Roman" w:cs="Times New Roman"/>
      <w:sz w:val="24"/>
      <w:szCs w:val="24"/>
    </w:rPr>
  </w:style>
  <w:style w:type="paragraph" w:styleId="23">
    <w:name w:val="Title"/>
    <w:basedOn w:val="1"/>
    <w:qFormat/>
    <w:uiPriority w:val="0"/>
    <w:pPr>
      <w:spacing w:before="240" w:after="60"/>
      <w:jc w:val="center"/>
      <w:outlineLvl w:val="0"/>
    </w:pPr>
    <w:rPr>
      <w:rFonts w:ascii="Arial" w:hAnsi="Arial"/>
      <w:b/>
      <w:bCs/>
      <w:kern w:val="0"/>
      <w:sz w:val="32"/>
      <w:szCs w:val="32"/>
    </w:rPr>
  </w:style>
  <w:style w:type="paragraph" w:styleId="24">
    <w:name w:val="Body Text First Indent"/>
    <w:basedOn w:val="12"/>
    <w:next w:val="25"/>
    <w:autoRedefine/>
    <w:unhideWhenUsed/>
    <w:qFormat/>
    <w:uiPriority w:val="0"/>
    <w:pPr>
      <w:ind w:firstLine="420"/>
    </w:pPr>
    <w:rPr>
      <w:rFonts w:hint="eastAsia" w:ascii="Times New Roman" w:hAnsi="Times New Roman" w:eastAsia="楷体_GB2312"/>
      <w:sz w:val="20"/>
      <w:szCs w:val="24"/>
    </w:rPr>
  </w:style>
  <w:style w:type="paragraph" w:styleId="25">
    <w:name w:val="Body Text First Indent 2"/>
    <w:basedOn w:val="13"/>
    <w:next w:val="26"/>
    <w:autoRedefine/>
    <w:qFormat/>
    <w:uiPriority w:val="0"/>
    <w:pPr>
      <w:widowControl w:val="0"/>
      <w:spacing w:after="120"/>
      <w:ind w:left="420" w:leftChars="200" w:firstLine="420" w:firstLineChars="200"/>
      <w:jc w:val="both"/>
    </w:pPr>
    <w:rPr>
      <w:rFonts w:ascii="Calibri" w:hAnsi="Calibri" w:eastAsia="宋体" w:cs="Times New Roman"/>
      <w:kern w:val="2"/>
      <w:sz w:val="21"/>
      <w:szCs w:val="24"/>
      <w:lang w:val="en-US" w:eastAsia="zh-CN" w:bidi="ar-SA"/>
    </w:rPr>
  </w:style>
  <w:style w:type="paragraph" w:customStyle="1" w:styleId="26">
    <w:name w:val="样式 正文首行缩进 2 + Arial"/>
    <w:basedOn w:val="1"/>
    <w:next w:val="1"/>
    <w:autoRedefine/>
    <w:qFormat/>
    <w:uiPriority w:val="0"/>
    <w:pPr>
      <w:spacing w:before="100" w:beforeAutospacing="1" w:after="120" w:line="320" w:lineRule="atLeast"/>
      <w:ind w:firstLine="200" w:firstLineChars="200"/>
    </w:pPr>
    <w:rPr>
      <w:rFonts w:ascii="Arial" w:hAnsi="Arial" w:cs="Arial"/>
    </w:rPr>
  </w:style>
  <w:style w:type="character" w:styleId="29">
    <w:name w:val="page number"/>
    <w:autoRedefine/>
    <w:qFormat/>
    <w:uiPriority w:val="0"/>
  </w:style>
  <w:style w:type="character" w:styleId="30">
    <w:name w:val="Hyperlink"/>
    <w:autoRedefine/>
    <w:unhideWhenUsed/>
    <w:qFormat/>
    <w:uiPriority w:val="99"/>
    <w:rPr>
      <w:rFonts w:hint="default" w:ascii="Arial" w:hAnsi="Arial" w:eastAsia="黑体"/>
      <w:color w:val="0000FF"/>
      <w:kern w:val="2"/>
      <w:sz w:val="21"/>
      <w:szCs w:val="24"/>
      <w:u w:val="single"/>
      <w:lang w:val="en-US" w:eastAsia="zh-CN" w:bidi="ar-SA"/>
    </w:rPr>
  </w:style>
  <w:style w:type="paragraph" w:customStyle="1" w:styleId="31">
    <w:name w:val="正文缩进1"/>
    <w:basedOn w:val="32"/>
    <w:autoRedefine/>
    <w:unhideWhenUsed/>
    <w:qFormat/>
    <w:uiPriority w:val="0"/>
    <w:pPr>
      <w:spacing w:line="360" w:lineRule="auto"/>
      <w:ind w:firstLine="200" w:firstLineChars="200"/>
      <w:jc w:val="both"/>
    </w:pPr>
    <w:rPr>
      <w:rFonts w:hint="eastAsia" w:ascii="Times New Roman" w:hAnsi="Times New Roman" w:eastAsia="Times New Roman" w:cs="Times New Roman"/>
      <w:kern w:val="2"/>
      <w:sz w:val="24"/>
      <w:szCs w:val="22"/>
      <w:lang w:val="en-US" w:eastAsia="zh-CN" w:bidi="ar"/>
    </w:rPr>
  </w:style>
  <w:style w:type="paragraph" w:customStyle="1" w:styleId="32">
    <w:name w:val="正文1"/>
    <w:basedOn w:val="1"/>
    <w:autoRedefine/>
    <w:unhideWhenUsed/>
    <w:qFormat/>
    <w:uiPriority w:val="0"/>
    <w:pPr>
      <w:spacing w:line="240" w:lineRule="atLeast"/>
      <w:jc w:val="center"/>
      <w:textAlignment w:val="baseline"/>
    </w:pPr>
    <w:rPr>
      <w:rFonts w:hint="default" w:ascii="Tahoma" w:hAnsi="Tahoma" w:eastAsia="宋体"/>
      <w:sz w:val="24"/>
      <w:szCs w:val="24"/>
    </w:rPr>
  </w:style>
  <w:style w:type="character" w:customStyle="1" w:styleId="33">
    <w:name w:val="标题 3 Char"/>
    <w:link w:val="4"/>
    <w:autoRedefine/>
    <w:unhideWhenUsed/>
    <w:qFormat/>
    <w:uiPriority w:val="1"/>
    <w:rPr>
      <w:rFonts w:hint="default" w:ascii="宋体" w:hAnsi="宋体" w:eastAsia="宋体"/>
      <w:b/>
      <w:sz w:val="24"/>
      <w:szCs w:val="24"/>
    </w:rPr>
  </w:style>
  <w:style w:type="paragraph" w:customStyle="1" w:styleId="34">
    <w:name w:val="Table Paragraph"/>
    <w:basedOn w:val="1"/>
    <w:autoRedefine/>
    <w:unhideWhenUsed/>
    <w:qFormat/>
    <w:uiPriority w:val="1"/>
    <w:rPr>
      <w:rFonts w:hint="default"/>
      <w:sz w:val="24"/>
      <w:szCs w:val="24"/>
    </w:rPr>
  </w:style>
  <w:style w:type="paragraph" w:customStyle="1" w:styleId="35">
    <w:name w:val="公文正文"/>
    <w:autoRedefine/>
    <w:unhideWhenUsed/>
    <w:qFormat/>
    <w:uiPriority w:val="0"/>
    <w:pPr>
      <w:widowControl w:val="0"/>
      <w:tabs>
        <w:tab w:val="left" w:pos="1260"/>
        <w:tab w:val="left" w:pos="6030"/>
        <w:tab w:val="left" w:pos="6720"/>
      </w:tabs>
      <w:spacing w:line="360" w:lineRule="auto"/>
      <w:ind w:firstLine="720" w:firstLineChars="225"/>
      <w:jc w:val="both"/>
    </w:pPr>
    <w:rPr>
      <w:rFonts w:hint="eastAsia" w:ascii="仿宋_GB2312" w:hAnsi="宋体" w:eastAsia="仿宋_GB2312" w:cs="Times New Roman"/>
      <w:sz w:val="32"/>
      <w:szCs w:val="18"/>
      <w:lang w:val="en-US" w:eastAsia="zh-CN" w:bidi="ar-SA"/>
    </w:rPr>
  </w:style>
  <w:style w:type="paragraph" w:customStyle="1" w:styleId="36">
    <w:name w:val="p0"/>
    <w:basedOn w:val="1"/>
    <w:autoRedefine/>
    <w:unhideWhenUsed/>
    <w:qFormat/>
    <w:uiPriority w:val="0"/>
    <w:pPr>
      <w:widowControl/>
      <w:spacing w:before="75" w:after="75"/>
    </w:pPr>
    <w:rPr>
      <w:rFonts w:hint="default" w:ascii="宋体" w:hAnsi="宋体" w:eastAsia="宋体" w:cs="宋体"/>
      <w:sz w:val="24"/>
      <w:szCs w:val="24"/>
    </w:rPr>
  </w:style>
  <w:style w:type="paragraph" w:styleId="37">
    <w:name w:val="List Paragraph"/>
    <w:basedOn w:val="1"/>
    <w:autoRedefine/>
    <w:unhideWhenUsed/>
    <w:qFormat/>
    <w:uiPriority w:val="1"/>
    <w:rPr>
      <w:rFonts w:hint="default"/>
      <w:sz w:val="24"/>
      <w:szCs w:val="24"/>
    </w:rPr>
  </w:style>
  <w:style w:type="paragraph" w:customStyle="1" w:styleId="38">
    <w:name w:val="文一"/>
    <w:basedOn w:val="1"/>
    <w:autoRedefine/>
    <w:unhideWhenUsed/>
    <w:qFormat/>
    <w:uiPriority w:val="0"/>
    <w:pPr>
      <w:topLinePunct/>
      <w:snapToGrid w:val="0"/>
      <w:spacing w:line="360" w:lineRule="auto"/>
      <w:ind w:firstLine="200" w:firstLineChars="200"/>
    </w:pPr>
    <w:rPr>
      <w:rFonts w:hint="default" w:ascii="Calibri" w:hAnsi="Calibri" w:eastAsia="宋体"/>
      <w:snapToGrid w:val="0"/>
      <w:spacing w:val="4"/>
      <w:sz w:val="24"/>
      <w:szCs w:val="24"/>
    </w:rPr>
  </w:style>
  <w:style w:type="paragraph" w:customStyle="1" w:styleId="39">
    <w:name w:val="样式 宋体 行距: 1.5 倍行距"/>
    <w:basedOn w:val="1"/>
    <w:autoRedefine/>
    <w:unhideWhenUsed/>
    <w:qFormat/>
    <w:uiPriority w:val="0"/>
    <w:pPr>
      <w:jc w:val="center"/>
    </w:pPr>
    <w:rPr>
      <w:rFonts w:hint="default"/>
      <w:b/>
      <w:sz w:val="24"/>
      <w:szCs w:val="24"/>
    </w:rPr>
  </w:style>
  <w:style w:type="paragraph" w:customStyle="1" w:styleId="40">
    <w:name w:val="发文落款"/>
    <w:basedOn w:val="35"/>
    <w:autoRedefine/>
    <w:unhideWhenUsed/>
    <w:qFormat/>
    <w:uiPriority w:val="99"/>
    <w:pPr>
      <w:ind w:left="4094" w:right="607" w:firstLine="0"/>
      <w:jc w:val="center"/>
    </w:pPr>
    <w:rPr>
      <w:rFonts w:hint="eastAsia" w:cs="仿宋_GB2312"/>
      <w:sz w:val="32"/>
      <w:szCs w:val="32"/>
    </w:rPr>
  </w:style>
  <w:style w:type="character" w:customStyle="1" w:styleId="41">
    <w:name w:val="标题 2 Char"/>
    <w:link w:val="3"/>
    <w:autoRedefine/>
    <w:unhideWhenUsed/>
    <w:qFormat/>
    <w:uiPriority w:val="1"/>
    <w:rPr>
      <w:rFonts w:hint="default" w:ascii="宋体" w:hAnsi="宋体" w:eastAsia="宋体"/>
      <w:b/>
      <w:sz w:val="30"/>
      <w:szCs w:val="24"/>
    </w:rPr>
  </w:style>
  <w:style w:type="character" w:customStyle="1" w:styleId="42">
    <w:name w:val="NormalCharacter"/>
    <w:autoRedefine/>
    <w:unhideWhenUsed/>
    <w:qFormat/>
    <w:uiPriority w:val="0"/>
    <w:rPr>
      <w:rFonts w:hint="default"/>
      <w:sz w:val="24"/>
      <w:szCs w:val="24"/>
    </w:rPr>
  </w:style>
  <w:style w:type="paragraph" w:customStyle="1" w:styleId="43">
    <w:name w:val="WPSOffice手动目录 1"/>
    <w:autoRedefine/>
    <w:qFormat/>
    <w:uiPriority w:val="0"/>
    <w:pPr>
      <w:ind w:leftChars="0"/>
    </w:pPr>
    <w:rPr>
      <w:rFonts w:ascii="Times New Roman" w:hAnsi="Times New Roman" w:eastAsia="宋体" w:cs="Times New Roman"/>
      <w:sz w:val="20"/>
      <w:szCs w:val="20"/>
    </w:rPr>
  </w:style>
  <w:style w:type="paragraph" w:customStyle="1" w:styleId="44">
    <w:name w:val="WPSOffice手动目录 2"/>
    <w:autoRedefine/>
    <w:qFormat/>
    <w:uiPriority w:val="0"/>
    <w:pPr>
      <w:ind w:leftChars="200"/>
    </w:pPr>
    <w:rPr>
      <w:rFonts w:ascii="Times New Roman" w:hAnsi="Times New Roman" w:eastAsia="宋体" w:cs="Times New Roman"/>
      <w:sz w:val="20"/>
      <w:szCs w:val="20"/>
    </w:rPr>
  </w:style>
  <w:style w:type="paragraph" w:customStyle="1" w:styleId="45">
    <w:name w:val="WPSOffice手动目录 3"/>
    <w:autoRedefine/>
    <w:qFormat/>
    <w:uiPriority w:val="0"/>
    <w:pPr>
      <w:ind w:leftChars="400"/>
    </w:pPr>
    <w:rPr>
      <w:rFonts w:ascii="Times New Roman" w:hAnsi="Times New Roman" w:eastAsia="宋体" w:cs="Times New Roman"/>
      <w:sz w:val="20"/>
      <w:szCs w:val="20"/>
    </w:rPr>
  </w:style>
  <w:style w:type="paragraph" w:customStyle="1" w:styleId="46">
    <w:name w:val="null3"/>
    <w:qFormat/>
    <w:uiPriority w:val="0"/>
    <w:rPr>
      <w:rFonts w:hint="eastAsia" w:ascii="Calibri" w:hAnsi="Calibri" w:eastAsia="宋体" w:cs="Times New Roman"/>
      <w:lang w:val="en-US" w:eastAsia="zh-Hans"/>
    </w:rPr>
  </w:style>
  <w:style w:type="paragraph" w:styleId="47">
    <w:name w:val="No Spacing"/>
    <w:qFormat/>
    <w:uiPriority w:val="0"/>
    <w:pPr>
      <w:widowControl w:val="0"/>
      <w:jc w:val="both"/>
    </w:pPr>
    <w:rPr>
      <w:rFonts w:ascii="Times New Roman" w:hAnsi="Times New Roman" w:eastAsia="等线"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header" Target="header6.xml"/><Relationship Id="rId18" Type="http://schemas.openxmlformats.org/officeDocument/2006/relationships/footer" Target="footer11.xml"/><Relationship Id="rId17" Type="http://schemas.openxmlformats.org/officeDocument/2006/relationships/header" Target="header5.xml"/><Relationship Id="rId16" Type="http://schemas.openxmlformats.org/officeDocument/2006/relationships/footer" Target="footer10.xml"/><Relationship Id="rId15" Type="http://schemas.openxmlformats.org/officeDocument/2006/relationships/header" Target="header4.xml"/><Relationship Id="rId14" Type="http://schemas.openxmlformats.org/officeDocument/2006/relationships/footer" Target="footer9.xml"/><Relationship Id="rId13" Type="http://schemas.openxmlformats.org/officeDocument/2006/relationships/header" Target="header3.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96</Pages>
  <Words>22369</Words>
  <Characters>23859</Characters>
  <TotalTime>4</TotalTime>
  <ScaleCrop>false</ScaleCrop>
  <LinksUpToDate>false</LinksUpToDate>
  <CharactersWithSpaces>24608</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2022-10-24T09:11:00Z</dcterms:created>
  <dc:creator>Administrator</dc:creator>
  <cp:lastModifiedBy>广州益扬工程管理有限公司[广州益扬工程管理有限公司]</cp:lastModifiedBy>
  <dcterms:modified xsi:type="dcterms:W3CDTF">2025-08-15T02:22:03Z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81BE9D68B54C4B1A9BE7F94B3784C4A8_13</vt:lpwstr>
  </property>
  <property fmtid="{D5CDD505-2E9C-101B-9397-08002B2CF9AE}" pid="4" name="KSOTemplateDocerSaveRecord">
    <vt:lpwstr>eyJoZGlkIjoiNDc4OGI4Y2FmYmYwNDIwNDQ3YzQyMTUyYjVmZGQ2MTkiLCJ1c2VySWQiOiIxNTUzNjUwODk5In0=</vt:lpwstr>
  </property>
</Properties>
</file>