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98E099">
      <w:pPr>
        <w:pStyle w:val="12"/>
        <w:spacing w:line="640" w:lineRule="exact"/>
        <w:ind w:left="260" w:leftChars="124"/>
        <w:jc w:val="center"/>
        <w:rPr>
          <w:rFonts w:hint="eastAsia" w:ascii="宋体" w:hAnsi="宋体" w:eastAsia="宋体" w:cs="Courier New"/>
          <w:bCs/>
          <w:color w:val="auto"/>
          <w:kern w:val="2"/>
          <w:sz w:val="21"/>
          <w:szCs w:val="21"/>
          <w:highlight w:val="none"/>
          <w:u w:val="single"/>
          <w:lang w:val="en-US" w:eastAsia="zh-CN" w:bidi="ar-SA"/>
        </w:rPr>
      </w:pPr>
      <w:bookmarkStart w:id="6" w:name="_GoBack"/>
      <w:bookmarkEnd w:id="6"/>
      <w:r>
        <w:rPr>
          <w:rFonts w:hint="eastAsia" w:ascii="宋体" w:hAnsi="宋体" w:cs="Courier New"/>
          <w:bCs/>
          <w:color w:val="auto"/>
          <w:kern w:val="2"/>
          <w:sz w:val="21"/>
          <w:szCs w:val="21"/>
          <w:highlight w:val="none"/>
          <w:lang w:val="en-US" w:eastAsia="zh-CN" w:bidi="ar-SA"/>
        </w:rPr>
        <w:t xml:space="preserve"> </w:t>
      </w:r>
      <w:r>
        <w:rPr>
          <w:rFonts w:hint="eastAsia" w:ascii="宋体" w:hAnsi="宋体" w:eastAsia="宋体" w:cs="Courier New"/>
          <w:bCs/>
          <w:color w:val="auto"/>
          <w:kern w:val="2"/>
          <w:sz w:val="21"/>
          <w:szCs w:val="21"/>
          <w:highlight w:val="none"/>
          <w:lang w:val="en-US" w:eastAsia="zh-CN" w:bidi="ar-SA"/>
        </w:rPr>
        <w:t xml:space="preserve">                                                   合同编号： </w:t>
      </w:r>
      <w:r>
        <w:rPr>
          <w:rFonts w:hint="eastAsia" w:ascii="宋体" w:hAnsi="宋体" w:eastAsia="宋体" w:cs="Courier New"/>
          <w:bCs/>
          <w:color w:val="auto"/>
          <w:kern w:val="2"/>
          <w:sz w:val="21"/>
          <w:szCs w:val="21"/>
          <w:highlight w:val="none"/>
          <w:u w:val="single"/>
          <w:lang w:val="en-US" w:eastAsia="zh-CN" w:bidi="ar-SA"/>
        </w:rPr>
        <w:t xml:space="preserve">         </w:t>
      </w:r>
    </w:p>
    <w:p w14:paraId="54F720C1">
      <w:pPr>
        <w:pStyle w:val="12"/>
        <w:spacing w:line="640" w:lineRule="exact"/>
        <w:ind w:left="260" w:leftChars="124"/>
        <w:jc w:val="center"/>
        <w:rPr>
          <w:rFonts w:hint="eastAsia" w:ascii="宋体" w:hAnsi="宋体" w:eastAsia="宋体" w:cs="宋体"/>
          <w:b/>
          <w:bCs/>
          <w:color w:val="auto"/>
          <w:sz w:val="52"/>
          <w:szCs w:val="52"/>
          <w:highlight w:val="none"/>
        </w:rPr>
      </w:pPr>
    </w:p>
    <w:p w14:paraId="0AD9738A">
      <w:pPr>
        <w:pStyle w:val="12"/>
        <w:spacing w:line="640" w:lineRule="exact"/>
        <w:ind w:left="260" w:leftChars="124"/>
        <w:jc w:val="center"/>
        <w:rPr>
          <w:rFonts w:hint="eastAsia" w:ascii="宋体" w:hAnsi="宋体" w:eastAsia="宋体" w:cs="宋体"/>
          <w:b/>
          <w:bCs/>
          <w:color w:val="auto"/>
          <w:sz w:val="52"/>
          <w:szCs w:val="52"/>
          <w:highlight w:val="none"/>
        </w:rPr>
      </w:pPr>
    </w:p>
    <w:p w14:paraId="08A87C8F">
      <w:pPr>
        <w:pStyle w:val="12"/>
        <w:spacing w:line="640" w:lineRule="exact"/>
        <w:ind w:left="260" w:leftChars="124"/>
        <w:jc w:val="center"/>
        <w:rPr>
          <w:rFonts w:hint="eastAsia" w:ascii="宋体" w:hAnsi="宋体" w:eastAsia="宋体" w:cs="宋体"/>
          <w:b/>
          <w:bCs/>
          <w:color w:val="auto"/>
          <w:sz w:val="52"/>
          <w:szCs w:val="52"/>
          <w:highlight w:val="none"/>
        </w:rPr>
      </w:pPr>
    </w:p>
    <w:p w14:paraId="599BFE89">
      <w:pPr>
        <w:pStyle w:val="12"/>
        <w:spacing w:line="640" w:lineRule="exact"/>
        <w:ind w:left="260" w:leftChars="124"/>
        <w:jc w:val="center"/>
        <w:rPr>
          <w:rFonts w:hint="eastAsia" w:ascii="宋体" w:hAnsi="宋体" w:eastAsia="宋体" w:cs="宋体"/>
          <w:b/>
          <w:bCs/>
          <w:color w:val="auto"/>
          <w:sz w:val="52"/>
          <w:szCs w:val="52"/>
          <w:highlight w:val="none"/>
          <w:u w:val="none"/>
        </w:rPr>
      </w:pPr>
    </w:p>
    <w:p w14:paraId="40455A1E">
      <w:pPr>
        <w:pStyle w:val="12"/>
        <w:spacing w:line="640" w:lineRule="exact"/>
        <w:ind w:left="259" w:leftChars="-200" w:right="-313" w:rightChars="-149" w:hanging="679" w:hangingChars="141"/>
        <w:jc w:val="center"/>
        <w:rPr>
          <w:rFonts w:hint="eastAsia" w:ascii="仿宋" w:hAnsi="仿宋" w:eastAsia="仿宋" w:cs="仿宋"/>
          <w:b/>
          <w:bCs/>
          <w:color w:val="auto"/>
          <w:sz w:val="48"/>
          <w:szCs w:val="48"/>
          <w:highlight w:val="none"/>
          <w:u w:val="none"/>
          <w:lang w:val="en-US" w:eastAsia="zh-CN"/>
        </w:rPr>
      </w:pPr>
      <w:r>
        <w:rPr>
          <w:rFonts w:hint="eastAsia" w:ascii="仿宋" w:hAnsi="仿宋" w:eastAsia="仿宋" w:cs="仿宋"/>
          <w:b/>
          <w:bCs/>
          <w:color w:val="auto"/>
          <w:sz w:val="48"/>
          <w:szCs w:val="48"/>
          <w:highlight w:val="none"/>
          <w:u w:val="none"/>
        </w:rPr>
        <w:t>岭头公司旧村全面改造</w:t>
      </w:r>
      <w:r>
        <w:rPr>
          <w:rFonts w:hint="eastAsia" w:ascii="仿宋" w:hAnsi="仿宋" w:eastAsia="仿宋" w:cs="仿宋"/>
          <w:b/>
          <w:bCs/>
          <w:color w:val="auto"/>
          <w:sz w:val="48"/>
          <w:szCs w:val="48"/>
          <w:highlight w:val="none"/>
          <w:u w:val="none"/>
          <w:lang w:val="en-US" w:eastAsia="zh-CN"/>
        </w:rPr>
        <w:t>项目</w:t>
      </w:r>
    </w:p>
    <w:p w14:paraId="5665C0DF">
      <w:pPr>
        <w:pStyle w:val="12"/>
        <w:spacing w:line="640" w:lineRule="exact"/>
        <w:ind w:left="259" w:leftChars="-200" w:right="-313" w:rightChars="-149" w:hanging="679" w:hangingChars="141"/>
        <w:jc w:val="center"/>
        <w:rPr>
          <w:rFonts w:hint="default" w:ascii="仿宋" w:hAnsi="仿宋" w:eastAsia="仿宋" w:cs="仿宋"/>
          <w:b/>
          <w:bCs/>
          <w:color w:val="auto"/>
          <w:sz w:val="48"/>
          <w:szCs w:val="48"/>
          <w:highlight w:val="none"/>
          <w:u w:val="none"/>
          <w:lang w:val="en-US" w:eastAsia="zh-CN"/>
        </w:rPr>
      </w:pPr>
      <w:r>
        <w:rPr>
          <w:rFonts w:hint="default" w:ascii="仿宋" w:hAnsi="仿宋" w:eastAsia="仿宋" w:cs="仿宋"/>
          <w:b/>
          <w:bCs/>
          <w:color w:val="auto"/>
          <w:sz w:val="48"/>
          <w:szCs w:val="48"/>
          <w:highlight w:val="none"/>
          <w:u w:val="none"/>
          <w:lang w:val="en-US" w:eastAsia="zh-CN"/>
        </w:rPr>
        <w:t>周边市政道路及配套</w:t>
      </w:r>
      <w:r>
        <w:rPr>
          <w:rFonts w:hint="eastAsia" w:ascii="仿宋" w:hAnsi="仿宋" w:eastAsia="仿宋" w:cs="仿宋"/>
          <w:b/>
          <w:bCs/>
          <w:color w:val="auto"/>
          <w:sz w:val="48"/>
          <w:szCs w:val="48"/>
          <w:highlight w:val="none"/>
          <w:u w:val="none"/>
          <w:lang w:val="en-US" w:eastAsia="zh-CN"/>
        </w:rPr>
        <w:t>、</w:t>
      </w:r>
      <w:r>
        <w:rPr>
          <w:rFonts w:hint="default" w:ascii="仿宋" w:hAnsi="仿宋" w:eastAsia="仿宋" w:cs="仿宋"/>
          <w:b/>
          <w:bCs/>
          <w:color w:val="auto"/>
          <w:sz w:val="48"/>
          <w:szCs w:val="48"/>
          <w:highlight w:val="none"/>
          <w:u w:val="none"/>
          <w:lang w:val="en-US" w:eastAsia="zh-CN"/>
        </w:rPr>
        <w:t>地质灾害配套防治工程</w:t>
      </w:r>
    </w:p>
    <w:p w14:paraId="735E546C">
      <w:pPr>
        <w:pStyle w:val="12"/>
        <w:spacing w:line="640" w:lineRule="exact"/>
        <w:ind w:left="260" w:leftChars="124"/>
        <w:jc w:val="center"/>
        <w:rPr>
          <w:rFonts w:hint="eastAsia" w:ascii="仿宋" w:hAnsi="仿宋" w:eastAsia="仿宋" w:cs="仿宋"/>
          <w:b/>
          <w:bCs/>
          <w:color w:val="auto"/>
          <w:sz w:val="48"/>
          <w:szCs w:val="48"/>
          <w:highlight w:val="none"/>
        </w:rPr>
      </w:pPr>
      <w:r>
        <w:rPr>
          <w:rFonts w:hint="eastAsia" w:ascii="仿宋" w:hAnsi="仿宋" w:eastAsia="仿宋" w:cs="仿宋"/>
          <w:b/>
          <w:bCs/>
          <w:color w:val="auto"/>
          <w:sz w:val="48"/>
          <w:szCs w:val="48"/>
          <w:highlight w:val="none"/>
        </w:rPr>
        <w:t>全过程造价咨询服务合同</w:t>
      </w:r>
    </w:p>
    <w:p w14:paraId="4B75EF29">
      <w:pPr>
        <w:pStyle w:val="15"/>
        <w:spacing w:line="360" w:lineRule="auto"/>
        <w:ind w:firstLine="1124" w:firstLineChars="400"/>
        <w:rPr>
          <w:rFonts w:hint="eastAsia" w:ascii="仿宋" w:hAnsi="仿宋" w:eastAsia="仿宋"/>
          <w:b/>
          <w:bCs/>
          <w:color w:val="auto"/>
          <w:sz w:val="28"/>
          <w:szCs w:val="28"/>
          <w:highlight w:val="none"/>
        </w:rPr>
      </w:pPr>
    </w:p>
    <w:p w14:paraId="3BFAB06E">
      <w:pPr>
        <w:pStyle w:val="15"/>
        <w:spacing w:line="360" w:lineRule="auto"/>
        <w:ind w:firstLine="1124" w:firstLineChars="400"/>
        <w:rPr>
          <w:rFonts w:hint="eastAsia" w:ascii="仿宋" w:hAnsi="仿宋" w:eastAsia="仿宋"/>
          <w:b/>
          <w:bCs/>
          <w:color w:val="auto"/>
          <w:sz w:val="28"/>
          <w:szCs w:val="28"/>
          <w:highlight w:val="none"/>
        </w:rPr>
      </w:pPr>
    </w:p>
    <w:p w14:paraId="377AC8B2">
      <w:pPr>
        <w:pStyle w:val="15"/>
        <w:spacing w:line="360" w:lineRule="auto"/>
        <w:ind w:firstLine="1124" w:firstLineChars="400"/>
        <w:rPr>
          <w:rFonts w:hint="eastAsia" w:ascii="仿宋" w:hAnsi="仿宋" w:eastAsia="仿宋"/>
          <w:b/>
          <w:bCs/>
          <w:color w:val="auto"/>
          <w:sz w:val="28"/>
          <w:szCs w:val="28"/>
          <w:highlight w:val="none"/>
        </w:rPr>
      </w:pPr>
    </w:p>
    <w:p w14:paraId="785F503F">
      <w:pPr>
        <w:pStyle w:val="15"/>
        <w:spacing w:line="360" w:lineRule="auto"/>
        <w:ind w:firstLine="1124" w:firstLineChars="400"/>
        <w:rPr>
          <w:rFonts w:hint="eastAsia" w:ascii="仿宋" w:hAnsi="仿宋" w:eastAsia="仿宋"/>
          <w:b/>
          <w:bCs/>
          <w:color w:val="auto"/>
          <w:sz w:val="28"/>
          <w:szCs w:val="28"/>
          <w:highlight w:val="none"/>
        </w:rPr>
      </w:pPr>
    </w:p>
    <w:p w14:paraId="04F0EB75">
      <w:pPr>
        <w:pStyle w:val="15"/>
        <w:spacing w:line="360" w:lineRule="auto"/>
        <w:ind w:firstLine="1124" w:firstLineChars="400"/>
        <w:rPr>
          <w:rFonts w:hint="eastAsia" w:ascii="仿宋" w:hAnsi="仿宋" w:eastAsia="仿宋"/>
          <w:b/>
          <w:bCs/>
          <w:color w:val="auto"/>
          <w:sz w:val="28"/>
          <w:szCs w:val="28"/>
          <w:highlight w:val="none"/>
        </w:rPr>
      </w:pPr>
    </w:p>
    <w:p w14:paraId="3321A74F">
      <w:pPr>
        <w:pStyle w:val="13"/>
        <w:rPr>
          <w:rFonts w:hint="eastAsia" w:ascii="仿宋" w:hAnsi="仿宋" w:eastAsia="仿宋"/>
          <w:b/>
          <w:bCs/>
          <w:color w:val="auto"/>
          <w:sz w:val="28"/>
          <w:szCs w:val="28"/>
          <w:highlight w:val="none"/>
        </w:rPr>
      </w:pPr>
    </w:p>
    <w:p w14:paraId="510644DB">
      <w:pPr>
        <w:pStyle w:val="13"/>
        <w:rPr>
          <w:rFonts w:hint="eastAsia" w:ascii="仿宋" w:hAnsi="仿宋" w:eastAsia="仿宋"/>
          <w:b/>
          <w:bCs/>
          <w:color w:val="auto"/>
          <w:sz w:val="28"/>
          <w:szCs w:val="28"/>
          <w:highlight w:val="none"/>
        </w:rPr>
      </w:pPr>
    </w:p>
    <w:p w14:paraId="6C6A2F73">
      <w:pPr>
        <w:pStyle w:val="15"/>
        <w:spacing w:line="360" w:lineRule="auto"/>
        <w:ind w:firstLine="1124" w:firstLineChars="400"/>
        <w:rPr>
          <w:rFonts w:hint="eastAsia" w:ascii="仿宋" w:hAnsi="仿宋" w:eastAsia="仿宋"/>
          <w:b/>
          <w:bCs/>
          <w:color w:val="auto"/>
          <w:sz w:val="28"/>
          <w:szCs w:val="28"/>
          <w:highlight w:val="none"/>
        </w:rPr>
      </w:pPr>
    </w:p>
    <w:p w14:paraId="14D6573C">
      <w:pPr>
        <w:pStyle w:val="15"/>
        <w:spacing w:line="360" w:lineRule="auto"/>
        <w:ind w:firstLine="1124" w:firstLineChars="400"/>
        <w:rPr>
          <w:rFonts w:hint="eastAsia" w:ascii="仿宋" w:hAnsi="仿宋" w:eastAsia="仿宋"/>
          <w:b/>
          <w:bCs/>
          <w:color w:val="auto"/>
          <w:sz w:val="28"/>
          <w:szCs w:val="28"/>
          <w:highlight w:val="none"/>
        </w:rPr>
      </w:pPr>
    </w:p>
    <w:p w14:paraId="011C3EFC">
      <w:pPr>
        <w:pStyle w:val="15"/>
        <w:spacing w:line="360" w:lineRule="auto"/>
        <w:ind w:firstLine="1124" w:firstLineChars="400"/>
        <w:rPr>
          <w:rFonts w:ascii="仿宋" w:hAnsi="仿宋" w:eastAsia="仿宋"/>
          <w:b/>
          <w:bCs/>
          <w:color w:val="auto"/>
          <w:sz w:val="28"/>
          <w:szCs w:val="28"/>
          <w:highlight w:val="none"/>
        </w:rPr>
      </w:pPr>
      <w:r>
        <w:rPr>
          <w:rFonts w:hint="eastAsia" w:ascii="仿宋" w:hAnsi="仿宋" w:eastAsia="仿宋"/>
          <w:b/>
          <w:bCs/>
          <w:color w:val="auto"/>
          <w:sz w:val="28"/>
          <w:szCs w:val="28"/>
          <w:highlight w:val="none"/>
        </w:rPr>
        <w:t>甲方（委托人）：</w:t>
      </w:r>
      <w:r>
        <w:rPr>
          <w:rFonts w:hint="eastAsia" w:ascii="仿宋" w:hAnsi="仿宋" w:eastAsia="仿宋"/>
          <w:b/>
          <w:bCs/>
          <w:color w:val="auto"/>
          <w:sz w:val="28"/>
          <w:szCs w:val="28"/>
          <w:highlight w:val="none"/>
          <w:u w:val="single"/>
          <w:lang w:val="en-US" w:eastAsia="zh-CN"/>
        </w:rPr>
        <w:t xml:space="preserve"> 广州科岭投资开发有限公司</w:t>
      </w:r>
      <w:r>
        <w:rPr>
          <w:rFonts w:hint="eastAsia" w:ascii="仿宋" w:hAnsi="仿宋" w:eastAsia="仿宋"/>
          <w:b/>
          <w:bCs/>
          <w:color w:val="auto"/>
          <w:sz w:val="28"/>
          <w:szCs w:val="28"/>
          <w:highlight w:val="none"/>
          <w:u w:val="single"/>
        </w:rPr>
        <w:t xml:space="preserve"> </w:t>
      </w:r>
    </w:p>
    <w:p w14:paraId="020FDC94">
      <w:pPr>
        <w:pStyle w:val="15"/>
        <w:spacing w:line="360" w:lineRule="auto"/>
        <w:ind w:firstLine="1124" w:firstLineChars="400"/>
        <w:rPr>
          <w:rFonts w:ascii="仿宋" w:hAnsi="仿宋" w:eastAsia="仿宋"/>
          <w:b/>
          <w:bCs/>
          <w:color w:val="auto"/>
          <w:sz w:val="28"/>
          <w:szCs w:val="28"/>
          <w:highlight w:val="none"/>
          <w:u w:val="single"/>
        </w:rPr>
      </w:pPr>
      <w:r>
        <w:rPr>
          <w:rFonts w:hint="eastAsia" w:ascii="仿宋" w:hAnsi="仿宋" w:eastAsia="仿宋"/>
          <w:b/>
          <w:bCs/>
          <w:color w:val="auto"/>
          <w:sz w:val="28"/>
          <w:szCs w:val="28"/>
          <w:highlight w:val="none"/>
        </w:rPr>
        <w:t>乙方（受托人/承包方）：</w:t>
      </w:r>
      <w:r>
        <w:rPr>
          <w:rFonts w:hint="eastAsia" w:ascii="仿宋" w:hAnsi="仿宋" w:eastAsia="仿宋"/>
          <w:b/>
          <w:bCs/>
          <w:color w:val="auto"/>
          <w:sz w:val="28"/>
          <w:szCs w:val="28"/>
          <w:highlight w:val="none"/>
          <w:u w:val="single"/>
          <w:lang w:val="en-US" w:eastAsia="zh-CN"/>
        </w:rPr>
        <w:t xml:space="preserve">             </w:t>
      </w:r>
      <w:r>
        <w:rPr>
          <w:rFonts w:hint="eastAsia" w:ascii="仿宋" w:hAnsi="仿宋" w:eastAsia="仿宋"/>
          <w:b/>
          <w:bCs/>
          <w:color w:val="auto"/>
          <w:sz w:val="28"/>
          <w:szCs w:val="28"/>
          <w:highlight w:val="none"/>
          <w:u w:val="single"/>
        </w:rPr>
        <w:t xml:space="preserve">     </w:t>
      </w:r>
    </w:p>
    <w:p w14:paraId="329F1C5D">
      <w:pPr>
        <w:pStyle w:val="15"/>
        <w:spacing w:line="360" w:lineRule="auto"/>
        <w:ind w:firstLine="1116" w:firstLineChars="397"/>
        <w:rPr>
          <w:rFonts w:hint="default" w:ascii="仿宋" w:hAnsi="仿宋" w:eastAsia="仿宋"/>
          <w:b/>
          <w:bCs/>
          <w:color w:val="auto"/>
          <w:sz w:val="28"/>
          <w:szCs w:val="28"/>
          <w:highlight w:val="none"/>
          <w:u w:val="single"/>
          <w:lang w:val="en-US" w:eastAsia="zh-CN"/>
        </w:rPr>
      </w:pPr>
      <w:r>
        <w:rPr>
          <w:rFonts w:hint="eastAsia" w:ascii="仿宋" w:hAnsi="仿宋" w:eastAsia="仿宋"/>
          <w:b/>
          <w:bCs/>
          <w:color w:val="auto"/>
          <w:sz w:val="28"/>
          <w:szCs w:val="28"/>
          <w:highlight w:val="none"/>
        </w:rPr>
        <w:t>签 订  日  期：</w:t>
      </w:r>
      <w:r>
        <w:rPr>
          <w:rFonts w:hint="eastAsia" w:ascii="仿宋" w:hAnsi="仿宋" w:eastAsia="仿宋"/>
          <w:b/>
          <w:bCs/>
          <w:color w:val="auto"/>
          <w:sz w:val="28"/>
          <w:szCs w:val="28"/>
          <w:highlight w:val="none"/>
          <w:u w:val="single"/>
          <w:lang w:val="en-US" w:eastAsia="zh-CN"/>
        </w:rPr>
        <w:t xml:space="preserve">                     </w:t>
      </w:r>
    </w:p>
    <w:p w14:paraId="359AE20B">
      <w:pPr>
        <w:pStyle w:val="15"/>
        <w:spacing w:line="360" w:lineRule="auto"/>
        <w:ind w:firstLine="1116" w:firstLineChars="397"/>
        <w:rPr>
          <w:rFonts w:hint="default" w:ascii="仿宋" w:hAnsi="仿宋" w:eastAsia="仿宋"/>
          <w:b/>
          <w:bCs/>
          <w:color w:val="auto"/>
          <w:sz w:val="28"/>
          <w:szCs w:val="28"/>
          <w:highlight w:val="none"/>
          <w:lang w:val="en-US" w:eastAsia="zh-CN"/>
        </w:rPr>
      </w:pPr>
      <w:r>
        <w:rPr>
          <w:rFonts w:hint="eastAsia" w:ascii="仿宋" w:hAnsi="仿宋" w:eastAsia="仿宋"/>
          <w:b/>
          <w:bCs/>
          <w:color w:val="auto"/>
          <w:sz w:val="28"/>
          <w:szCs w:val="28"/>
          <w:highlight w:val="none"/>
        </w:rPr>
        <w:t>签 订  地  点：</w:t>
      </w:r>
      <w:r>
        <w:rPr>
          <w:rFonts w:hint="eastAsia" w:ascii="仿宋" w:hAnsi="仿宋" w:eastAsia="仿宋"/>
          <w:b/>
          <w:bCs/>
          <w:color w:val="auto"/>
          <w:sz w:val="28"/>
          <w:szCs w:val="28"/>
          <w:highlight w:val="none"/>
          <w:u w:val="single"/>
          <w:lang w:val="en-US" w:eastAsia="zh-CN"/>
        </w:rPr>
        <w:t xml:space="preserve">                    </w:t>
      </w:r>
    </w:p>
    <w:p w14:paraId="7A1AD1E3">
      <w:pPr>
        <w:rPr>
          <w:color w:val="auto"/>
          <w:highlight w:val="none"/>
        </w:rPr>
      </w:pPr>
    </w:p>
    <w:p w14:paraId="645414D8">
      <w:pPr>
        <w:rPr>
          <w:color w:val="auto"/>
          <w:highlight w:val="none"/>
        </w:rPr>
      </w:pPr>
    </w:p>
    <w:p w14:paraId="59747BE2">
      <w:pPr>
        <w:rPr>
          <w:color w:val="auto"/>
          <w:highlight w:val="none"/>
        </w:rPr>
      </w:pPr>
    </w:p>
    <w:p w14:paraId="0D68327D">
      <w:pPr>
        <w:pStyle w:val="15"/>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color w:val="auto"/>
          <w:highlight w:val="none"/>
        </w:rPr>
      </w:pPr>
      <w:r>
        <w:rPr>
          <w:rFonts w:hint="eastAsia" w:ascii="宋体" w:hAnsi="宋体" w:eastAsia="宋体" w:cs="宋体"/>
          <w:color w:val="auto"/>
          <w:sz w:val="24"/>
          <w:szCs w:val="24"/>
          <w:highlight w:val="none"/>
        </w:rPr>
        <w:t>依照《中华人民共和国民法典》、《中华人民共和国建筑法》及其它有关法律、行政法规、部门规章、地方性法规和规章，以及广东省和广州市工程建设项目的有关文件精神，在乙方充分理解和遵守甲方相关造价规定的基础上，委托人</w:t>
      </w:r>
      <w:r>
        <w:rPr>
          <w:rFonts w:hint="eastAsia" w:ascii="宋体" w:hAnsi="宋体" w:eastAsia="宋体" w:cs="宋体"/>
          <w:color w:val="auto"/>
          <w:sz w:val="24"/>
          <w:szCs w:val="24"/>
          <w:highlight w:val="none"/>
          <w:u w:val="single"/>
          <w:lang w:val="en-US" w:eastAsia="zh-CN"/>
        </w:rPr>
        <w:t>广州科岭</w:t>
      </w:r>
      <w:r>
        <w:rPr>
          <w:rFonts w:hint="eastAsia" w:ascii="宋体" w:hAnsi="宋体" w:eastAsia="宋体" w:cs="宋体"/>
          <w:color w:val="auto"/>
          <w:sz w:val="24"/>
          <w:szCs w:val="24"/>
          <w:highlight w:val="none"/>
          <w:u w:val="single"/>
          <w:lang w:eastAsia="zh-CN"/>
        </w:rPr>
        <w:t>投资开发有限公司</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以下简称“甲方”）与受托人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（以下简称“乙方”）遵循平等、自愿、公平和诚实信用的原则，就</w:t>
      </w:r>
      <w:r>
        <w:rPr>
          <w:rFonts w:hint="eastAsia" w:ascii="宋体" w:hAnsi="宋体" w:eastAsia="宋体" w:cs="宋体"/>
          <w:color w:val="auto"/>
          <w:sz w:val="24"/>
          <w:szCs w:val="24"/>
          <w:highlight w:val="none"/>
          <w:u w:val="single"/>
        </w:rPr>
        <w:t>岭头公司旧村全面改造项目周边市政道路及配套、地质灾害配套防治工程全过程造价咨询</w:t>
      </w:r>
      <w:r>
        <w:rPr>
          <w:rFonts w:hint="eastAsia" w:ascii="宋体" w:hAnsi="宋体" w:eastAsia="宋体" w:cs="宋体"/>
          <w:color w:val="auto"/>
          <w:sz w:val="24"/>
          <w:szCs w:val="24"/>
          <w:highlight w:val="none"/>
        </w:rPr>
        <w:t>服务事项协商一致，订立本合同，供双方共同执行。</w:t>
      </w:r>
    </w:p>
    <w:p w14:paraId="096E6396">
      <w:pPr>
        <w:pStyle w:val="15"/>
        <w:keepNext w:val="0"/>
        <w:keepLines w:val="0"/>
        <w:pageBreakBefore w:val="0"/>
        <w:tabs>
          <w:tab w:val="left" w:pos="720"/>
        </w:tabs>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第一条</w:t>
      </w:r>
      <w:r>
        <w:rPr>
          <w:rFonts w:hint="eastAsia" w:ascii="宋体" w:hAnsi="宋体" w:eastAsia="宋体" w:cs="宋体"/>
          <w:color w:val="auto"/>
          <w:sz w:val="24"/>
          <w:szCs w:val="24"/>
          <w:highlight w:val="none"/>
        </w:rPr>
        <w:t xml:space="preserve">  </w:t>
      </w:r>
      <w:r>
        <w:rPr>
          <w:rFonts w:hint="eastAsia" w:ascii="宋体" w:hAnsi="宋体" w:eastAsia="宋体" w:cs="宋体"/>
          <w:b/>
          <w:bCs/>
          <w:color w:val="auto"/>
          <w:kern w:val="0"/>
          <w:sz w:val="24"/>
          <w:szCs w:val="24"/>
          <w:highlight w:val="none"/>
        </w:rPr>
        <w:t>工程概况</w:t>
      </w:r>
    </w:p>
    <w:p w14:paraId="65148D3F">
      <w:pPr>
        <w:keepNext w:val="0"/>
        <w:keepLines w:val="0"/>
        <w:pageBreakBefore w:val="0"/>
        <w:tabs>
          <w:tab w:val="left" w:pos="7513"/>
        </w:tabs>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1.1工程名称：</w:t>
      </w:r>
      <w:r>
        <w:rPr>
          <w:rFonts w:hint="eastAsia" w:ascii="宋体" w:hAnsi="宋体" w:eastAsia="宋体" w:cs="宋体"/>
          <w:color w:val="auto"/>
          <w:sz w:val="24"/>
          <w:szCs w:val="24"/>
          <w:highlight w:val="none"/>
          <w:u w:val="single"/>
        </w:rPr>
        <w:t>岭头公司旧村全面改造项目周边市政道路及配套、地质灾害配套防治工程全过程造价咨询服务</w:t>
      </w:r>
      <w:r>
        <w:rPr>
          <w:rFonts w:hint="eastAsia" w:ascii="宋体" w:hAnsi="宋体" w:eastAsia="宋体" w:cs="宋体"/>
          <w:color w:val="auto"/>
          <w:sz w:val="24"/>
          <w:szCs w:val="24"/>
          <w:highlight w:val="none"/>
        </w:rPr>
        <w:t>（以下简称“本工程”或“本项目”）</w:t>
      </w:r>
    </w:p>
    <w:p w14:paraId="5385B14F">
      <w:pPr>
        <w:pStyle w:val="15"/>
        <w:keepNext w:val="0"/>
        <w:keepLines w:val="0"/>
        <w:pageBreakBefore w:val="0"/>
        <w:tabs>
          <w:tab w:val="left" w:pos="0"/>
        </w:tabs>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kern w:val="0"/>
          <w:sz w:val="24"/>
          <w:szCs w:val="24"/>
          <w:highlight w:val="none"/>
        </w:rPr>
        <w:t>1.2工程地址：</w:t>
      </w:r>
      <w:r>
        <w:rPr>
          <w:rFonts w:hint="eastAsia" w:ascii="宋体" w:hAnsi="宋体" w:eastAsia="宋体" w:cs="宋体"/>
          <w:color w:val="auto"/>
          <w:sz w:val="24"/>
          <w:szCs w:val="24"/>
          <w:highlight w:val="none"/>
          <w:u w:val="single"/>
          <w:lang w:eastAsia="zh-CN"/>
        </w:rPr>
        <w:t>广州市黄埔区</w:t>
      </w:r>
      <w:r>
        <w:rPr>
          <w:rFonts w:hint="eastAsia" w:ascii="宋体" w:hAnsi="宋体" w:eastAsia="宋体" w:cs="宋体"/>
          <w:color w:val="auto"/>
          <w:sz w:val="24"/>
          <w:szCs w:val="24"/>
          <w:highlight w:val="none"/>
          <w:u w:val="single"/>
          <w:lang w:val="en-US" w:eastAsia="zh-CN"/>
        </w:rPr>
        <w:t>长岭街道</w:t>
      </w:r>
    </w:p>
    <w:p w14:paraId="4E90CFAA">
      <w:pPr>
        <w:pStyle w:val="15"/>
        <w:keepNext w:val="0"/>
        <w:keepLines w:val="0"/>
        <w:pageBreakBefore w:val="0"/>
        <w:tabs>
          <w:tab w:val="left" w:pos="0"/>
        </w:tabs>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1.3总投资：</w:t>
      </w:r>
      <w:r>
        <w:rPr>
          <w:rFonts w:hint="eastAsia" w:ascii="宋体" w:hAnsi="宋体" w:eastAsia="宋体" w:cs="宋体"/>
          <w:color w:val="auto"/>
          <w:sz w:val="24"/>
          <w:szCs w:val="24"/>
          <w:highlight w:val="none"/>
          <w:u w:val="single"/>
          <w:lang w:val="en-US" w:eastAsia="zh-CN"/>
        </w:rPr>
        <w:t>市政道路及配套工程总投资约4.0996亿元，其中：工程建安费约3.561亿元。 地质灾害配套防治工程总投资约1.9367亿元，其中工程建安费约1.6709亿元。</w:t>
      </w:r>
    </w:p>
    <w:p w14:paraId="02C5890D">
      <w:pPr>
        <w:keepNext w:val="0"/>
        <w:keepLines w:val="0"/>
        <w:pageBreakBefore w:val="0"/>
        <w:widowControl/>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1.4造价咨询服务范围：</w:t>
      </w:r>
      <w:r>
        <w:rPr>
          <w:rFonts w:hint="eastAsia" w:ascii="宋体" w:hAnsi="宋体" w:cs="宋体"/>
          <w:color w:val="auto"/>
          <w:kern w:val="0"/>
          <w:sz w:val="24"/>
          <w:szCs w:val="24"/>
          <w:highlight w:val="none"/>
          <w:lang w:eastAsia="zh-CN"/>
        </w:rPr>
        <w:t>岭头公司旧村全面改造</w:t>
      </w:r>
      <w:r>
        <w:rPr>
          <w:rFonts w:hint="eastAsia" w:ascii="宋体" w:hAnsi="宋体" w:eastAsia="宋体" w:cs="宋体"/>
          <w:color w:val="auto"/>
          <w:kern w:val="0"/>
          <w:sz w:val="24"/>
          <w:szCs w:val="24"/>
          <w:highlight w:val="none"/>
        </w:rPr>
        <w:t>项目周边市政道路及配套、地质灾害配套防治工程全过程造价咨询服务，包括但不限于</w:t>
      </w:r>
      <w:r>
        <w:rPr>
          <w:rFonts w:hint="eastAsia" w:ascii="宋体" w:hAnsi="宋体" w:cs="宋体"/>
          <w:color w:val="auto"/>
          <w:kern w:val="0"/>
          <w:sz w:val="24"/>
          <w:szCs w:val="24"/>
          <w:highlight w:val="none"/>
          <w:lang w:eastAsia="zh-CN"/>
        </w:rPr>
        <w:t>岭头公司旧村全面改造</w:t>
      </w:r>
      <w:r>
        <w:rPr>
          <w:rFonts w:hint="eastAsia" w:ascii="宋体" w:hAnsi="宋体" w:eastAsia="宋体" w:cs="宋体"/>
          <w:color w:val="auto"/>
          <w:kern w:val="0"/>
          <w:sz w:val="24"/>
          <w:szCs w:val="24"/>
          <w:highlight w:val="none"/>
        </w:rPr>
        <w:t>项目周边市政道路及配套、地质灾害配套防治工程整体投资估算的调整、</w:t>
      </w:r>
      <w:r>
        <w:rPr>
          <w:rFonts w:hint="eastAsia" w:ascii="宋体" w:hAnsi="宋体" w:cs="宋体"/>
          <w:color w:val="auto"/>
          <w:kern w:val="0"/>
          <w:sz w:val="24"/>
          <w:szCs w:val="24"/>
          <w:highlight w:val="none"/>
          <w:lang w:val="en-US" w:eastAsia="zh-CN"/>
        </w:rPr>
        <w:t>编审</w:t>
      </w:r>
      <w:r>
        <w:rPr>
          <w:rFonts w:hint="eastAsia" w:ascii="宋体" w:hAnsi="宋体" w:eastAsia="宋体" w:cs="宋体"/>
          <w:color w:val="auto"/>
          <w:kern w:val="0"/>
          <w:sz w:val="24"/>
          <w:szCs w:val="24"/>
          <w:highlight w:val="none"/>
        </w:rPr>
        <w:t>概算、及过程动态成本盘点、招标控制价及工程量清单、施工图预算，评标结果复核、工程结算审核，以及审核施工工程进度款，设计变更、现场签证审核等工作。</w:t>
      </w:r>
    </w:p>
    <w:p w14:paraId="77803C2E">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工作内容包括但不限于以下内容：</w:t>
      </w:r>
    </w:p>
    <w:p w14:paraId="5EE42880">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（1）对</w:t>
      </w:r>
      <w:r>
        <w:rPr>
          <w:rFonts w:hint="eastAsia" w:ascii="宋体" w:hAnsi="宋体" w:cs="宋体"/>
          <w:color w:val="auto"/>
          <w:kern w:val="0"/>
          <w:sz w:val="24"/>
          <w:szCs w:val="24"/>
          <w:highlight w:val="none"/>
          <w:lang w:eastAsia="zh-CN"/>
        </w:rPr>
        <w:t>岭头公司旧村全面改造</w:t>
      </w:r>
      <w:r>
        <w:rPr>
          <w:rFonts w:hint="eastAsia" w:ascii="宋体" w:hAnsi="宋体" w:eastAsia="宋体" w:cs="宋体"/>
          <w:color w:val="auto"/>
          <w:kern w:val="0"/>
          <w:sz w:val="24"/>
          <w:szCs w:val="24"/>
          <w:highlight w:val="none"/>
        </w:rPr>
        <w:t>项目周边市政道路及配套、地质灾害配套防治工程的工程费估算进行编制或审核。</w:t>
      </w:r>
    </w:p>
    <w:p w14:paraId="711CEA26">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（2）设计阶段：</w:t>
      </w:r>
    </w:p>
    <w:p w14:paraId="4D559D3E">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strike w:val="0"/>
          <w:color w:val="auto"/>
          <w:kern w:val="0"/>
          <w:sz w:val="24"/>
          <w:szCs w:val="24"/>
          <w:highlight w:val="none"/>
        </w:rPr>
      </w:pPr>
      <w:r>
        <w:rPr>
          <w:rFonts w:hint="eastAsia" w:ascii="宋体" w:hAnsi="宋体" w:eastAsia="宋体" w:cs="宋体"/>
          <w:strike w:val="0"/>
          <w:color w:val="auto"/>
          <w:kern w:val="0"/>
          <w:sz w:val="24"/>
          <w:szCs w:val="24"/>
          <w:highlight w:val="none"/>
        </w:rPr>
        <w:t>①</w:t>
      </w:r>
      <w:r>
        <w:rPr>
          <w:rFonts w:hint="eastAsia" w:ascii="宋体" w:hAnsi="宋体" w:cs="宋体"/>
          <w:strike w:val="0"/>
          <w:color w:val="auto"/>
          <w:kern w:val="0"/>
          <w:sz w:val="24"/>
          <w:szCs w:val="24"/>
          <w:highlight w:val="none"/>
          <w:lang w:val="en-US" w:eastAsia="zh-CN"/>
        </w:rPr>
        <w:t>编审</w:t>
      </w:r>
      <w:r>
        <w:rPr>
          <w:rFonts w:hint="eastAsia" w:ascii="宋体" w:hAnsi="宋体" w:eastAsia="宋体" w:cs="宋体"/>
          <w:strike w:val="0"/>
          <w:color w:val="auto"/>
          <w:kern w:val="0"/>
          <w:sz w:val="24"/>
          <w:szCs w:val="24"/>
          <w:highlight w:val="none"/>
        </w:rPr>
        <w:t>初步设计概算，按时提交</w:t>
      </w:r>
      <w:r>
        <w:rPr>
          <w:rFonts w:hint="eastAsia" w:ascii="宋体" w:hAnsi="宋体" w:cs="宋体"/>
          <w:strike w:val="0"/>
          <w:color w:val="auto"/>
          <w:kern w:val="0"/>
          <w:sz w:val="24"/>
          <w:szCs w:val="24"/>
          <w:highlight w:val="none"/>
          <w:lang w:val="en-US" w:eastAsia="zh-CN"/>
        </w:rPr>
        <w:t>成果文件</w:t>
      </w:r>
      <w:r>
        <w:rPr>
          <w:rFonts w:hint="eastAsia" w:ascii="宋体" w:hAnsi="宋体" w:eastAsia="宋体" w:cs="宋体"/>
          <w:strike w:val="0"/>
          <w:color w:val="auto"/>
          <w:kern w:val="0"/>
          <w:sz w:val="24"/>
          <w:szCs w:val="24"/>
          <w:highlight w:val="none"/>
        </w:rPr>
        <w:t>、调整意见及合理化建议；</w:t>
      </w:r>
    </w:p>
    <w:p w14:paraId="05E8BE52">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②根据委托人要求进行方案比选及测算，提交合理化建议；</w:t>
      </w:r>
    </w:p>
    <w:p w14:paraId="4300185C">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③参加图纸会审，根据委托人要求提供造价方面的专业意见；</w:t>
      </w:r>
    </w:p>
    <w:p w14:paraId="09AC6D50">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④提供建筑材料、设备造价方面的选择意见，控制投资成本；</w:t>
      </w:r>
    </w:p>
    <w:p w14:paraId="240202AD">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⑤提供类似项目的建筑标准及参考造价供委托人参考，配合委托人修改、确定建筑标准；</w:t>
      </w:r>
    </w:p>
    <w:p w14:paraId="4A56DDDE">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⑥若限额指标超限，承包方应及时分析偏差原因，提出造价节省建议；</w:t>
      </w:r>
    </w:p>
    <w:p w14:paraId="69958D4C">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strike w:val="0"/>
          <w:color w:val="auto"/>
          <w:kern w:val="0"/>
          <w:sz w:val="24"/>
          <w:szCs w:val="24"/>
          <w:highlight w:val="none"/>
        </w:rPr>
      </w:pPr>
      <w:r>
        <w:rPr>
          <w:rFonts w:hint="eastAsia" w:ascii="宋体" w:hAnsi="宋体" w:eastAsia="宋体" w:cs="宋体"/>
          <w:strike w:val="0"/>
          <w:color w:val="auto"/>
          <w:kern w:val="0"/>
          <w:sz w:val="24"/>
          <w:szCs w:val="24"/>
          <w:highlight w:val="none"/>
        </w:rPr>
        <w:t>⑦若概算（建安费）超出工程费估算，承包方应及时分析偏差原因，提出造价节省建议；</w:t>
      </w:r>
    </w:p>
    <w:p w14:paraId="568E6447">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⑧根据委托人需要，提出、评估和报告不同的建筑形式、施工方法、建筑材料和设备对工程造价的影响；</w:t>
      </w:r>
    </w:p>
    <w:p w14:paraId="538989D1">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⑨当设计单位更新此阶段的图纸版本后，承包方应重复上述工作，直至此阶段最终图纸之设计造价满足委托人成本控制要求；</w:t>
      </w:r>
    </w:p>
    <w:p w14:paraId="0D5794FC">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⑩按委托人要求出席相应的设计协调会及专家论证会，就设计的经济性发表独立的专业意见；</w:t>
      </w:r>
    </w:p>
    <w:p w14:paraId="648764D5">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⑪根据委托人要求，提供设计阶段的其他相关服务。</w:t>
      </w:r>
    </w:p>
    <w:p w14:paraId="791704A5">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（3）招标阶段：</w:t>
      </w:r>
    </w:p>
    <w:p w14:paraId="1D6933B8">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根据招标图纸、招标文件及委托人需求，按委托人要求编制招标项目各专业的工程量清单及招标控制价，如有需要，需配合委托人按广州市建设主管部门及造价管理部门的有关要求完成招标控制价网上备案手续等工作；开标后根据工程的实际需要及委托人要求，对中标单位投标报价文件进行全面复核并提供复核报告；审核招标文件，提交相关计价、计量、支付、索赔等投资控制条款，按时提交审核报告、调整意见及合理化建议。服务期开始时招标控制价已完成审批的项目除外。</w:t>
      </w:r>
    </w:p>
    <w:p w14:paraId="4947AE4D">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施工阶段：作为独立的一方，做好施工过程所产生的工程量和费用的审核工作，根据施工图及招、投标文件、施工合同审核工程进度款、计算工程实物量、参与材料设备的询价、审核工程变更及签证、与工程承包单位、材料设备供应单位洽谈索赔事项、建立管理台帐等进行动态造价控制。</w:t>
      </w:r>
    </w:p>
    <w:p w14:paraId="67777E7E">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①调整项目总体投资进度计划，根据实际进度与每月实际投资和计划投资作分析比较，分析成本超支的原因和修正项目投资进度计划；  </w:t>
      </w:r>
    </w:p>
    <w:p w14:paraId="4714E690">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②协助委托人制定工程成本控制方案，包括合同管理、工程变更程序、工程款支付程序等管理方案； </w:t>
      </w:r>
    </w:p>
    <w:p w14:paraId="7ECCB4C6">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③协助委托人处理合同变更，包括合同变更谈判、变更的处理程序，检查变更措施的落实情况；    </w:t>
      </w:r>
    </w:p>
    <w:p w14:paraId="3D702C16">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④协助委托人处理合同的索赔，维护委托人的合法权益，防止索赔事件的发生；对收到的承包方的索赔报告进行审查分析，收集索赔理由和证据，复核索赔值，起草并提出反索赔报告；调解合同争端，在仲裁过程中提供合法的依据；   </w:t>
      </w:r>
    </w:p>
    <w:p w14:paraId="7E74FD3F">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⑤负责审核施工单位的施工图预算、施工现场的工程量计量、工程变更工程量及价款、现场签证工程量及价款、工程联系单工程量及价款；搜集月度材料信息，编制/审核月度工程量及材差价款；现场签证涉及造价，就工程变更所发生的工程量及时进行签认。就提出的工程变更（包括：图纸会审、图纸修改、工程洽商等）对造价造成的影响提交较准确的计算分析。协助委托人就工程变更涉及的价款与施工方协商，确认变更价款； </w:t>
      </w:r>
    </w:p>
    <w:p w14:paraId="6FCC59DD">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⑥负责审核施工工程进度款，对施工单位提出每期进度款进行准确的审核。做到每期的月进度款审核即为每期实际工程量的阶段性施工结算审核，为竣工结算审核提供准确的结算依据；    </w:t>
      </w:r>
    </w:p>
    <w:p w14:paraId="123EF7C0">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⑦负责定期收集和整理有关设备材料的市场价格动态信息并提供给委托人，对施工方案、材料选用提供尽可能节省成本的建议，如发生设计变更、材料或设备价格的浮动等，及时向委托人提供书面意见；    </w:t>
      </w:r>
    </w:p>
    <w:p w14:paraId="7119A829">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⑧每月提交一份工程成本控制报告。根据截止至当月所签订的施工合同、完成的工程量、确认的变更、确认的材料设备的价格及材料设备价格的走势等资料对项目的最终造价进行预测；    </w:t>
      </w:r>
    </w:p>
    <w:p w14:paraId="43B5BA73">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⑨按委托人要求参与施工现场工程例会、图纸会审及与投资控制有关的专题会等；</w:t>
      </w:r>
    </w:p>
    <w:p w14:paraId="5C4440D3">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⑩审核所有涉及造价的工程技术文件并分析造价影响；</w:t>
      </w:r>
    </w:p>
    <w:p w14:paraId="01CDD360">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⑪项目负责人（或项目负责人委派专业负责人）须按时参加每周的监理例会；</w:t>
      </w:r>
    </w:p>
    <w:p w14:paraId="4B76E0A7">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⑫负责过程动态成本盘点（每月一次）</w:t>
      </w:r>
    </w:p>
    <w:p w14:paraId="4379149D">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（5）竣工结算阶段：配合搜集和整理结算依据资料，负责各项工程竣工结算的审核工作，编制建设工程竣工结算报告、竣工项目可行性后评估分析，确保结算报告的完整性、合理性、正确性。</w:t>
      </w:r>
    </w:p>
    <w:p w14:paraId="178E46C1">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①负责各阶段已完成工程的结算审核；在收到项目承包单位提交的完整工程竣工（完工）结算资料后1个月内予以审核并提出完整的核实意见，如有必要需与项目承包单位进行对数确认。3个月内完成项目工程结算审核，如有特殊情况经委托人书面同意后可以延长审核期；②在结算完成15个工作日内提交工程造价后评估报告，包括对项目及实施过程的描述、概算、预算、合同价结算价进行比较，对各阶段时期的造价对比分析，按每完成一个节点出一个分析报告，对产生差异的原因及投资控制的效果进行分析。</w:t>
      </w:r>
    </w:p>
    <w:p w14:paraId="2207A517">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（6）决算阶段：配合搜集和整理决算依据资料，配合完成本项目投资控制管理建档工作。</w:t>
      </w:r>
    </w:p>
    <w:p w14:paraId="21EA3BA0">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（7）审计阶段：配合审计部门的工程造价审计工作等相关配合服务工作，配合财务工作。</w:t>
      </w:r>
    </w:p>
    <w:p w14:paraId="5E826445">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（8）负责在规定的服务周期内完成项目或工程的前期费用、工程相关费等费用的预算价编制、进度款审核和结算价审核工作。</w:t>
      </w:r>
    </w:p>
    <w:p w14:paraId="117D3599">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①前期费用包括但不限于：前期咨询费、勘察、设计费、土方地形图和控制点费用、七通一平工程费、清表费用、前期服务费、临时设施建造费（施工围墙）等；</w:t>
      </w:r>
    </w:p>
    <w:p w14:paraId="0246F4CF">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②工程相关费包括但不限于监理费、专项检测费、监测费、材料检验试验费、面积测绘等。</w:t>
      </w:r>
    </w:p>
    <w:p w14:paraId="07C30EBA">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（9）承包方提交的所有造价文件格式均需满足委托人的要求。</w:t>
      </w:r>
    </w:p>
    <w:p w14:paraId="5F835BE6">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（10）须提供委托人交代的其他造价咨询服务及投资控制事项（含司法鉴定服务）。</w:t>
      </w:r>
    </w:p>
    <w:p w14:paraId="1270286F">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（11）承包方须按委托人要求指派项目负责人（注册造价工程师或注册一级造价工程师）定期到项目现场进行沟通对接，以一星期为一周期，每星期不少于一天(8小时)。</w:t>
      </w:r>
    </w:p>
    <w:p w14:paraId="18FF86ED">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（12）负责建立合同、付款、变更签证、预结算等管理台帐。</w:t>
      </w:r>
    </w:p>
    <w:p w14:paraId="5A3F7133">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（13）向委托人提出专业性建议并提供相关的服务，协助委托人解决合同纠纷。</w:t>
      </w:r>
    </w:p>
    <w:p w14:paraId="1D897E7E">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14）对于发生的变更、签证、索赔、反索赔等情况及时与监理单位、委托人进行现场核实，及时进行预估、核算、核对，做到整个过程记录清楚，依据充分，计算清晰，结果明确。因承包方对现场发生情况没有及时解决而造成工程造价不完整，结算有争议，给委托人带来损失，由承包方承担相应的违约责任及损失赔偿责任。</w:t>
      </w:r>
    </w:p>
    <w:p w14:paraId="6ABD3DDA">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rPr>
          <w:rFonts w:hint="eastAsia"/>
          <w:color w:val="auto"/>
          <w:highlight w:val="none"/>
        </w:rPr>
      </w:pPr>
      <w:r>
        <w:rPr>
          <w:rFonts w:hint="eastAsia" w:ascii="宋体" w:hAnsi="宋体" w:eastAsia="宋体" w:cs="宋体"/>
          <w:color w:val="auto"/>
          <w:kern w:val="0"/>
          <w:sz w:val="24"/>
          <w:szCs w:val="24"/>
          <w:highlight w:val="none"/>
        </w:rPr>
        <w:t>（15）根据委托人要求，提供其他相关服务。</w:t>
      </w:r>
    </w:p>
    <w:p w14:paraId="23123FDC">
      <w:pPr>
        <w:pStyle w:val="15"/>
        <w:keepNext w:val="0"/>
        <w:keepLines w:val="0"/>
        <w:pageBreakBefore w:val="0"/>
        <w:tabs>
          <w:tab w:val="left" w:pos="0"/>
        </w:tabs>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kern w:val="0"/>
          <w:sz w:val="24"/>
          <w:szCs w:val="24"/>
          <w:highlight w:val="none"/>
        </w:rPr>
        <w:t>第二条  编制的依据</w:t>
      </w:r>
    </w:p>
    <w:p w14:paraId="0EA6747D">
      <w:pPr>
        <w:pStyle w:val="15"/>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2.1国家和地方现行的有关工程建设的法律、政策、规范及标准、定额；</w:t>
      </w:r>
    </w:p>
    <w:p w14:paraId="0BA37587">
      <w:pPr>
        <w:pStyle w:val="15"/>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2.2甲方提供的工程施工图纸及相关资料；</w:t>
      </w:r>
    </w:p>
    <w:p w14:paraId="70812D20">
      <w:pPr>
        <w:pStyle w:val="15"/>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2.3造价咨询服务招标文件及</w:t>
      </w:r>
      <w:r>
        <w:rPr>
          <w:rFonts w:hint="eastAsia" w:ascii="宋体" w:hAnsi="宋体" w:eastAsia="宋体" w:cs="宋体"/>
          <w:color w:val="auto"/>
          <w:sz w:val="24"/>
          <w:szCs w:val="24"/>
          <w:highlight w:val="none"/>
        </w:rPr>
        <w:t>本合同</w:t>
      </w:r>
      <w:r>
        <w:rPr>
          <w:rFonts w:hint="eastAsia" w:ascii="宋体" w:hAnsi="宋体" w:eastAsia="宋体" w:cs="宋体"/>
          <w:color w:val="auto"/>
          <w:kern w:val="0"/>
          <w:sz w:val="24"/>
          <w:szCs w:val="24"/>
          <w:highlight w:val="none"/>
        </w:rPr>
        <w:t>；</w:t>
      </w:r>
    </w:p>
    <w:p w14:paraId="73D3C5F4">
      <w:pPr>
        <w:pStyle w:val="15"/>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color w:val="auto"/>
          <w:highlight w:val="none"/>
        </w:rPr>
      </w:pPr>
      <w:r>
        <w:rPr>
          <w:rFonts w:hint="eastAsia" w:ascii="宋体" w:hAnsi="宋体" w:eastAsia="宋体" w:cs="宋体"/>
          <w:color w:val="auto"/>
          <w:sz w:val="24"/>
          <w:szCs w:val="24"/>
          <w:highlight w:val="none"/>
        </w:rPr>
        <w:t>2.4甲方有关造价编审指引规定。</w:t>
      </w:r>
    </w:p>
    <w:p w14:paraId="188F42AA">
      <w:pPr>
        <w:pStyle w:val="15"/>
        <w:keepNext w:val="0"/>
        <w:keepLines w:val="0"/>
        <w:pageBreakBefore w:val="0"/>
        <w:tabs>
          <w:tab w:val="left" w:pos="900"/>
          <w:tab w:val="left" w:pos="1260"/>
        </w:tabs>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第三条  甲方的权利和义务</w:t>
      </w:r>
    </w:p>
    <w:p w14:paraId="6E266BF6">
      <w:pPr>
        <w:pStyle w:val="15"/>
        <w:keepNext w:val="0"/>
        <w:keepLines w:val="0"/>
        <w:pageBreakBefore w:val="0"/>
        <w:tabs>
          <w:tab w:val="left" w:pos="900"/>
          <w:tab w:val="left" w:pos="1260"/>
        </w:tabs>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3.1 向乙方提供工程施工图纸以及有关资料,并保证</w:t>
      </w:r>
      <w:r>
        <w:rPr>
          <w:rFonts w:hint="eastAsia" w:ascii="宋体" w:hAnsi="宋体" w:eastAsia="宋体" w:cs="宋体"/>
          <w:color w:val="auto"/>
          <w:sz w:val="24"/>
          <w:szCs w:val="24"/>
          <w:highlight w:val="none"/>
        </w:rPr>
        <w:t>所提供的</w:t>
      </w:r>
      <w:r>
        <w:rPr>
          <w:rFonts w:hint="eastAsia" w:ascii="宋体" w:hAnsi="宋体" w:eastAsia="宋体" w:cs="宋体"/>
          <w:color w:val="auto"/>
          <w:kern w:val="0"/>
          <w:sz w:val="24"/>
          <w:szCs w:val="24"/>
          <w:highlight w:val="none"/>
        </w:rPr>
        <w:t>资料的准确、完整、合法性；</w:t>
      </w:r>
    </w:p>
    <w:p w14:paraId="373FB525">
      <w:pPr>
        <w:pStyle w:val="15"/>
        <w:keepNext w:val="0"/>
        <w:keepLines w:val="0"/>
        <w:pageBreakBefore w:val="0"/>
        <w:tabs>
          <w:tab w:val="left" w:pos="900"/>
          <w:tab w:val="left" w:pos="1260"/>
        </w:tabs>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w:t>
      </w: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sz w:val="24"/>
          <w:szCs w:val="24"/>
          <w:highlight w:val="none"/>
        </w:rPr>
        <w:t>负责编制工作的外部关系的协调</w:t>
      </w:r>
      <w:r>
        <w:rPr>
          <w:rFonts w:hint="eastAsia" w:ascii="宋体" w:hAnsi="宋体" w:eastAsia="宋体" w:cs="宋体"/>
          <w:color w:val="auto"/>
          <w:kern w:val="0"/>
          <w:sz w:val="24"/>
          <w:szCs w:val="24"/>
          <w:highlight w:val="none"/>
        </w:rPr>
        <w:t>；</w:t>
      </w:r>
    </w:p>
    <w:p w14:paraId="58202343">
      <w:pPr>
        <w:pStyle w:val="17"/>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3.3</w:t>
      </w:r>
      <w:r>
        <w:rPr>
          <w:rFonts w:hint="eastAsia" w:ascii="宋体" w:hAnsi="宋体" w:eastAsia="宋体" w:cs="宋体"/>
          <w:color w:val="auto"/>
          <w:sz w:val="24"/>
          <w:szCs w:val="24"/>
          <w:highlight w:val="none"/>
        </w:rPr>
        <w:t>应授权一名熟悉本工程情况、能迅速做出决定的代表，负责与乙方单位联系；</w:t>
      </w:r>
    </w:p>
    <w:p w14:paraId="5B22E201">
      <w:pPr>
        <w:pStyle w:val="17"/>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3.4有权</w:t>
      </w:r>
      <w:r>
        <w:rPr>
          <w:rFonts w:hint="eastAsia" w:ascii="宋体" w:hAnsi="宋体" w:eastAsia="宋体" w:cs="宋体"/>
          <w:color w:val="auto"/>
          <w:sz w:val="24"/>
          <w:szCs w:val="24"/>
          <w:highlight w:val="none"/>
        </w:rPr>
        <w:t>要求乙方更换不称职的编制人员及驻场人员，乙方不予更换或更换后仍不称职的，甲方有权终止合同，</w:t>
      </w:r>
      <w:r>
        <w:rPr>
          <w:rFonts w:hint="eastAsia" w:ascii="宋体" w:hAnsi="宋体" w:eastAsia="宋体" w:cs="宋体"/>
          <w:color w:val="auto"/>
          <w:kern w:val="0"/>
          <w:sz w:val="24"/>
          <w:szCs w:val="24"/>
          <w:highlight w:val="none"/>
        </w:rPr>
        <w:t>并要求乙方承担相应的赔偿责任；</w:t>
      </w:r>
    </w:p>
    <w:p w14:paraId="78132667">
      <w:pPr>
        <w:pStyle w:val="17"/>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3.5根据乙方业务表现进行考核和管理。</w:t>
      </w:r>
    </w:p>
    <w:p w14:paraId="473466B2">
      <w:pPr>
        <w:pStyle w:val="15"/>
        <w:keepNext w:val="0"/>
        <w:keepLines w:val="0"/>
        <w:pageBreakBefore w:val="0"/>
        <w:tabs>
          <w:tab w:val="left" w:pos="900"/>
          <w:tab w:val="left" w:pos="1260"/>
        </w:tabs>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第四条  乙方的权利和义务</w:t>
      </w:r>
    </w:p>
    <w:p w14:paraId="6CB0EA70">
      <w:pPr>
        <w:pStyle w:val="15"/>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4.1根据国家和地方现行的工程建设相关政策、规范及</w:t>
      </w:r>
      <w:r>
        <w:rPr>
          <w:rFonts w:hint="eastAsia" w:ascii="宋体" w:hAnsi="宋体" w:eastAsia="宋体" w:cs="宋体"/>
          <w:color w:val="auto"/>
          <w:sz w:val="24"/>
          <w:szCs w:val="24"/>
          <w:highlight w:val="none"/>
        </w:rPr>
        <w:t>甲方提供的</w:t>
      </w:r>
      <w:r>
        <w:rPr>
          <w:rFonts w:hint="eastAsia" w:ascii="宋体" w:hAnsi="宋体" w:eastAsia="宋体" w:cs="宋体"/>
          <w:color w:val="auto"/>
          <w:kern w:val="0"/>
          <w:sz w:val="24"/>
          <w:szCs w:val="24"/>
          <w:highlight w:val="none"/>
        </w:rPr>
        <w:t>施工图纸等资料</w:t>
      </w:r>
      <w:r>
        <w:rPr>
          <w:rFonts w:hint="eastAsia" w:ascii="宋体" w:hAnsi="宋体" w:eastAsia="宋体" w:cs="宋体"/>
          <w:color w:val="auto"/>
          <w:sz w:val="24"/>
          <w:szCs w:val="24"/>
          <w:highlight w:val="none"/>
        </w:rPr>
        <w:t>，完成本合同第1.4条约定的工作内容；</w:t>
      </w:r>
    </w:p>
    <w:p w14:paraId="7DC89EA6">
      <w:pPr>
        <w:pStyle w:val="18"/>
        <w:keepNext w:val="0"/>
        <w:keepLines w:val="0"/>
        <w:pageBreakBefore w:val="0"/>
        <w:kinsoku/>
        <w:wordWrap/>
        <w:overflowPunct/>
        <w:topLinePunct w:val="0"/>
        <w:autoSpaceDE/>
        <w:autoSpaceDN/>
        <w:bidi w:val="0"/>
        <w:adjustRightInd/>
        <w:spacing w:line="360" w:lineRule="auto"/>
        <w:ind w:firstLine="480" w:firstLineChars="200"/>
        <w:jc w:val="both"/>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4.2乙方负责本项目的编制人员及驻场人员必须是本单位专职人员，具有较高的业务素质和职业操守，能够保质保量的完成造价咨询任务及切实维护甲方的权益；</w:t>
      </w:r>
    </w:p>
    <w:p w14:paraId="358355CF">
      <w:pPr>
        <w:pStyle w:val="18"/>
        <w:keepNext w:val="0"/>
        <w:keepLines w:val="0"/>
        <w:pageBreakBefore w:val="0"/>
        <w:kinsoku/>
        <w:wordWrap/>
        <w:overflowPunct/>
        <w:topLinePunct w:val="0"/>
        <w:autoSpaceDE/>
        <w:autoSpaceDN/>
        <w:bidi w:val="0"/>
        <w:adjustRightInd/>
        <w:spacing w:line="360" w:lineRule="auto"/>
        <w:ind w:firstLine="480" w:firstLineChars="200"/>
        <w:jc w:val="both"/>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4.3应授权一名熟悉本工程情况、能迅速做出决定的项目负责人，负责与甲方及其他项目承包单位联系；</w:t>
      </w:r>
    </w:p>
    <w:p w14:paraId="133569FD">
      <w:pPr>
        <w:pStyle w:val="19"/>
        <w:keepNext w:val="0"/>
        <w:keepLines w:val="0"/>
        <w:pageBreakBefore w:val="0"/>
        <w:kinsoku/>
        <w:wordWrap/>
        <w:overflowPunct/>
        <w:topLinePunct w:val="0"/>
        <w:autoSpaceDE/>
        <w:autoSpaceDN/>
        <w:bidi w:val="0"/>
        <w:adjustRightInd/>
        <w:spacing w:line="360" w:lineRule="auto"/>
        <w:ind w:firstLine="480" w:firstLineChars="200"/>
        <w:jc w:val="both"/>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 xml:space="preserve">    4.4乙方对造价咨询业务中的各种数据和资料必须严格保密，不得擅自引用、发表或提供给第三者，否则甲方有权要求乙方承担相应的赔偿责任；</w:t>
      </w:r>
    </w:p>
    <w:p w14:paraId="4048563E">
      <w:pPr>
        <w:pStyle w:val="15"/>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4.5乙方取得造价咨询后，不得转包或分包；</w:t>
      </w:r>
    </w:p>
    <w:p w14:paraId="6C796EBE">
      <w:pPr>
        <w:pStyle w:val="15"/>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color w:val="auto"/>
          <w:highlight w:val="none"/>
        </w:rPr>
      </w:pPr>
      <w:r>
        <w:rPr>
          <w:rFonts w:hint="eastAsia" w:ascii="宋体" w:hAnsi="宋体" w:eastAsia="宋体" w:cs="宋体"/>
          <w:color w:val="auto"/>
          <w:kern w:val="0"/>
          <w:sz w:val="24"/>
          <w:szCs w:val="24"/>
          <w:highlight w:val="none"/>
        </w:rPr>
        <w:t>4.6</w:t>
      </w:r>
      <w:r>
        <w:rPr>
          <w:rFonts w:hint="eastAsia" w:ascii="宋体" w:hAnsi="宋体" w:eastAsia="宋体" w:cs="宋体"/>
          <w:color w:val="auto"/>
          <w:sz w:val="24"/>
          <w:szCs w:val="24"/>
          <w:highlight w:val="none"/>
        </w:rPr>
        <w:t>乙方必须遵守甲方有关造价管理规定，接受甲方的考核及管理。</w:t>
      </w:r>
    </w:p>
    <w:p w14:paraId="7EBC9214">
      <w:pPr>
        <w:pStyle w:val="15"/>
        <w:keepNext w:val="0"/>
        <w:keepLines w:val="0"/>
        <w:pageBreakBefore w:val="0"/>
        <w:tabs>
          <w:tab w:val="left" w:pos="720"/>
        </w:tabs>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xml:space="preserve">第五条  造价咨询工作期限及成果要求    </w:t>
      </w:r>
    </w:p>
    <w:p w14:paraId="1513D23F">
      <w:pPr>
        <w:keepNext w:val="0"/>
        <w:keepLines w:val="0"/>
        <w:pageBreakBefore w:val="0"/>
        <w:tabs>
          <w:tab w:val="left" w:pos="720"/>
        </w:tabs>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5.1</w:t>
      </w:r>
      <w:r>
        <w:rPr>
          <w:rFonts w:hint="eastAsia" w:ascii="宋体" w:hAnsi="宋体" w:eastAsia="宋体" w:cs="宋体"/>
          <w:color w:val="auto"/>
          <w:sz w:val="24"/>
          <w:szCs w:val="24"/>
          <w:highlight w:val="none"/>
        </w:rPr>
        <w:t>工作期限</w:t>
      </w:r>
      <w:r>
        <w:rPr>
          <w:rFonts w:hint="eastAsia" w:ascii="宋体" w:hAnsi="宋体" w:eastAsia="宋体" w:cs="宋体"/>
          <w:b/>
          <w:bCs/>
          <w:color w:val="auto"/>
          <w:kern w:val="0"/>
          <w:sz w:val="24"/>
          <w:szCs w:val="24"/>
          <w:highlight w:val="none"/>
        </w:rPr>
        <w:t>：</w:t>
      </w:r>
      <w:r>
        <w:rPr>
          <w:rFonts w:hint="eastAsia" w:ascii="宋体" w:hAnsi="宋体" w:eastAsia="宋体" w:cs="宋体"/>
          <w:color w:val="auto"/>
          <w:sz w:val="24"/>
          <w:szCs w:val="24"/>
          <w:highlight w:val="none"/>
        </w:rPr>
        <w:t>合同签订之日起至委托的工作内容全部完成为止。</w:t>
      </w:r>
    </w:p>
    <w:p w14:paraId="3907CB03">
      <w:pPr>
        <w:pStyle w:val="15"/>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5.2成果文件的构成必须清晰、便于核对，对工程量较大和主要的部位要加以说明。成果文件由经办人签名，并加盖咨询单位法人公章，不允许使用业务章。</w:t>
      </w:r>
    </w:p>
    <w:p w14:paraId="2613F44E">
      <w:pPr>
        <w:pStyle w:val="13"/>
        <w:keepNext w:val="0"/>
        <w:keepLines w:val="0"/>
        <w:pageBreakBefore w:val="0"/>
        <w:kinsoku/>
        <w:wordWrap/>
        <w:overflowPunct/>
        <w:topLinePunct w:val="0"/>
        <w:autoSpaceDE/>
        <w:autoSpaceDN/>
        <w:bidi w:val="0"/>
        <w:adjustRightInd/>
        <w:spacing w:after="0" w:afterLines="0" w:line="360" w:lineRule="auto"/>
        <w:ind w:left="0" w:leftChars="0"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5.3工作时限的整体要求：下述工作时限要求仅作为一般性的最低要求，乙方须根据甲方届时的具体要求，采取各种赶工措施（包括加班加点，增派人手等），确保能够按照甲方规定的时限来完成工作并提交成果文件。</w:t>
      </w:r>
    </w:p>
    <w:tbl>
      <w:tblPr>
        <w:tblStyle w:val="10"/>
        <w:tblW w:w="8975" w:type="dxa"/>
        <w:jc w:val="right"/>
        <w:tblLayout w:type="fixed"/>
        <w:tblCellMar>
          <w:top w:w="0" w:type="dxa"/>
          <w:left w:w="0" w:type="dxa"/>
          <w:bottom w:w="0" w:type="dxa"/>
          <w:right w:w="0" w:type="dxa"/>
        </w:tblCellMar>
      </w:tblPr>
      <w:tblGrid>
        <w:gridCol w:w="484"/>
        <w:gridCol w:w="957"/>
        <w:gridCol w:w="1540"/>
        <w:gridCol w:w="2850"/>
        <w:gridCol w:w="3144"/>
      </w:tblGrid>
      <w:tr w14:paraId="0A2F56F3">
        <w:tblPrEx>
          <w:tblCellMar>
            <w:top w:w="0" w:type="dxa"/>
            <w:left w:w="0" w:type="dxa"/>
            <w:bottom w:w="0" w:type="dxa"/>
            <w:right w:w="0" w:type="dxa"/>
          </w:tblCellMar>
        </w:tblPrEx>
        <w:trPr>
          <w:trHeight w:val="560" w:hRule="atLeast"/>
          <w:jc w:val="right"/>
        </w:trPr>
        <w:tc>
          <w:tcPr>
            <w:tcW w:w="8975" w:type="dxa"/>
            <w:gridSpan w:val="5"/>
            <w:tcBorders>
              <w:top w:val="nil"/>
              <w:left w:val="nil"/>
              <w:bottom w:val="nil"/>
              <w:right w:val="nil"/>
            </w:tcBorders>
            <w:noWrap/>
            <w:tcMar>
              <w:top w:w="15" w:type="dxa"/>
              <w:left w:w="15" w:type="dxa"/>
              <w:right w:w="15" w:type="dxa"/>
            </w:tcMar>
            <w:vAlign w:val="center"/>
          </w:tcPr>
          <w:p w14:paraId="04ED742C">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工作时限要求</w:t>
            </w:r>
          </w:p>
        </w:tc>
      </w:tr>
      <w:tr w14:paraId="5C2532E7">
        <w:tblPrEx>
          <w:tblCellMar>
            <w:top w:w="0" w:type="dxa"/>
            <w:left w:w="0" w:type="dxa"/>
            <w:bottom w:w="0" w:type="dxa"/>
            <w:right w:w="0" w:type="dxa"/>
          </w:tblCellMar>
        </w:tblPrEx>
        <w:trPr>
          <w:trHeight w:val="480" w:hRule="atLeast"/>
          <w:jc w:val="right"/>
        </w:trPr>
        <w:tc>
          <w:tcPr>
            <w:tcW w:w="4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DD7D85B">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序号</w:t>
            </w:r>
          </w:p>
        </w:tc>
        <w:tc>
          <w:tcPr>
            <w:tcW w:w="9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970D968">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工作阶段</w:t>
            </w:r>
          </w:p>
        </w:tc>
        <w:tc>
          <w:tcPr>
            <w:tcW w:w="1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02E27A8">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工作提交成果</w:t>
            </w:r>
          </w:p>
        </w:tc>
        <w:tc>
          <w:tcPr>
            <w:tcW w:w="28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46DAE9D">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提交成果时限要求</w:t>
            </w:r>
          </w:p>
        </w:tc>
        <w:tc>
          <w:tcPr>
            <w:tcW w:w="31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E7FD5C0">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备注</w:t>
            </w:r>
          </w:p>
        </w:tc>
      </w:tr>
      <w:tr w14:paraId="3B8A6A34">
        <w:tblPrEx>
          <w:tblCellMar>
            <w:top w:w="0" w:type="dxa"/>
            <w:left w:w="0" w:type="dxa"/>
            <w:bottom w:w="0" w:type="dxa"/>
            <w:right w:w="0" w:type="dxa"/>
          </w:tblCellMar>
        </w:tblPrEx>
        <w:trPr>
          <w:trHeight w:val="640" w:hRule="atLeast"/>
          <w:jc w:val="right"/>
        </w:trPr>
        <w:tc>
          <w:tcPr>
            <w:tcW w:w="484" w:type="dxa"/>
            <w:tcBorders>
              <w:top w:val="single" w:color="000000" w:sz="4" w:space="0"/>
              <w:left w:val="single" w:color="000000" w:sz="4" w:space="0"/>
              <w:right w:val="single" w:color="000000" w:sz="4" w:space="0"/>
            </w:tcBorders>
            <w:noWrap/>
            <w:tcMar>
              <w:top w:w="15" w:type="dxa"/>
              <w:left w:w="15" w:type="dxa"/>
              <w:right w:w="15" w:type="dxa"/>
            </w:tcMar>
            <w:vAlign w:val="center"/>
          </w:tcPr>
          <w:p w14:paraId="17961C17">
            <w:pPr>
              <w:widowControl/>
              <w:jc w:val="center"/>
              <w:textAlignment w:val="center"/>
              <w:rPr>
                <w:rFonts w:hint="eastAsia" w:ascii="宋体" w:hAnsi="宋体" w:eastAsia="宋体" w:cs="宋体"/>
                <w:strike/>
                <w:color w:val="auto"/>
                <w:sz w:val="24"/>
                <w:szCs w:val="24"/>
                <w:highlight w:val="none"/>
              </w:rPr>
            </w:pPr>
            <w:r>
              <w:rPr>
                <w:rFonts w:hint="eastAsia" w:ascii="宋体" w:hAnsi="宋体" w:eastAsia="宋体" w:cs="宋体"/>
                <w:strike w:val="0"/>
                <w:color w:val="auto"/>
                <w:kern w:val="0"/>
                <w:sz w:val="24"/>
                <w:szCs w:val="24"/>
                <w:highlight w:val="none"/>
                <w:lang w:bidi="ar"/>
              </w:rPr>
              <w:t>1</w:t>
            </w:r>
          </w:p>
        </w:tc>
        <w:tc>
          <w:tcPr>
            <w:tcW w:w="957" w:type="dxa"/>
            <w:tcBorders>
              <w:top w:val="single" w:color="000000" w:sz="4" w:space="0"/>
              <w:left w:val="single" w:color="000000" w:sz="4" w:space="0"/>
              <w:right w:val="single" w:color="000000" w:sz="4" w:space="0"/>
            </w:tcBorders>
            <w:noWrap/>
            <w:tcMar>
              <w:top w:w="15" w:type="dxa"/>
              <w:left w:w="15" w:type="dxa"/>
              <w:right w:w="15" w:type="dxa"/>
            </w:tcMar>
            <w:vAlign w:val="center"/>
          </w:tcPr>
          <w:p w14:paraId="2D7FDE50">
            <w:pPr>
              <w:widowControl/>
              <w:jc w:val="center"/>
              <w:textAlignment w:val="center"/>
              <w:rPr>
                <w:rFonts w:hint="eastAsia" w:ascii="宋体" w:hAnsi="宋体" w:eastAsia="宋体" w:cs="宋体"/>
                <w:strike/>
                <w:color w:val="auto"/>
                <w:sz w:val="24"/>
                <w:szCs w:val="24"/>
                <w:highlight w:val="none"/>
              </w:rPr>
            </w:pPr>
            <w:r>
              <w:rPr>
                <w:rFonts w:hint="eastAsia" w:ascii="宋体" w:hAnsi="宋体" w:eastAsia="宋体" w:cs="宋体"/>
                <w:strike w:val="0"/>
                <w:color w:val="auto"/>
                <w:kern w:val="0"/>
                <w:sz w:val="24"/>
                <w:szCs w:val="24"/>
                <w:highlight w:val="none"/>
                <w:lang w:bidi="ar"/>
              </w:rPr>
              <w:t>设计阶段</w:t>
            </w:r>
          </w:p>
        </w:tc>
        <w:tc>
          <w:tcPr>
            <w:tcW w:w="1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9F1BE1">
            <w:pPr>
              <w:widowControl/>
              <w:jc w:val="left"/>
              <w:textAlignment w:val="center"/>
              <w:rPr>
                <w:rFonts w:hint="default" w:ascii="宋体" w:hAnsi="宋体" w:eastAsia="宋体" w:cs="宋体"/>
                <w:strike w:val="0"/>
                <w:color w:val="auto"/>
                <w:sz w:val="24"/>
                <w:szCs w:val="24"/>
                <w:highlight w:val="none"/>
                <w:lang w:val="en-US" w:eastAsia="zh-CN"/>
              </w:rPr>
            </w:pPr>
            <w:r>
              <w:rPr>
                <w:rFonts w:hint="eastAsia" w:ascii="宋体" w:hAnsi="宋体" w:eastAsia="宋体" w:cs="宋体"/>
                <w:strike w:val="0"/>
                <w:color w:val="auto"/>
                <w:kern w:val="0"/>
                <w:sz w:val="24"/>
                <w:szCs w:val="24"/>
                <w:highlight w:val="none"/>
                <w:lang w:bidi="ar"/>
              </w:rPr>
              <w:t>初步设计概算</w:t>
            </w:r>
            <w:r>
              <w:rPr>
                <w:rFonts w:hint="eastAsia" w:ascii="宋体" w:hAnsi="宋体" w:cs="宋体"/>
                <w:strike w:val="0"/>
                <w:color w:val="auto"/>
                <w:kern w:val="0"/>
                <w:sz w:val="24"/>
                <w:szCs w:val="24"/>
                <w:highlight w:val="none"/>
                <w:lang w:val="en-US" w:eastAsia="zh-CN" w:bidi="ar"/>
              </w:rPr>
              <w:t>编审文件</w:t>
            </w:r>
          </w:p>
        </w:tc>
        <w:tc>
          <w:tcPr>
            <w:tcW w:w="28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2C00694">
            <w:pPr>
              <w:widowControl/>
              <w:jc w:val="left"/>
              <w:textAlignment w:val="center"/>
              <w:rPr>
                <w:rFonts w:hint="eastAsia" w:ascii="宋体" w:hAnsi="宋体" w:eastAsia="宋体" w:cs="宋体"/>
                <w:strike w:val="0"/>
                <w:color w:val="auto"/>
                <w:sz w:val="24"/>
                <w:szCs w:val="24"/>
                <w:highlight w:val="none"/>
              </w:rPr>
            </w:pPr>
            <w:r>
              <w:rPr>
                <w:rFonts w:hint="eastAsia" w:ascii="宋体" w:hAnsi="宋体" w:eastAsia="宋体" w:cs="宋体"/>
                <w:strike w:val="0"/>
                <w:color w:val="auto"/>
                <w:kern w:val="0"/>
                <w:sz w:val="24"/>
                <w:szCs w:val="24"/>
                <w:highlight w:val="none"/>
                <w:lang w:bidi="ar"/>
              </w:rPr>
              <w:t>提交完整的资料后</w:t>
            </w:r>
            <w:r>
              <w:rPr>
                <w:rFonts w:hint="eastAsia" w:ascii="宋体" w:hAnsi="宋体" w:cs="宋体"/>
                <w:strike w:val="0"/>
                <w:color w:val="auto"/>
                <w:kern w:val="0"/>
                <w:sz w:val="24"/>
                <w:szCs w:val="24"/>
                <w:highlight w:val="none"/>
                <w:lang w:val="en-US" w:eastAsia="zh-CN" w:bidi="ar"/>
              </w:rPr>
              <w:t>20</w:t>
            </w:r>
            <w:r>
              <w:rPr>
                <w:rFonts w:hint="eastAsia" w:ascii="宋体" w:hAnsi="宋体" w:eastAsia="宋体" w:cs="宋体"/>
                <w:strike w:val="0"/>
                <w:color w:val="auto"/>
                <w:kern w:val="0"/>
                <w:sz w:val="24"/>
                <w:szCs w:val="24"/>
                <w:highlight w:val="none"/>
                <w:lang w:bidi="ar"/>
              </w:rPr>
              <w:t>天</w:t>
            </w:r>
          </w:p>
        </w:tc>
        <w:tc>
          <w:tcPr>
            <w:tcW w:w="31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6A9BDF">
            <w:pPr>
              <w:rPr>
                <w:rFonts w:hint="eastAsia" w:ascii="宋体" w:hAnsi="宋体" w:eastAsia="宋体" w:cs="宋体"/>
                <w:strike/>
                <w:color w:val="auto"/>
                <w:sz w:val="24"/>
                <w:szCs w:val="24"/>
                <w:highlight w:val="none"/>
              </w:rPr>
            </w:pPr>
          </w:p>
        </w:tc>
      </w:tr>
      <w:tr w14:paraId="1320CD50">
        <w:tblPrEx>
          <w:tblCellMar>
            <w:top w:w="0" w:type="dxa"/>
            <w:left w:w="0" w:type="dxa"/>
            <w:bottom w:w="0" w:type="dxa"/>
            <w:right w:w="0" w:type="dxa"/>
          </w:tblCellMar>
        </w:tblPrEx>
        <w:trPr>
          <w:trHeight w:val="900" w:hRule="atLeast"/>
          <w:jc w:val="right"/>
        </w:trPr>
        <w:tc>
          <w:tcPr>
            <w:tcW w:w="484"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A997AC5">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2</w:t>
            </w:r>
          </w:p>
        </w:tc>
        <w:tc>
          <w:tcPr>
            <w:tcW w:w="957"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887B1F9">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招标阶段</w:t>
            </w:r>
          </w:p>
        </w:tc>
        <w:tc>
          <w:tcPr>
            <w:tcW w:w="1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1EF2ABA">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招标控制价</w:t>
            </w:r>
          </w:p>
        </w:tc>
        <w:tc>
          <w:tcPr>
            <w:tcW w:w="2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A72E2C">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提交完整的资料后3天-7天</w:t>
            </w:r>
          </w:p>
        </w:tc>
        <w:tc>
          <w:tcPr>
            <w:tcW w:w="31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ADFCA0">
            <w:pP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主要为水、电、燃、三网等</w:t>
            </w:r>
          </w:p>
        </w:tc>
      </w:tr>
      <w:tr w14:paraId="741C4A48">
        <w:tblPrEx>
          <w:tblCellMar>
            <w:top w:w="0" w:type="dxa"/>
            <w:left w:w="0" w:type="dxa"/>
            <w:bottom w:w="0" w:type="dxa"/>
            <w:right w:w="0" w:type="dxa"/>
          </w:tblCellMar>
        </w:tblPrEx>
        <w:trPr>
          <w:trHeight w:val="680" w:hRule="atLeast"/>
          <w:jc w:val="right"/>
        </w:trPr>
        <w:tc>
          <w:tcPr>
            <w:tcW w:w="48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3DD6858">
            <w:pPr>
              <w:jc w:val="center"/>
              <w:rPr>
                <w:rFonts w:hint="eastAsia" w:ascii="宋体" w:hAnsi="宋体" w:eastAsia="宋体" w:cs="宋体"/>
                <w:color w:val="auto"/>
                <w:sz w:val="24"/>
                <w:szCs w:val="24"/>
                <w:highlight w:val="none"/>
              </w:rPr>
            </w:pPr>
          </w:p>
        </w:tc>
        <w:tc>
          <w:tcPr>
            <w:tcW w:w="95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FDB6D7B">
            <w:pPr>
              <w:jc w:val="center"/>
              <w:rPr>
                <w:rFonts w:hint="eastAsia" w:ascii="宋体" w:hAnsi="宋体" w:eastAsia="宋体" w:cs="宋体"/>
                <w:color w:val="auto"/>
                <w:sz w:val="24"/>
                <w:szCs w:val="24"/>
                <w:highlight w:val="none"/>
              </w:rPr>
            </w:pPr>
          </w:p>
        </w:tc>
        <w:tc>
          <w:tcPr>
            <w:tcW w:w="1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02AF85">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招标文件及合同的审核</w:t>
            </w:r>
          </w:p>
        </w:tc>
        <w:tc>
          <w:tcPr>
            <w:tcW w:w="28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3E76BD3">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提交完整资料后3天-7天</w:t>
            </w:r>
          </w:p>
        </w:tc>
        <w:tc>
          <w:tcPr>
            <w:tcW w:w="31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11C3A18">
            <w:pPr>
              <w:rPr>
                <w:rFonts w:hint="eastAsia" w:ascii="宋体" w:hAnsi="宋体" w:eastAsia="宋体" w:cs="宋体"/>
                <w:color w:val="auto"/>
                <w:sz w:val="24"/>
                <w:szCs w:val="24"/>
                <w:highlight w:val="none"/>
              </w:rPr>
            </w:pPr>
          </w:p>
        </w:tc>
      </w:tr>
      <w:tr w14:paraId="4AD14AA5">
        <w:tblPrEx>
          <w:tblCellMar>
            <w:top w:w="0" w:type="dxa"/>
            <w:left w:w="0" w:type="dxa"/>
            <w:bottom w:w="0" w:type="dxa"/>
            <w:right w:w="0" w:type="dxa"/>
          </w:tblCellMar>
        </w:tblPrEx>
        <w:trPr>
          <w:trHeight w:val="420" w:hRule="atLeast"/>
          <w:jc w:val="right"/>
        </w:trPr>
        <w:tc>
          <w:tcPr>
            <w:tcW w:w="48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729427D">
            <w:pPr>
              <w:jc w:val="center"/>
              <w:rPr>
                <w:rFonts w:hint="eastAsia" w:ascii="宋体" w:hAnsi="宋体" w:eastAsia="宋体" w:cs="宋体"/>
                <w:color w:val="auto"/>
                <w:sz w:val="24"/>
                <w:szCs w:val="24"/>
                <w:highlight w:val="none"/>
              </w:rPr>
            </w:pPr>
          </w:p>
        </w:tc>
        <w:tc>
          <w:tcPr>
            <w:tcW w:w="95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4F9B18C">
            <w:pPr>
              <w:jc w:val="center"/>
              <w:rPr>
                <w:rFonts w:hint="eastAsia" w:ascii="宋体" w:hAnsi="宋体" w:eastAsia="宋体" w:cs="宋体"/>
                <w:color w:val="auto"/>
                <w:sz w:val="24"/>
                <w:szCs w:val="24"/>
                <w:highlight w:val="none"/>
              </w:rPr>
            </w:pPr>
          </w:p>
        </w:tc>
        <w:tc>
          <w:tcPr>
            <w:tcW w:w="1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3847096">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报价文件的审核</w:t>
            </w:r>
          </w:p>
        </w:tc>
        <w:tc>
          <w:tcPr>
            <w:tcW w:w="28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B68687A">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提交完整的资料后3天-7天</w:t>
            </w:r>
          </w:p>
        </w:tc>
        <w:tc>
          <w:tcPr>
            <w:tcW w:w="31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55BC4EE">
            <w:pPr>
              <w:rPr>
                <w:rFonts w:hint="eastAsia" w:ascii="宋体" w:hAnsi="宋体" w:eastAsia="宋体" w:cs="宋体"/>
                <w:color w:val="auto"/>
                <w:sz w:val="24"/>
                <w:szCs w:val="24"/>
                <w:highlight w:val="none"/>
              </w:rPr>
            </w:pPr>
          </w:p>
        </w:tc>
      </w:tr>
      <w:tr w14:paraId="77ED28CB">
        <w:tblPrEx>
          <w:tblCellMar>
            <w:top w:w="0" w:type="dxa"/>
            <w:left w:w="0" w:type="dxa"/>
            <w:bottom w:w="0" w:type="dxa"/>
            <w:right w:w="0" w:type="dxa"/>
          </w:tblCellMar>
        </w:tblPrEx>
        <w:trPr>
          <w:trHeight w:val="1300" w:hRule="atLeast"/>
          <w:jc w:val="right"/>
        </w:trPr>
        <w:tc>
          <w:tcPr>
            <w:tcW w:w="484"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14:paraId="21D89E78">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3</w:t>
            </w:r>
          </w:p>
        </w:tc>
        <w:tc>
          <w:tcPr>
            <w:tcW w:w="957"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14:paraId="3B668E14">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施工阶段</w:t>
            </w:r>
          </w:p>
        </w:tc>
        <w:tc>
          <w:tcPr>
            <w:tcW w:w="1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A1C41C">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施工图预算的审核</w:t>
            </w:r>
          </w:p>
        </w:tc>
        <w:tc>
          <w:tcPr>
            <w:tcW w:w="2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0493F0">
            <w:pPr>
              <w:widowControl/>
              <w:jc w:val="left"/>
              <w:textAlignment w:val="center"/>
              <w:rPr>
                <w:rFonts w:hint="eastAsia" w:ascii="宋体" w:hAnsi="宋体" w:eastAsia="宋体" w:cs="宋体"/>
                <w:color w:val="auto"/>
                <w:kern w:val="0"/>
                <w:sz w:val="24"/>
                <w:szCs w:val="24"/>
                <w:highlight w:val="none"/>
                <w:lang w:eastAsia="zh-CN" w:bidi="ar"/>
              </w:rPr>
            </w:pPr>
            <w:r>
              <w:rPr>
                <w:rFonts w:hint="eastAsia" w:ascii="宋体" w:hAnsi="宋体" w:eastAsia="宋体" w:cs="宋体"/>
                <w:color w:val="auto"/>
                <w:kern w:val="0"/>
                <w:sz w:val="24"/>
                <w:szCs w:val="24"/>
                <w:highlight w:val="none"/>
                <w:lang w:bidi="ar"/>
              </w:rPr>
              <w:t>1.完整预算资料后3周内出完整的核实意见</w:t>
            </w:r>
          </w:p>
          <w:p w14:paraId="5A6E960B">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2.6周内完成对数及出正式预算审核报告</w:t>
            </w:r>
          </w:p>
        </w:tc>
        <w:tc>
          <w:tcPr>
            <w:tcW w:w="31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E059ABA">
            <w:pP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如存在对数扯皮等客观原因的，由承包方提出书面延长申请，经委托人确认后同意顺延</w:t>
            </w:r>
          </w:p>
        </w:tc>
      </w:tr>
      <w:tr w14:paraId="79199D2E">
        <w:tblPrEx>
          <w:tblCellMar>
            <w:top w:w="0" w:type="dxa"/>
            <w:left w:w="0" w:type="dxa"/>
            <w:bottom w:w="0" w:type="dxa"/>
            <w:right w:w="0" w:type="dxa"/>
          </w:tblCellMar>
        </w:tblPrEx>
        <w:trPr>
          <w:trHeight w:val="800" w:hRule="atLeast"/>
          <w:jc w:val="right"/>
        </w:trPr>
        <w:tc>
          <w:tcPr>
            <w:tcW w:w="484" w:type="dxa"/>
            <w:vMerge w:val="continue"/>
            <w:tcBorders>
              <w:left w:val="single" w:color="000000" w:sz="4" w:space="0"/>
              <w:right w:val="single" w:color="000000" w:sz="4" w:space="0"/>
            </w:tcBorders>
            <w:noWrap/>
            <w:tcMar>
              <w:top w:w="15" w:type="dxa"/>
              <w:left w:w="15" w:type="dxa"/>
              <w:right w:w="15" w:type="dxa"/>
            </w:tcMar>
            <w:vAlign w:val="center"/>
          </w:tcPr>
          <w:p w14:paraId="311DA998">
            <w:pPr>
              <w:jc w:val="center"/>
              <w:rPr>
                <w:rFonts w:hint="eastAsia" w:ascii="宋体" w:hAnsi="宋体" w:eastAsia="宋体" w:cs="宋体"/>
                <w:color w:val="auto"/>
                <w:sz w:val="24"/>
                <w:szCs w:val="24"/>
                <w:highlight w:val="none"/>
              </w:rPr>
            </w:pPr>
          </w:p>
        </w:tc>
        <w:tc>
          <w:tcPr>
            <w:tcW w:w="957" w:type="dxa"/>
            <w:vMerge w:val="continue"/>
            <w:tcBorders>
              <w:left w:val="single" w:color="000000" w:sz="4" w:space="0"/>
              <w:right w:val="single" w:color="000000" w:sz="4" w:space="0"/>
            </w:tcBorders>
            <w:noWrap/>
            <w:tcMar>
              <w:top w:w="15" w:type="dxa"/>
              <w:left w:w="15" w:type="dxa"/>
              <w:right w:w="15" w:type="dxa"/>
            </w:tcMar>
            <w:vAlign w:val="center"/>
          </w:tcPr>
          <w:p w14:paraId="5B00F1D1">
            <w:pPr>
              <w:jc w:val="center"/>
              <w:rPr>
                <w:rFonts w:hint="eastAsia" w:ascii="宋体" w:hAnsi="宋体" w:eastAsia="宋体" w:cs="宋体"/>
                <w:color w:val="auto"/>
                <w:sz w:val="24"/>
                <w:szCs w:val="24"/>
                <w:highlight w:val="none"/>
              </w:rPr>
            </w:pPr>
          </w:p>
        </w:tc>
        <w:tc>
          <w:tcPr>
            <w:tcW w:w="1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C75CF2">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施工工程进度款的审核</w:t>
            </w:r>
          </w:p>
        </w:tc>
        <w:tc>
          <w:tcPr>
            <w:tcW w:w="28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B9C7FB1">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提交完整的资料后3天内</w:t>
            </w:r>
          </w:p>
        </w:tc>
        <w:tc>
          <w:tcPr>
            <w:tcW w:w="31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8102A41">
            <w:pPr>
              <w:rPr>
                <w:rFonts w:hint="eastAsia" w:ascii="宋体" w:hAnsi="宋体" w:eastAsia="宋体" w:cs="宋体"/>
                <w:color w:val="auto"/>
                <w:sz w:val="24"/>
                <w:szCs w:val="24"/>
                <w:highlight w:val="none"/>
              </w:rPr>
            </w:pPr>
          </w:p>
        </w:tc>
      </w:tr>
      <w:tr w14:paraId="1DCDC36A">
        <w:tblPrEx>
          <w:tblCellMar>
            <w:top w:w="0" w:type="dxa"/>
            <w:left w:w="0" w:type="dxa"/>
            <w:bottom w:w="0" w:type="dxa"/>
            <w:right w:w="0" w:type="dxa"/>
          </w:tblCellMar>
        </w:tblPrEx>
        <w:trPr>
          <w:trHeight w:val="800" w:hRule="atLeast"/>
          <w:jc w:val="right"/>
        </w:trPr>
        <w:tc>
          <w:tcPr>
            <w:tcW w:w="484" w:type="dxa"/>
            <w:vMerge w:val="continue"/>
            <w:tcBorders>
              <w:left w:val="single" w:color="000000" w:sz="4" w:space="0"/>
              <w:right w:val="single" w:color="000000" w:sz="4" w:space="0"/>
            </w:tcBorders>
            <w:noWrap/>
            <w:tcMar>
              <w:top w:w="15" w:type="dxa"/>
              <w:left w:w="15" w:type="dxa"/>
              <w:right w:w="15" w:type="dxa"/>
            </w:tcMar>
            <w:vAlign w:val="center"/>
          </w:tcPr>
          <w:p w14:paraId="64C1DF51">
            <w:pPr>
              <w:jc w:val="center"/>
              <w:rPr>
                <w:rFonts w:hint="eastAsia" w:ascii="宋体" w:hAnsi="宋体" w:eastAsia="宋体" w:cs="宋体"/>
                <w:color w:val="auto"/>
                <w:sz w:val="24"/>
                <w:szCs w:val="24"/>
                <w:highlight w:val="none"/>
              </w:rPr>
            </w:pPr>
          </w:p>
        </w:tc>
        <w:tc>
          <w:tcPr>
            <w:tcW w:w="957" w:type="dxa"/>
            <w:vMerge w:val="continue"/>
            <w:tcBorders>
              <w:left w:val="single" w:color="000000" w:sz="4" w:space="0"/>
              <w:right w:val="single" w:color="000000" w:sz="4" w:space="0"/>
            </w:tcBorders>
            <w:noWrap/>
            <w:tcMar>
              <w:top w:w="15" w:type="dxa"/>
              <w:left w:w="15" w:type="dxa"/>
              <w:right w:w="15" w:type="dxa"/>
            </w:tcMar>
            <w:vAlign w:val="center"/>
          </w:tcPr>
          <w:p w14:paraId="38D73A02">
            <w:pPr>
              <w:jc w:val="center"/>
              <w:rPr>
                <w:rFonts w:hint="eastAsia" w:ascii="宋体" w:hAnsi="宋体" w:eastAsia="宋体" w:cs="宋体"/>
                <w:color w:val="auto"/>
                <w:sz w:val="24"/>
                <w:szCs w:val="24"/>
                <w:highlight w:val="none"/>
              </w:rPr>
            </w:pPr>
          </w:p>
        </w:tc>
        <w:tc>
          <w:tcPr>
            <w:tcW w:w="1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F6D9BF9">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成本控制报告</w:t>
            </w:r>
          </w:p>
        </w:tc>
        <w:tc>
          <w:tcPr>
            <w:tcW w:w="28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5E3F594">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次月的第1周内</w:t>
            </w:r>
          </w:p>
        </w:tc>
        <w:tc>
          <w:tcPr>
            <w:tcW w:w="31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F0F70F6">
            <w:pPr>
              <w:rPr>
                <w:rFonts w:hint="eastAsia" w:ascii="宋体" w:hAnsi="宋体" w:eastAsia="宋体" w:cs="宋体"/>
                <w:color w:val="auto"/>
                <w:sz w:val="24"/>
                <w:szCs w:val="24"/>
                <w:highlight w:val="none"/>
              </w:rPr>
            </w:pPr>
          </w:p>
        </w:tc>
      </w:tr>
      <w:tr w14:paraId="794A1EB2">
        <w:tblPrEx>
          <w:tblCellMar>
            <w:top w:w="0" w:type="dxa"/>
            <w:left w:w="0" w:type="dxa"/>
            <w:bottom w:w="0" w:type="dxa"/>
            <w:right w:w="0" w:type="dxa"/>
          </w:tblCellMar>
        </w:tblPrEx>
        <w:trPr>
          <w:trHeight w:val="1100" w:hRule="atLeast"/>
          <w:jc w:val="right"/>
        </w:trPr>
        <w:tc>
          <w:tcPr>
            <w:tcW w:w="484" w:type="dxa"/>
            <w:vMerge w:val="continue"/>
            <w:tcBorders>
              <w:left w:val="single" w:color="000000" w:sz="4" w:space="0"/>
              <w:right w:val="single" w:color="000000" w:sz="4" w:space="0"/>
            </w:tcBorders>
            <w:noWrap/>
            <w:tcMar>
              <w:top w:w="15" w:type="dxa"/>
              <w:left w:w="15" w:type="dxa"/>
              <w:right w:w="15" w:type="dxa"/>
            </w:tcMar>
            <w:vAlign w:val="center"/>
          </w:tcPr>
          <w:p w14:paraId="42576194">
            <w:pPr>
              <w:jc w:val="center"/>
              <w:rPr>
                <w:rFonts w:hint="eastAsia" w:ascii="宋体" w:hAnsi="宋体" w:eastAsia="宋体" w:cs="宋体"/>
                <w:color w:val="auto"/>
                <w:sz w:val="24"/>
                <w:szCs w:val="24"/>
                <w:highlight w:val="none"/>
              </w:rPr>
            </w:pPr>
          </w:p>
        </w:tc>
        <w:tc>
          <w:tcPr>
            <w:tcW w:w="957" w:type="dxa"/>
            <w:vMerge w:val="continue"/>
            <w:tcBorders>
              <w:left w:val="single" w:color="000000" w:sz="4" w:space="0"/>
              <w:right w:val="single" w:color="000000" w:sz="4" w:space="0"/>
            </w:tcBorders>
            <w:noWrap/>
            <w:tcMar>
              <w:top w:w="15" w:type="dxa"/>
              <w:left w:w="15" w:type="dxa"/>
              <w:right w:w="15" w:type="dxa"/>
            </w:tcMar>
            <w:vAlign w:val="center"/>
          </w:tcPr>
          <w:p w14:paraId="41081289">
            <w:pPr>
              <w:jc w:val="center"/>
              <w:rPr>
                <w:rFonts w:hint="eastAsia" w:ascii="宋体" w:hAnsi="宋体" w:eastAsia="宋体" w:cs="宋体"/>
                <w:color w:val="auto"/>
                <w:sz w:val="24"/>
                <w:szCs w:val="24"/>
                <w:highlight w:val="none"/>
              </w:rPr>
            </w:pPr>
          </w:p>
        </w:tc>
        <w:tc>
          <w:tcPr>
            <w:tcW w:w="1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FD281A">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设计变更、签证的审核</w:t>
            </w:r>
          </w:p>
        </w:tc>
        <w:tc>
          <w:tcPr>
            <w:tcW w:w="28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D72210C">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提交完整资料后3天-7天</w:t>
            </w:r>
          </w:p>
        </w:tc>
        <w:tc>
          <w:tcPr>
            <w:tcW w:w="31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38A7B9">
            <w:pPr>
              <w:widowControl/>
              <w:jc w:val="left"/>
              <w:textAlignment w:val="center"/>
              <w:rPr>
                <w:rFonts w:hint="eastAsia" w:ascii="宋体" w:hAnsi="宋体" w:eastAsia="宋体" w:cs="宋体"/>
                <w:color w:val="auto"/>
                <w:sz w:val="24"/>
                <w:szCs w:val="24"/>
                <w:highlight w:val="none"/>
              </w:rPr>
            </w:pPr>
          </w:p>
        </w:tc>
      </w:tr>
      <w:tr w14:paraId="15770C4F">
        <w:tblPrEx>
          <w:tblCellMar>
            <w:top w:w="0" w:type="dxa"/>
            <w:left w:w="0" w:type="dxa"/>
            <w:bottom w:w="0" w:type="dxa"/>
            <w:right w:w="0" w:type="dxa"/>
          </w:tblCellMar>
        </w:tblPrEx>
        <w:trPr>
          <w:trHeight w:val="800" w:hRule="atLeast"/>
          <w:jc w:val="right"/>
        </w:trPr>
        <w:tc>
          <w:tcPr>
            <w:tcW w:w="484" w:type="dxa"/>
            <w:vMerge w:val="continue"/>
            <w:tcBorders>
              <w:left w:val="single" w:color="000000" w:sz="4" w:space="0"/>
              <w:right w:val="single" w:color="000000" w:sz="4" w:space="0"/>
            </w:tcBorders>
            <w:noWrap/>
            <w:tcMar>
              <w:top w:w="15" w:type="dxa"/>
              <w:left w:w="15" w:type="dxa"/>
              <w:right w:w="15" w:type="dxa"/>
            </w:tcMar>
            <w:vAlign w:val="center"/>
          </w:tcPr>
          <w:p w14:paraId="0AD45420">
            <w:pPr>
              <w:jc w:val="center"/>
              <w:rPr>
                <w:rFonts w:hint="eastAsia" w:ascii="宋体" w:hAnsi="宋体" w:eastAsia="宋体" w:cs="宋体"/>
                <w:color w:val="auto"/>
                <w:sz w:val="24"/>
                <w:szCs w:val="24"/>
                <w:highlight w:val="none"/>
              </w:rPr>
            </w:pPr>
          </w:p>
        </w:tc>
        <w:tc>
          <w:tcPr>
            <w:tcW w:w="957" w:type="dxa"/>
            <w:vMerge w:val="continue"/>
            <w:tcBorders>
              <w:left w:val="single" w:color="000000" w:sz="4" w:space="0"/>
              <w:right w:val="single" w:color="000000" w:sz="4" w:space="0"/>
            </w:tcBorders>
            <w:noWrap/>
            <w:tcMar>
              <w:top w:w="15" w:type="dxa"/>
              <w:left w:w="15" w:type="dxa"/>
              <w:right w:w="15" w:type="dxa"/>
            </w:tcMar>
            <w:vAlign w:val="center"/>
          </w:tcPr>
          <w:p w14:paraId="3D218CC5">
            <w:pPr>
              <w:jc w:val="center"/>
              <w:rPr>
                <w:rFonts w:hint="eastAsia" w:ascii="宋体" w:hAnsi="宋体" w:eastAsia="宋体" w:cs="宋体"/>
                <w:color w:val="auto"/>
                <w:sz w:val="24"/>
                <w:szCs w:val="24"/>
                <w:highlight w:val="none"/>
              </w:rPr>
            </w:pPr>
          </w:p>
        </w:tc>
        <w:tc>
          <w:tcPr>
            <w:tcW w:w="1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F11F06">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各类成本控制台帐（含设计变更，签证，付款等各类台帐）</w:t>
            </w:r>
          </w:p>
        </w:tc>
        <w:tc>
          <w:tcPr>
            <w:tcW w:w="28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C1D9DF3">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及时更新</w:t>
            </w:r>
          </w:p>
        </w:tc>
        <w:tc>
          <w:tcPr>
            <w:tcW w:w="31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FFE5417">
            <w:pPr>
              <w:rPr>
                <w:rFonts w:hint="eastAsia" w:ascii="宋体" w:hAnsi="宋体" w:eastAsia="宋体" w:cs="宋体"/>
                <w:color w:val="auto"/>
                <w:sz w:val="24"/>
                <w:szCs w:val="24"/>
                <w:highlight w:val="none"/>
              </w:rPr>
            </w:pPr>
          </w:p>
        </w:tc>
      </w:tr>
      <w:tr w14:paraId="76839A65">
        <w:tblPrEx>
          <w:tblCellMar>
            <w:top w:w="0" w:type="dxa"/>
            <w:left w:w="0" w:type="dxa"/>
            <w:bottom w:w="0" w:type="dxa"/>
            <w:right w:w="0" w:type="dxa"/>
          </w:tblCellMar>
        </w:tblPrEx>
        <w:trPr>
          <w:trHeight w:val="1280" w:hRule="atLeast"/>
          <w:jc w:val="right"/>
        </w:trPr>
        <w:tc>
          <w:tcPr>
            <w:tcW w:w="484"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14:paraId="4FEB22C5">
            <w:pPr>
              <w:widowControl/>
              <w:jc w:val="center"/>
              <w:textAlignment w:val="center"/>
              <w:rPr>
                <w:rFonts w:hint="eastAsia" w:ascii="宋体" w:hAnsi="宋体" w:eastAsia="宋体" w:cs="宋体"/>
                <w:color w:val="auto"/>
                <w:kern w:val="0"/>
                <w:sz w:val="24"/>
                <w:szCs w:val="24"/>
                <w:highlight w:val="none"/>
                <w:lang w:bidi="ar"/>
              </w:rPr>
            </w:pPr>
          </w:p>
        </w:tc>
        <w:tc>
          <w:tcPr>
            <w:tcW w:w="957"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14:paraId="520448E7">
            <w:pPr>
              <w:widowControl/>
              <w:jc w:val="center"/>
              <w:textAlignment w:val="center"/>
              <w:rPr>
                <w:rFonts w:hint="eastAsia" w:ascii="宋体" w:hAnsi="宋体" w:eastAsia="宋体" w:cs="宋体"/>
                <w:color w:val="auto"/>
                <w:kern w:val="0"/>
                <w:sz w:val="24"/>
                <w:szCs w:val="24"/>
                <w:highlight w:val="none"/>
                <w:lang w:bidi="ar"/>
              </w:rPr>
            </w:pPr>
          </w:p>
        </w:tc>
        <w:tc>
          <w:tcPr>
            <w:tcW w:w="1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FF8BBC5">
            <w:pPr>
              <w:widowControl/>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负责过程动态成本盘点</w:t>
            </w:r>
          </w:p>
        </w:tc>
        <w:tc>
          <w:tcPr>
            <w:tcW w:w="2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046CED">
            <w:pPr>
              <w:widowControl/>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当月25号前提交</w:t>
            </w:r>
          </w:p>
        </w:tc>
        <w:tc>
          <w:tcPr>
            <w:tcW w:w="31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C821E7">
            <w:pPr>
              <w:widowControl/>
              <w:jc w:val="left"/>
              <w:textAlignment w:val="center"/>
              <w:rPr>
                <w:rFonts w:hint="eastAsia" w:ascii="宋体" w:hAnsi="宋体" w:eastAsia="宋体" w:cs="宋体"/>
                <w:color w:val="auto"/>
                <w:kern w:val="0"/>
                <w:sz w:val="24"/>
                <w:szCs w:val="24"/>
                <w:highlight w:val="none"/>
                <w:lang w:bidi="ar"/>
              </w:rPr>
            </w:pPr>
          </w:p>
        </w:tc>
      </w:tr>
      <w:tr w14:paraId="44F9C9FC">
        <w:tblPrEx>
          <w:tblCellMar>
            <w:top w:w="0" w:type="dxa"/>
            <w:left w:w="0" w:type="dxa"/>
            <w:bottom w:w="0" w:type="dxa"/>
            <w:right w:w="0" w:type="dxa"/>
          </w:tblCellMar>
        </w:tblPrEx>
        <w:trPr>
          <w:trHeight w:val="1280" w:hRule="atLeast"/>
          <w:jc w:val="right"/>
        </w:trPr>
        <w:tc>
          <w:tcPr>
            <w:tcW w:w="484"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C8B29C4">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4</w:t>
            </w:r>
          </w:p>
        </w:tc>
        <w:tc>
          <w:tcPr>
            <w:tcW w:w="957"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680B96E">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竣工结算阶段</w:t>
            </w:r>
          </w:p>
        </w:tc>
        <w:tc>
          <w:tcPr>
            <w:tcW w:w="1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3365AE1">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结算报告</w:t>
            </w:r>
          </w:p>
        </w:tc>
        <w:tc>
          <w:tcPr>
            <w:tcW w:w="2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DA6C63">
            <w:pPr>
              <w:widowControl/>
              <w:jc w:val="left"/>
              <w:textAlignment w:val="center"/>
              <w:rPr>
                <w:rFonts w:hint="eastAsia" w:ascii="宋体" w:hAnsi="宋体" w:eastAsia="宋体" w:cs="宋体"/>
                <w:color w:val="auto"/>
                <w:kern w:val="0"/>
                <w:sz w:val="24"/>
                <w:szCs w:val="24"/>
                <w:highlight w:val="none"/>
                <w:lang w:eastAsia="zh-CN" w:bidi="ar"/>
              </w:rPr>
            </w:pPr>
            <w:r>
              <w:rPr>
                <w:rFonts w:hint="eastAsia" w:ascii="宋体" w:hAnsi="宋体" w:eastAsia="宋体" w:cs="宋体"/>
                <w:color w:val="auto"/>
                <w:kern w:val="0"/>
                <w:sz w:val="24"/>
                <w:szCs w:val="24"/>
                <w:highlight w:val="none"/>
                <w:lang w:bidi="ar"/>
              </w:rPr>
              <w:t>1.完整结算资料后1个月内出完整的核实意见</w:t>
            </w:r>
          </w:p>
          <w:p w14:paraId="2A8C4FCF">
            <w:pPr>
              <w:pStyle w:val="8"/>
              <w:rPr>
                <w:rFonts w:hint="eastAsia" w:ascii="宋体" w:hAnsi="宋体" w:eastAsia="宋体" w:cs="宋体"/>
                <w:color w:val="auto"/>
                <w:sz w:val="24"/>
                <w:szCs w:val="24"/>
                <w:highlight w:val="none"/>
                <w:lang w:eastAsia="zh-CN"/>
              </w:rPr>
            </w:pPr>
          </w:p>
          <w:p w14:paraId="0D0EDF77">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2.3个月内完成对数及出正式结算审核报告</w:t>
            </w:r>
          </w:p>
        </w:tc>
        <w:tc>
          <w:tcPr>
            <w:tcW w:w="31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A5F003">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如存在对数扯皮等客观原因的，由承包方提出书面延长申请，经委托人确认后同意顺延</w:t>
            </w:r>
          </w:p>
        </w:tc>
      </w:tr>
      <w:tr w14:paraId="489FD633">
        <w:tblPrEx>
          <w:tblCellMar>
            <w:top w:w="0" w:type="dxa"/>
            <w:left w:w="0" w:type="dxa"/>
            <w:bottom w:w="0" w:type="dxa"/>
            <w:right w:w="0" w:type="dxa"/>
          </w:tblCellMar>
        </w:tblPrEx>
        <w:trPr>
          <w:trHeight w:val="640" w:hRule="atLeast"/>
          <w:jc w:val="right"/>
        </w:trPr>
        <w:tc>
          <w:tcPr>
            <w:tcW w:w="48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0081E05">
            <w:pPr>
              <w:jc w:val="center"/>
              <w:rPr>
                <w:rFonts w:hint="eastAsia" w:ascii="宋体" w:hAnsi="宋体" w:eastAsia="宋体" w:cs="宋体"/>
                <w:color w:val="auto"/>
                <w:sz w:val="24"/>
                <w:szCs w:val="24"/>
                <w:highlight w:val="none"/>
              </w:rPr>
            </w:pPr>
          </w:p>
        </w:tc>
        <w:tc>
          <w:tcPr>
            <w:tcW w:w="95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9C88E88">
            <w:pPr>
              <w:jc w:val="center"/>
              <w:rPr>
                <w:rFonts w:hint="eastAsia" w:ascii="宋体" w:hAnsi="宋体" w:eastAsia="宋体" w:cs="宋体"/>
                <w:color w:val="auto"/>
                <w:sz w:val="24"/>
                <w:szCs w:val="24"/>
                <w:highlight w:val="none"/>
              </w:rPr>
            </w:pPr>
          </w:p>
        </w:tc>
        <w:tc>
          <w:tcPr>
            <w:tcW w:w="1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1E3706A">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结算后评估</w:t>
            </w:r>
          </w:p>
        </w:tc>
        <w:tc>
          <w:tcPr>
            <w:tcW w:w="2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E7BE74">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结算完成后15个工作日内提交工程造价后评估报告</w:t>
            </w:r>
          </w:p>
        </w:tc>
        <w:tc>
          <w:tcPr>
            <w:tcW w:w="31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6C2581D">
            <w:pPr>
              <w:rPr>
                <w:rFonts w:hint="eastAsia" w:ascii="宋体" w:hAnsi="宋体" w:eastAsia="宋体" w:cs="宋体"/>
                <w:color w:val="auto"/>
                <w:sz w:val="24"/>
                <w:szCs w:val="24"/>
                <w:highlight w:val="none"/>
              </w:rPr>
            </w:pPr>
          </w:p>
        </w:tc>
      </w:tr>
    </w:tbl>
    <w:p w14:paraId="631907CA">
      <w:pPr>
        <w:pStyle w:val="13"/>
        <w:keepNext w:val="0"/>
        <w:keepLines w:val="0"/>
        <w:pageBreakBefore w:val="0"/>
        <w:widowControl w:val="0"/>
        <w:shd w:val="clear" w:color="auto" w:fill="FFFFFF"/>
        <w:kinsoku/>
        <w:wordWrap/>
        <w:overflowPunct/>
        <w:topLinePunct w:val="0"/>
        <w:autoSpaceDE/>
        <w:autoSpaceDN/>
        <w:bidi w:val="0"/>
        <w:adjustRightInd/>
        <w:spacing w:after="0" w:afterLines="0" w:line="360" w:lineRule="auto"/>
        <w:ind w:left="0" w:leftChars="0"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5.4工程造价咨询成果文件应符合：《广东省建设工程造价管理规定》、《建筑工程施工发包与承包计价管理办法》（住房和城乡建设部令第16号）、《广州市建筑工程全过程造价技术规程》及国家现行相关法律、行政法规、部门规章、规范性文件及行业规定要求和相应的标准、规范、技术文件。</w:t>
      </w:r>
    </w:p>
    <w:p w14:paraId="25AAFC9A">
      <w:pPr>
        <w:pStyle w:val="13"/>
        <w:keepNext w:val="0"/>
        <w:keepLines w:val="0"/>
        <w:pageBreakBefore w:val="0"/>
        <w:widowControl w:val="0"/>
        <w:shd w:val="clear" w:color="auto" w:fill="FFFFFF"/>
        <w:kinsoku/>
        <w:wordWrap/>
        <w:overflowPunct/>
        <w:topLinePunct w:val="0"/>
        <w:autoSpaceDE/>
        <w:autoSpaceDN/>
        <w:bidi w:val="0"/>
        <w:adjustRightInd/>
        <w:spacing w:after="0" w:afterLines="0" w:line="360" w:lineRule="auto"/>
        <w:ind w:left="0" w:leftChars="0" w:firstLine="480" w:firstLineChars="200"/>
        <w:textAlignment w:val="auto"/>
        <w:rPr>
          <w:rFonts w:hint="eastAsia" w:ascii="宋体" w:hAnsi="宋体" w:eastAsia="宋体" w:cs="宋体"/>
          <w:color w:val="auto"/>
          <w:kern w:val="0"/>
          <w:sz w:val="24"/>
          <w:szCs w:val="24"/>
          <w:highlight w:val="none"/>
        </w:rPr>
      </w:pPr>
    </w:p>
    <w:p w14:paraId="54ABD01A">
      <w:pPr>
        <w:pStyle w:val="15"/>
        <w:keepNext w:val="0"/>
        <w:keepLines w:val="0"/>
        <w:pageBreakBefore w:val="0"/>
        <w:widowControl w:val="0"/>
        <w:kinsoku/>
        <w:wordWrap/>
        <w:overflowPunct/>
        <w:topLinePunct w:val="0"/>
        <w:autoSpaceDE/>
        <w:autoSpaceDN/>
        <w:bidi w:val="0"/>
        <w:adjustRightInd/>
        <w:snapToGrid w:val="0"/>
        <w:spacing w:line="360" w:lineRule="auto"/>
        <w:ind w:left="0" w:leftChars="0" w:firstLine="482" w:firstLineChars="200"/>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第六条 费用及支付方式</w:t>
      </w:r>
    </w:p>
    <w:p w14:paraId="1495F84A">
      <w:pPr>
        <w:pStyle w:val="13"/>
        <w:keepNext w:val="0"/>
        <w:keepLines w:val="0"/>
        <w:pageBreakBefore w:val="0"/>
        <w:widowControl w:val="0"/>
        <w:kinsoku/>
        <w:wordWrap/>
        <w:overflowPunct/>
        <w:topLinePunct w:val="0"/>
        <w:autoSpaceDE/>
        <w:autoSpaceDN/>
        <w:bidi w:val="0"/>
        <w:adjustRightInd/>
        <w:spacing w:after="0" w:afterLines="0" w:line="360" w:lineRule="auto"/>
        <w:ind w:left="0" w:leftChars="0" w:firstLine="480" w:firstLineChars="200"/>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6.1造价咨询服务费</w:t>
      </w:r>
    </w:p>
    <w:p w14:paraId="5E44185F">
      <w:pPr>
        <w:pStyle w:val="13"/>
        <w:keepNext w:val="0"/>
        <w:keepLines w:val="0"/>
        <w:pageBreakBefore w:val="0"/>
        <w:widowControl w:val="0"/>
        <w:kinsoku/>
        <w:wordWrap/>
        <w:overflowPunct/>
        <w:topLinePunct w:val="0"/>
        <w:autoSpaceDE/>
        <w:autoSpaceDN/>
        <w:bidi w:val="0"/>
        <w:adjustRightInd/>
        <w:spacing w:after="0" w:afterLines="0" w:line="360" w:lineRule="auto"/>
        <w:ind w:left="0" w:leftChars="0"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本项目合同</w:t>
      </w:r>
      <w:r>
        <w:rPr>
          <w:rFonts w:hint="eastAsia" w:ascii="宋体" w:hAnsi="宋体" w:cs="宋体"/>
          <w:color w:val="auto"/>
          <w:kern w:val="0"/>
          <w:sz w:val="24"/>
          <w:szCs w:val="24"/>
          <w:highlight w:val="none"/>
          <w:lang w:val="en-US" w:eastAsia="zh-CN"/>
        </w:rPr>
        <w:t>价暂定</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rPr>
        <w:t>元，人民币大写：</w:t>
      </w:r>
      <w:r>
        <w:rPr>
          <w:rFonts w:hint="eastAsia" w:ascii="宋体" w:hAnsi="宋体" w:eastAsia="宋体" w:cs="宋体"/>
          <w:color w:val="auto"/>
          <w:kern w:val="0"/>
          <w:sz w:val="24"/>
          <w:szCs w:val="24"/>
          <w:highlight w:val="none"/>
          <w:u w:val="single"/>
          <w:lang w:eastAsia="zh-CN"/>
        </w:rPr>
        <w:t xml:space="preserve"> </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rPr>
        <w:t>（其中不含税价为：¥</w:t>
      </w:r>
      <w:r>
        <w:rPr>
          <w:rFonts w:hint="eastAsia" w:ascii="宋体" w:hAnsi="宋体" w:eastAsia="宋体" w:cs="宋体"/>
          <w:color w:val="auto"/>
          <w:kern w:val="0"/>
          <w:sz w:val="24"/>
          <w:szCs w:val="24"/>
          <w:highlight w:val="none"/>
          <w:u w:val="single"/>
          <w:lang w:eastAsia="zh-CN"/>
        </w:rPr>
        <w:t xml:space="preserve"> </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rPr>
        <w:t>元，不含税大写：</w:t>
      </w:r>
      <w:r>
        <w:rPr>
          <w:rFonts w:hint="eastAsia" w:ascii="宋体" w:hAnsi="宋体" w:eastAsia="宋体" w:cs="宋体"/>
          <w:color w:val="auto"/>
          <w:kern w:val="0"/>
          <w:sz w:val="24"/>
          <w:szCs w:val="24"/>
          <w:highlight w:val="none"/>
          <w:u w:val="single"/>
          <w:lang w:eastAsia="zh-CN"/>
        </w:rPr>
        <w:t xml:space="preserve"> </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rPr>
        <w:t>，税率</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u w:val="single"/>
          <w:lang w:eastAsia="zh-CN"/>
        </w:rPr>
        <w:t xml:space="preserve"> </w:t>
      </w:r>
      <w:r>
        <w:rPr>
          <w:rFonts w:hint="eastAsia" w:ascii="宋体" w:hAnsi="宋体" w:eastAsia="宋体" w:cs="宋体"/>
          <w:color w:val="auto"/>
          <w:kern w:val="0"/>
          <w:sz w:val="24"/>
          <w:szCs w:val="24"/>
          <w:highlight w:val="none"/>
          <w:u w:val="single"/>
        </w:rPr>
        <w:t>%</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w:t>
      </w:r>
    </w:p>
    <w:p w14:paraId="29C5B000">
      <w:pPr>
        <w:pStyle w:val="13"/>
        <w:keepNext w:val="0"/>
        <w:keepLines w:val="0"/>
        <w:pageBreakBefore w:val="0"/>
        <w:widowControl w:val="0"/>
        <w:kinsoku/>
        <w:wordWrap/>
        <w:overflowPunct/>
        <w:topLinePunct w:val="0"/>
        <w:autoSpaceDE/>
        <w:autoSpaceDN/>
        <w:bidi w:val="0"/>
        <w:adjustRightInd/>
        <w:spacing w:after="0" w:afterLines="0" w:line="360" w:lineRule="auto"/>
        <w:ind w:left="0" w:leftChars="0" w:firstLine="480" w:firstLineChars="200"/>
        <w:textAlignment w:val="auto"/>
        <w:rPr>
          <w:rFonts w:hint="default" w:ascii="宋体" w:hAnsi="宋体" w:eastAsia="宋体" w:cs="宋体"/>
          <w:bCs/>
          <w:strike w:val="0"/>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中标综合包干费率为</w:t>
      </w:r>
      <w:r>
        <w:rPr>
          <w:rFonts w:hint="eastAsia" w:ascii="宋体" w:hAnsi="宋体" w:cs="宋体"/>
          <w:color w:val="auto"/>
          <w:kern w:val="0"/>
          <w:sz w:val="24"/>
          <w:szCs w:val="24"/>
          <w:highlight w:val="none"/>
          <w:u w:val="single"/>
          <w:lang w:val="en-US" w:eastAsia="zh-CN"/>
        </w:rPr>
        <w:t xml:space="preserve">       %</w:t>
      </w:r>
      <w:r>
        <w:rPr>
          <w:rFonts w:hint="eastAsia" w:ascii="宋体" w:hAnsi="宋体" w:cs="宋体"/>
          <w:color w:val="auto"/>
          <w:kern w:val="0"/>
          <w:sz w:val="24"/>
          <w:szCs w:val="24"/>
          <w:highlight w:val="none"/>
          <w:u w:val="none"/>
          <w:lang w:val="en-US" w:eastAsia="zh-CN"/>
        </w:rPr>
        <w:t>，暂估</w:t>
      </w:r>
      <w:r>
        <w:rPr>
          <w:rFonts w:hint="eastAsia" w:ascii="宋体" w:hAnsi="宋体" w:eastAsia="宋体" w:cs="宋体"/>
          <w:color w:val="auto"/>
          <w:kern w:val="0"/>
          <w:sz w:val="24"/>
          <w:szCs w:val="24"/>
          <w:highlight w:val="none"/>
        </w:rPr>
        <w:t>本</w:t>
      </w:r>
      <w:r>
        <w:rPr>
          <w:rFonts w:hint="eastAsia" w:ascii="宋体" w:hAnsi="宋体" w:cs="宋体"/>
          <w:color w:val="auto"/>
          <w:kern w:val="0"/>
          <w:sz w:val="24"/>
          <w:szCs w:val="24"/>
          <w:highlight w:val="none"/>
          <w:lang w:val="en-US" w:eastAsia="zh-CN"/>
        </w:rPr>
        <w:t>项目总投资额</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万元，</w:t>
      </w:r>
      <w:r>
        <w:rPr>
          <w:rFonts w:hint="eastAsia" w:ascii="宋体" w:hAnsi="宋体" w:eastAsia="宋体" w:cs="宋体"/>
          <w:color w:val="auto"/>
          <w:kern w:val="0"/>
          <w:sz w:val="24"/>
          <w:szCs w:val="24"/>
          <w:highlight w:val="none"/>
        </w:rPr>
        <w:t>中标综合</w:t>
      </w:r>
      <w:r>
        <w:rPr>
          <w:rFonts w:hint="eastAsia" w:ascii="宋体" w:hAnsi="宋体" w:cs="宋体"/>
          <w:color w:val="auto"/>
          <w:kern w:val="0"/>
          <w:sz w:val="24"/>
          <w:szCs w:val="24"/>
          <w:highlight w:val="none"/>
          <w:lang w:val="en-US" w:eastAsia="zh-CN"/>
        </w:rPr>
        <w:t>包干费率</w:t>
      </w:r>
      <w:r>
        <w:rPr>
          <w:rFonts w:hint="eastAsia" w:ascii="宋体" w:hAnsi="宋体" w:eastAsia="宋体" w:cs="宋体"/>
          <w:color w:val="auto"/>
          <w:kern w:val="0"/>
          <w:sz w:val="24"/>
          <w:szCs w:val="24"/>
          <w:highlight w:val="none"/>
        </w:rPr>
        <w:t>包括承包方履行本合同所必须的所有人力、物力成本、管理费、利润和税金等合同所涉及的正常服务和附加酬金。在合同履行期间，如遇国家的税率政策调整，合同不含税价格不因国家税率变化而变化，合同含税价格按国家的税率政策进行调整。</w:t>
      </w:r>
      <w:r>
        <w:rPr>
          <w:rFonts w:hint="eastAsia" w:ascii="宋体" w:hAnsi="宋体" w:eastAsia="宋体" w:cs="宋体"/>
          <w:strike w:val="0"/>
          <w:dstrike w:val="0"/>
          <w:color w:val="auto"/>
          <w:kern w:val="0"/>
          <w:sz w:val="24"/>
          <w:szCs w:val="24"/>
          <w:highlight w:val="none"/>
        </w:rPr>
        <w:t>本项目结算总价按照</w:t>
      </w:r>
      <w:r>
        <w:rPr>
          <w:rFonts w:hint="eastAsia" w:ascii="宋体" w:hAnsi="宋体" w:cs="宋体"/>
          <w:strike w:val="0"/>
          <w:dstrike w:val="0"/>
          <w:color w:val="auto"/>
          <w:kern w:val="0"/>
          <w:sz w:val="24"/>
          <w:szCs w:val="24"/>
          <w:highlight w:val="none"/>
          <w:lang w:val="en-US" w:eastAsia="zh-CN"/>
        </w:rPr>
        <w:t>甲方确定的本项目总投资额</w:t>
      </w:r>
      <w:r>
        <w:rPr>
          <w:rFonts w:hint="eastAsia" w:ascii="微软雅黑" w:hAnsi="微软雅黑" w:eastAsia="微软雅黑" w:cs="微软雅黑"/>
          <w:strike w:val="0"/>
          <w:dstrike w:val="0"/>
          <w:color w:val="auto"/>
          <w:kern w:val="0"/>
          <w:sz w:val="24"/>
          <w:szCs w:val="24"/>
          <w:highlight w:val="none"/>
          <w:lang w:val="en-US" w:eastAsia="zh-CN"/>
        </w:rPr>
        <w:t>×</w:t>
      </w:r>
      <w:r>
        <w:rPr>
          <w:rFonts w:hint="eastAsia" w:ascii="宋体" w:hAnsi="宋体" w:eastAsia="宋体" w:cs="宋体"/>
          <w:strike w:val="0"/>
          <w:dstrike w:val="0"/>
          <w:color w:val="auto"/>
          <w:kern w:val="0"/>
          <w:sz w:val="24"/>
          <w:szCs w:val="24"/>
          <w:highlight w:val="none"/>
        </w:rPr>
        <w:t>中标综合包干</w:t>
      </w:r>
      <w:r>
        <w:rPr>
          <w:rFonts w:hint="eastAsia" w:ascii="宋体" w:hAnsi="宋体" w:cs="宋体"/>
          <w:strike w:val="0"/>
          <w:dstrike w:val="0"/>
          <w:color w:val="auto"/>
          <w:kern w:val="0"/>
          <w:sz w:val="24"/>
          <w:szCs w:val="24"/>
          <w:highlight w:val="none"/>
          <w:lang w:val="en-US" w:eastAsia="zh-CN"/>
        </w:rPr>
        <w:t>费率进行</w:t>
      </w:r>
      <w:r>
        <w:rPr>
          <w:rFonts w:hint="eastAsia" w:ascii="宋体" w:hAnsi="宋体" w:eastAsia="宋体" w:cs="宋体"/>
          <w:strike w:val="0"/>
          <w:dstrike w:val="0"/>
          <w:color w:val="auto"/>
          <w:kern w:val="0"/>
          <w:sz w:val="24"/>
          <w:szCs w:val="24"/>
          <w:highlight w:val="none"/>
        </w:rPr>
        <w:t>计算</w:t>
      </w:r>
      <w:bookmarkStart w:id="0" w:name="_Hlk84669477"/>
      <w:r>
        <w:rPr>
          <w:rFonts w:hint="eastAsia" w:ascii="宋体" w:hAnsi="宋体" w:cs="宋体"/>
          <w:strike w:val="0"/>
          <w:dstrike w:val="0"/>
          <w:color w:val="auto"/>
          <w:kern w:val="0"/>
          <w:sz w:val="24"/>
          <w:szCs w:val="24"/>
          <w:highlight w:val="none"/>
          <w:lang w:eastAsia="zh-CN"/>
        </w:rPr>
        <w:t>，</w:t>
      </w:r>
      <w:r>
        <w:rPr>
          <w:rFonts w:hint="eastAsia" w:ascii="宋体" w:hAnsi="宋体" w:cs="宋体"/>
          <w:strike w:val="0"/>
          <w:dstrike w:val="0"/>
          <w:color w:val="auto"/>
          <w:kern w:val="0"/>
          <w:sz w:val="24"/>
          <w:szCs w:val="24"/>
          <w:highlight w:val="none"/>
          <w:lang w:val="en-US" w:eastAsia="zh-CN"/>
        </w:rPr>
        <w:t>且结算总价不得超过合同暂定总价款。</w:t>
      </w:r>
    </w:p>
    <w:p w14:paraId="426996F3">
      <w:pPr>
        <w:pStyle w:val="13"/>
        <w:keepNext w:val="0"/>
        <w:keepLines w:val="0"/>
        <w:pageBreakBefore w:val="0"/>
        <w:widowControl w:val="0"/>
        <w:kinsoku/>
        <w:wordWrap/>
        <w:overflowPunct/>
        <w:topLinePunct w:val="0"/>
        <w:autoSpaceDE/>
        <w:autoSpaceDN/>
        <w:bidi w:val="0"/>
        <w:adjustRightInd/>
        <w:spacing w:after="0" w:afterLines="0" w:line="360" w:lineRule="auto"/>
        <w:ind w:left="0" w:leftChars="0" w:firstLine="480" w:firstLineChars="200"/>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最终结算价以甲方审定为准。如遇审计部门等发现本合同结算价款存在超付情形，甲方有权要求乙方返还该部分款项。</w:t>
      </w:r>
    </w:p>
    <w:p w14:paraId="3C6E9156">
      <w:pPr>
        <w:pStyle w:val="15"/>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strike w:val="0"/>
          <w:color w:val="auto"/>
          <w:sz w:val="24"/>
          <w:szCs w:val="24"/>
          <w:highlight w:val="none"/>
        </w:rPr>
      </w:pPr>
      <w:r>
        <w:rPr>
          <w:rFonts w:hint="eastAsia" w:ascii="宋体" w:hAnsi="宋体" w:eastAsia="宋体" w:cs="宋体"/>
          <w:color w:val="auto"/>
          <w:sz w:val="24"/>
          <w:szCs w:val="24"/>
          <w:highlight w:val="none"/>
        </w:rPr>
        <w:t>6.2</w:t>
      </w:r>
      <w:r>
        <w:rPr>
          <w:rFonts w:hint="eastAsia" w:ascii="宋体" w:hAnsi="宋体" w:eastAsia="宋体" w:cs="宋体"/>
          <w:bCs/>
          <w:color w:val="auto"/>
          <w:kern w:val="0"/>
          <w:sz w:val="24"/>
          <w:szCs w:val="24"/>
          <w:highlight w:val="none"/>
        </w:rPr>
        <w:t>在本合同约定的工作内容范围内，甲方按以下原则向乙方分期支付各阶段</w:t>
      </w:r>
      <w:r>
        <w:rPr>
          <w:rFonts w:hint="eastAsia" w:ascii="宋体" w:hAnsi="宋体" w:eastAsia="宋体" w:cs="宋体"/>
          <w:bCs/>
          <w:strike w:val="0"/>
          <w:color w:val="auto"/>
          <w:kern w:val="0"/>
          <w:sz w:val="24"/>
          <w:szCs w:val="24"/>
          <w:highlight w:val="none"/>
        </w:rPr>
        <w:t>造价咨询服务费</w:t>
      </w:r>
      <w:r>
        <w:rPr>
          <w:rFonts w:hint="eastAsia" w:ascii="宋体" w:hAnsi="宋体" w:eastAsia="宋体" w:cs="宋体"/>
          <w:strike w:val="0"/>
          <w:color w:val="auto"/>
          <w:sz w:val="24"/>
          <w:szCs w:val="24"/>
          <w:highlight w:val="none"/>
        </w:rPr>
        <w:t>：</w:t>
      </w:r>
    </w:p>
    <w:tbl>
      <w:tblPr>
        <w:tblStyle w:val="10"/>
        <w:tblpPr w:leftFromText="180" w:rightFromText="180" w:vertAnchor="text" w:horzAnchor="page" w:tblpX="1999" w:tblpY="212"/>
        <w:tblOverlap w:val="never"/>
        <w:tblW w:w="84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4"/>
        <w:gridCol w:w="1915"/>
        <w:gridCol w:w="1982"/>
        <w:gridCol w:w="2701"/>
      </w:tblGrid>
      <w:tr w14:paraId="524A3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34" w:type="dxa"/>
            <w:tcBorders>
              <w:top w:val="single" w:color="auto" w:sz="4" w:space="0"/>
              <w:left w:val="single" w:color="auto" w:sz="4" w:space="0"/>
              <w:bottom w:val="single" w:color="auto" w:sz="4" w:space="0"/>
              <w:right w:val="single" w:color="auto" w:sz="4" w:space="0"/>
            </w:tcBorders>
            <w:noWrap w:val="0"/>
            <w:vAlign w:val="center"/>
          </w:tcPr>
          <w:p w14:paraId="09005087">
            <w:pPr>
              <w:spacing w:line="360" w:lineRule="auto"/>
              <w:jc w:val="center"/>
              <w:rPr>
                <w:rFonts w:hint="eastAsia" w:ascii="宋体" w:hAnsi="宋体" w:eastAsia="宋体" w:cs="宋体"/>
                <w:strike w:val="0"/>
                <w:color w:val="auto"/>
                <w:sz w:val="24"/>
                <w:szCs w:val="24"/>
                <w:highlight w:val="none"/>
              </w:rPr>
            </w:pPr>
            <w:r>
              <w:rPr>
                <w:rFonts w:hint="eastAsia" w:ascii="宋体" w:hAnsi="宋体" w:eastAsia="宋体" w:cs="宋体"/>
                <w:strike w:val="0"/>
                <w:color w:val="auto"/>
                <w:sz w:val="24"/>
                <w:szCs w:val="24"/>
                <w:highlight w:val="none"/>
              </w:rPr>
              <w:t>付费阶段</w:t>
            </w:r>
          </w:p>
        </w:tc>
        <w:tc>
          <w:tcPr>
            <w:tcW w:w="1915" w:type="dxa"/>
            <w:tcBorders>
              <w:top w:val="single" w:color="auto" w:sz="4" w:space="0"/>
              <w:left w:val="single" w:color="auto" w:sz="4" w:space="0"/>
              <w:bottom w:val="single" w:color="auto" w:sz="4" w:space="0"/>
              <w:right w:val="single" w:color="auto" w:sz="4" w:space="0"/>
            </w:tcBorders>
            <w:noWrap w:val="0"/>
            <w:vAlign w:val="top"/>
          </w:tcPr>
          <w:p w14:paraId="2378979C">
            <w:pPr>
              <w:spacing w:line="360" w:lineRule="auto"/>
              <w:rPr>
                <w:rFonts w:hint="eastAsia" w:ascii="宋体" w:hAnsi="宋体" w:eastAsia="宋体" w:cs="宋体"/>
                <w:strike w:val="0"/>
                <w:color w:val="auto"/>
                <w:sz w:val="24"/>
                <w:szCs w:val="24"/>
                <w:highlight w:val="none"/>
              </w:rPr>
            </w:pPr>
            <w:r>
              <w:rPr>
                <w:rFonts w:hint="eastAsia" w:ascii="宋体" w:hAnsi="宋体" w:eastAsia="宋体" w:cs="宋体"/>
                <w:strike w:val="0"/>
                <w:color w:val="auto"/>
                <w:sz w:val="24"/>
                <w:szCs w:val="24"/>
                <w:highlight w:val="none"/>
              </w:rPr>
              <w:t>付费总额（元）</w:t>
            </w:r>
          </w:p>
        </w:tc>
        <w:tc>
          <w:tcPr>
            <w:tcW w:w="1982" w:type="dxa"/>
            <w:tcBorders>
              <w:top w:val="single" w:color="auto" w:sz="4" w:space="0"/>
              <w:left w:val="single" w:color="auto" w:sz="4" w:space="0"/>
              <w:bottom w:val="single" w:color="auto" w:sz="4" w:space="0"/>
              <w:right w:val="single" w:color="auto" w:sz="4" w:space="0"/>
            </w:tcBorders>
            <w:noWrap w:val="0"/>
            <w:vAlign w:val="top"/>
          </w:tcPr>
          <w:p w14:paraId="5E01EC71">
            <w:pPr>
              <w:spacing w:line="360" w:lineRule="auto"/>
              <w:ind w:firstLine="480" w:firstLineChars="200"/>
              <w:rPr>
                <w:rFonts w:hint="eastAsia" w:ascii="宋体" w:hAnsi="宋体" w:eastAsia="宋体" w:cs="宋体"/>
                <w:strike w:val="0"/>
                <w:color w:val="auto"/>
                <w:sz w:val="24"/>
                <w:szCs w:val="24"/>
                <w:highlight w:val="none"/>
              </w:rPr>
            </w:pPr>
            <w:r>
              <w:rPr>
                <w:rFonts w:hint="eastAsia" w:ascii="宋体" w:hAnsi="宋体" w:eastAsia="宋体" w:cs="宋体"/>
                <w:strike w:val="0"/>
                <w:color w:val="auto"/>
                <w:sz w:val="24"/>
                <w:szCs w:val="24"/>
                <w:highlight w:val="none"/>
              </w:rPr>
              <w:t>支付方式</w:t>
            </w:r>
          </w:p>
        </w:tc>
        <w:tc>
          <w:tcPr>
            <w:tcW w:w="2701" w:type="dxa"/>
            <w:tcBorders>
              <w:top w:val="single" w:color="auto" w:sz="4" w:space="0"/>
              <w:left w:val="single" w:color="auto" w:sz="4" w:space="0"/>
              <w:bottom w:val="single" w:color="auto" w:sz="4" w:space="0"/>
              <w:right w:val="single" w:color="auto" w:sz="4" w:space="0"/>
            </w:tcBorders>
            <w:noWrap w:val="0"/>
            <w:vAlign w:val="center"/>
          </w:tcPr>
          <w:p w14:paraId="2644F1FD">
            <w:pPr>
              <w:spacing w:line="360" w:lineRule="auto"/>
              <w:ind w:firstLine="480" w:firstLineChars="200"/>
              <w:jc w:val="center"/>
              <w:rPr>
                <w:rFonts w:hint="eastAsia" w:ascii="宋体" w:hAnsi="宋体" w:eastAsia="宋体" w:cs="宋体"/>
                <w:strike w:val="0"/>
                <w:color w:val="auto"/>
                <w:sz w:val="24"/>
                <w:szCs w:val="24"/>
                <w:highlight w:val="none"/>
              </w:rPr>
            </w:pPr>
            <w:r>
              <w:rPr>
                <w:rFonts w:hint="eastAsia" w:ascii="宋体" w:hAnsi="宋体" w:eastAsia="宋体" w:cs="宋体"/>
                <w:strike w:val="0"/>
                <w:color w:val="auto"/>
                <w:sz w:val="24"/>
                <w:szCs w:val="24"/>
                <w:highlight w:val="none"/>
              </w:rPr>
              <w:t>支付条件</w:t>
            </w:r>
          </w:p>
        </w:tc>
      </w:tr>
      <w:tr w14:paraId="330F7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1834" w:type="dxa"/>
            <w:tcBorders>
              <w:top w:val="single" w:color="auto" w:sz="4" w:space="0"/>
              <w:left w:val="single" w:color="auto" w:sz="4" w:space="0"/>
              <w:bottom w:val="single" w:color="auto" w:sz="4" w:space="0"/>
              <w:right w:val="single" w:color="auto" w:sz="4" w:space="0"/>
            </w:tcBorders>
            <w:noWrap w:val="0"/>
            <w:vAlign w:val="center"/>
          </w:tcPr>
          <w:p w14:paraId="2D59F51E">
            <w:pPr>
              <w:spacing w:line="360" w:lineRule="auto"/>
              <w:jc w:val="center"/>
              <w:rPr>
                <w:rFonts w:hint="eastAsia" w:ascii="宋体" w:hAnsi="宋体" w:eastAsia="宋体" w:cs="宋体"/>
                <w:strike w:val="0"/>
                <w:color w:val="auto"/>
                <w:sz w:val="24"/>
                <w:szCs w:val="24"/>
                <w:highlight w:val="none"/>
              </w:rPr>
            </w:pPr>
            <w:r>
              <w:rPr>
                <w:rFonts w:hint="eastAsia" w:ascii="宋体" w:hAnsi="宋体" w:eastAsia="宋体" w:cs="宋体"/>
                <w:strike w:val="0"/>
                <w:color w:val="auto"/>
                <w:sz w:val="24"/>
                <w:szCs w:val="24"/>
                <w:highlight w:val="none"/>
              </w:rPr>
              <w:t>设计阶段</w:t>
            </w:r>
          </w:p>
        </w:tc>
        <w:tc>
          <w:tcPr>
            <w:tcW w:w="1915" w:type="dxa"/>
            <w:tcBorders>
              <w:top w:val="single" w:color="auto" w:sz="4" w:space="0"/>
              <w:left w:val="single" w:color="auto" w:sz="4" w:space="0"/>
              <w:bottom w:val="single" w:color="auto" w:sz="4" w:space="0"/>
              <w:right w:val="single" w:color="auto" w:sz="4" w:space="0"/>
            </w:tcBorders>
            <w:noWrap w:val="0"/>
            <w:vAlign w:val="top"/>
          </w:tcPr>
          <w:p w14:paraId="166B435C">
            <w:pPr>
              <w:spacing w:line="360" w:lineRule="auto"/>
              <w:jc w:val="center"/>
              <w:rPr>
                <w:rFonts w:hint="eastAsia" w:ascii="宋体" w:hAnsi="宋体" w:eastAsia="宋体" w:cs="宋体"/>
                <w:strike w:val="0"/>
                <w:color w:val="auto"/>
                <w:sz w:val="24"/>
                <w:szCs w:val="24"/>
                <w:highlight w:val="none"/>
              </w:rPr>
            </w:pPr>
          </w:p>
          <w:p w14:paraId="4E39B952">
            <w:pPr>
              <w:spacing w:line="360" w:lineRule="auto"/>
              <w:jc w:val="center"/>
              <w:rPr>
                <w:rFonts w:hint="eastAsia" w:ascii="宋体" w:hAnsi="宋体" w:eastAsia="宋体" w:cs="宋体"/>
                <w:strike w:val="0"/>
                <w:color w:val="auto"/>
                <w:sz w:val="24"/>
                <w:szCs w:val="24"/>
                <w:highlight w:val="none"/>
              </w:rPr>
            </w:pPr>
            <w:r>
              <w:rPr>
                <w:rFonts w:hint="eastAsia" w:ascii="宋体" w:hAnsi="宋体" w:eastAsia="宋体" w:cs="宋体"/>
                <w:strike w:val="0"/>
                <w:color w:val="auto"/>
                <w:sz w:val="24"/>
                <w:szCs w:val="24"/>
                <w:highlight w:val="none"/>
              </w:rPr>
              <w:t>合同暂定价的</w:t>
            </w:r>
            <w:r>
              <w:rPr>
                <w:rFonts w:hint="eastAsia" w:ascii="宋体" w:hAnsi="宋体" w:cs="宋体"/>
                <w:strike w:val="0"/>
                <w:color w:val="auto"/>
                <w:sz w:val="24"/>
                <w:szCs w:val="24"/>
                <w:highlight w:val="none"/>
                <w:lang w:eastAsia="zh-CN"/>
              </w:rPr>
              <w:t>2</w:t>
            </w:r>
            <w:r>
              <w:rPr>
                <w:rFonts w:hint="eastAsia" w:ascii="宋体" w:hAnsi="宋体" w:eastAsia="宋体" w:cs="宋体"/>
                <w:strike w:val="0"/>
                <w:color w:val="auto"/>
                <w:sz w:val="24"/>
                <w:szCs w:val="24"/>
                <w:highlight w:val="none"/>
              </w:rPr>
              <w:t>%</w:t>
            </w:r>
          </w:p>
        </w:tc>
        <w:tc>
          <w:tcPr>
            <w:tcW w:w="1982" w:type="dxa"/>
            <w:tcBorders>
              <w:top w:val="single" w:color="auto" w:sz="4" w:space="0"/>
              <w:left w:val="single" w:color="auto" w:sz="4" w:space="0"/>
              <w:bottom w:val="single" w:color="auto" w:sz="4" w:space="0"/>
              <w:right w:val="single" w:color="auto" w:sz="4" w:space="0"/>
            </w:tcBorders>
            <w:noWrap w:val="0"/>
            <w:vAlign w:val="top"/>
          </w:tcPr>
          <w:p w14:paraId="2F309D49">
            <w:pPr>
              <w:spacing w:line="360" w:lineRule="auto"/>
              <w:rPr>
                <w:rFonts w:hint="eastAsia" w:ascii="宋体" w:hAnsi="宋体" w:eastAsia="宋体" w:cs="宋体"/>
                <w:strike w:val="0"/>
                <w:color w:val="auto"/>
                <w:sz w:val="24"/>
                <w:szCs w:val="24"/>
                <w:highlight w:val="none"/>
              </w:rPr>
            </w:pPr>
          </w:p>
          <w:p w14:paraId="66B00789">
            <w:pPr>
              <w:spacing w:line="360" w:lineRule="auto"/>
              <w:jc w:val="center"/>
              <w:rPr>
                <w:rFonts w:hint="eastAsia" w:ascii="宋体" w:hAnsi="宋体" w:eastAsia="宋体" w:cs="宋体"/>
                <w:strike w:val="0"/>
                <w:color w:val="auto"/>
                <w:sz w:val="24"/>
                <w:szCs w:val="24"/>
                <w:highlight w:val="none"/>
              </w:rPr>
            </w:pPr>
            <w:r>
              <w:rPr>
                <w:rFonts w:hint="eastAsia" w:ascii="宋体" w:hAnsi="宋体" w:eastAsia="宋体" w:cs="宋体"/>
                <w:strike w:val="0"/>
                <w:color w:val="auto"/>
                <w:sz w:val="24"/>
                <w:szCs w:val="24"/>
                <w:highlight w:val="none"/>
              </w:rPr>
              <w:t>一次性支付</w:t>
            </w:r>
          </w:p>
        </w:tc>
        <w:tc>
          <w:tcPr>
            <w:tcW w:w="2701" w:type="dxa"/>
            <w:tcBorders>
              <w:top w:val="single" w:color="auto" w:sz="4" w:space="0"/>
              <w:left w:val="single" w:color="auto" w:sz="4" w:space="0"/>
              <w:bottom w:val="single" w:color="auto" w:sz="4" w:space="0"/>
              <w:right w:val="single" w:color="auto" w:sz="4" w:space="0"/>
            </w:tcBorders>
            <w:noWrap w:val="0"/>
            <w:vAlign w:val="center"/>
          </w:tcPr>
          <w:p w14:paraId="616787FA">
            <w:pPr>
              <w:spacing w:line="360" w:lineRule="auto"/>
              <w:rPr>
                <w:rFonts w:hint="eastAsia" w:ascii="宋体" w:hAnsi="宋体" w:eastAsia="宋体" w:cs="宋体"/>
                <w:strike w:val="0"/>
                <w:color w:val="auto"/>
                <w:sz w:val="24"/>
                <w:szCs w:val="24"/>
                <w:highlight w:val="none"/>
              </w:rPr>
            </w:pPr>
            <w:r>
              <w:rPr>
                <w:rFonts w:hint="eastAsia" w:ascii="宋体" w:hAnsi="宋体" w:eastAsia="宋体" w:cs="宋体"/>
                <w:color w:val="auto"/>
                <w:sz w:val="24"/>
                <w:szCs w:val="24"/>
                <w:highlight w:val="none"/>
              </w:rPr>
              <w:t>乙方提交项目完整概算</w:t>
            </w:r>
            <w:r>
              <w:rPr>
                <w:rFonts w:hint="eastAsia" w:ascii="宋体" w:hAnsi="宋体" w:cs="宋体"/>
                <w:color w:val="auto"/>
                <w:sz w:val="24"/>
                <w:szCs w:val="24"/>
                <w:highlight w:val="none"/>
                <w:lang w:val="en-US" w:eastAsia="zh-CN"/>
              </w:rPr>
              <w:t>编审文件</w:t>
            </w:r>
            <w:r>
              <w:rPr>
                <w:rFonts w:hint="eastAsia" w:ascii="宋体" w:hAnsi="宋体" w:eastAsia="宋体" w:cs="宋体"/>
                <w:color w:val="auto"/>
                <w:sz w:val="24"/>
                <w:szCs w:val="24"/>
                <w:highlight w:val="none"/>
              </w:rPr>
              <w:t>并经甲方书面确认后30个工作日内。</w:t>
            </w:r>
          </w:p>
        </w:tc>
      </w:tr>
      <w:tr w14:paraId="64DF8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6" w:hRule="atLeast"/>
        </w:trPr>
        <w:tc>
          <w:tcPr>
            <w:tcW w:w="1834" w:type="dxa"/>
            <w:tcBorders>
              <w:top w:val="single" w:color="auto" w:sz="4" w:space="0"/>
              <w:left w:val="single" w:color="auto" w:sz="4" w:space="0"/>
              <w:bottom w:val="single" w:color="auto" w:sz="4" w:space="0"/>
              <w:right w:val="single" w:color="auto" w:sz="4" w:space="0"/>
            </w:tcBorders>
            <w:noWrap w:val="0"/>
            <w:vAlign w:val="center"/>
          </w:tcPr>
          <w:p w14:paraId="41EFA5FD">
            <w:pPr>
              <w:widowControl/>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施工阶段</w:t>
            </w:r>
          </w:p>
        </w:tc>
        <w:tc>
          <w:tcPr>
            <w:tcW w:w="1915" w:type="dxa"/>
            <w:tcBorders>
              <w:top w:val="single" w:color="auto" w:sz="4" w:space="0"/>
              <w:left w:val="single" w:color="auto" w:sz="4" w:space="0"/>
              <w:bottom w:val="single" w:color="auto" w:sz="4" w:space="0"/>
              <w:right w:val="single" w:color="auto" w:sz="4" w:space="0"/>
            </w:tcBorders>
            <w:noWrap w:val="0"/>
            <w:vAlign w:val="top"/>
          </w:tcPr>
          <w:p w14:paraId="70E30683">
            <w:pPr>
              <w:spacing w:line="360" w:lineRule="auto"/>
              <w:rPr>
                <w:rFonts w:hint="eastAsia" w:ascii="宋体" w:hAnsi="宋体" w:eastAsia="宋体" w:cs="宋体"/>
                <w:color w:val="auto"/>
                <w:sz w:val="24"/>
                <w:szCs w:val="24"/>
                <w:highlight w:val="none"/>
              </w:rPr>
            </w:pPr>
          </w:p>
          <w:p w14:paraId="45E02AA6">
            <w:pPr>
              <w:spacing w:line="360" w:lineRule="auto"/>
              <w:rPr>
                <w:rFonts w:hint="eastAsia" w:ascii="宋体" w:hAnsi="宋体" w:eastAsia="宋体" w:cs="宋体"/>
                <w:color w:val="auto"/>
                <w:sz w:val="24"/>
                <w:szCs w:val="24"/>
                <w:highlight w:val="none"/>
              </w:rPr>
            </w:pPr>
          </w:p>
          <w:p w14:paraId="1AAC8CC3">
            <w:pPr>
              <w:spacing w:line="360" w:lineRule="auto"/>
              <w:rPr>
                <w:rFonts w:hint="eastAsia" w:ascii="宋体" w:hAnsi="宋体" w:eastAsia="宋体" w:cs="宋体"/>
                <w:color w:val="auto"/>
                <w:sz w:val="24"/>
                <w:szCs w:val="24"/>
                <w:highlight w:val="none"/>
              </w:rPr>
            </w:pPr>
          </w:p>
          <w:p w14:paraId="64F2D7B4">
            <w:pPr>
              <w:spacing w:line="360" w:lineRule="auto"/>
              <w:rPr>
                <w:rFonts w:hint="eastAsia" w:ascii="宋体" w:hAnsi="宋体" w:eastAsia="宋体" w:cs="宋体"/>
                <w:color w:val="auto"/>
                <w:sz w:val="24"/>
                <w:szCs w:val="24"/>
                <w:highlight w:val="none"/>
              </w:rPr>
            </w:pPr>
          </w:p>
          <w:p w14:paraId="6175351B">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合同暂定价的60%</w:t>
            </w:r>
          </w:p>
        </w:tc>
        <w:tc>
          <w:tcPr>
            <w:tcW w:w="1982" w:type="dxa"/>
            <w:tcBorders>
              <w:top w:val="single" w:color="auto" w:sz="4" w:space="0"/>
              <w:left w:val="single" w:color="auto" w:sz="4" w:space="0"/>
              <w:right w:val="single" w:color="auto" w:sz="4" w:space="0"/>
            </w:tcBorders>
            <w:noWrap w:val="0"/>
            <w:vAlign w:val="center"/>
          </w:tcPr>
          <w:p w14:paraId="2174E412">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每一次支付的金额的计算示意公式如下：3*A/</w:t>
            </w:r>
            <w:r>
              <w:rPr>
                <w:rFonts w:hint="eastAsia" w:ascii="宋体" w:hAnsi="宋体" w:cs="宋体"/>
                <w:color w:val="auto"/>
                <w:sz w:val="24"/>
                <w:szCs w:val="24"/>
                <w:highlight w:val="none"/>
                <w:lang w:val="en-US" w:eastAsia="zh-CN"/>
              </w:rPr>
              <w:t>36</w:t>
            </w:r>
            <w:r>
              <w:rPr>
                <w:rFonts w:hint="eastAsia" w:ascii="宋体" w:hAnsi="宋体" w:eastAsia="宋体" w:cs="宋体"/>
                <w:color w:val="auto"/>
                <w:sz w:val="24"/>
                <w:szCs w:val="24"/>
                <w:highlight w:val="none"/>
              </w:rPr>
              <w:t>*60%=B（其中：”A”为暂定合同价、“</w:t>
            </w:r>
            <w:r>
              <w:rPr>
                <w:rFonts w:hint="eastAsia" w:ascii="宋体" w:hAnsi="宋体" w:cs="宋体"/>
                <w:color w:val="auto"/>
                <w:sz w:val="24"/>
                <w:szCs w:val="24"/>
                <w:highlight w:val="none"/>
                <w:lang w:val="en-US" w:eastAsia="zh-CN"/>
              </w:rPr>
              <w:t>36</w:t>
            </w:r>
            <w:r>
              <w:rPr>
                <w:rFonts w:hint="eastAsia" w:ascii="宋体" w:hAnsi="宋体" w:eastAsia="宋体" w:cs="宋体"/>
                <w:color w:val="auto"/>
                <w:sz w:val="24"/>
                <w:szCs w:val="24"/>
                <w:highlight w:val="none"/>
              </w:rPr>
              <w:t>”表示平均按照</w:t>
            </w:r>
            <w:r>
              <w:rPr>
                <w:rFonts w:hint="eastAsia" w:ascii="宋体" w:hAnsi="宋体" w:cs="宋体"/>
                <w:color w:val="auto"/>
                <w:sz w:val="24"/>
                <w:szCs w:val="24"/>
                <w:highlight w:val="none"/>
                <w:lang w:val="en-US" w:eastAsia="zh-CN"/>
              </w:rPr>
              <w:t>36</w:t>
            </w:r>
            <w:r>
              <w:rPr>
                <w:rFonts w:hint="eastAsia" w:ascii="宋体" w:hAnsi="宋体" w:eastAsia="宋体" w:cs="宋体"/>
                <w:color w:val="auto"/>
                <w:sz w:val="24"/>
                <w:szCs w:val="24"/>
                <w:highlight w:val="none"/>
              </w:rPr>
              <w:t>个月考虑、“B”表示每一次的造价咨询酬金）</w:t>
            </w:r>
          </w:p>
        </w:tc>
        <w:tc>
          <w:tcPr>
            <w:tcW w:w="2701" w:type="dxa"/>
            <w:tcBorders>
              <w:top w:val="single" w:color="auto" w:sz="4" w:space="0"/>
              <w:left w:val="single" w:color="auto" w:sz="4" w:space="0"/>
              <w:bottom w:val="single" w:color="auto" w:sz="4" w:space="0"/>
              <w:right w:val="single" w:color="auto" w:sz="4" w:space="0"/>
            </w:tcBorders>
            <w:noWrap w:val="0"/>
            <w:vAlign w:val="center"/>
          </w:tcPr>
          <w:p w14:paraId="2A436C8B">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按季度支付。</w:t>
            </w:r>
            <w:r>
              <w:rPr>
                <w:rFonts w:hint="eastAsia" w:ascii="宋体" w:hAnsi="宋体" w:eastAsia="宋体" w:cs="宋体"/>
                <w:color w:val="auto"/>
                <w:sz w:val="24"/>
                <w:szCs w:val="24"/>
                <w:highlight w:val="none"/>
              </w:rPr>
              <w:t>乙方应在每季度的最后一个月15日前向甲方请款，请款当月乙方提交请款资料经甲方审核确定后30个工作日内支付当季度相应费用。</w:t>
            </w:r>
          </w:p>
        </w:tc>
      </w:tr>
      <w:tr w14:paraId="46C04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trPr>
        <w:tc>
          <w:tcPr>
            <w:tcW w:w="1834" w:type="dxa"/>
            <w:tcBorders>
              <w:top w:val="single" w:color="auto" w:sz="4" w:space="0"/>
              <w:left w:val="single" w:color="auto" w:sz="4" w:space="0"/>
              <w:bottom w:val="single" w:color="auto" w:sz="4" w:space="0"/>
              <w:right w:val="single" w:color="auto" w:sz="4" w:space="0"/>
            </w:tcBorders>
            <w:noWrap w:val="0"/>
            <w:vAlign w:val="center"/>
          </w:tcPr>
          <w:p w14:paraId="48AC64AC">
            <w:pPr>
              <w:widowControl/>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预算审核阶段</w:t>
            </w:r>
          </w:p>
        </w:tc>
        <w:tc>
          <w:tcPr>
            <w:tcW w:w="1915" w:type="dxa"/>
            <w:tcBorders>
              <w:top w:val="single" w:color="auto" w:sz="4" w:space="0"/>
              <w:left w:val="single" w:color="auto" w:sz="4" w:space="0"/>
              <w:bottom w:val="single" w:color="auto" w:sz="4" w:space="0"/>
              <w:right w:val="single" w:color="auto" w:sz="4" w:space="0"/>
            </w:tcBorders>
            <w:noWrap w:val="0"/>
            <w:vAlign w:val="top"/>
          </w:tcPr>
          <w:p w14:paraId="1360A2AD">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合同暂定价的1</w:t>
            </w:r>
            <w:r>
              <w:rPr>
                <w:rFonts w:hint="eastAsia" w:ascii="宋体" w:hAnsi="宋体" w:cs="宋体"/>
                <w:color w:val="auto"/>
                <w:sz w:val="24"/>
                <w:szCs w:val="24"/>
                <w:highlight w:val="none"/>
                <w:lang w:val="en-US" w:eastAsia="zh-CN"/>
              </w:rPr>
              <w:t>0</w:t>
            </w:r>
            <w:r>
              <w:rPr>
                <w:rFonts w:hint="eastAsia" w:ascii="宋体" w:hAnsi="宋体" w:eastAsia="宋体" w:cs="宋体"/>
                <w:color w:val="auto"/>
                <w:sz w:val="24"/>
                <w:szCs w:val="24"/>
                <w:highlight w:val="none"/>
              </w:rPr>
              <w:t>%</w:t>
            </w:r>
          </w:p>
        </w:tc>
        <w:tc>
          <w:tcPr>
            <w:tcW w:w="1982" w:type="dxa"/>
            <w:tcBorders>
              <w:top w:val="single" w:color="auto" w:sz="4" w:space="0"/>
              <w:left w:val="single" w:color="auto" w:sz="4" w:space="0"/>
              <w:bottom w:val="single" w:color="auto" w:sz="4" w:space="0"/>
              <w:right w:val="single" w:color="auto" w:sz="4" w:space="0"/>
            </w:tcBorders>
            <w:noWrap w:val="0"/>
            <w:vAlign w:val="top"/>
          </w:tcPr>
          <w:p w14:paraId="244EE048">
            <w:pPr>
              <w:spacing w:line="360" w:lineRule="auto"/>
              <w:rPr>
                <w:rFonts w:hint="eastAsia" w:ascii="宋体" w:hAnsi="宋体" w:eastAsia="宋体" w:cs="宋体"/>
                <w:color w:val="auto"/>
                <w:sz w:val="24"/>
                <w:szCs w:val="24"/>
                <w:highlight w:val="none"/>
              </w:rPr>
            </w:pPr>
          </w:p>
          <w:p w14:paraId="61385A93">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一次性支付</w:t>
            </w:r>
          </w:p>
        </w:tc>
        <w:tc>
          <w:tcPr>
            <w:tcW w:w="2701" w:type="dxa"/>
            <w:tcBorders>
              <w:top w:val="single" w:color="auto" w:sz="4" w:space="0"/>
              <w:left w:val="single" w:color="auto" w:sz="4" w:space="0"/>
              <w:bottom w:val="single" w:color="auto" w:sz="4" w:space="0"/>
              <w:right w:val="single" w:color="auto" w:sz="4" w:space="0"/>
            </w:tcBorders>
            <w:noWrap w:val="0"/>
            <w:vAlign w:val="top"/>
          </w:tcPr>
          <w:p w14:paraId="631CFFE2">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乙方提交项目</w:t>
            </w:r>
            <w:r>
              <w:rPr>
                <w:rFonts w:hint="eastAsia" w:ascii="宋体" w:hAnsi="宋体" w:eastAsia="宋体" w:cs="宋体"/>
                <w:color w:val="auto"/>
                <w:sz w:val="24"/>
                <w:szCs w:val="24"/>
                <w:highlight w:val="none"/>
                <w:lang w:val="en-US" w:eastAsia="zh-CN"/>
              </w:rPr>
              <w:t>勘察设计施工</w:t>
            </w:r>
            <w:r>
              <w:rPr>
                <w:rFonts w:hint="eastAsia" w:ascii="宋体" w:hAnsi="宋体" w:eastAsia="宋体" w:cs="宋体"/>
                <w:color w:val="auto"/>
                <w:sz w:val="24"/>
                <w:szCs w:val="24"/>
                <w:highlight w:val="none"/>
              </w:rPr>
              <w:t>总承包预算审核报告并经甲方书面确认后30个工作日内。</w:t>
            </w:r>
          </w:p>
        </w:tc>
      </w:tr>
      <w:tr w14:paraId="40FCB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1" w:hRule="atLeast"/>
        </w:trPr>
        <w:tc>
          <w:tcPr>
            <w:tcW w:w="1834" w:type="dxa"/>
            <w:tcBorders>
              <w:top w:val="single" w:color="auto" w:sz="4" w:space="0"/>
              <w:left w:val="single" w:color="auto" w:sz="4" w:space="0"/>
              <w:bottom w:val="single" w:color="auto" w:sz="4" w:space="0"/>
              <w:right w:val="single" w:color="auto" w:sz="4" w:space="0"/>
            </w:tcBorders>
            <w:noWrap w:val="0"/>
            <w:vAlign w:val="center"/>
          </w:tcPr>
          <w:p w14:paraId="0469CAB7">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结算审核阶段</w:t>
            </w:r>
          </w:p>
        </w:tc>
        <w:tc>
          <w:tcPr>
            <w:tcW w:w="1915" w:type="dxa"/>
            <w:tcBorders>
              <w:top w:val="single" w:color="auto" w:sz="4" w:space="0"/>
              <w:left w:val="single" w:color="auto" w:sz="4" w:space="0"/>
              <w:bottom w:val="single" w:color="auto" w:sz="4" w:space="0"/>
              <w:right w:val="single" w:color="auto" w:sz="4" w:space="0"/>
            </w:tcBorders>
            <w:noWrap w:val="0"/>
            <w:vAlign w:val="top"/>
          </w:tcPr>
          <w:p w14:paraId="659A3C3B">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合同暂定价的1</w:t>
            </w: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rPr>
              <w:t>%</w:t>
            </w:r>
          </w:p>
        </w:tc>
        <w:tc>
          <w:tcPr>
            <w:tcW w:w="1982" w:type="dxa"/>
            <w:tcBorders>
              <w:top w:val="single" w:color="auto" w:sz="4" w:space="0"/>
              <w:left w:val="single" w:color="auto" w:sz="4" w:space="0"/>
              <w:bottom w:val="single" w:color="auto" w:sz="4" w:space="0"/>
              <w:right w:val="single" w:color="auto" w:sz="4" w:space="0"/>
            </w:tcBorders>
            <w:noWrap w:val="0"/>
            <w:vAlign w:val="top"/>
          </w:tcPr>
          <w:p w14:paraId="3B106F40">
            <w:pPr>
              <w:spacing w:line="360" w:lineRule="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分2次支付，</w:t>
            </w:r>
          </w:p>
          <w:p w14:paraId="2B5727A6">
            <w:pPr>
              <w:spacing w:line="360" w:lineRule="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（1）勘察设计施工总承包合同结算完成，支付咨询合同暂定总价15%。（2）工程建设其他费用等合同结算完成，支付咨询合同暂定总价3%。</w:t>
            </w:r>
          </w:p>
        </w:tc>
        <w:tc>
          <w:tcPr>
            <w:tcW w:w="2701" w:type="dxa"/>
            <w:tcBorders>
              <w:top w:val="single" w:color="auto" w:sz="4" w:space="0"/>
              <w:left w:val="single" w:color="auto" w:sz="4" w:space="0"/>
              <w:bottom w:val="single" w:color="auto" w:sz="4" w:space="0"/>
              <w:right w:val="single" w:color="auto" w:sz="4" w:space="0"/>
            </w:tcBorders>
            <w:noWrap w:val="0"/>
            <w:vAlign w:val="center"/>
          </w:tcPr>
          <w:p w14:paraId="23528913">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000000"/>
                <w:sz w:val="24"/>
                <w:szCs w:val="24"/>
                <w:highlight w:val="none"/>
              </w:rPr>
              <w:t>结算完成，</w:t>
            </w:r>
            <w:r>
              <w:rPr>
                <w:rFonts w:hint="eastAsia" w:ascii="宋体" w:hAnsi="宋体" w:cs="宋体"/>
                <w:color w:val="000000"/>
                <w:sz w:val="24"/>
                <w:szCs w:val="24"/>
                <w:highlight w:val="none"/>
                <w:lang w:val="en-US" w:eastAsia="zh-CN"/>
              </w:rPr>
              <w:t>乙方提交结算审核报告，</w:t>
            </w:r>
            <w:r>
              <w:rPr>
                <w:rFonts w:hint="eastAsia" w:ascii="宋体" w:hAnsi="宋体" w:eastAsia="宋体" w:cs="宋体"/>
                <w:color w:val="000000"/>
                <w:sz w:val="24"/>
                <w:szCs w:val="24"/>
                <w:highlight w:val="none"/>
              </w:rPr>
              <w:t>且经委托人审核确认同意30个工作日内</w:t>
            </w:r>
            <w:r>
              <w:rPr>
                <w:rFonts w:hint="eastAsia" w:ascii="宋体" w:hAnsi="宋体" w:eastAsia="宋体" w:cs="宋体"/>
                <w:color w:val="000000"/>
                <w:sz w:val="24"/>
                <w:szCs w:val="24"/>
                <w:highlight w:val="none"/>
                <w:lang w:eastAsia="zh-CN"/>
              </w:rPr>
              <w:t>。</w:t>
            </w:r>
          </w:p>
        </w:tc>
      </w:tr>
      <w:tr w14:paraId="4E388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1" w:hRule="atLeast"/>
        </w:trPr>
        <w:tc>
          <w:tcPr>
            <w:tcW w:w="1834" w:type="dxa"/>
            <w:tcBorders>
              <w:top w:val="single" w:color="auto" w:sz="4" w:space="0"/>
              <w:left w:val="single" w:color="auto" w:sz="4" w:space="0"/>
              <w:bottom w:val="single" w:color="auto" w:sz="4" w:space="0"/>
              <w:right w:val="single" w:color="auto" w:sz="4" w:space="0"/>
            </w:tcBorders>
            <w:noWrap w:val="0"/>
            <w:vAlign w:val="center"/>
          </w:tcPr>
          <w:p w14:paraId="05CCA61F">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结算</w:t>
            </w:r>
          </w:p>
        </w:tc>
        <w:tc>
          <w:tcPr>
            <w:tcW w:w="1915" w:type="dxa"/>
            <w:tcBorders>
              <w:top w:val="single" w:color="auto" w:sz="4" w:space="0"/>
              <w:left w:val="single" w:color="auto" w:sz="4" w:space="0"/>
              <w:bottom w:val="single" w:color="auto" w:sz="4" w:space="0"/>
              <w:right w:val="single" w:color="auto" w:sz="4" w:space="0"/>
            </w:tcBorders>
            <w:noWrap w:val="0"/>
            <w:vAlign w:val="top"/>
          </w:tcPr>
          <w:p w14:paraId="6C88A6F1">
            <w:pPr>
              <w:spacing w:line="360" w:lineRule="auto"/>
              <w:rPr>
                <w:rFonts w:hint="eastAsia" w:ascii="宋体" w:hAnsi="宋体" w:eastAsia="宋体" w:cs="宋体"/>
                <w:color w:val="auto"/>
                <w:sz w:val="24"/>
                <w:szCs w:val="24"/>
                <w:highlight w:val="none"/>
              </w:rPr>
            </w:pPr>
          </w:p>
          <w:p w14:paraId="49D41A40">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付至审定后的结算价的100%。</w:t>
            </w:r>
          </w:p>
        </w:tc>
        <w:tc>
          <w:tcPr>
            <w:tcW w:w="1982" w:type="dxa"/>
            <w:tcBorders>
              <w:top w:val="single" w:color="auto" w:sz="4" w:space="0"/>
              <w:left w:val="single" w:color="auto" w:sz="4" w:space="0"/>
              <w:bottom w:val="single" w:color="auto" w:sz="4" w:space="0"/>
              <w:right w:val="single" w:color="auto" w:sz="4" w:space="0"/>
            </w:tcBorders>
            <w:noWrap w:val="0"/>
            <w:vAlign w:val="top"/>
          </w:tcPr>
          <w:p w14:paraId="03FADC2A">
            <w:pPr>
              <w:spacing w:line="360" w:lineRule="auto"/>
              <w:rPr>
                <w:rFonts w:hint="eastAsia" w:ascii="宋体" w:hAnsi="宋体" w:eastAsia="宋体" w:cs="宋体"/>
                <w:color w:val="auto"/>
                <w:sz w:val="24"/>
                <w:szCs w:val="24"/>
                <w:highlight w:val="none"/>
              </w:rPr>
            </w:pPr>
          </w:p>
          <w:p w14:paraId="09BD6E66">
            <w:pPr>
              <w:spacing w:line="360" w:lineRule="auto"/>
              <w:rPr>
                <w:rFonts w:hint="eastAsia" w:ascii="宋体" w:hAnsi="宋体" w:eastAsia="宋体" w:cs="宋体"/>
                <w:color w:val="auto"/>
                <w:sz w:val="24"/>
                <w:szCs w:val="24"/>
                <w:highlight w:val="none"/>
              </w:rPr>
            </w:pPr>
          </w:p>
          <w:p w14:paraId="14FE0DF0">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一次性支付</w:t>
            </w:r>
          </w:p>
        </w:tc>
        <w:tc>
          <w:tcPr>
            <w:tcW w:w="2701" w:type="dxa"/>
            <w:tcBorders>
              <w:top w:val="single" w:color="auto" w:sz="4" w:space="0"/>
              <w:left w:val="single" w:color="auto" w:sz="4" w:space="0"/>
              <w:bottom w:val="single" w:color="auto" w:sz="4" w:space="0"/>
              <w:right w:val="single" w:color="auto" w:sz="4" w:space="0"/>
            </w:tcBorders>
            <w:noWrap w:val="0"/>
            <w:vAlign w:val="center"/>
          </w:tcPr>
          <w:p w14:paraId="70C790B2">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在终审或委托人认可成果文件，且</w:t>
            </w:r>
            <w:r>
              <w:rPr>
                <w:rFonts w:hint="eastAsia" w:ascii="宋体" w:hAnsi="宋体" w:eastAsia="宋体" w:cs="宋体"/>
                <w:bCs/>
                <w:color w:val="auto"/>
                <w:sz w:val="24"/>
                <w:szCs w:val="24"/>
                <w:highlight w:val="none"/>
              </w:rPr>
              <w:t>造价咨询服务费用结算经甲方书面审定后</w:t>
            </w:r>
            <w:r>
              <w:rPr>
                <w:rFonts w:hint="eastAsia" w:ascii="宋体" w:hAnsi="宋体" w:eastAsia="宋体" w:cs="宋体"/>
                <w:color w:val="auto"/>
                <w:sz w:val="24"/>
                <w:szCs w:val="24"/>
                <w:highlight w:val="none"/>
              </w:rPr>
              <w:t>30个工作日内。</w:t>
            </w:r>
          </w:p>
        </w:tc>
      </w:tr>
    </w:tbl>
    <w:p w14:paraId="2CE89551">
      <w:pPr>
        <w:pStyle w:val="15"/>
        <w:keepNext w:val="0"/>
        <w:keepLines w:val="0"/>
        <w:pageBreakBefore w:val="0"/>
        <w:widowControl w:val="0"/>
        <w:tabs>
          <w:tab w:val="left" w:pos="720"/>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6.3驻场人员服务要求（不包括项目负责人参加现场例会需要）：按照委托人现场成本管理的需要，就每周重大隐蔽工程签证的现场见证，重大设计变更、签证现场估算、审核等必需到现场处理的成本事项，承包方至少保证</w:t>
      </w:r>
      <w:r>
        <w:rPr>
          <w:rFonts w:hint="eastAsia" w:ascii="宋体" w:hAnsi="宋体" w:eastAsia="宋体" w:cs="宋体"/>
          <w:bCs/>
          <w:color w:val="auto"/>
          <w:kern w:val="0"/>
          <w:sz w:val="24"/>
          <w:szCs w:val="24"/>
          <w:highlight w:val="none"/>
          <w:lang w:val="en-US" w:eastAsia="zh-CN"/>
        </w:rPr>
        <w:t>5</w:t>
      </w:r>
      <w:r>
        <w:rPr>
          <w:rFonts w:hint="eastAsia" w:ascii="宋体" w:hAnsi="宋体" w:eastAsia="宋体" w:cs="宋体"/>
          <w:bCs/>
          <w:color w:val="auto"/>
          <w:kern w:val="0"/>
          <w:sz w:val="24"/>
          <w:szCs w:val="24"/>
          <w:highlight w:val="none"/>
        </w:rPr>
        <w:t>天按照甲方要求派驻专业技术人员到本工程现场办公（具体办公时间及人员要求以委托人结合现场成本管理动态需要以书面通知为准），驻场人员主要工作是对现场过程成本资料收集、对接，复核及把关，现场成本台帐的搭建，整理及动态更新，事项，相关费用包含在合同价内。</w:t>
      </w:r>
    </w:p>
    <w:p w14:paraId="5DF895B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6.4乙方每次请款需同时向甲方开具合法有效等额的增值税专用发票。乙方因收取费用所需缴纳的所有税费，由乙方自行承担。乙方未按要求进行请款或所提交的发票不符要求的，甲方有权暂停付款，因此而导致付款时间延误的责任由乙方承担。</w:t>
      </w:r>
    </w:p>
    <w:p w14:paraId="7A31B78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开票信息如下：</w:t>
      </w:r>
    </w:p>
    <w:tbl>
      <w:tblPr>
        <w:tblStyle w:val="10"/>
        <w:tblW w:w="0" w:type="auto"/>
        <w:tblInd w:w="42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15"/>
        <w:gridCol w:w="5810"/>
      </w:tblGrid>
      <w:tr w14:paraId="6CE94C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7" w:hRule="atLeast"/>
        </w:trPr>
        <w:tc>
          <w:tcPr>
            <w:tcW w:w="1815" w:type="dxa"/>
            <w:noWrap w:val="0"/>
            <w:vAlign w:val="center"/>
          </w:tcPr>
          <w:p w14:paraId="533E4150">
            <w:pPr>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单位名称</w:t>
            </w:r>
          </w:p>
        </w:tc>
        <w:tc>
          <w:tcPr>
            <w:tcW w:w="5810" w:type="dxa"/>
            <w:noWrap w:val="0"/>
            <w:vAlign w:val="center"/>
          </w:tcPr>
          <w:p w14:paraId="49AC4217">
            <w:pPr>
              <w:rPr>
                <w:rFonts w:hint="eastAsia" w:ascii="宋体" w:hAnsi="宋体" w:eastAsia="宋体" w:cs="宋体"/>
                <w:bCs/>
                <w:color w:val="auto"/>
                <w:kern w:val="0"/>
                <w:sz w:val="24"/>
                <w:szCs w:val="24"/>
                <w:highlight w:val="none"/>
              </w:rPr>
            </w:pPr>
            <w:r>
              <w:rPr>
                <w:rFonts w:hint="eastAsia" w:ascii="宋体" w:hAnsi="宋体" w:cs="宋体"/>
                <w:bCs/>
                <w:color w:val="auto"/>
                <w:kern w:val="0"/>
                <w:sz w:val="24"/>
                <w:szCs w:val="24"/>
                <w:highlight w:val="none"/>
                <w:lang w:val="en-US" w:eastAsia="zh-CN" w:bidi="ar"/>
              </w:rPr>
              <w:t>广州科岭</w:t>
            </w:r>
            <w:r>
              <w:rPr>
                <w:rFonts w:hint="eastAsia" w:ascii="宋体" w:hAnsi="宋体" w:eastAsia="宋体" w:cs="宋体"/>
                <w:bCs/>
                <w:color w:val="auto"/>
                <w:kern w:val="0"/>
                <w:sz w:val="24"/>
                <w:szCs w:val="24"/>
                <w:highlight w:val="none"/>
                <w:lang w:val="en-US" w:eastAsia="zh-CN" w:bidi="ar"/>
              </w:rPr>
              <w:t>投资开发有限公司</w:t>
            </w:r>
          </w:p>
        </w:tc>
      </w:tr>
      <w:tr w14:paraId="58F10A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7" w:hRule="atLeast"/>
        </w:trPr>
        <w:tc>
          <w:tcPr>
            <w:tcW w:w="1815" w:type="dxa"/>
            <w:noWrap w:val="0"/>
            <w:vAlign w:val="center"/>
          </w:tcPr>
          <w:p w14:paraId="3C63E8CC">
            <w:pPr>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税号</w:t>
            </w:r>
          </w:p>
        </w:tc>
        <w:tc>
          <w:tcPr>
            <w:tcW w:w="5810" w:type="dxa"/>
            <w:noWrap w:val="0"/>
            <w:vAlign w:val="center"/>
          </w:tcPr>
          <w:p w14:paraId="4188084B">
            <w:pPr>
              <w:rPr>
                <w:rFonts w:hint="eastAsia" w:ascii="宋体" w:hAnsi="宋体" w:eastAsia="宋体" w:cs="宋体"/>
                <w:bCs/>
                <w:color w:val="auto"/>
                <w:kern w:val="0"/>
                <w:sz w:val="24"/>
                <w:szCs w:val="24"/>
                <w:highlight w:val="none"/>
              </w:rPr>
            </w:pPr>
          </w:p>
        </w:tc>
      </w:tr>
      <w:tr w14:paraId="1E04F0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7" w:hRule="atLeast"/>
        </w:trPr>
        <w:tc>
          <w:tcPr>
            <w:tcW w:w="1815" w:type="dxa"/>
            <w:noWrap w:val="0"/>
            <w:vAlign w:val="center"/>
          </w:tcPr>
          <w:p w14:paraId="14317881">
            <w:pPr>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地址</w:t>
            </w:r>
          </w:p>
        </w:tc>
        <w:tc>
          <w:tcPr>
            <w:tcW w:w="5810" w:type="dxa"/>
            <w:noWrap w:val="0"/>
            <w:vAlign w:val="center"/>
          </w:tcPr>
          <w:p w14:paraId="049A4787">
            <w:pPr>
              <w:rPr>
                <w:rFonts w:hint="eastAsia" w:ascii="宋体" w:hAnsi="宋体" w:eastAsia="宋体" w:cs="宋体"/>
                <w:bCs/>
                <w:color w:val="auto"/>
                <w:kern w:val="0"/>
                <w:sz w:val="24"/>
                <w:szCs w:val="24"/>
                <w:highlight w:val="none"/>
              </w:rPr>
            </w:pPr>
          </w:p>
        </w:tc>
      </w:tr>
      <w:tr w14:paraId="567B54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7" w:hRule="atLeast"/>
        </w:trPr>
        <w:tc>
          <w:tcPr>
            <w:tcW w:w="1815" w:type="dxa"/>
            <w:noWrap w:val="0"/>
            <w:vAlign w:val="center"/>
          </w:tcPr>
          <w:p w14:paraId="27497126">
            <w:pPr>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电话</w:t>
            </w:r>
          </w:p>
        </w:tc>
        <w:tc>
          <w:tcPr>
            <w:tcW w:w="5810" w:type="dxa"/>
            <w:noWrap w:val="0"/>
            <w:vAlign w:val="center"/>
          </w:tcPr>
          <w:p w14:paraId="68CCE10B">
            <w:pPr>
              <w:rPr>
                <w:rFonts w:hint="eastAsia" w:ascii="宋体" w:hAnsi="宋体" w:eastAsia="宋体" w:cs="宋体"/>
                <w:bCs/>
                <w:color w:val="auto"/>
                <w:kern w:val="0"/>
                <w:sz w:val="24"/>
                <w:szCs w:val="24"/>
                <w:highlight w:val="none"/>
              </w:rPr>
            </w:pPr>
          </w:p>
        </w:tc>
      </w:tr>
      <w:tr w14:paraId="3E26C4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7" w:hRule="atLeast"/>
        </w:trPr>
        <w:tc>
          <w:tcPr>
            <w:tcW w:w="1815" w:type="dxa"/>
            <w:noWrap w:val="0"/>
            <w:vAlign w:val="center"/>
          </w:tcPr>
          <w:p w14:paraId="274D00C1">
            <w:pPr>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开户银行</w:t>
            </w:r>
          </w:p>
        </w:tc>
        <w:tc>
          <w:tcPr>
            <w:tcW w:w="5810" w:type="dxa"/>
            <w:noWrap w:val="0"/>
            <w:vAlign w:val="center"/>
          </w:tcPr>
          <w:p w14:paraId="7B00F02E">
            <w:pPr>
              <w:rPr>
                <w:rFonts w:hint="eastAsia" w:ascii="宋体" w:hAnsi="宋体" w:eastAsia="宋体" w:cs="宋体"/>
                <w:bCs/>
                <w:color w:val="auto"/>
                <w:kern w:val="0"/>
                <w:sz w:val="24"/>
                <w:szCs w:val="24"/>
                <w:highlight w:val="none"/>
              </w:rPr>
            </w:pPr>
          </w:p>
        </w:tc>
      </w:tr>
      <w:tr w14:paraId="2CC2C4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7" w:hRule="atLeast"/>
        </w:trPr>
        <w:tc>
          <w:tcPr>
            <w:tcW w:w="1815" w:type="dxa"/>
            <w:noWrap w:val="0"/>
            <w:vAlign w:val="center"/>
          </w:tcPr>
          <w:p w14:paraId="3E82E87C">
            <w:pPr>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银行账号</w:t>
            </w:r>
          </w:p>
        </w:tc>
        <w:tc>
          <w:tcPr>
            <w:tcW w:w="5810" w:type="dxa"/>
            <w:noWrap w:val="0"/>
            <w:vAlign w:val="center"/>
          </w:tcPr>
          <w:p w14:paraId="63145DC7">
            <w:pPr>
              <w:rPr>
                <w:rFonts w:hint="eastAsia" w:ascii="宋体" w:hAnsi="宋体" w:eastAsia="宋体" w:cs="宋体"/>
                <w:bCs/>
                <w:color w:val="auto"/>
                <w:kern w:val="0"/>
                <w:sz w:val="24"/>
                <w:szCs w:val="24"/>
                <w:highlight w:val="none"/>
              </w:rPr>
            </w:pPr>
          </w:p>
        </w:tc>
      </w:tr>
      <w:bookmarkEnd w:id="0"/>
    </w:tbl>
    <w:p w14:paraId="2DD60023">
      <w:pPr>
        <w:pStyle w:val="15"/>
        <w:keepNext w:val="0"/>
        <w:keepLines w:val="0"/>
        <w:pageBreakBefore w:val="0"/>
        <w:tabs>
          <w:tab w:val="left" w:pos="720"/>
        </w:tabs>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b/>
          <w:bCs/>
          <w:color w:val="auto"/>
          <w:kern w:val="0"/>
          <w:sz w:val="24"/>
          <w:szCs w:val="24"/>
          <w:highlight w:val="none"/>
        </w:rPr>
      </w:pPr>
    </w:p>
    <w:p w14:paraId="57683315">
      <w:pPr>
        <w:pStyle w:val="15"/>
        <w:keepNext w:val="0"/>
        <w:keepLines w:val="0"/>
        <w:pageBreakBefore w:val="0"/>
        <w:tabs>
          <w:tab w:val="left" w:pos="720"/>
        </w:tabs>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第七条 违约责任</w:t>
      </w:r>
    </w:p>
    <w:p w14:paraId="0D336465">
      <w:pPr>
        <w:pStyle w:val="15"/>
        <w:keepNext w:val="0"/>
        <w:keepLines w:val="0"/>
        <w:pageBreakBefore w:val="0"/>
        <w:tabs>
          <w:tab w:val="left" w:pos="720"/>
        </w:tabs>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bCs/>
          <w:color w:val="auto"/>
          <w:kern w:val="0"/>
          <w:sz w:val="24"/>
          <w:szCs w:val="24"/>
          <w:highlight w:val="none"/>
        </w:rPr>
        <w:t xml:space="preserve"> 7.1 </w:t>
      </w:r>
      <w:r>
        <w:rPr>
          <w:rFonts w:hint="eastAsia" w:ascii="宋体" w:hAnsi="宋体" w:eastAsia="宋体" w:cs="宋体"/>
          <w:color w:val="auto"/>
          <w:sz w:val="24"/>
          <w:szCs w:val="24"/>
          <w:highlight w:val="none"/>
        </w:rPr>
        <w:t xml:space="preserve">由于甲方未能按合同约定及时提供工程有关文件和资料，或对乙方书面提交并要求答复的事宜未能及时答复，致使乙方工作延误，对此造成的损失，乙方不承担责任。 </w:t>
      </w:r>
      <w:r>
        <w:rPr>
          <w:rFonts w:hint="eastAsia" w:ascii="宋体" w:hAnsi="宋体" w:eastAsia="宋体" w:cs="宋体"/>
          <w:bCs/>
          <w:color w:val="auto"/>
          <w:kern w:val="0"/>
          <w:sz w:val="24"/>
          <w:szCs w:val="24"/>
          <w:highlight w:val="none"/>
        </w:rPr>
        <w:t>因乙方原因导致</w:t>
      </w:r>
      <w:r>
        <w:rPr>
          <w:rFonts w:hint="eastAsia" w:ascii="宋体" w:hAnsi="宋体" w:eastAsia="宋体" w:cs="宋体"/>
          <w:color w:val="auto"/>
          <w:sz w:val="24"/>
          <w:szCs w:val="24"/>
          <w:highlight w:val="none"/>
        </w:rPr>
        <w:t>未能按照甲方要求的合理期限提交成果文件的，每延误提交一次，乙方按1000元/次支付违约金给甲方。</w:t>
      </w:r>
    </w:p>
    <w:p w14:paraId="47529DE2">
      <w:pPr>
        <w:pStyle w:val="20"/>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7.2</w:t>
      </w:r>
      <w:r>
        <w:rPr>
          <w:rFonts w:hint="eastAsia" w:ascii="宋体" w:hAnsi="宋体" w:eastAsia="宋体" w:cs="宋体"/>
          <w:bCs/>
          <w:color w:val="auto"/>
          <w:sz w:val="24"/>
          <w:szCs w:val="24"/>
          <w:highlight w:val="none"/>
        </w:rPr>
        <w:t>因乙方原因延误开标时间的，每延误一天，乙方</w:t>
      </w:r>
      <w:r>
        <w:rPr>
          <w:rFonts w:hint="eastAsia" w:ascii="宋体" w:hAnsi="宋体" w:eastAsia="宋体" w:cs="宋体"/>
          <w:color w:val="auto"/>
          <w:sz w:val="24"/>
          <w:szCs w:val="24"/>
          <w:highlight w:val="none"/>
        </w:rPr>
        <w:t>按</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000元/次支付违约金给甲方</w:t>
      </w:r>
      <w:r>
        <w:rPr>
          <w:rFonts w:hint="eastAsia" w:ascii="宋体" w:hAnsi="宋体" w:eastAsia="宋体" w:cs="宋体"/>
          <w:bCs/>
          <w:color w:val="auto"/>
          <w:sz w:val="24"/>
          <w:szCs w:val="24"/>
          <w:highlight w:val="none"/>
        </w:rPr>
        <w:t>；延误开标时间超过10天的，甲方有权终止本合同，不支付任何报酬。</w:t>
      </w:r>
    </w:p>
    <w:p w14:paraId="1576F032">
      <w:pPr>
        <w:pStyle w:val="20"/>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7.3</w:t>
      </w:r>
      <w:r>
        <w:rPr>
          <w:rFonts w:hint="eastAsia" w:ascii="宋体" w:hAnsi="宋体" w:eastAsia="宋体" w:cs="宋体"/>
          <w:color w:val="auto"/>
          <w:sz w:val="24"/>
          <w:szCs w:val="24"/>
          <w:highlight w:val="none"/>
        </w:rPr>
        <w:t>乙方未按相关规定做好资料保管与整理工作，导致资料丢失的，应按1000</w:t>
      </w:r>
      <w:r>
        <w:rPr>
          <w:rFonts w:hint="eastAsia" w:ascii="宋体" w:hAnsi="宋体" w:cs="宋体"/>
          <w:color w:val="auto"/>
          <w:sz w:val="24"/>
          <w:szCs w:val="24"/>
          <w:highlight w:val="none"/>
          <w:lang w:val="en-US" w:eastAsia="zh-CN"/>
        </w:rPr>
        <w:t>0</w:t>
      </w:r>
      <w:r>
        <w:rPr>
          <w:rFonts w:hint="eastAsia" w:ascii="宋体" w:hAnsi="宋体" w:eastAsia="宋体" w:cs="宋体"/>
          <w:color w:val="auto"/>
          <w:sz w:val="24"/>
          <w:szCs w:val="24"/>
          <w:highlight w:val="none"/>
        </w:rPr>
        <w:t>元/次向甲方支付违约金；</w:t>
      </w:r>
    </w:p>
    <w:p w14:paraId="788B96B1">
      <w:pPr>
        <w:pStyle w:val="15"/>
        <w:keepNext w:val="0"/>
        <w:keepLines w:val="0"/>
        <w:pageBreakBefore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7.4乙方编制的造价咨询成果文件与甲方（或甲方委托的第三方）审定造价相比，相差幅度在</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%（含本数）～</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%（不含本数）的，扣除相应阶段造价咨询服务费的10%作为违约金；相差幅度在</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%（含本数）～1</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%（不含本数）的，扣除相应阶段造价咨询服务费的20%作为违约金；相差幅度超过1</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%（含本数）的，扣除相应阶段造价咨询服务费的30%作为违约金。</w:t>
      </w:r>
    </w:p>
    <w:p w14:paraId="47E100C4">
      <w:pPr>
        <w:pStyle w:val="15"/>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7.5在指定节点（预算审核阶段付费）完成前，乙方应接受甲方考核（考核标准详见本合同附件2），考评合格基准分为65分，一次阶段考评不合格，扣除暂定合同价的2%作为违约金；累计两次阶段考评不合格，扣除暂定合同价的10%作为违约金；累计三次及以上阶段考评不合格，甲方有权单方通知乙方解除本合同，并扣除暂定合同价的40%作为违约金。</w:t>
      </w:r>
    </w:p>
    <w:p w14:paraId="080AAD0A">
      <w:pPr>
        <w:pStyle w:val="21"/>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Style w:val="22"/>
          <w:rFonts w:hint="eastAsia" w:ascii="宋体" w:hAnsi="宋体" w:eastAsia="宋体" w:cs="宋体"/>
          <w:color w:val="auto"/>
          <w:sz w:val="24"/>
          <w:szCs w:val="24"/>
          <w:highlight w:val="none"/>
        </w:rPr>
        <w:t>7.6</w:t>
      </w:r>
      <w:r>
        <w:rPr>
          <w:rFonts w:hint="eastAsia" w:ascii="宋体" w:hAnsi="宋体" w:eastAsia="宋体" w:cs="宋体"/>
          <w:color w:val="auto"/>
          <w:sz w:val="24"/>
          <w:szCs w:val="24"/>
          <w:highlight w:val="none"/>
        </w:rPr>
        <w:t>乙方应按投标书</w:t>
      </w:r>
      <w:r>
        <w:rPr>
          <w:rStyle w:val="22"/>
          <w:rFonts w:hint="eastAsia" w:ascii="宋体" w:hAnsi="宋体" w:eastAsia="宋体" w:cs="宋体"/>
          <w:color w:val="auto"/>
          <w:sz w:val="24"/>
          <w:szCs w:val="24"/>
          <w:highlight w:val="none"/>
        </w:rPr>
        <w:t>承诺投入足额的专业造价技术人员，投入到本项目的所有团队人员必须经过</w:t>
      </w:r>
      <w:r>
        <w:rPr>
          <w:rFonts w:hint="eastAsia" w:ascii="宋体" w:hAnsi="宋体" w:eastAsia="宋体" w:cs="宋体"/>
          <w:color w:val="auto"/>
          <w:sz w:val="24"/>
          <w:szCs w:val="24"/>
          <w:highlight w:val="none"/>
        </w:rPr>
        <w:t>甲方</w:t>
      </w:r>
      <w:r>
        <w:rPr>
          <w:rStyle w:val="22"/>
          <w:rFonts w:hint="eastAsia" w:ascii="宋体" w:hAnsi="宋体" w:eastAsia="宋体" w:cs="宋体"/>
          <w:color w:val="auto"/>
          <w:sz w:val="24"/>
          <w:szCs w:val="24"/>
          <w:highlight w:val="none"/>
        </w:rPr>
        <w:t>的面试，经</w:t>
      </w:r>
      <w:r>
        <w:rPr>
          <w:rFonts w:hint="eastAsia" w:ascii="宋体" w:hAnsi="宋体" w:eastAsia="宋体" w:cs="宋体"/>
          <w:color w:val="auto"/>
          <w:sz w:val="24"/>
          <w:szCs w:val="24"/>
          <w:highlight w:val="none"/>
        </w:rPr>
        <w:t>甲方</w:t>
      </w:r>
      <w:r>
        <w:rPr>
          <w:rStyle w:val="22"/>
          <w:rFonts w:hint="eastAsia" w:ascii="宋体" w:hAnsi="宋体" w:eastAsia="宋体" w:cs="宋体"/>
          <w:color w:val="auto"/>
          <w:sz w:val="24"/>
          <w:szCs w:val="24"/>
          <w:highlight w:val="none"/>
        </w:rPr>
        <w:t>的面试通过后，</w:t>
      </w:r>
      <w:r>
        <w:rPr>
          <w:rFonts w:hint="eastAsia" w:ascii="宋体" w:hAnsi="宋体" w:eastAsia="宋体" w:cs="宋体"/>
          <w:color w:val="auto"/>
          <w:sz w:val="24"/>
          <w:szCs w:val="24"/>
          <w:highlight w:val="none"/>
        </w:rPr>
        <w:t>乙方</w:t>
      </w:r>
      <w:r>
        <w:rPr>
          <w:rStyle w:val="22"/>
          <w:rFonts w:hint="eastAsia" w:ascii="宋体" w:hAnsi="宋体" w:eastAsia="宋体" w:cs="宋体"/>
          <w:color w:val="auto"/>
          <w:sz w:val="24"/>
          <w:szCs w:val="24"/>
          <w:highlight w:val="none"/>
        </w:rPr>
        <w:t>不得随意调换团队人员（人员离职等客观因素除外，人员名单已本合同附件3为准），人员离职调换人员必须提出书面报告并附上替代人员的所有证明资料，替代人员的资历不低于被调替代人员的资历，经</w:t>
      </w:r>
      <w:r>
        <w:rPr>
          <w:rFonts w:hint="eastAsia" w:ascii="宋体" w:hAnsi="宋体" w:eastAsia="宋体" w:cs="宋体"/>
          <w:color w:val="auto"/>
          <w:sz w:val="24"/>
          <w:szCs w:val="24"/>
          <w:highlight w:val="none"/>
        </w:rPr>
        <w:t>甲方</w:t>
      </w:r>
      <w:r>
        <w:rPr>
          <w:rStyle w:val="22"/>
          <w:rFonts w:hint="eastAsia" w:ascii="宋体" w:hAnsi="宋体" w:eastAsia="宋体" w:cs="宋体"/>
          <w:color w:val="auto"/>
          <w:sz w:val="24"/>
          <w:szCs w:val="24"/>
          <w:highlight w:val="none"/>
        </w:rPr>
        <w:t>审核书面同意后才能调换。否则，视为</w:t>
      </w:r>
      <w:r>
        <w:rPr>
          <w:rFonts w:hint="eastAsia" w:ascii="宋体" w:hAnsi="宋体" w:eastAsia="宋体" w:cs="宋体"/>
          <w:color w:val="auto"/>
          <w:sz w:val="24"/>
          <w:szCs w:val="24"/>
          <w:highlight w:val="none"/>
        </w:rPr>
        <w:t>乙方</w:t>
      </w:r>
      <w:r>
        <w:rPr>
          <w:rStyle w:val="22"/>
          <w:rFonts w:hint="eastAsia" w:ascii="宋体" w:hAnsi="宋体" w:eastAsia="宋体" w:cs="宋体"/>
          <w:color w:val="auto"/>
          <w:sz w:val="24"/>
          <w:szCs w:val="24"/>
          <w:highlight w:val="none"/>
        </w:rPr>
        <w:t>违约，</w:t>
      </w:r>
      <w:bookmarkStart w:id="1" w:name="_Hlk99628631"/>
      <w:r>
        <w:rPr>
          <w:rStyle w:val="22"/>
          <w:rFonts w:hint="eastAsia" w:ascii="宋体" w:hAnsi="宋体" w:eastAsia="宋体" w:cs="宋体"/>
          <w:color w:val="auto"/>
          <w:sz w:val="24"/>
          <w:szCs w:val="24"/>
          <w:highlight w:val="none"/>
        </w:rPr>
        <w:t>擅自</w:t>
      </w:r>
      <w:bookmarkEnd w:id="1"/>
      <w:r>
        <w:rPr>
          <w:rStyle w:val="22"/>
          <w:rFonts w:hint="eastAsia" w:ascii="宋体" w:hAnsi="宋体" w:eastAsia="宋体" w:cs="宋体"/>
          <w:color w:val="auto"/>
          <w:sz w:val="24"/>
          <w:szCs w:val="24"/>
          <w:highlight w:val="none"/>
        </w:rPr>
        <w:t>每调换1名负责人，罚款5000元/次；擅自每调换1名专业造价人员，罚款3000元/次，情节严重的，</w:t>
      </w:r>
      <w:r>
        <w:rPr>
          <w:rFonts w:hint="eastAsia" w:ascii="宋体" w:hAnsi="宋体" w:eastAsia="宋体" w:cs="宋体"/>
          <w:color w:val="auto"/>
          <w:sz w:val="24"/>
          <w:szCs w:val="24"/>
          <w:highlight w:val="none"/>
        </w:rPr>
        <w:t>甲方</w:t>
      </w:r>
      <w:r>
        <w:rPr>
          <w:rStyle w:val="22"/>
          <w:rFonts w:hint="eastAsia" w:ascii="宋体" w:hAnsi="宋体" w:eastAsia="宋体" w:cs="宋体"/>
          <w:color w:val="auto"/>
          <w:sz w:val="24"/>
          <w:szCs w:val="24"/>
          <w:highlight w:val="none"/>
        </w:rPr>
        <w:t>有权解除合同，不作任何费用补偿。</w:t>
      </w:r>
    </w:p>
    <w:p w14:paraId="4742B83F">
      <w:pPr>
        <w:pStyle w:val="15"/>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7.7如乙方存在泄露工程编制相关资料数据或其他违反职业道德及廉政纪律行为的，除按照国家有关法律进行处理外，甲方有权终止合同，不支付任何报酬。</w:t>
      </w:r>
    </w:p>
    <w:p w14:paraId="724D440A">
      <w:pPr>
        <w:pStyle w:val="13"/>
        <w:keepNext w:val="0"/>
        <w:keepLines w:val="0"/>
        <w:pageBreakBefore w:val="0"/>
        <w:kinsoku/>
        <w:wordWrap/>
        <w:overflowPunct/>
        <w:topLinePunct w:val="0"/>
        <w:autoSpaceDE/>
        <w:autoSpaceDN/>
        <w:bidi w:val="0"/>
        <w:adjustRightInd/>
        <w:snapToGrid/>
        <w:spacing w:after="0" w:afterLines="0"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7.8 因乙方不按合同要求履行，委托人有权根据实际情况，对乙方实行通报批评及作不良记录等处罚措施，除本合同另有约定，具体措施及相应的违约责任后果如下：</w:t>
      </w:r>
    </w:p>
    <w:p w14:paraId="546363EB">
      <w:pPr>
        <w:pStyle w:val="13"/>
        <w:keepNext w:val="0"/>
        <w:keepLines w:val="0"/>
        <w:pageBreakBefore w:val="0"/>
        <w:kinsoku/>
        <w:wordWrap/>
        <w:overflowPunct/>
        <w:topLinePunct w:val="0"/>
        <w:autoSpaceDE/>
        <w:autoSpaceDN/>
        <w:bidi w:val="0"/>
        <w:adjustRightInd/>
        <w:snapToGrid/>
        <w:spacing w:after="0" w:afterLines="0"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（1）乙方违反本合同的约定，应当按约定向委托人承担相应的违约责任。违约责任形式包括：</w:t>
      </w:r>
    </w:p>
    <w:p w14:paraId="535960FA">
      <w:pPr>
        <w:pStyle w:val="13"/>
        <w:keepNext w:val="0"/>
        <w:keepLines w:val="0"/>
        <w:pageBreakBefore w:val="0"/>
        <w:kinsoku/>
        <w:wordWrap/>
        <w:overflowPunct/>
        <w:topLinePunct w:val="0"/>
        <w:autoSpaceDE/>
        <w:autoSpaceDN/>
        <w:bidi w:val="0"/>
        <w:adjustRightInd/>
        <w:snapToGrid/>
        <w:spacing w:after="0" w:afterLines="0"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A.限期改正。乙方未按时按约、保质保量履行义务时，委托人有权提出书面警告，要求乙方在限定期限内加以整改，乙方必须履行。</w:t>
      </w:r>
    </w:p>
    <w:p w14:paraId="352AAB1E">
      <w:pPr>
        <w:pStyle w:val="13"/>
        <w:keepNext w:val="0"/>
        <w:keepLines w:val="0"/>
        <w:pageBreakBefore w:val="0"/>
        <w:kinsoku/>
        <w:wordWrap/>
        <w:overflowPunct/>
        <w:topLinePunct w:val="0"/>
        <w:autoSpaceDE/>
        <w:autoSpaceDN/>
        <w:bidi w:val="0"/>
        <w:adjustRightInd/>
        <w:snapToGrid/>
        <w:spacing w:after="0" w:afterLines="0"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B．一般违约责任。乙方按本合同约定承担一般违约责任时，必须向委托人交纳违约金人民币2万元／次。</w:t>
      </w:r>
    </w:p>
    <w:p w14:paraId="66F70FF1">
      <w:pPr>
        <w:pStyle w:val="13"/>
        <w:keepNext w:val="0"/>
        <w:keepLines w:val="0"/>
        <w:pageBreakBefore w:val="0"/>
        <w:kinsoku/>
        <w:wordWrap/>
        <w:overflowPunct/>
        <w:topLinePunct w:val="0"/>
        <w:autoSpaceDE/>
        <w:autoSpaceDN/>
        <w:bidi w:val="0"/>
        <w:adjustRightInd/>
        <w:snapToGrid/>
        <w:spacing w:after="0" w:afterLines="0"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C．严重违约责任。乙方按本合同约定承担严重违约责任时，必须向委托人交纳违约金人民币6万元／次。</w:t>
      </w:r>
    </w:p>
    <w:p w14:paraId="09BF48A4">
      <w:pPr>
        <w:pStyle w:val="13"/>
        <w:keepNext w:val="0"/>
        <w:keepLines w:val="0"/>
        <w:pageBreakBefore w:val="0"/>
        <w:kinsoku/>
        <w:wordWrap/>
        <w:overflowPunct/>
        <w:topLinePunct w:val="0"/>
        <w:autoSpaceDE/>
        <w:autoSpaceDN/>
        <w:bidi w:val="0"/>
        <w:adjustRightInd/>
        <w:snapToGrid/>
        <w:spacing w:after="0" w:afterLines="0"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D．解除合同。委托人向乙方主张解除合同，合同自解除通知到达乙方时解除。同时乙方应向委托人支付本合同约定暂定总价报酬 【30%】 的违约金；乙方必须在3日内停止全部工作，并配合委托人完成现场工作和有关资料的移交，并于完成交接工作当日内离场。乙方应保证所移交的资料齐全完整，乙方无特殊原因未在规定期限内完成交接和离场或所移交的资料不完整的，委托人有权处理其留在现场的材料、设备和其他物件，处理费用由乙方承担，如果引致委托人工期延误和其他方面的损失，委托人将要求乙方赔偿实际损失。委托人在发出解除合同的通知后，委托人即可发包给新的造价咨询单位承接被解除的全部造价咨询工作。同时，乙方不得影响或阻碍新的造价咨询单位办理进场手续和相关工作。</w:t>
      </w:r>
    </w:p>
    <w:p w14:paraId="4E0FA1F2">
      <w:pPr>
        <w:pStyle w:val="13"/>
        <w:keepNext w:val="0"/>
        <w:keepLines w:val="0"/>
        <w:pageBreakBefore w:val="0"/>
        <w:kinsoku/>
        <w:wordWrap/>
        <w:overflowPunct/>
        <w:topLinePunct w:val="0"/>
        <w:autoSpaceDE/>
        <w:autoSpaceDN/>
        <w:bidi w:val="0"/>
        <w:adjustRightInd/>
        <w:snapToGrid/>
        <w:spacing w:after="0" w:afterLines="0"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E.赔偿损失。</w:t>
      </w:r>
    </w:p>
    <w:p w14:paraId="194A08EE">
      <w:pPr>
        <w:pStyle w:val="13"/>
        <w:keepNext w:val="0"/>
        <w:keepLines w:val="0"/>
        <w:pageBreakBefore w:val="0"/>
        <w:kinsoku/>
        <w:wordWrap/>
        <w:overflowPunct/>
        <w:topLinePunct w:val="0"/>
        <w:autoSpaceDE/>
        <w:autoSpaceDN/>
        <w:bidi w:val="0"/>
        <w:adjustRightInd/>
        <w:snapToGrid/>
        <w:spacing w:after="0" w:afterLines="0"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（1）除合同另有约定外，每三次限期整改或三次书面警告，相当于一次一般违约责任，每三次一般违约责任相当于一次严重违约责任，累计三次严重违约责任，委托人有权单方面部分或全部解除合同。</w:t>
      </w:r>
    </w:p>
    <w:p w14:paraId="5834809D">
      <w:pPr>
        <w:pStyle w:val="13"/>
        <w:keepNext w:val="0"/>
        <w:keepLines w:val="0"/>
        <w:pageBreakBefore w:val="0"/>
        <w:kinsoku/>
        <w:wordWrap/>
        <w:overflowPunct/>
        <w:topLinePunct w:val="0"/>
        <w:autoSpaceDE/>
        <w:autoSpaceDN/>
        <w:bidi w:val="0"/>
        <w:adjustRightInd/>
        <w:snapToGrid/>
        <w:spacing w:after="0" w:afterLines="0"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（2）当乙方无正当理由不履行或没有履行相关造价咨询服务，委托人有权书面通知乙方，指明其未能履约的内容并对乙方提出书面警告一次。</w:t>
      </w:r>
    </w:p>
    <w:p w14:paraId="33FE9B17">
      <w:pPr>
        <w:pStyle w:val="13"/>
        <w:keepNext w:val="0"/>
        <w:keepLines w:val="0"/>
        <w:pageBreakBefore w:val="0"/>
        <w:kinsoku/>
        <w:wordWrap/>
        <w:overflowPunct/>
        <w:topLinePunct w:val="0"/>
        <w:autoSpaceDE/>
        <w:autoSpaceDN/>
        <w:bidi w:val="0"/>
        <w:adjustRightInd/>
        <w:snapToGrid/>
        <w:spacing w:after="0" w:afterLines="0"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（3）为保证本项目有序、规范和顺利进行，乙方必须主动支持委托人工作，对委托人的指令和书面通知，若无正当理由不执行或变相拒不执行，可对乙方提出书面警告一次。</w:t>
      </w:r>
    </w:p>
    <w:p w14:paraId="17EF635F">
      <w:pPr>
        <w:pStyle w:val="13"/>
        <w:keepNext w:val="0"/>
        <w:keepLines w:val="0"/>
        <w:pageBreakBefore w:val="0"/>
        <w:kinsoku/>
        <w:wordWrap/>
        <w:overflowPunct/>
        <w:topLinePunct w:val="0"/>
        <w:autoSpaceDE/>
        <w:autoSpaceDN/>
        <w:bidi w:val="0"/>
        <w:adjustRightInd/>
        <w:snapToGrid/>
        <w:spacing w:after="0" w:afterLines="0"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（4）委托人要求造价咨询总工程师或主要造价咨询人员必须参加的会议，委托人提前24小时发出通知，总工程师或主要造价咨询人员必须到会，未经委托人批准无故不到会者，可对乙方提出书面警告一次。</w:t>
      </w:r>
    </w:p>
    <w:p w14:paraId="2340C163">
      <w:pPr>
        <w:pStyle w:val="13"/>
        <w:keepNext w:val="0"/>
        <w:keepLines w:val="0"/>
        <w:pageBreakBefore w:val="0"/>
        <w:kinsoku/>
        <w:wordWrap/>
        <w:overflowPunct/>
        <w:topLinePunct w:val="0"/>
        <w:autoSpaceDE/>
        <w:autoSpaceDN/>
        <w:bidi w:val="0"/>
        <w:adjustRightInd/>
        <w:snapToGrid/>
        <w:spacing w:after="0" w:afterLines="0"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（5）乙方在自己职责范围内应当作出决定的事项故意拖延或者不作出明确的处理意见，委托人有权对乙方提出书面警告一次。</w:t>
      </w:r>
    </w:p>
    <w:p w14:paraId="20168D81">
      <w:pPr>
        <w:pStyle w:val="13"/>
        <w:keepNext w:val="0"/>
        <w:keepLines w:val="0"/>
        <w:pageBreakBefore w:val="0"/>
        <w:kinsoku/>
        <w:wordWrap/>
        <w:overflowPunct/>
        <w:topLinePunct w:val="0"/>
        <w:autoSpaceDE/>
        <w:autoSpaceDN/>
        <w:bidi w:val="0"/>
        <w:adjustRightInd/>
        <w:snapToGrid/>
        <w:spacing w:after="0" w:afterLines="0"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由于乙方自身原因，延误约定的造价咨询服务合理的文件交付时间，每延误三天记一次书面警告，延误超过10天的，从第11天开始，除书面警告外，乙方还应每天按本项目乙方应收造价咨询服务费的万分之五向委托人支付违约金。</w:t>
      </w:r>
    </w:p>
    <w:p w14:paraId="0EC4A77D">
      <w:pPr>
        <w:pStyle w:val="13"/>
        <w:keepNext w:val="0"/>
        <w:keepLines w:val="0"/>
        <w:pageBreakBefore w:val="0"/>
        <w:kinsoku/>
        <w:wordWrap/>
        <w:overflowPunct/>
        <w:topLinePunct w:val="0"/>
        <w:autoSpaceDE/>
        <w:autoSpaceDN/>
        <w:bidi w:val="0"/>
        <w:adjustRightInd/>
        <w:snapToGrid/>
        <w:spacing w:after="0" w:afterLines="0"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7.9如发现乙方有以下行为之一，除按照国家有关法律进行处理外，乙方还将被视为违反本合同，同时乙方应向委托人支付本合同暂定造价咨询服务费【30%】的违约金；同时委托人有权终止本合同，且不支付任何报酬：</w:t>
      </w:r>
    </w:p>
    <w:p w14:paraId="1BF125E0">
      <w:pPr>
        <w:pStyle w:val="13"/>
        <w:keepNext w:val="0"/>
        <w:keepLines w:val="0"/>
        <w:pageBreakBefore w:val="0"/>
        <w:kinsoku/>
        <w:wordWrap/>
        <w:overflowPunct/>
        <w:topLinePunct w:val="0"/>
        <w:autoSpaceDE/>
        <w:autoSpaceDN/>
        <w:bidi w:val="0"/>
        <w:adjustRightInd/>
        <w:snapToGrid/>
        <w:spacing w:after="0" w:afterLines="0"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（1）在履行合同过程中出现直接或间接左右、干扰或影响委托人、项目其他相关方或主管部门等人员正常履职的行为（包括违反廉洁要求，向前述人员馈送、索要财物，或收受前述人员财物等）；</w:t>
      </w:r>
    </w:p>
    <w:p w14:paraId="0721960C">
      <w:pPr>
        <w:pStyle w:val="13"/>
        <w:keepNext w:val="0"/>
        <w:keepLines w:val="0"/>
        <w:pageBreakBefore w:val="0"/>
        <w:kinsoku/>
        <w:wordWrap/>
        <w:overflowPunct/>
        <w:topLinePunct w:val="0"/>
        <w:autoSpaceDE/>
        <w:autoSpaceDN/>
        <w:bidi w:val="0"/>
        <w:adjustRightInd/>
        <w:snapToGrid/>
        <w:spacing w:after="0" w:afterLines="0"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（2）通过谎报事实等方式影响合同正常执行，给委托人造成损失（包括采用合谋等办法，造成委托人经济损失的）； </w:t>
      </w:r>
    </w:p>
    <w:p w14:paraId="5D5E9975">
      <w:pPr>
        <w:pStyle w:val="13"/>
        <w:keepNext w:val="0"/>
        <w:keepLines w:val="0"/>
        <w:pageBreakBefore w:val="0"/>
        <w:kinsoku/>
        <w:wordWrap/>
        <w:overflowPunct/>
        <w:topLinePunct w:val="0"/>
        <w:autoSpaceDE/>
        <w:autoSpaceDN/>
        <w:bidi w:val="0"/>
        <w:adjustRightInd/>
        <w:snapToGrid/>
        <w:spacing w:after="0" w:afterLines="0"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（3）未经委托人书面同意，泄露与本合同工程有关的任何不应泄露的资料；</w:t>
      </w:r>
    </w:p>
    <w:p w14:paraId="4FA49089">
      <w:pPr>
        <w:pStyle w:val="13"/>
        <w:keepNext w:val="0"/>
        <w:keepLines w:val="0"/>
        <w:pageBreakBefore w:val="0"/>
        <w:kinsoku/>
        <w:wordWrap/>
        <w:overflowPunct/>
        <w:topLinePunct w:val="0"/>
        <w:autoSpaceDE/>
        <w:autoSpaceDN/>
        <w:bidi w:val="0"/>
        <w:adjustRightInd/>
        <w:snapToGrid/>
        <w:spacing w:after="0" w:afterLines="0"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（4）乙方造价人员有弄虚作假、与承包人串通等任一损害委托人利益的行为。</w:t>
      </w:r>
    </w:p>
    <w:p w14:paraId="4D25EA95">
      <w:pPr>
        <w:pStyle w:val="13"/>
        <w:keepNext w:val="0"/>
        <w:keepLines w:val="0"/>
        <w:pageBreakBefore w:val="0"/>
        <w:kinsoku/>
        <w:wordWrap/>
        <w:overflowPunct/>
        <w:topLinePunct w:val="0"/>
        <w:autoSpaceDE/>
        <w:autoSpaceDN/>
        <w:bidi w:val="0"/>
        <w:adjustRightInd/>
        <w:snapToGrid/>
        <w:spacing w:after="0" w:afterLines="0"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7.10派驻现场技术人员的违约责任</w:t>
      </w:r>
    </w:p>
    <w:p w14:paraId="7B7C1E67">
      <w:pPr>
        <w:pStyle w:val="13"/>
        <w:keepNext w:val="0"/>
        <w:keepLines w:val="0"/>
        <w:pageBreakBefore w:val="0"/>
        <w:kinsoku/>
        <w:wordWrap/>
        <w:overflowPunct/>
        <w:topLinePunct w:val="0"/>
        <w:autoSpaceDE/>
        <w:autoSpaceDN/>
        <w:bidi w:val="0"/>
        <w:adjustRightInd/>
        <w:snapToGrid/>
        <w:spacing w:after="0" w:afterLines="0"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（1）派驻现场技术人员必须满足合同及</w:t>
      </w:r>
      <w:r>
        <w:rPr>
          <w:rFonts w:hint="eastAsia" w:ascii="宋体" w:hAnsi="宋体" w:eastAsia="宋体" w:cs="宋体"/>
          <w:color w:val="auto"/>
          <w:kern w:val="0"/>
          <w:sz w:val="24"/>
          <w:szCs w:val="24"/>
          <w:highlight w:val="none"/>
        </w:rPr>
        <w:t>委托人所需现场成本管理的动态需要</w:t>
      </w:r>
      <w:r>
        <w:rPr>
          <w:rFonts w:hint="eastAsia" w:ascii="宋体" w:hAnsi="宋体" w:eastAsia="宋体" w:cs="宋体"/>
          <w:color w:val="auto"/>
          <w:sz w:val="24"/>
          <w:szCs w:val="24"/>
          <w:highlight w:val="none"/>
        </w:rPr>
        <w:t>；否则，每违约一次，乙方承担1次一般违约责任。</w:t>
      </w:r>
    </w:p>
    <w:p w14:paraId="26038BED">
      <w:pPr>
        <w:pStyle w:val="13"/>
        <w:keepNext w:val="0"/>
        <w:keepLines w:val="0"/>
        <w:pageBreakBefore w:val="0"/>
        <w:kinsoku/>
        <w:wordWrap/>
        <w:overflowPunct/>
        <w:topLinePunct w:val="0"/>
        <w:autoSpaceDE/>
        <w:autoSpaceDN/>
        <w:bidi w:val="0"/>
        <w:adjustRightInd/>
        <w:snapToGrid/>
        <w:spacing w:after="0" w:afterLines="0"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（2）委托人可要求乙方更换派驻现场不能胜任本职工作的技术人员。乙方拒不更换的，乙方须承担1次一般违约责任；如乙方收到委托人通知超过7日仍未更换的，则乙方承担严重违约责任1次。</w:t>
      </w:r>
    </w:p>
    <w:p w14:paraId="7374520E">
      <w:pPr>
        <w:pStyle w:val="15"/>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color w:val="auto"/>
          <w:highlight w:val="none"/>
        </w:rPr>
      </w:pPr>
      <w:r>
        <w:rPr>
          <w:rFonts w:hint="eastAsia" w:ascii="宋体" w:hAnsi="宋体" w:eastAsia="宋体" w:cs="宋体"/>
          <w:color w:val="auto"/>
          <w:sz w:val="24"/>
          <w:szCs w:val="24"/>
          <w:highlight w:val="none"/>
        </w:rPr>
        <w:t>7.11上述7.2～7.5、7.8～7.10的违约处罚应累加计算，但累计不超过造价咨询服务费的40%。</w:t>
      </w:r>
    </w:p>
    <w:p w14:paraId="72CCD553">
      <w:pPr>
        <w:pStyle w:val="15"/>
        <w:keepNext w:val="0"/>
        <w:keepLines w:val="0"/>
        <w:pageBreakBefore w:val="0"/>
        <w:tabs>
          <w:tab w:val="left" w:pos="720"/>
        </w:tabs>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第八条 合同结算</w:t>
      </w:r>
    </w:p>
    <w:p w14:paraId="1E81CB46">
      <w:pPr>
        <w:pStyle w:val="15"/>
        <w:keepNext w:val="0"/>
        <w:keepLines w:val="0"/>
        <w:pageBreakBefore w:val="0"/>
        <w:tabs>
          <w:tab w:val="left" w:pos="720"/>
        </w:tabs>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在乙方全部完成本合同约定的全部工作内容之日起15个工作日内提交项目造价咨询服务费结算申请。</w:t>
      </w:r>
    </w:p>
    <w:p w14:paraId="6BC9B80E">
      <w:pPr>
        <w:pStyle w:val="13"/>
        <w:rPr>
          <w:rFonts w:hint="eastAsia"/>
          <w:color w:val="auto"/>
          <w:highlight w:val="none"/>
        </w:rPr>
      </w:pPr>
    </w:p>
    <w:p w14:paraId="30365F27">
      <w:pPr>
        <w:pStyle w:val="15"/>
        <w:keepNext w:val="0"/>
        <w:keepLines w:val="0"/>
        <w:pageBreakBefore w:val="0"/>
        <w:tabs>
          <w:tab w:val="left" w:pos="720"/>
        </w:tabs>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第九条 争议的解决</w:t>
      </w:r>
    </w:p>
    <w:p w14:paraId="31994DEA">
      <w:pPr>
        <w:pStyle w:val="15"/>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color w:val="auto"/>
          <w:highlight w:val="none"/>
        </w:rPr>
      </w:pPr>
      <w:r>
        <w:rPr>
          <w:rFonts w:hint="eastAsia" w:ascii="宋体" w:hAnsi="宋体" w:eastAsia="宋体" w:cs="宋体"/>
          <w:color w:val="auto"/>
          <w:kern w:val="0"/>
          <w:sz w:val="24"/>
          <w:szCs w:val="24"/>
          <w:highlight w:val="none"/>
        </w:rPr>
        <w:t>在履行合同的过程中，若发生纠纷，双方应协商解决；协商解决不成的，向广州市黄埔区人民法院提起诉讼。</w:t>
      </w:r>
    </w:p>
    <w:p w14:paraId="59A7A7E4">
      <w:pPr>
        <w:pStyle w:val="15"/>
        <w:keepNext w:val="0"/>
        <w:keepLines w:val="0"/>
        <w:pageBreakBefore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kern w:val="0"/>
          <w:sz w:val="24"/>
          <w:szCs w:val="24"/>
          <w:highlight w:val="none"/>
        </w:rPr>
        <w:t>第十条  其他</w:t>
      </w:r>
    </w:p>
    <w:p w14:paraId="60CFA69E">
      <w:pPr>
        <w:pStyle w:val="15"/>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10.1本合同其它未尽事宜，双方可进一步协商解决；</w:t>
      </w:r>
    </w:p>
    <w:p w14:paraId="550C3988">
      <w:pPr>
        <w:pStyle w:val="15"/>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10.2</w:t>
      </w:r>
      <w:r>
        <w:rPr>
          <w:rFonts w:hint="eastAsia" w:ascii="宋体" w:hAnsi="宋体" w:eastAsia="宋体" w:cs="宋体"/>
          <w:color w:val="auto"/>
          <w:sz w:val="24"/>
          <w:szCs w:val="24"/>
          <w:highlight w:val="none"/>
        </w:rPr>
        <w:t>本合同自签订之日起生效，双方履行完规定的义务和责任并结清编制费用后自行终止；</w:t>
      </w:r>
    </w:p>
    <w:p w14:paraId="33D1D23C">
      <w:pPr>
        <w:pStyle w:val="15"/>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10.3本合同一式柒份，甲方执肆份，乙方执叁份。</w:t>
      </w:r>
    </w:p>
    <w:p w14:paraId="655F9D0F">
      <w:pPr>
        <w:pStyle w:val="15"/>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10.4本合同附件为本合同不可分割的部分，与本合同具有同等法律效力。</w:t>
      </w:r>
    </w:p>
    <w:p w14:paraId="66C169CB">
      <w:pPr>
        <w:pStyle w:val="15"/>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附件1：廉政责任书</w:t>
      </w:r>
    </w:p>
    <w:p w14:paraId="277FD0F2">
      <w:pPr>
        <w:pStyle w:val="15"/>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附件2：造价咨询（工程造价）工作质量评分表</w:t>
      </w:r>
    </w:p>
    <w:p w14:paraId="2505EDCC">
      <w:pPr>
        <w:pStyle w:val="15"/>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附件3：项目人员组成表</w:t>
      </w:r>
    </w:p>
    <w:p w14:paraId="0A686B7E">
      <w:pPr>
        <w:pStyle w:val="15"/>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附件4：造价咨询任务大纲</w:t>
      </w:r>
    </w:p>
    <w:p w14:paraId="3E368706">
      <w:pPr>
        <w:pStyle w:val="15"/>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附件5：投标报价表</w:t>
      </w:r>
    </w:p>
    <w:p w14:paraId="6AC74822">
      <w:pPr>
        <w:pStyle w:val="9"/>
        <w:rPr>
          <w:rFonts w:hint="eastAsia"/>
          <w:color w:val="auto"/>
          <w:highlight w:val="none"/>
        </w:rPr>
      </w:pPr>
    </w:p>
    <w:tbl>
      <w:tblPr>
        <w:tblStyle w:val="10"/>
        <w:tblpPr w:leftFromText="180" w:rightFromText="180" w:vertAnchor="page" w:horzAnchor="page" w:tblpX="1875" w:tblpY="4510"/>
        <w:tblW w:w="8741" w:type="dxa"/>
        <w:tblInd w:w="0" w:type="dxa"/>
        <w:tblLayout w:type="fixed"/>
        <w:tblCellMar>
          <w:top w:w="0" w:type="dxa"/>
          <w:left w:w="108" w:type="dxa"/>
          <w:bottom w:w="0" w:type="dxa"/>
          <w:right w:w="108" w:type="dxa"/>
        </w:tblCellMar>
      </w:tblPr>
      <w:tblGrid>
        <w:gridCol w:w="4475"/>
        <w:gridCol w:w="4266"/>
      </w:tblGrid>
      <w:tr w14:paraId="19420909">
        <w:tblPrEx>
          <w:tblCellMar>
            <w:top w:w="0" w:type="dxa"/>
            <w:left w:w="108" w:type="dxa"/>
            <w:bottom w:w="0" w:type="dxa"/>
            <w:right w:w="108" w:type="dxa"/>
          </w:tblCellMar>
        </w:tblPrEx>
        <w:tc>
          <w:tcPr>
            <w:tcW w:w="4475" w:type="dxa"/>
            <w:noWrap w:val="0"/>
            <w:vAlign w:val="top"/>
          </w:tcPr>
          <w:p w14:paraId="5CFEB72F">
            <w:pPr>
              <w:spacing w:line="360" w:lineRule="auto"/>
              <w:ind w:left="1200" w:hanging="1200" w:hangingChars="500"/>
              <w:rPr>
                <w:rFonts w:hint="eastAsia" w:eastAsia="宋体"/>
                <w:color w:val="auto"/>
                <w:sz w:val="24"/>
                <w:highlight w:val="none"/>
                <w:lang w:eastAsia="zh-CN"/>
              </w:rPr>
            </w:pPr>
            <w:r>
              <w:rPr>
                <w:rFonts w:hint="eastAsia"/>
                <w:color w:val="auto"/>
                <w:sz w:val="24"/>
                <w:highlight w:val="none"/>
              </w:rPr>
              <w:t>甲方：</w:t>
            </w:r>
          </w:p>
          <w:p w14:paraId="7A767DCF">
            <w:pPr>
              <w:spacing w:line="360" w:lineRule="auto"/>
              <w:ind w:left="1200" w:hanging="1200" w:hangingChars="500"/>
              <w:rPr>
                <w:color w:val="auto"/>
                <w:sz w:val="24"/>
                <w:highlight w:val="none"/>
              </w:rPr>
            </w:pPr>
            <w:r>
              <w:rPr>
                <w:rFonts w:hint="eastAsia"/>
                <w:color w:val="auto"/>
                <w:sz w:val="24"/>
                <w:highlight w:val="none"/>
              </w:rPr>
              <w:t xml:space="preserve">               （盖章）</w:t>
            </w:r>
          </w:p>
          <w:p w14:paraId="0B2EDE76">
            <w:pPr>
              <w:spacing w:line="360" w:lineRule="auto"/>
              <w:ind w:left="1200" w:hanging="1200" w:hangingChars="500"/>
              <w:rPr>
                <w:color w:val="auto"/>
                <w:sz w:val="24"/>
                <w:highlight w:val="none"/>
              </w:rPr>
            </w:pPr>
          </w:p>
          <w:p w14:paraId="09B0AD95">
            <w:pPr>
              <w:spacing w:line="360" w:lineRule="auto"/>
              <w:ind w:left="1200" w:hanging="1200" w:hangingChars="500"/>
              <w:rPr>
                <w:color w:val="auto"/>
                <w:sz w:val="24"/>
                <w:highlight w:val="none"/>
              </w:rPr>
            </w:pPr>
          </w:p>
        </w:tc>
        <w:tc>
          <w:tcPr>
            <w:tcW w:w="4266" w:type="dxa"/>
            <w:noWrap w:val="0"/>
            <w:vAlign w:val="top"/>
          </w:tcPr>
          <w:p w14:paraId="0BE6DE68">
            <w:pPr>
              <w:spacing w:line="360" w:lineRule="auto"/>
              <w:ind w:left="1200" w:hanging="1200" w:hangingChars="500"/>
              <w:rPr>
                <w:rFonts w:hint="default" w:eastAsia="宋体"/>
                <w:color w:val="auto"/>
                <w:sz w:val="24"/>
                <w:highlight w:val="none"/>
                <w:lang w:val="en-US" w:eastAsia="zh-CN"/>
              </w:rPr>
            </w:pPr>
            <w:r>
              <w:rPr>
                <w:rFonts w:hint="eastAsia"/>
                <w:color w:val="auto"/>
                <w:sz w:val="24"/>
                <w:highlight w:val="none"/>
              </w:rPr>
              <w:t>乙方：</w:t>
            </w:r>
            <w:r>
              <w:rPr>
                <w:rFonts w:hint="eastAsia" w:ascii="Times New Roman" w:hAnsi="Times New Roman" w:eastAsia="宋体" w:cs="Times New Roman"/>
                <w:b w:val="0"/>
                <w:bCs w:val="0"/>
                <w:color w:val="auto"/>
                <w:sz w:val="24"/>
                <w:szCs w:val="20"/>
                <w:highlight w:val="none"/>
                <w:u w:val="none"/>
                <w:lang w:val="en-US" w:eastAsia="zh-CN"/>
              </w:rPr>
              <w:t xml:space="preserve"> </w:t>
            </w:r>
          </w:p>
          <w:p w14:paraId="470F04CD">
            <w:pPr>
              <w:spacing w:line="360" w:lineRule="auto"/>
              <w:ind w:left="1197" w:leftChars="570" w:firstLine="480" w:firstLineChars="200"/>
              <w:rPr>
                <w:color w:val="auto"/>
                <w:sz w:val="24"/>
                <w:highlight w:val="none"/>
              </w:rPr>
            </w:pPr>
            <w:r>
              <w:rPr>
                <w:rFonts w:hint="eastAsia"/>
                <w:color w:val="auto"/>
                <w:sz w:val="24"/>
                <w:highlight w:val="none"/>
              </w:rPr>
              <w:t>（盖章）</w:t>
            </w:r>
          </w:p>
        </w:tc>
      </w:tr>
      <w:tr w14:paraId="668A9A94">
        <w:tblPrEx>
          <w:tblCellMar>
            <w:top w:w="0" w:type="dxa"/>
            <w:left w:w="108" w:type="dxa"/>
            <w:bottom w:w="0" w:type="dxa"/>
            <w:right w:w="108" w:type="dxa"/>
          </w:tblCellMar>
        </w:tblPrEx>
        <w:tc>
          <w:tcPr>
            <w:tcW w:w="4475" w:type="dxa"/>
            <w:noWrap w:val="0"/>
            <w:vAlign w:val="top"/>
          </w:tcPr>
          <w:p w14:paraId="419F218A">
            <w:pPr>
              <w:spacing w:line="360" w:lineRule="auto"/>
              <w:ind w:left="1200" w:hanging="1200" w:hangingChars="500"/>
              <w:rPr>
                <w:color w:val="auto"/>
                <w:sz w:val="24"/>
                <w:highlight w:val="none"/>
              </w:rPr>
            </w:pPr>
            <w:r>
              <w:rPr>
                <w:rFonts w:hint="eastAsia"/>
                <w:color w:val="auto"/>
                <w:sz w:val="24"/>
                <w:highlight w:val="none"/>
              </w:rPr>
              <w:t>法定代表人</w:t>
            </w:r>
          </w:p>
          <w:p w14:paraId="755D7405">
            <w:pPr>
              <w:spacing w:line="360" w:lineRule="auto"/>
              <w:ind w:left="1200" w:hanging="1200" w:hangingChars="500"/>
              <w:rPr>
                <w:color w:val="auto"/>
                <w:sz w:val="24"/>
                <w:highlight w:val="none"/>
              </w:rPr>
            </w:pPr>
            <w:r>
              <w:rPr>
                <w:rFonts w:hint="eastAsia"/>
                <w:color w:val="auto"/>
                <w:sz w:val="24"/>
                <w:highlight w:val="none"/>
              </w:rPr>
              <w:t>或授权代表（签字）：</w:t>
            </w:r>
          </w:p>
          <w:p w14:paraId="35EAA905">
            <w:pPr>
              <w:pStyle w:val="2"/>
              <w:rPr>
                <w:color w:val="auto"/>
                <w:highlight w:val="none"/>
              </w:rPr>
            </w:pPr>
          </w:p>
        </w:tc>
        <w:tc>
          <w:tcPr>
            <w:tcW w:w="4266" w:type="dxa"/>
            <w:noWrap w:val="0"/>
            <w:vAlign w:val="top"/>
          </w:tcPr>
          <w:p w14:paraId="475614C2">
            <w:pPr>
              <w:spacing w:line="360" w:lineRule="auto"/>
              <w:ind w:left="1200" w:hanging="1200" w:hangingChars="500"/>
              <w:rPr>
                <w:color w:val="auto"/>
                <w:sz w:val="24"/>
                <w:highlight w:val="none"/>
              </w:rPr>
            </w:pPr>
            <w:r>
              <w:rPr>
                <w:rFonts w:hint="eastAsia"/>
                <w:color w:val="auto"/>
                <w:sz w:val="24"/>
                <w:highlight w:val="none"/>
              </w:rPr>
              <w:t>法定代表人</w:t>
            </w:r>
          </w:p>
          <w:p w14:paraId="5EC5DD4F">
            <w:pPr>
              <w:spacing w:line="360" w:lineRule="auto"/>
              <w:ind w:left="1200" w:hanging="1200" w:hangingChars="500"/>
              <w:rPr>
                <w:color w:val="auto"/>
                <w:sz w:val="24"/>
                <w:highlight w:val="none"/>
              </w:rPr>
            </w:pPr>
            <w:r>
              <w:rPr>
                <w:rFonts w:hint="eastAsia"/>
                <w:color w:val="auto"/>
                <w:sz w:val="24"/>
                <w:highlight w:val="none"/>
              </w:rPr>
              <w:t>或授权代表（签字）：</w:t>
            </w:r>
          </w:p>
        </w:tc>
      </w:tr>
      <w:tr w14:paraId="754D987B">
        <w:tblPrEx>
          <w:tblCellMar>
            <w:top w:w="0" w:type="dxa"/>
            <w:left w:w="108" w:type="dxa"/>
            <w:bottom w:w="0" w:type="dxa"/>
            <w:right w:w="108" w:type="dxa"/>
          </w:tblCellMar>
        </w:tblPrEx>
        <w:trPr>
          <w:trHeight w:val="496" w:hRule="atLeast"/>
        </w:trPr>
        <w:tc>
          <w:tcPr>
            <w:tcW w:w="4475" w:type="dxa"/>
            <w:noWrap w:val="0"/>
            <w:vAlign w:val="top"/>
          </w:tcPr>
          <w:p w14:paraId="60D38AD2">
            <w:pPr>
              <w:spacing w:line="360" w:lineRule="auto"/>
              <w:rPr>
                <w:color w:val="auto"/>
                <w:sz w:val="24"/>
                <w:highlight w:val="none"/>
              </w:rPr>
            </w:pPr>
          </w:p>
          <w:p w14:paraId="49416166">
            <w:pPr>
              <w:widowControl/>
              <w:ind w:left="1200" w:hanging="1200" w:hangingChars="500"/>
              <w:jc w:val="left"/>
              <w:rPr>
                <w:color w:val="auto"/>
                <w:sz w:val="24"/>
                <w:highlight w:val="none"/>
              </w:rPr>
            </w:pPr>
            <w:r>
              <w:rPr>
                <w:rFonts w:hint="eastAsia"/>
                <w:color w:val="auto"/>
                <w:sz w:val="24"/>
                <w:highlight w:val="none"/>
              </w:rPr>
              <w:t>单位地址：</w:t>
            </w:r>
          </w:p>
        </w:tc>
        <w:tc>
          <w:tcPr>
            <w:tcW w:w="4266" w:type="dxa"/>
            <w:noWrap w:val="0"/>
            <w:vAlign w:val="top"/>
          </w:tcPr>
          <w:p w14:paraId="63BF84FD">
            <w:pPr>
              <w:spacing w:line="360" w:lineRule="auto"/>
              <w:ind w:left="4" w:leftChars="-13" w:hanging="31"/>
              <w:rPr>
                <w:rFonts w:hint="eastAsia" w:ascii="宋体" w:hAnsi="宋体" w:cs="宋体"/>
                <w:color w:val="auto"/>
                <w:sz w:val="24"/>
                <w:highlight w:val="none"/>
              </w:rPr>
            </w:pPr>
          </w:p>
          <w:p w14:paraId="52F8FB6D">
            <w:pPr>
              <w:widowControl/>
              <w:ind w:left="1200" w:hanging="1200" w:hangingChars="500"/>
              <w:jc w:val="left"/>
              <w:rPr>
                <w:rFonts w:hint="eastAsia" w:ascii="宋体" w:hAnsi="宋体" w:cs="宋体"/>
                <w:color w:val="auto"/>
                <w:sz w:val="24"/>
                <w:highlight w:val="none"/>
              </w:rPr>
            </w:pPr>
            <w:r>
              <w:rPr>
                <w:rFonts w:hint="eastAsia" w:ascii="宋体" w:hAnsi="宋体" w:cs="宋体"/>
                <w:color w:val="auto"/>
                <w:sz w:val="24"/>
                <w:highlight w:val="none"/>
              </w:rPr>
              <w:t>单位地址：</w:t>
            </w:r>
          </w:p>
          <w:p w14:paraId="6DF13FA3">
            <w:pPr>
              <w:widowControl/>
              <w:ind w:left="1200" w:hanging="1200" w:hangingChars="500"/>
              <w:jc w:val="left"/>
              <w:rPr>
                <w:rFonts w:hint="eastAsia" w:ascii="宋体" w:hAnsi="宋体" w:eastAsia="宋体" w:cs="宋体"/>
                <w:color w:val="auto"/>
                <w:sz w:val="24"/>
                <w:highlight w:val="none"/>
                <w:lang w:eastAsia="zh-CN"/>
              </w:rPr>
            </w:pPr>
          </w:p>
        </w:tc>
      </w:tr>
      <w:tr w14:paraId="30471B9A">
        <w:tblPrEx>
          <w:tblCellMar>
            <w:top w:w="0" w:type="dxa"/>
            <w:left w:w="108" w:type="dxa"/>
            <w:bottom w:w="0" w:type="dxa"/>
            <w:right w:w="108" w:type="dxa"/>
          </w:tblCellMar>
        </w:tblPrEx>
        <w:tc>
          <w:tcPr>
            <w:tcW w:w="4475" w:type="dxa"/>
            <w:noWrap w:val="0"/>
            <w:vAlign w:val="top"/>
          </w:tcPr>
          <w:p w14:paraId="0D8240BD">
            <w:pPr>
              <w:spacing w:line="360" w:lineRule="auto"/>
              <w:ind w:left="0" w:firstLine="0" w:firstLineChars="0"/>
              <w:rPr>
                <w:rFonts w:hint="eastAsia" w:eastAsia="宋体"/>
                <w:color w:val="auto"/>
                <w:sz w:val="24"/>
                <w:highlight w:val="none"/>
                <w:lang w:eastAsia="zh-CN"/>
              </w:rPr>
            </w:pPr>
            <w:r>
              <w:rPr>
                <w:rFonts w:hint="eastAsia"/>
                <w:color w:val="auto"/>
                <w:sz w:val="24"/>
                <w:highlight w:val="none"/>
              </w:rPr>
              <w:t>邮政编码：</w:t>
            </w:r>
          </w:p>
        </w:tc>
        <w:tc>
          <w:tcPr>
            <w:tcW w:w="4266" w:type="dxa"/>
            <w:noWrap w:val="0"/>
            <w:vAlign w:val="top"/>
          </w:tcPr>
          <w:p w14:paraId="1CC0D41B">
            <w:pPr>
              <w:spacing w:line="360" w:lineRule="auto"/>
              <w:ind w:left="0" w:firstLine="0" w:firstLineChars="0"/>
              <w:rPr>
                <w:rFonts w:hint="eastAsia" w:ascii="Times New Roman" w:hAnsi="Times New Roman" w:eastAsia="宋体" w:cs="Times New Roman"/>
                <w:color w:val="auto"/>
                <w:sz w:val="24"/>
                <w:highlight w:val="none"/>
                <w:lang w:eastAsia="zh-CN"/>
              </w:rPr>
            </w:pPr>
            <w:r>
              <w:rPr>
                <w:rFonts w:hint="eastAsia" w:ascii="Times New Roman" w:hAnsi="Times New Roman" w:eastAsia="宋体" w:cs="Times New Roman"/>
                <w:color w:val="auto"/>
                <w:sz w:val="24"/>
                <w:highlight w:val="none"/>
              </w:rPr>
              <w:t>邮政编码：</w:t>
            </w:r>
          </w:p>
        </w:tc>
      </w:tr>
      <w:tr w14:paraId="59694E3B">
        <w:tblPrEx>
          <w:tblCellMar>
            <w:top w:w="0" w:type="dxa"/>
            <w:left w:w="108" w:type="dxa"/>
            <w:bottom w:w="0" w:type="dxa"/>
            <w:right w:w="108" w:type="dxa"/>
          </w:tblCellMar>
        </w:tblPrEx>
        <w:tc>
          <w:tcPr>
            <w:tcW w:w="4475" w:type="dxa"/>
            <w:noWrap w:val="0"/>
            <w:vAlign w:val="top"/>
          </w:tcPr>
          <w:p w14:paraId="55C9FFDC">
            <w:pPr>
              <w:widowControl/>
              <w:spacing w:line="240" w:lineRule="auto"/>
              <w:ind w:left="0" w:firstLine="0" w:firstLineChars="0"/>
              <w:jc w:val="left"/>
              <w:rPr>
                <w:color w:val="auto"/>
                <w:sz w:val="24"/>
                <w:highlight w:val="none"/>
              </w:rPr>
            </w:pPr>
          </w:p>
          <w:p w14:paraId="1EEE5A53">
            <w:pPr>
              <w:widowControl/>
              <w:spacing w:line="240" w:lineRule="auto"/>
              <w:ind w:left="0" w:firstLine="0" w:firstLineChars="0"/>
              <w:jc w:val="left"/>
              <w:rPr>
                <w:rFonts w:hint="eastAsia" w:eastAsia="宋体"/>
                <w:color w:val="auto"/>
                <w:sz w:val="24"/>
                <w:highlight w:val="none"/>
                <w:lang w:eastAsia="zh-CN"/>
              </w:rPr>
            </w:pPr>
            <w:r>
              <w:rPr>
                <w:rFonts w:hint="eastAsia"/>
                <w:color w:val="auto"/>
                <w:sz w:val="24"/>
                <w:highlight w:val="none"/>
              </w:rPr>
              <w:t>电话：</w:t>
            </w:r>
          </w:p>
        </w:tc>
        <w:tc>
          <w:tcPr>
            <w:tcW w:w="4266" w:type="dxa"/>
            <w:noWrap w:val="0"/>
            <w:vAlign w:val="top"/>
          </w:tcPr>
          <w:p w14:paraId="3A6A2786">
            <w:pPr>
              <w:spacing w:line="600" w:lineRule="auto"/>
              <w:ind w:left="0" w:firstLine="0" w:firstLineChars="0"/>
              <w:jc w:val="left"/>
              <w:rPr>
                <w:rFonts w:hint="eastAsia" w:ascii="Times New Roman" w:hAnsi="Times New Roman" w:eastAsia="宋体" w:cs="Times New Roman"/>
                <w:color w:val="auto"/>
                <w:sz w:val="24"/>
                <w:highlight w:val="none"/>
                <w:lang w:eastAsia="zh-CN"/>
              </w:rPr>
            </w:pPr>
            <w:r>
              <w:rPr>
                <w:rFonts w:hint="eastAsia" w:ascii="Times New Roman" w:hAnsi="Times New Roman" w:eastAsia="宋体" w:cs="Times New Roman"/>
                <w:color w:val="auto"/>
                <w:sz w:val="24"/>
                <w:highlight w:val="none"/>
              </w:rPr>
              <w:t>电话：</w:t>
            </w:r>
          </w:p>
        </w:tc>
      </w:tr>
      <w:tr w14:paraId="2514CB90">
        <w:tblPrEx>
          <w:tblCellMar>
            <w:top w:w="0" w:type="dxa"/>
            <w:left w:w="108" w:type="dxa"/>
            <w:bottom w:w="0" w:type="dxa"/>
            <w:right w:w="108" w:type="dxa"/>
          </w:tblCellMar>
        </w:tblPrEx>
        <w:trPr>
          <w:trHeight w:val="489" w:hRule="atLeast"/>
        </w:trPr>
        <w:tc>
          <w:tcPr>
            <w:tcW w:w="4475" w:type="dxa"/>
            <w:noWrap w:val="0"/>
            <w:vAlign w:val="top"/>
          </w:tcPr>
          <w:p w14:paraId="172CB1E5">
            <w:pPr>
              <w:widowControl/>
              <w:spacing w:line="240" w:lineRule="auto"/>
              <w:ind w:left="0" w:firstLine="0" w:firstLineChars="0"/>
              <w:jc w:val="left"/>
              <w:rPr>
                <w:color w:val="auto"/>
                <w:sz w:val="24"/>
                <w:highlight w:val="none"/>
              </w:rPr>
            </w:pPr>
          </w:p>
          <w:p w14:paraId="711ECBC6">
            <w:pPr>
              <w:widowControl/>
              <w:spacing w:line="240" w:lineRule="auto"/>
              <w:ind w:left="0" w:firstLine="0" w:firstLineChars="0"/>
              <w:jc w:val="left"/>
              <w:rPr>
                <w:rFonts w:hint="eastAsia"/>
                <w:color w:val="auto"/>
                <w:sz w:val="24"/>
                <w:highlight w:val="none"/>
              </w:rPr>
            </w:pPr>
          </w:p>
          <w:p w14:paraId="18432D2E">
            <w:pPr>
              <w:widowControl/>
              <w:spacing w:line="240" w:lineRule="auto"/>
              <w:ind w:left="0" w:firstLine="0" w:firstLineChars="0"/>
              <w:jc w:val="left"/>
              <w:rPr>
                <w:rFonts w:hint="eastAsia" w:eastAsia="宋体"/>
                <w:color w:val="auto"/>
                <w:sz w:val="24"/>
                <w:highlight w:val="none"/>
                <w:lang w:eastAsia="zh-CN"/>
              </w:rPr>
            </w:pPr>
            <w:r>
              <w:rPr>
                <w:rFonts w:hint="eastAsia"/>
                <w:color w:val="auto"/>
                <w:sz w:val="24"/>
                <w:highlight w:val="none"/>
              </w:rPr>
              <w:t>开户行：</w:t>
            </w:r>
          </w:p>
        </w:tc>
        <w:tc>
          <w:tcPr>
            <w:tcW w:w="4266" w:type="dxa"/>
            <w:noWrap w:val="0"/>
            <w:vAlign w:val="top"/>
          </w:tcPr>
          <w:p w14:paraId="14CC8C1B">
            <w:pPr>
              <w:spacing w:line="360" w:lineRule="auto"/>
              <w:ind w:left="0" w:firstLine="0" w:firstLineChars="0"/>
              <w:rPr>
                <w:rFonts w:hint="eastAsia" w:ascii="Times New Roman" w:hAnsi="Times New Roman" w:eastAsia="宋体" w:cs="Times New Roman"/>
                <w:color w:val="auto"/>
                <w:sz w:val="24"/>
                <w:highlight w:val="none"/>
              </w:rPr>
            </w:pPr>
          </w:p>
          <w:p w14:paraId="32283C4C">
            <w:pPr>
              <w:spacing w:line="360" w:lineRule="auto"/>
              <w:ind w:left="0" w:firstLine="0" w:firstLineChars="0"/>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开户行：</w:t>
            </w:r>
          </w:p>
        </w:tc>
      </w:tr>
      <w:tr w14:paraId="14F0C583">
        <w:tblPrEx>
          <w:tblCellMar>
            <w:top w:w="0" w:type="dxa"/>
            <w:left w:w="108" w:type="dxa"/>
            <w:bottom w:w="0" w:type="dxa"/>
            <w:right w:w="108" w:type="dxa"/>
          </w:tblCellMar>
        </w:tblPrEx>
        <w:tc>
          <w:tcPr>
            <w:tcW w:w="4475" w:type="dxa"/>
            <w:noWrap w:val="0"/>
            <w:vAlign w:val="top"/>
          </w:tcPr>
          <w:p w14:paraId="3463FB5C">
            <w:pPr>
              <w:widowControl/>
              <w:spacing w:line="240" w:lineRule="auto"/>
              <w:ind w:left="0" w:firstLine="0" w:firstLineChars="0"/>
              <w:jc w:val="left"/>
              <w:rPr>
                <w:color w:val="auto"/>
                <w:sz w:val="24"/>
                <w:highlight w:val="none"/>
              </w:rPr>
            </w:pPr>
          </w:p>
          <w:p w14:paraId="115F0CED">
            <w:pPr>
              <w:widowControl/>
              <w:spacing w:line="240" w:lineRule="auto"/>
              <w:ind w:left="0" w:firstLine="0" w:firstLineChars="0"/>
              <w:jc w:val="left"/>
              <w:rPr>
                <w:rFonts w:hint="eastAsia"/>
                <w:color w:val="auto"/>
                <w:sz w:val="24"/>
                <w:highlight w:val="none"/>
              </w:rPr>
            </w:pPr>
          </w:p>
          <w:p w14:paraId="79789366">
            <w:pPr>
              <w:rPr>
                <w:color w:val="auto"/>
                <w:highlight w:val="none"/>
              </w:rPr>
            </w:pPr>
            <w:r>
              <w:rPr>
                <w:rFonts w:hint="eastAsia"/>
                <w:color w:val="auto"/>
                <w:sz w:val="24"/>
                <w:highlight w:val="none"/>
              </w:rPr>
              <w:t>银行账号：</w:t>
            </w:r>
          </w:p>
          <w:p w14:paraId="180EA8A1">
            <w:pPr>
              <w:widowControl/>
              <w:spacing w:line="240" w:lineRule="auto"/>
              <w:ind w:left="0" w:firstLine="0" w:firstLineChars="0"/>
              <w:jc w:val="left"/>
              <w:rPr>
                <w:color w:val="auto"/>
                <w:sz w:val="24"/>
                <w:highlight w:val="none"/>
              </w:rPr>
            </w:pPr>
          </w:p>
        </w:tc>
        <w:tc>
          <w:tcPr>
            <w:tcW w:w="4266" w:type="dxa"/>
            <w:noWrap w:val="0"/>
            <w:vAlign w:val="top"/>
          </w:tcPr>
          <w:p w14:paraId="51CB2A13">
            <w:pPr>
              <w:spacing w:line="360" w:lineRule="auto"/>
              <w:ind w:left="0" w:firstLine="0" w:firstLineChars="0"/>
              <w:rPr>
                <w:rFonts w:hint="eastAsia" w:ascii="Times New Roman" w:hAnsi="Times New Roman" w:eastAsia="宋体" w:cs="Times New Roman"/>
                <w:color w:val="auto"/>
                <w:sz w:val="24"/>
                <w:highlight w:val="none"/>
              </w:rPr>
            </w:pPr>
          </w:p>
          <w:p w14:paraId="36521217">
            <w:pPr>
              <w:spacing w:line="360" w:lineRule="auto"/>
              <w:ind w:left="0" w:firstLine="0" w:firstLineChars="0"/>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银行账号：</w:t>
            </w:r>
          </w:p>
        </w:tc>
      </w:tr>
      <w:tr w14:paraId="62B8A042">
        <w:tblPrEx>
          <w:tblCellMar>
            <w:top w:w="0" w:type="dxa"/>
            <w:left w:w="108" w:type="dxa"/>
            <w:bottom w:w="0" w:type="dxa"/>
            <w:right w:w="108" w:type="dxa"/>
          </w:tblCellMar>
        </w:tblPrEx>
        <w:tc>
          <w:tcPr>
            <w:tcW w:w="4475" w:type="dxa"/>
            <w:noWrap w:val="0"/>
            <w:vAlign w:val="top"/>
          </w:tcPr>
          <w:p w14:paraId="4F881C58">
            <w:pPr>
              <w:widowControl/>
              <w:spacing w:line="240" w:lineRule="auto"/>
              <w:ind w:left="0" w:firstLine="0" w:firstLineChars="0"/>
              <w:jc w:val="left"/>
              <w:rPr>
                <w:color w:val="auto"/>
                <w:sz w:val="24"/>
                <w:highlight w:val="none"/>
              </w:rPr>
            </w:pPr>
          </w:p>
          <w:p w14:paraId="4696C958">
            <w:pPr>
              <w:widowControl/>
              <w:spacing w:line="240" w:lineRule="auto"/>
              <w:ind w:left="0" w:firstLine="0" w:firstLineChars="0"/>
              <w:jc w:val="left"/>
              <w:rPr>
                <w:rFonts w:hint="eastAsia"/>
                <w:color w:val="auto"/>
                <w:sz w:val="24"/>
                <w:highlight w:val="none"/>
              </w:rPr>
            </w:pPr>
          </w:p>
          <w:p w14:paraId="14C9153A">
            <w:pPr>
              <w:rPr>
                <w:color w:val="auto"/>
                <w:highlight w:val="none"/>
              </w:rPr>
            </w:pPr>
            <w:r>
              <w:rPr>
                <w:rFonts w:hint="eastAsia"/>
                <w:color w:val="auto"/>
                <w:sz w:val="24"/>
                <w:highlight w:val="none"/>
              </w:rPr>
              <w:t>税号：</w:t>
            </w:r>
          </w:p>
          <w:p w14:paraId="1B78D6A8">
            <w:pPr>
              <w:widowControl/>
              <w:spacing w:line="240" w:lineRule="auto"/>
              <w:ind w:left="0" w:firstLine="0" w:firstLineChars="0"/>
              <w:jc w:val="left"/>
              <w:rPr>
                <w:color w:val="auto"/>
                <w:sz w:val="24"/>
                <w:highlight w:val="none"/>
              </w:rPr>
            </w:pPr>
          </w:p>
        </w:tc>
        <w:tc>
          <w:tcPr>
            <w:tcW w:w="4266" w:type="dxa"/>
            <w:noWrap w:val="0"/>
            <w:vAlign w:val="top"/>
          </w:tcPr>
          <w:p w14:paraId="26FCFEBE">
            <w:pPr>
              <w:spacing w:line="360" w:lineRule="auto"/>
              <w:ind w:left="0" w:firstLine="0" w:firstLineChars="0"/>
              <w:rPr>
                <w:rFonts w:hint="eastAsia" w:ascii="Times New Roman" w:hAnsi="Times New Roman" w:eastAsia="宋体" w:cs="Times New Roman"/>
                <w:color w:val="auto"/>
                <w:sz w:val="24"/>
                <w:highlight w:val="none"/>
              </w:rPr>
            </w:pPr>
          </w:p>
          <w:p w14:paraId="1EC1112B">
            <w:pPr>
              <w:spacing w:line="360" w:lineRule="auto"/>
              <w:ind w:left="0" w:firstLine="0" w:firstLineChars="0"/>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税号：</w:t>
            </w:r>
          </w:p>
        </w:tc>
      </w:tr>
    </w:tbl>
    <w:p w14:paraId="2D2B7D1C">
      <w:pPr>
        <w:pStyle w:val="15"/>
        <w:widowControl/>
        <w:spacing w:line="360" w:lineRule="auto"/>
        <w:jc w:val="left"/>
        <w:rPr>
          <w:rFonts w:hint="eastAsia" w:ascii="仿宋" w:hAnsi="仿宋" w:eastAsia="仿宋" w:cs="宋体"/>
          <w:bCs/>
          <w:color w:val="auto"/>
          <w:kern w:val="0"/>
          <w:sz w:val="28"/>
          <w:szCs w:val="28"/>
          <w:highlight w:val="none"/>
        </w:rPr>
      </w:pPr>
    </w:p>
    <w:p w14:paraId="54A7E7B0">
      <w:pPr>
        <w:pStyle w:val="13"/>
        <w:ind w:left="0" w:leftChars="0" w:firstLine="0" w:firstLineChars="0"/>
        <w:rPr>
          <w:rFonts w:hint="eastAsia"/>
          <w:color w:val="auto"/>
          <w:highlight w:val="none"/>
        </w:rPr>
      </w:pPr>
    </w:p>
    <w:p w14:paraId="5613ABAB">
      <w:pPr>
        <w:pStyle w:val="15"/>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jc w:val="left"/>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（本页为《</w:t>
      </w:r>
      <w:r>
        <w:rPr>
          <w:rFonts w:hint="eastAsia" w:ascii="仿宋" w:hAnsi="仿宋" w:eastAsia="仿宋" w:cs="仿宋"/>
          <w:color w:val="auto"/>
          <w:sz w:val="24"/>
          <w:highlight w:val="none"/>
          <w:lang w:eastAsia="zh-CN"/>
        </w:rPr>
        <w:t>岭头公司旧村全面改造</w:t>
      </w:r>
      <w:r>
        <w:rPr>
          <w:rFonts w:hint="eastAsia" w:ascii="仿宋" w:hAnsi="仿宋" w:eastAsia="仿宋" w:cs="仿宋"/>
          <w:color w:val="auto"/>
          <w:sz w:val="24"/>
          <w:highlight w:val="none"/>
        </w:rPr>
        <w:t>项目周边市政道路及配套、地质灾害配套防治工程全过程造价咨询服务合同》签署页，以下无正文）</w:t>
      </w:r>
    </w:p>
    <w:p w14:paraId="2C9540EC">
      <w:pPr>
        <w:pStyle w:val="15"/>
        <w:widowControl/>
        <w:spacing w:line="360" w:lineRule="auto"/>
        <w:jc w:val="left"/>
        <w:rPr>
          <w:rFonts w:hint="eastAsia" w:ascii="仿宋" w:hAnsi="仿宋" w:eastAsia="仿宋" w:cs="宋体"/>
          <w:bCs/>
          <w:color w:val="auto"/>
          <w:kern w:val="0"/>
          <w:sz w:val="28"/>
          <w:szCs w:val="28"/>
          <w:highlight w:val="none"/>
        </w:rPr>
      </w:pPr>
    </w:p>
    <w:p w14:paraId="0B97898E">
      <w:pPr>
        <w:pStyle w:val="13"/>
        <w:rPr>
          <w:rFonts w:hint="eastAsia" w:ascii="仿宋" w:hAnsi="仿宋" w:eastAsia="仿宋" w:cs="宋体"/>
          <w:bCs/>
          <w:color w:val="auto"/>
          <w:kern w:val="0"/>
          <w:sz w:val="28"/>
          <w:szCs w:val="28"/>
          <w:highlight w:val="none"/>
        </w:rPr>
      </w:pPr>
      <w:r>
        <w:rPr>
          <w:rFonts w:hint="eastAsia" w:ascii="仿宋" w:hAnsi="仿宋" w:eastAsia="仿宋" w:cs="宋体"/>
          <w:bCs/>
          <w:color w:val="auto"/>
          <w:kern w:val="0"/>
          <w:sz w:val="28"/>
          <w:szCs w:val="28"/>
          <w:highlight w:val="none"/>
        </w:rPr>
        <w:t xml:space="preserve">签订时间：   年  月  日  </w:t>
      </w:r>
    </w:p>
    <w:p w14:paraId="547ED771">
      <w:pPr>
        <w:pStyle w:val="13"/>
        <w:rPr>
          <w:rFonts w:hint="eastAsia" w:ascii="仿宋" w:hAnsi="仿宋" w:eastAsia="仿宋" w:cs="宋体"/>
          <w:bCs/>
          <w:color w:val="auto"/>
          <w:kern w:val="0"/>
          <w:sz w:val="28"/>
          <w:szCs w:val="28"/>
          <w:highlight w:val="none"/>
        </w:rPr>
      </w:pPr>
      <w:r>
        <w:rPr>
          <w:rFonts w:hint="eastAsia" w:ascii="仿宋" w:hAnsi="仿宋" w:eastAsia="仿宋" w:cs="宋体"/>
          <w:bCs/>
          <w:color w:val="auto"/>
          <w:kern w:val="0"/>
          <w:sz w:val="28"/>
          <w:szCs w:val="28"/>
          <w:highlight w:val="none"/>
        </w:rPr>
        <w:t>签订地点：广州市黄埔区</w:t>
      </w:r>
    </w:p>
    <w:p w14:paraId="045FC652">
      <w:pPr>
        <w:pStyle w:val="13"/>
        <w:rPr>
          <w:rFonts w:hint="eastAsia" w:ascii="仿宋" w:hAnsi="仿宋" w:eastAsia="仿宋" w:cs="宋体"/>
          <w:bCs/>
          <w:color w:val="auto"/>
          <w:kern w:val="0"/>
          <w:sz w:val="28"/>
          <w:szCs w:val="28"/>
          <w:highlight w:val="none"/>
        </w:rPr>
      </w:pPr>
    </w:p>
    <w:p w14:paraId="6C9DCF48">
      <w:pPr>
        <w:pStyle w:val="15"/>
        <w:widowControl/>
        <w:spacing w:line="360" w:lineRule="auto"/>
        <w:jc w:val="left"/>
        <w:rPr>
          <w:rFonts w:hint="eastAsia" w:ascii="仿宋" w:hAnsi="仿宋" w:eastAsia="仿宋" w:cs="宋体"/>
          <w:bCs/>
          <w:color w:val="auto"/>
          <w:kern w:val="0"/>
          <w:sz w:val="28"/>
          <w:szCs w:val="28"/>
          <w:highlight w:val="none"/>
        </w:rPr>
      </w:pPr>
      <w:r>
        <w:rPr>
          <w:rFonts w:hint="eastAsia" w:ascii="仿宋" w:hAnsi="仿宋" w:eastAsia="仿宋" w:cs="宋体"/>
          <w:bCs/>
          <w:color w:val="auto"/>
          <w:kern w:val="0"/>
          <w:sz w:val="28"/>
          <w:szCs w:val="28"/>
          <w:highlight w:val="none"/>
        </w:rPr>
        <w:t>附件1：</w:t>
      </w:r>
    </w:p>
    <w:p w14:paraId="3C790114">
      <w:pPr>
        <w:jc w:val="center"/>
        <w:rPr>
          <w:color w:val="auto"/>
          <w:sz w:val="32"/>
          <w:szCs w:val="32"/>
          <w:highlight w:val="none"/>
          <w:lang w:val="zh-CN"/>
        </w:rPr>
      </w:pPr>
      <w:r>
        <w:rPr>
          <w:rFonts w:hint="eastAsia"/>
          <w:color w:val="auto"/>
          <w:sz w:val="32"/>
          <w:szCs w:val="32"/>
          <w:highlight w:val="none"/>
          <w:lang w:val="zh-CN"/>
        </w:rPr>
        <w:t>工程建设项目廉政责任书</w:t>
      </w:r>
    </w:p>
    <w:p w14:paraId="5EB792FD">
      <w:pPr>
        <w:adjustRightInd w:val="0"/>
        <w:snapToGrid w:val="0"/>
        <w:spacing w:line="360" w:lineRule="auto"/>
        <w:rPr>
          <w:rFonts w:ascii="宋体"/>
          <w:color w:val="auto"/>
          <w:sz w:val="24"/>
          <w:highlight w:val="none"/>
        </w:rPr>
      </w:pPr>
    </w:p>
    <w:p w14:paraId="0B18ED56">
      <w:pPr>
        <w:adjustRightInd w:val="0"/>
        <w:snapToGrid w:val="0"/>
        <w:spacing w:line="540" w:lineRule="exact"/>
        <w:ind w:left="2055" w:hanging="2055" w:hangingChars="734"/>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工程项目名称：</w:t>
      </w:r>
      <w:r>
        <w:rPr>
          <w:rFonts w:hint="eastAsia" w:ascii="仿宋" w:hAnsi="仿宋" w:eastAsia="仿宋" w:cs="仿宋"/>
          <w:color w:val="auto"/>
          <w:kern w:val="0"/>
          <w:sz w:val="28"/>
          <w:szCs w:val="28"/>
          <w:highlight w:val="none"/>
          <w:u w:val="single"/>
          <w:lang w:eastAsia="zh-CN"/>
        </w:rPr>
        <w:t>岭头公司旧村全面改造</w:t>
      </w:r>
      <w:r>
        <w:rPr>
          <w:rFonts w:hint="eastAsia" w:ascii="仿宋" w:hAnsi="仿宋" w:eastAsia="仿宋" w:cs="仿宋"/>
          <w:color w:val="auto"/>
          <w:kern w:val="0"/>
          <w:sz w:val="28"/>
          <w:szCs w:val="28"/>
          <w:highlight w:val="none"/>
          <w:u w:val="single"/>
        </w:rPr>
        <w:t>项目周边市政道路及配套、地质灾害配套防治工程全过程造价咨询</w:t>
      </w:r>
    </w:p>
    <w:p w14:paraId="5C036CB2">
      <w:pPr>
        <w:pStyle w:val="15"/>
        <w:tabs>
          <w:tab w:val="left" w:pos="0"/>
        </w:tabs>
        <w:spacing w:line="540" w:lineRule="exact"/>
        <w:rPr>
          <w:rFonts w:hint="default" w:ascii="仿宋" w:hAnsi="仿宋" w:eastAsia="仿宋" w:cs="仿宋"/>
          <w:color w:val="auto"/>
          <w:sz w:val="28"/>
          <w:szCs w:val="28"/>
          <w:highlight w:val="none"/>
          <w:lang w:val="en-US"/>
        </w:rPr>
      </w:pPr>
      <w:r>
        <w:rPr>
          <w:rFonts w:hint="eastAsia" w:ascii="仿宋" w:hAnsi="仿宋" w:eastAsia="仿宋" w:cs="仿宋"/>
          <w:color w:val="auto"/>
          <w:sz w:val="28"/>
          <w:szCs w:val="28"/>
          <w:highlight w:val="none"/>
        </w:rPr>
        <w:t>工程项目地址：</w:t>
      </w:r>
      <w:r>
        <w:rPr>
          <w:rFonts w:hint="eastAsia" w:ascii="仿宋" w:hAnsi="仿宋" w:eastAsia="仿宋" w:cs="Times New Roman"/>
          <w:color w:val="auto"/>
          <w:sz w:val="28"/>
          <w:szCs w:val="28"/>
          <w:highlight w:val="none"/>
          <w:u w:val="single"/>
          <w:lang w:val="en-US" w:eastAsia="zh-CN"/>
        </w:rPr>
        <w:t xml:space="preserve">                              </w:t>
      </w:r>
    </w:p>
    <w:p w14:paraId="33451A3D">
      <w:pPr>
        <w:adjustRightInd w:val="0"/>
        <w:snapToGrid w:val="0"/>
        <w:spacing w:line="54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甲        方：</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kern w:val="0"/>
          <w:sz w:val="28"/>
          <w:szCs w:val="28"/>
          <w:highlight w:val="none"/>
          <w:u w:val="single"/>
        </w:rPr>
        <w:t xml:space="preserve"> </w:t>
      </w:r>
      <w:r>
        <w:rPr>
          <w:rFonts w:hint="eastAsia" w:ascii="仿宋" w:hAnsi="仿宋" w:eastAsia="仿宋" w:cs="仿宋"/>
          <w:color w:val="auto"/>
          <w:kern w:val="0"/>
          <w:sz w:val="28"/>
          <w:szCs w:val="28"/>
          <w:highlight w:val="none"/>
          <w:u w:val="single"/>
          <w:lang w:val="en-US" w:eastAsia="zh-CN"/>
        </w:rPr>
        <w:t>广州科岭</w:t>
      </w:r>
      <w:r>
        <w:rPr>
          <w:rFonts w:hint="eastAsia" w:ascii="仿宋" w:hAnsi="仿宋" w:eastAsia="仿宋" w:cs="仿宋"/>
          <w:color w:val="auto"/>
          <w:kern w:val="0"/>
          <w:sz w:val="28"/>
          <w:szCs w:val="28"/>
          <w:highlight w:val="none"/>
          <w:u w:val="single"/>
          <w:lang w:eastAsia="zh-CN"/>
        </w:rPr>
        <w:t>投资开发有限公司</w:t>
      </w:r>
      <w:r>
        <w:rPr>
          <w:rFonts w:hint="eastAsia" w:ascii="仿宋" w:hAnsi="仿宋" w:eastAsia="仿宋" w:cs="仿宋"/>
          <w:color w:val="auto"/>
          <w:kern w:val="0"/>
          <w:sz w:val="28"/>
          <w:szCs w:val="28"/>
          <w:highlight w:val="none"/>
          <w:u w:val="single"/>
        </w:rPr>
        <w:t xml:space="preserve"> </w:t>
      </w:r>
    </w:p>
    <w:p w14:paraId="7F2C0144">
      <w:pPr>
        <w:spacing w:line="540" w:lineRule="exact"/>
        <w:ind w:left="5600" w:right="122" w:rightChars="58" w:hanging="5600" w:hangingChars="2000"/>
        <w:rPr>
          <w:rFonts w:ascii="仿宋" w:hAnsi="仿宋" w:eastAsia="仿宋" w:cs="仿宋"/>
          <w:color w:val="auto"/>
          <w:kern w:val="0"/>
          <w:sz w:val="28"/>
          <w:szCs w:val="28"/>
          <w:highlight w:val="none"/>
          <w:u w:val="single"/>
        </w:rPr>
      </w:pPr>
      <w:r>
        <w:rPr>
          <w:rFonts w:hint="eastAsia" w:ascii="仿宋" w:hAnsi="仿宋" w:eastAsia="仿宋" w:cs="仿宋"/>
          <w:color w:val="auto"/>
          <w:sz w:val="28"/>
          <w:szCs w:val="28"/>
          <w:highlight w:val="none"/>
        </w:rPr>
        <w:t>乙        方：</w:t>
      </w:r>
      <w:r>
        <w:rPr>
          <w:rFonts w:hint="eastAsia" w:ascii="仿宋" w:hAnsi="仿宋" w:eastAsia="仿宋" w:cs="仿宋"/>
          <w:color w:val="auto"/>
          <w:kern w:val="0"/>
          <w:sz w:val="28"/>
          <w:szCs w:val="28"/>
          <w:highlight w:val="none"/>
          <w:u w:val="single"/>
        </w:rPr>
        <w:t xml:space="preserve"> </w:t>
      </w:r>
      <w:r>
        <w:rPr>
          <w:rFonts w:hint="eastAsia" w:ascii="仿宋" w:hAnsi="仿宋" w:eastAsia="仿宋" w:cs="仿宋"/>
          <w:color w:val="auto"/>
          <w:kern w:val="0"/>
          <w:sz w:val="28"/>
          <w:szCs w:val="28"/>
          <w:highlight w:val="none"/>
          <w:u w:val="single"/>
          <w:lang w:val="en-US" w:eastAsia="zh-CN"/>
        </w:rPr>
        <w:t xml:space="preserve">                          </w:t>
      </w:r>
      <w:r>
        <w:rPr>
          <w:rFonts w:hint="eastAsia" w:ascii="仿宋" w:hAnsi="仿宋" w:eastAsia="仿宋" w:cs="仿宋"/>
          <w:color w:val="auto"/>
          <w:kern w:val="0"/>
          <w:sz w:val="28"/>
          <w:szCs w:val="28"/>
          <w:highlight w:val="none"/>
          <w:u w:val="single"/>
        </w:rPr>
        <w:t xml:space="preserve"> </w:t>
      </w:r>
    </w:p>
    <w:p w14:paraId="44B7664E">
      <w:pPr>
        <w:adjustRightInd w:val="0"/>
        <w:snapToGrid w:val="0"/>
        <w:spacing w:line="360" w:lineRule="auto"/>
        <w:jc w:val="left"/>
        <w:rPr>
          <w:rFonts w:hint="eastAsia" w:ascii="仿宋" w:hAnsi="仿宋" w:eastAsia="仿宋" w:cs="仿宋"/>
          <w:color w:val="auto"/>
          <w:sz w:val="28"/>
          <w:szCs w:val="28"/>
          <w:highlight w:val="none"/>
        </w:rPr>
      </w:pPr>
    </w:p>
    <w:p w14:paraId="1215D2C6">
      <w:pPr>
        <w:adjustRightInd w:val="0"/>
        <w:snapToGrid w:val="0"/>
        <w:spacing w:line="540" w:lineRule="exact"/>
        <w:ind w:firstLine="482"/>
        <w:rPr>
          <w:rFonts w:hint="eastAsia" w:ascii="仿宋" w:hAnsi="仿宋" w:eastAsia="仿宋" w:cs="仿宋"/>
          <w:b/>
          <w:color w:val="auto"/>
          <w:sz w:val="28"/>
          <w:szCs w:val="28"/>
          <w:highlight w:val="none"/>
        </w:rPr>
      </w:pPr>
      <w:r>
        <w:rPr>
          <w:rFonts w:hint="eastAsia" w:ascii="仿宋" w:hAnsi="仿宋" w:eastAsia="仿宋" w:cs="仿宋"/>
          <w:color w:val="auto"/>
          <w:sz w:val="28"/>
          <w:szCs w:val="28"/>
          <w:highlight w:val="none"/>
        </w:rPr>
        <w:t>为加强工程建设中的廉政建设，规范工程建设项目的各项活动，防止发生各种谋取不正当利益的违法违纪行为，保护国家、集体和当事人的合法权益，根据国家有关工程建设的法律法规和廉政建设责任制规定，特订立本廉政责任书。</w:t>
      </w:r>
    </w:p>
    <w:p w14:paraId="3443F634">
      <w:pPr>
        <w:adjustRightInd w:val="0"/>
        <w:snapToGrid w:val="0"/>
        <w:spacing w:line="540" w:lineRule="exact"/>
        <w:ind w:firstLine="482"/>
        <w:rPr>
          <w:rFonts w:hint="eastAsia" w:ascii="仿宋" w:hAnsi="仿宋" w:eastAsia="仿宋" w:cs="仿宋"/>
          <w:color w:val="auto"/>
          <w:sz w:val="28"/>
          <w:szCs w:val="28"/>
          <w:highlight w:val="none"/>
        </w:rPr>
      </w:pPr>
      <w:r>
        <w:rPr>
          <w:rFonts w:hint="eastAsia" w:ascii="仿宋" w:hAnsi="仿宋" w:eastAsia="仿宋" w:cs="仿宋"/>
          <w:b/>
          <w:color w:val="auto"/>
          <w:sz w:val="28"/>
          <w:szCs w:val="28"/>
          <w:highlight w:val="none"/>
        </w:rPr>
        <w:t xml:space="preserve">第一条 </w:t>
      </w:r>
      <w:r>
        <w:rPr>
          <w:rFonts w:hint="eastAsia" w:ascii="仿宋" w:hAnsi="仿宋" w:eastAsia="仿宋" w:cs="仿宋"/>
          <w:color w:val="auto"/>
          <w:sz w:val="28"/>
          <w:szCs w:val="28"/>
          <w:highlight w:val="none"/>
        </w:rPr>
        <w:t>甲、乙双方的责任</w:t>
      </w:r>
    </w:p>
    <w:p w14:paraId="42EA4F7C">
      <w:pPr>
        <w:adjustRightInd w:val="0"/>
        <w:snapToGrid w:val="0"/>
        <w:spacing w:line="540" w:lineRule="exact"/>
        <w:ind w:firstLine="482"/>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（一）应严格遵守国家关于市场准入、项目招标投标、工程建设、施工安装和市场活动等有关法律、法规、相关政策，以及廉政建设的各项规定。</w:t>
      </w:r>
    </w:p>
    <w:p w14:paraId="5F9F2A17">
      <w:pPr>
        <w:adjustRightInd w:val="0"/>
        <w:snapToGrid w:val="0"/>
        <w:spacing w:line="540" w:lineRule="exact"/>
        <w:ind w:firstLine="482"/>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（二）严格执行建设工程项目承发包合同文件，自觉按合同办事。</w:t>
      </w:r>
    </w:p>
    <w:p w14:paraId="6D163324">
      <w:pPr>
        <w:adjustRightInd w:val="0"/>
        <w:snapToGrid w:val="0"/>
        <w:spacing w:line="540" w:lineRule="exact"/>
        <w:ind w:firstLine="482"/>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（三）业务活动必须坚持公开、公平、公正、诚信、透明的原则（除法律法规另有规定者外），不得为获取不正当的利益，损害国家、集体和对方利益，不得违反工程建设管理、施工安装和监理的规章制度。</w:t>
      </w:r>
    </w:p>
    <w:p w14:paraId="7B7F6BF4">
      <w:pPr>
        <w:adjustRightInd w:val="0"/>
        <w:snapToGrid w:val="0"/>
        <w:spacing w:line="540" w:lineRule="exact"/>
        <w:ind w:firstLine="482"/>
        <w:rPr>
          <w:rFonts w:hint="eastAsia" w:ascii="仿宋" w:hAnsi="仿宋" w:eastAsia="仿宋" w:cs="仿宋"/>
          <w:b/>
          <w:color w:val="auto"/>
          <w:sz w:val="28"/>
          <w:szCs w:val="28"/>
          <w:highlight w:val="none"/>
        </w:rPr>
      </w:pPr>
      <w:r>
        <w:rPr>
          <w:rFonts w:hint="eastAsia" w:ascii="仿宋" w:hAnsi="仿宋" w:eastAsia="仿宋" w:cs="仿宋"/>
          <w:color w:val="auto"/>
          <w:sz w:val="28"/>
          <w:szCs w:val="28"/>
          <w:highlight w:val="none"/>
        </w:rPr>
        <w:t>（四）发现对方在业务活动中有违规、违纪、违法行为的，应及时提醒对方，情节严重的，应向其上级主管部门或纪检监察、司法等有关机关举报。</w:t>
      </w:r>
    </w:p>
    <w:p w14:paraId="5B8303EC">
      <w:pPr>
        <w:adjustRightInd w:val="0"/>
        <w:snapToGrid w:val="0"/>
        <w:spacing w:line="540" w:lineRule="exact"/>
        <w:ind w:firstLine="482"/>
        <w:rPr>
          <w:rFonts w:hint="eastAsia" w:ascii="仿宋" w:hAnsi="仿宋" w:eastAsia="仿宋" w:cs="仿宋"/>
          <w:color w:val="auto"/>
          <w:sz w:val="28"/>
          <w:szCs w:val="28"/>
          <w:highlight w:val="none"/>
        </w:rPr>
      </w:pPr>
      <w:r>
        <w:rPr>
          <w:rFonts w:hint="eastAsia" w:ascii="仿宋" w:hAnsi="仿宋" w:eastAsia="仿宋" w:cs="仿宋"/>
          <w:b/>
          <w:color w:val="auto"/>
          <w:sz w:val="28"/>
          <w:szCs w:val="28"/>
          <w:highlight w:val="none"/>
        </w:rPr>
        <w:t xml:space="preserve">第二条 </w:t>
      </w:r>
      <w:r>
        <w:rPr>
          <w:rFonts w:hint="eastAsia" w:ascii="仿宋" w:hAnsi="仿宋" w:eastAsia="仿宋" w:cs="仿宋"/>
          <w:color w:val="auto"/>
          <w:sz w:val="28"/>
          <w:szCs w:val="28"/>
          <w:highlight w:val="none"/>
        </w:rPr>
        <w:t>甲方的责任</w:t>
      </w:r>
    </w:p>
    <w:p w14:paraId="3858CAEB">
      <w:pPr>
        <w:adjustRightInd w:val="0"/>
        <w:snapToGrid w:val="0"/>
        <w:spacing w:line="540" w:lineRule="exact"/>
        <w:ind w:firstLine="482"/>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甲方的领导和从事本建设工程项目的工作人员，在工程建设的事前、事中、事后应遵守以下规定：</w:t>
      </w:r>
    </w:p>
    <w:p w14:paraId="780645B8">
      <w:pPr>
        <w:adjustRightInd w:val="0"/>
        <w:snapToGrid w:val="0"/>
        <w:spacing w:line="540" w:lineRule="exact"/>
        <w:ind w:firstLine="482"/>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（一）不准向乙方和相关单位索要或接受回扣、礼金、有价证券、贵重物品和好处费、感谢费等。</w:t>
      </w:r>
    </w:p>
    <w:p w14:paraId="440F1536">
      <w:pPr>
        <w:adjustRightInd w:val="0"/>
        <w:snapToGrid w:val="0"/>
        <w:spacing w:line="540" w:lineRule="exact"/>
        <w:ind w:firstLine="482"/>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（二）不准在乙方和相关单位报销任何应由甲方或个人支付的费用。</w:t>
      </w:r>
    </w:p>
    <w:p w14:paraId="70B2308F">
      <w:pPr>
        <w:adjustRightInd w:val="0"/>
        <w:snapToGrid w:val="0"/>
        <w:spacing w:line="540" w:lineRule="exact"/>
        <w:ind w:firstLine="482"/>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（三）不准要求、暗示或接受乙方和相关单位为个人装修住房、婚丧嫁娶、配偶子女的工作安排以及出国（境）、旅游等提供方便。</w:t>
      </w:r>
    </w:p>
    <w:p w14:paraId="31FB9E6A">
      <w:pPr>
        <w:adjustRightInd w:val="0"/>
        <w:snapToGrid w:val="0"/>
        <w:spacing w:line="540" w:lineRule="exact"/>
        <w:ind w:firstLine="482"/>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（四）不准参加有可能影响公正执行公务的乙方及相关单位的宴请、健身、娱乐等活动。</w:t>
      </w:r>
    </w:p>
    <w:p w14:paraId="628A6963">
      <w:pPr>
        <w:adjustRightInd w:val="0"/>
        <w:snapToGrid w:val="0"/>
        <w:spacing w:line="540" w:lineRule="exact"/>
        <w:ind w:firstLine="482"/>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（五）不准向乙方介绍或为配偶、子女、亲属参与同甲方项目工程合同有关的设备、材料、工程分包、劳务等经济活动。不得以任何理由向乙方和相关单位推荐分包单位。</w:t>
      </w:r>
    </w:p>
    <w:p w14:paraId="5B625C30">
      <w:pPr>
        <w:adjustRightInd w:val="0"/>
        <w:snapToGrid w:val="0"/>
        <w:spacing w:line="540" w:lineRule="exact"/>
        <w:ind w:firstLine="482"/>
        <w:rPr>
          <w:rFonts w:hint="eastAsia" w:ascii="仿宋" w:hAnsi="仿宋" w:eastAsia="仿宋" w:cs="仿宋"/>
          <w:color w:val="auto"/>
          <w:sz w:val="28"/>
          <w:szCs w:val="28"/>
          <w:highlight w:val="none"/>
        </w:rPr>
      </w:pPr>
      <w:r>
        <w:rPr>
          <w:rFonts w:hint="eastAsia" w:ascii="仿宋" w:hAnsi="仿宋" w:eastAsia="仿宋" w:cs="仿宋"/>
          <w:b/>
          <w:color w:val="auto"/>
          <w:sz w:val="28"/>
          <w:szCs w:val="28"/>
          <w:highlight w:val="none"/>
        </w:rPr>
        <w:t xml:space="preserve">第三条 </w:t>
      </w:r>
      <w:r>
        <w:rPr>
          <w:rFonts w:hint="eastAsia" w:ascii="仿宋" w:hAnsi="仿宋" w:eastAsia="仿宋" w:cs="仿宋"/>
          <w:color w:val="auto"/>
          <w:sz w:val="28"/>
          <w:szCs w:val="28"/>
          <w:highlight w:val="none"/>
        </w:rPr>
        <w:t>乙方的责任</w:t>
      </w:r>
    </w:p>
    <w:p w14:paraId="3063E60F">
      <w:pPr>
        <w:adjustRightInd w:val="0"/>
        <w:snapToGrid w:val="0"/>
        <w:spacing w:line="540" w:lineRule="exact"/>
        <w:ind w:firstLine="482"/>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应与甲方保持正常的业务交往，按照有关法律法规和程序开展业务工作，严格执行工程建设过程管理的有关方针、政策，尤其是强制性标准和规范，并遵守以下规定：</w:t>
      </w:r>
    </w:p>
    <w:p w14:paraId="166428A3">
      <w:pPr>
        <w:adjustRightInd w:val="0"/>
        <w:snapToGrid w:val="0"/>
        <w:spacing w:line="540" w:lineRule="exact"/>
        <w:ind w:firstLine="482"/>
        <w:rPr>
          <w:rFonts w:hint="eastAsia" w:ascii="仿宋" w:hAnsi="仿宋" w:eastAsia="仿宋" w:cs="仿宋"/>
          <w:color w:val="auto"/>
          <w:kern w:val="0"/>
          <w:sz w:val="28"/>
          <w:szCs w:val="28"/>
          <w:highlight w:val="none"/>
        </w:rPr>
      </w:pPr>
      <w:r>
        <w:rPr>
          <w:rFonts w:hint="eastAsia" w:ascii="仿宋" w:hAnsi="仿宋" w:eastAsia="仿宋" w:cs="仿宋"/>
          <w:snapToGrid w:val="0"/>
          <w:color w:val="auto"/>
          <w:kern w:val="0"/>
          <w:sz w:val="28"/>
          <w:szCs w:val="28"/>
          <w:highlight w:val="none"/>
          <w:lang w:bidi="ar"/>
        </w:rPr>
        <w:t>（一）不准以任何理由向甲方、相关单位及其工作人员索要、接受或赠送礼金、有价证券、贵重物品及回扣、好处费、感谢费等。</w:t>
      </w:r>
    </w:p>
    <w:p w14:paraId="63C8C63F">
      <w:pPr>
        <w:adjustRightInd w:val="0"/>
        <w:snapToGrid w:val="0"/>
        <w:spacing w:line="540" w:lineRule="exact"/>
        <w:ind w:firstLine="482"/>
        <w:rPr>
          <w:rFonts w:hint="eastAsia" w:ascii="仿宋" w:hAnsi="仿宋" w:eastAsia="仿宋" w:cs="仿宋"/>
          <w:color w:val="auto"/>
          <w:kern w:val="0"/>
          <w:sz w:val="28"/>
          <w:szCs w:val="28"/>
          <w:highlight w:val="none"/>
        </w:rPr>
      </w:pPr>
      <w:r>
        <w:rPr>
          <w:rFonts w:hint="eastAsia" w:ascii="仿宋" w:hAnsi="仿宋" w:eastAsia="仿宋" w:cs="仿宋"/>
          <w:snapToGrid w:val="0"/>
          <w:color w:val="auto"/>
          <w:kern w:val="0"/>
          <w:sz w:val="28"/>
          <w:szCs w:val="28"/>
          <w:highlight w:val="none"/>
          <w:lang w:bidi="ar"/>
        </w:rPr>
        <w:t>（二）不准以任何理由为甲方和相关单位报销应由对方或个人支付的费用。</w:t>
      </w:r>
    </w:p>
    <w:p w14:paraId="6AE0959C">
      <w:pPr>
        <w:adjustRightInd w:val="0"/>
        <w:snapToGrid w:val="0"/>
        <w:spacing w:line="540" w:lineRule="exact"/>
        <w:ind w:firstLine="482"/>
        <w:rPr>
          <w:rFonts w:hint="eastAsia" w:ascii="仿宋" w:hAnsi="仿宋" w:eastAsia="仿宋" w:cs="仿宋"/>
          <w:color w:val="auto"/>
          <w:kern w:val="0"/>
          <w:sz w:val="28"/>
          <w:szCs w:val="28"/>
          <w:highlight w:val="none"/>
        </w:rPr>
      </w:pPr>
      <w:r>
        <w:rPr>
          <w:rFonts w:hint="eastAsia" w:ascii="仿宋" w:hAnsi="仿宋" w:eastAsia="仿宋" w:cs="仿宋"/>
          <w:snapToGrid w:val="0"/>
          <w:color w:val="auto"/>
          <w:kern w:val="0"/>
          <w:sz w:val="28"/>
          <w:szCs w:val="28"/>
          <w:highlight w:val="none"/>
          <w:lang w:bidi="ar"/>
        </w:rPr>
        <w:t>（三）不准接受或暗示为甲方、相关单位或个人装修住房、婚丧嫁娶、配偶子女的工作安排以及出国（境）、旅游等提供方便。</w:t>
      </w:r>
    </w:p>
    <w:p w14:paraId="68E6E1A1">
      <w:pPr>
        <w:adjustRightInd w:val="0"/>
        <w:snapToGrid w:val="0"/>
        <w:spacing w:line="540" w:lineRule="exact"/>
        <w:ind w:firstLine="482"/>
        <w:rPr>
          <w:rFonts w:hint="eastAsia" w:ascii="仿宋" w:hAnsi="仿宋" w:eastAsia="仿宋" w:cs="仿宋"/>
          <w:color w:val="auto"/>
          <w:kern w:val="0"/>
          <w:sz w:val="28"/>
          <w:szCs w:val="28"/>
          <w:highlight w:val="none"/>
        </w:rPr>
      </w:pPr>
      <w:r>
        <w:rPr>
          <w:rFonts w:hint="eastAsia" w:ascii="仿宋" w:hAnsi="仿宋" w:eastAsia="仿宋" w:cs="仿宋"/>
          <w:snapToGrid w:val="0"/>
          <w:color w:val="auto"/>
          <w:kern w:val="0"/>
          <w:sz w:val="28"/>
          <w:szCs w:val="28"/>
          <w:highlight w:val="none"/>
          <w:lang w:bidi="ar"/>
        </w:rPr>
        <w:t>（四）不准以任何理由为甲方、相关单位或个人组织有可能影响公正执行公务的宴请、健身、娱乐等活动。</w:t>
      </w:r>
    </w:p>
    <w:p w14:paraId="56A3E09E">
      <w:pPr>
        <w:adjustRightInd w:val="0"/>
        <w:snapToGrid w:val="0"/>
        <w:spacing w:line="540" w:lineRule="exact"/>
        <w:ind w:firstLine="482"/>
        <w:rPr>
          <w:rFonts w:hint="eastAsia" w:ascii="仿宋" w:hAnsi="仿宋" w:eastAsia="仿宋" w:cs="仿宋"/>
          <w:color w:val="auto"/>
          <w:kern w:val="0"/>
          <w:sz w:val="28"/>
          <w:szCs w:val="28"/>
          <w:highlight w:val="none"/>
        </w:rPr>
      </w:pPr>
      <w:r>
        <w:rPr>
          <w:rFonts w:hint="eastAsia" w:ascii="仿宋" w:hAnsi="仿宋" w:eastAsia="仿宋" w:cs="仿宋"/>
          <w:b/>
          <w:snapToGrid w:val="0"/>
          <w:color w:val="auto"/>
          <w:kern w:val="0"/>
          <w:sz w:val="28"/>
          <w:szCs w:val="28"/>
          <w:highlight w:val="none"/>
          <w:lang w:bidi="ar"/>
        </w:rPr>
        <w:t>第四条</w:t>
      </w:r>
      <w:r>
        <w:rPr>
          <w:rFonts w:hint="eastAsia" w:ascii="仿宋" w:hAnsi="仿宋" w:eastAsia="仿宋" w:cs="仿宋"/>
          <w:snapToGrid w:val="0"/>
          <w:color w:val="auto"/>
          <w:kern w:val="0"/>
          <w:sz w:val="28"/>
          <w:szCs w:val="28"/>
          <w:highlight w:val="none"/>
          <w:lang w:bidi="ar"/>
        </w:rPr>
        <w:t>违约责任</w:t>
      </w:r>
    </w:p>
    <w:p w14:paraId="37D23DA0">
      <w:pPr>
        <w:adjustRightInd w:val="0"/>
        <w:snapToGrid w:val="0"/>
        <w:spacing w:line="540" w:lineRule="exact"/>
        <w:ind w:firstLine="482"/>
        <w:rPr>
          <w:rFonts w:hint="eastAsia" w:ascii="仿宋" w:hAnsi="仿宋" w:eastAsia="仿宋" w:cs="仿宋"/>
          <w:color w:val="auto"/>
          <w:kern w:val="0"/>
          <w:sz w:val="28"/>
          <w:szCs w:val="28"/>
          <w:highlight w:val="none"/>
        </w:rPr>
      </w:pPr>
      <w:r>
        <w:rPr>
          <w:rFonts w:hint="eastAsia" w:ascii="仿宋" w:hAnsi="仿宋" w:eastAsia="仿宋" w:cs="仿宋"/>
          <w:snapToGrid w:val="0"/>
          <w:color w:val="auto"/>
          <w:kern w:val="0"/>
          <w:sz w:val="28"/>
          <w:szCs w:val="28"/>
          <w:highlight w:val="none"/>
          <w:lang w:bidi="ar"/>
        </w:rPr>
        <w:t>（一）甲方工作人员有违反本廉政责任书第一、第二条责任行为的，按照管理权限，依据有关法律法规和规定给予党纪、政纪处分或组织处理；涉嫌犯罪的，移交司法机关追究刑事责任；给乙方单位造成经济损失的，应予以赔偿。</w:t>
      </w:r>
    </w:p>
    <w:p w14:paraId="28C31F03">
      <w:pPr>
        <w:adjustRightInd w:val="0"/>
        <w:snapToGrid w:val="0"/>
        <w:spacing w:line="540" w:lineRule="exact"/>
        <w:ind w:firstLine="482"/>
        <w:rPr>
          <w:rFonts w:hint="eastAsia" w:ascii="仿宋" w:hAnsi="仿宋" w:eastAsia="仿宋" w:cs="仿宋"/>
          <w:color w:val="auto"/>
          <w:kern w:val="0"/>
          <w:sz w:val="28"/>
          <w:szCs w:val="28"/>
          <w:highlight w:val="none"/>
        </w:rPr>
      </w:pPr>
      <w:r>
        <w:rPr>
          <w:rFonts w:hint="eastAsia" w:ascii="仿宋" w:hAnsi="仿宋" w:eastAsia="仿宋" w:cs="仿宋"/>
          <w:snapToGrid w:val="0"/>
          <w:color w:val="auto"/>
          <w:kern w:val="0"/>
          <w:sz w:val="28"/>
          <w:szCs w:val="28"/>
          <w:highlight w:val="none"/>
          <w:lang w:bidi="ar"/>
        </w:rPr>
        <w:t>（二）乙方工作人员有违反本廉政责任书第一、三条责任行为的，按照管理权限，依据有关法律法规和规定给予党纪、政纪处分或组织处理；涉嫌犯罪的，移交司法机关追究刑事责任；给甲方单位造成经济损失的，应予以赔偿。</w:t>
      </w:r>
    </w:p>
    <w:p w14:paraId="3FF8DD0B">
      <w:pPr>
        <w:adjustRightInd w:val="0"/>
        <w:snapToGrid w:val="0"/>
        <w:spacing w:line="540" w:lineRule="exact"/>
        <w:ind w:firstLine="482"/>
        <w:rPr>
          <w:rFonts w:hint="eastAsia" w:ascii="仿宋" w:hAnsi="仿宋" w:eastAsia="仿宋" w:cs="仿宋"/>
          <w:b/>
          <w:color w:val="auto"/>
          <w:kern w:val="0"/>
          <w:sz w:val="28"/>
          <w:szCs w:val="28"/>
          <w:highlight w:val="none"/>
        </w:rPr>
      </w:pPr>
      <w:r>
        <w:rPr>
          <w:rFonts w:hint="eastAsia" w:ascii="仿宋" w:hAnsi="仿宋" w:eastAsia="仿宋" w:cs="仿宋"/>
          <w:b/>
          <w:snapToGrid w:val="0"/>
          <w:color w:val="auto"/>
          <w:kern w:val="0"/>
          <w:sz w:val="28"/>
          <w:szCs w:val="28"/>
          <w:highlight w:val="none"/>
          <w:lang w:bidi="ar"/>
        </w:rPr>
        <w:t>第五条</w:t>
      </w:r>
      <w:r>
        <w:rPr>
          <w:rFonts w:hint="eastAsia" w:ascii="仿宋" w:hAnsi="仿宋" w:eastAsia="仿宋" w:cs="仿宋"/>
          <w:snapToGrid w:val="0"/>
          <w:color w:val="auto"/>
          <w:kern w:val="0"/>
          <w:sz w:val="28"/>
          <w:szCs w:val="28"/>
          <w:highlight w:val="none"/>
          <w:lang w:bidi="ar"/>
        </w:rPr>
        <w:t>本廉政责任书作为合同的附件，与合同具有同等法律效力。经双方签署后立即生效。</w:t>
      </w:r>
    </w:p>
    <w:p w14:paraId="67934862">
      <w:pPr>
        <w:adjustRightInd w:val="0"/>
        <w:snapToGrid w:val="0"/>
        <w:spacing w:line="540" w:lineRule="exact"/>
        <w:ind w:firstLine="482"/>
        <w:rPr>
          <w:rFonts w:hint="eastAsia" w:ascii="仿宋" w:hAnsi="仿宋" w:eastAsia="仿宋" w:cs="仿宋"/>
          <w:snapToGrid w:val="0"/>
          <w:color w:val="auto"/>
          <w:kern w:val="0"/>
          <w:sz w:val="28"/>
          <w:szCs w:val="28"/>
          <w:highlight w:val="none"/>
          <w:lang w:bidi="ar"/>
        </w:rPr>
      </w:pPr>
      <w:r>
        <w:rPr>
          <w:rFonts w:hint="eastAsia" w:ascii="仿宋" w:hAnsi="仿宋" w:eastAsia="仿宋" w:cs="仿宋"/>
          <w:b/>
          <w:snapToGrid w:val="0"/>
          <w:color w:val="auto"/>
          <w:kern w:val="0"/>
          <w:sz w:val="28"/>
          <w:szCs w:val="28"/>
          <w:highlight w:val="none"/>
          <w:lang w:bidi="ar"/>
        </w:rPr>
        <w:t>第六条</w:t>
      </w:r>
      <w:r>
        <w:rPr>
          <w:rFonts w:hint="eastAsia" w:ascii="仿宋" w:hAnsi="仿宋" w:eastAsia="仿宋" w:cs="仿宋"/>
          <w:snapToGrid w:val="0"/>
          <w:color w:val="auto"/>
          <w:kern w:val="0"/>
          <w:sz w:val="28"/>
          <w:szCs w:val="28"/>
          <w:highlight w:val="none"/>
          <w:lang w:bidi="ar"/>
        </w:rPr>
        <w:t>本廉政责任书的有效期与合同的有效期相同。</w:t>
      </w:r>
    </w:p>
    <w:p w14:paraId="5CF8177F">
      <w:pPr>
        <w:adjustRightInd w:val="0"/>
        <w:snapToGrid w:val="0"/>
        <w:spacing w:line="540" w:lineRule="exact"/>
        <w:ind w:firstLine="482"/>
        <w:rPr>
          <w:rFonts w:hint="eastAsia"/>
          <w:color w:val="auto"/>
          <w:highlight w:val="none"/>
        </w:rPr>
      </w:pPr>
      <w:r>
        <w:rPr>
          <w:rFonts w:hint="eastAsia" w:ascii="仿宋" w:hAnsi="仿宋" w:eastAsia="仿宋" w:cs="仿宋"/>
          <w:b/>
          <w:snapToGrid w:val="0"/>
          <w:color w:val="auto"/>
          <w:kern w:val="0"/>
          <w:sz w:val="28"/>
          <w:szCs w:val="28"/>
          <w:highlight w:val="none"/>
          <w:lang w:bidi="ar"/>
        </w:rPr>
        <w:t>第七条</w:t>
      </w:r>
      <w:r>
        <w:rPr>
          <w:rFonts w:hint="eastAsia" w:ascii="仿宋" w:hAnsi="仿宋" w:eastAsia="仿宋" w:cs="仿宋"/>
          <w:snapToGrid w:val="0"/>
          <w:color w:val="auto"/>
          <w:kern w:val="0"/>
          <w:sz w:val="28"/>
          <w:szCs w:val="28"/>
          <w:highlight w:val="none"/>
          <w:lang w:bidi="ar"/>
        </w:rPr>
        <w:t>本廉政责任书份数和合同份数一致</w:t>
      </w:r>
      <w:r>
        <w:rPr>
          <w:rFonts w:hint="eastAsia" w:ascii="仿宋" w:hAnsi="仿宋" w:eastAsia="仿宋" w:cs="仿宋"/>
          <w:bCs/>
          <w:color w:val="auto"/>
          <w:kern w:val="0"/>
          <w:sz w:val="28"/>
          <w:szCs w:val="28"/>
          <w:highlight w:val="none"/>
          <w:lang w:bidi="ar"/>
        </w:rPr>
        <w:t>。</w:t>
      </w:r>
    </w:p>
    <w:p w14:paraId="3392D0D4">
      <w:pPr>
        <w:pStyle w:val="8"/>
        <w:rPr>
          <w:rFonts w:hint="eastAsia"/>
          <w:color w:val="auto"/>
          <w:highlight w:val="none"/>
        </w:rPr>
      </w:pPr>
    </w:p>
    <w:tbl>
      <w:tblPr>
        <w:tblStyle w:val="10"/>
        <w:tblW w:w="8741" w:type="dxa"/>
        <w:tblInd w:w="0" w:type="dxa"/>
        <w:tblLayout w:type="fixed"/>
        <w:tblCellMar>
          <w:top w:w="0" w:type="dxa"/>
          <w:left w:w="108" w:type="dxa"/>
          <w:bottom w:w="0" w:type="dxa"/>
          <w:right w:w="108" w:type="dxa"/>
        </w:tblCellMar>
      </w:tblPr>
      <w:tblGrid>
        <w:gridCol w:w="4302"/>
        <w:gridCol w:w="4439"/>
      </w:tblGrid>
      <w:tr w14:paraId="6667D2B0">
        <w:tblPrEx>
          <w:tblCellMar>
            <w:top w:w="0" w:type="dxa"/>
            <w:left w:w="108" w:type="dxa"/>
            <w:bottom w:w="0" w:type="dxa"/>
            <w:right w:w="108" w:type="dxa"/>
          </w:tblCellMar>
        </w:tblPrEx>
        <w:tc>
          <w:tcPr>
            <w:tcW w:w="4302" w:type="dxa"/>
            <w:noWrap w:val="0"/>
            <w:vAlign w:val="top"/>
          </w:tcPr>
          <w:p w14:paraId="0B9A8246">
            <w:pPr>
              <w:spacing w:line="360" w:lineRule="auto"/>
              <w:ind w:left="1200" w:hanging="1200" w:hangingChars="5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甲方：</w:t>
            </w:r>
          </w:p>
          <w:p w14:paraId="1E9CDE32">
            <w:pPr>
              <w:spacing w:line="360" w:lineRule="auto"/>
              <w:ind w:left="1200" w:hanging="1200" w:hangingChars="5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（盖章）</w:t>
            </w:r>
          </w:p>
          <w:p w14:paraId="32194303">
            <w:pPr>
              <w:spacing w:line="360" w:lineRule="auto"/>
              <w:ind w:left="1200" w:hanging="1200" w:hangingChars="500"/>
              <w:rPr>
                <w:rFonts w:hint="eastAsia" w:ascii="宋体" w:hAnsi="宋体" w:eastAsia="宋体" w:cs="宋体"/>
                <w:color w:val="auto"/>
                <w:sz w:val="24"/>
                <w:szCs w:val="24"/>
                <w:highlight w:val="none"/>
              </w:rPr>
            </w:pPr>
          </w:p>
          <w:p w14:paraId="271E828D">
            <w:pPr>
              <w:spacing w:line="360" w:lineRule="auto"/>
              <w:ind w:left="1200" w:hanging="1200" w:hangingChars="500"/>
              <w:rPr>
                <w:rFonts w:hint="eastAsia" w:ascii="宋体" w:hAnsi="宋体" w:eastAsia="宋体" w:cs="宋体"/>
                <w:color w:val="auto"/>
                <w:sz w:val="24"/>
                <w:szCs w:val="24"/>
                <w:highlight w:val="none"/>
              </w:rPr>
            </w:pPr>
          </w:p>
        </w:tc>
        <w:tc>
          <w:tcPr>
            <w:tcW w:w="4439" w:type="dxa"/>
            <w:noWrap w:val="0"/>
            <w:vAlign w:val="top"/>
          </w:tcPr>
          <w:p w14:paraId="5B4741F3">
            <w:pPr>
              <w:spacing w:line="360" w:lineRule="auto"/>
              <w:ind w:left="1200" w:hanging="1200" w:hangingChars="5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乙方：</w:t>
            </w:r>
            <w:r>
              <w:rPr>
                <w:rFonts w:hint="eastAsia" w:ascii="宋体" w:hAnsi="宋体" w:eastAsia="宋体" w:cs="宋体"/>
                <w:color w:val="auto"/>
                <w:sz w:val="24"/>
                <w:szCs w:val="24"/>
                <w:highlight w:val="none"/>
                <w:lang w:val="en-US" w:eastAsia="zh-CN"/>
              </w:rPr>
              <w:t xml:space="preserve"> </w:t>
            </w:r>
          </w:p>
          <w:p w14:paraId="4B07DE47">
            <w:pPr>
              <w:spacing w:line="360" w:lineRule="auto"/>
              <w:ind w:left="1197" w:leftChars="57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（盖章）</w:t>
            </w:r>
          </w:p>
        </w:tc>
      </w:tr>
      <w:tr w14:paraId="3DFBFE5E">
        <w:tblPrEx>
          <w:tblCellMar>
            <w:top w:w="0" w:type="dxa"/>
            <w:left w:w="108" w:type="dxa"/>
            <w:bottom w:w="0" w:type="dxa"/>
            <w:right w:w="108" w:type="dxa"/>
          </w:tblCellMar>
        </w:tblPrEx>
        <w:tc>
          <w:tcPr>
            <w:tcW w:w="4302" w:type="dxa"/>
            <w:noWrap w:val="0"/>
            <w:vAlign w:val="top"/>
          </w:tcPr>
          <w:p w14:paraId="2B212906">
            <w:pPr>
              <w:spacing w:line="360" w:lineRule="auto"/>
              <w:ind w:left="1200" w:hanging="1200" w:hangingChars="5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p>
          <w:p w14:paraId="6200467C">
            <w:pPr>
              <w:spacing w:line="360" w:lineRule="auto"/>
              <w:ind w:left="1200" w:hanging="1200" w:hangingChars="5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或授权代表（签字）：</w:t>
            </w:r>
          </w:p>
          <w:p w14:paraId="6E3C28B5">
            <w:pPr>
              <w:pStyle w:val="2"/>
              <w:rPr>
                <w:rFonts w:hint="eastAsia" w:ascii="宋体" w:hAnsi="宋体" w:eastAsia="宋体" w:cs="宋体"/>
                <w:color w:val="auto"/>
                <w:sz w:val="24"/>
                <w:szCs w:val="24"/>
                <w:highlight w:val="none"/>
              </w:rPr>
            </w:pPr>
          </w:p>
        </w:tc>
        <w:tc>
          <w:tcPr>
            <w:tcW w:w="4439" w:type="dxa"/>
            <w:noWrap w:val="0"/>
            <w:vAlign w:val="top"/>
          </w:tcPr>
          <w:p w14:paraId="43FA149E">
            <w:pPr>
              <w:spacing w:line="360" w:lineRule="auto"/>
              <w:ind w:left="1200" w:hanging="1200" w:hangingChars="5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p>
          <w:p w14:paraId="61189B01">
            <w:pPr>
              <w:spacing w:line="360" w:lineRule="auto"/>
              <w:ind w:left="1200" w:hanging="1200" w:hangingChars="5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或授权代表（签字）：</w:t>
            </w:r>
          </w:p>
        </w:tc>
      </w:tr>
      <w:tr w14:paraId="20344ED4">
        <w:tblPrEx>
          <w:tblCellMar>
            <w:top w:w="0" w:type="dxa"/>
            <w:left w:w="108" w:type="dxa"/>
            <w:bottom w:w="0" w:type="dxa"/>
            <w:right w:w="108" w:type="dxa"/>
          </w:tblCellMar>
        </w:tblPrEx>
        <w:trPr>
          <w:trHeight w:val="496" w:hRule="atLeast"/>
        </w:trPr>
        <w:tc>
          <w:tcPr>
            <w:tcW w:w="4302" w:type="dxa"/>
            <w:noWrap w:val="0"/>
            <w:vAlign w:val="top"/>
          </w:tcPr>
          <w:p w14:paraId="763D26E4">
            <w:pPr>
              <w:spacing w:line="360" w:lineRule="auto"/>
              <w:rPr>
                <w:rFonts w:hint="eastAsia" w:ascii="宋体" w:hAnsi="宋体" w:eastAsia="宋体" w:cs="宋体"/>
                <w:color w:val="auto"/>
                <w:sz w:val="24"/>
                <w:szCs w:val="24"/>
                <w:highlight w:val="none"/>
              </w:rPr>
            </w:pPr>
          </w:p>
          <w:p w14:paraId="7700BD17">
            <w:pPr>
              <w:widowControl/>
              <w:ind w:left="1200" w:hanging="1200" w:hangingChars="5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单位地址：</w:t>
            </w:r>
          </w:p>
        </w:tc>
        <w:tc>
          <w:tcPr>
            <w:tcW w:w="4439" w:type="dxa"/>
            <w:noWrap w:val="0"/>
            <w:vAlign w:val="top"/>
          </w:tcPr>
          <w:p w14:paraId="37782A01">
            <w:pPr>
              <w:spacing w:line="360" w:lineRule="auto"/>
              <w:ind w:left="4" w:leftChars="-13" w:hanging="31"/>
              <w:rPr>
                <w:rFonts w:hint="eastAsia" w:ascii="宋体" w:hAnsi="宋体" w:eastAsia="宋体" w:cs="宋体"/>
                <w:color w:val="auto"/>
                <w:sz w:val="24"/>
                <w:szCs w:val="24"/>
                <w:highlight w:val="none"/>
              </w:rPr>
            </w:pPr>
          </w:p>
          <w:p w14:paraId="103A62D0">
            <w:pPr>
              <w:widowControl/>
              <w:ind w:left="1200" w:hanging="1200" w:hangingChars="5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单位地址：</w:t>
            </w:r>
          </w:p>
          <w:p w14:paraId="0B831262">
            <w:pPr>
              <w:widowControl/>
              <w:ind w:left="1200" w:hanging="1200" w:hangingChars="500"/>
              <w:jc w:val="left"/>
              <w:rPr>
                <w:rFonts w:hint="eastAsia" w:ascii="宋体" w:hAnsi="宋体" w:eastAsia="宋体" w:cs="宋体"/>
                <w:color w:val="auto"/>
                <w:sz w:val="24"/>
                <w:szCs w:val="24"/>
                <w:highlight w:val="none"/>
                <w:lang w:eastAsia="zh-CN"/>
              </w:rPr>
            </w:pPr>
          </w:p>
        </w:tc>
      </w:tr>
      <w:tr w14:paraId="32248E21">
        <w:tblPrEx>
          <w:tblCellMar>
            <w:top w:w="0" w:type="dxa"/>
            <w:left w:w="108" w:type="dxa"/>
            <w:bottom w:w="0" w:type="dxa"/>
            <w:right w:w="108" w:type="dxa"/>
          </w:tblCellMar>
        </w:tblPrEx>
        <w:tc>
          <w:tcPr>
            <w:tcW w:w="4302" w:type="dxa"/>
            <w:noWrap w:val="0"/>
            <w:vAlign w:val="top"/>
          </w:tcPr>
          <w:p w14:paraId="2430979D">
            <w:pPr>
              <w:spacing w:line="360" w:lineRule="auto"/>
              <w:ind w:left="1200" w:hanging="1200" w:hangingChars="500"/>
              <w:rPr>
                <w:rFonts w:hint="eastAsia" w:ascii="宋体" w:hAnsi="宋体" w:eastAsia="宋体" w:cs="宋体"/>
                <w:color w:val="auto"/>
                <w:sz w:val="24"/>
                <w:szCs w:val="24"/>
                <w:highlight w:val="none"/>
              </w:rPr>
            </w:pPr>
          </w:p>
          <w:p w14:paraId="4F1493BF">
            <w:pPr>
              <w:spacing w:line="360" w:lineRule="auto"/>
              <w:ind w:left="0" w:firstLine="0" w:firstLineChars="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邮政编码：</w:t>
            </w:r>
          </w:p>
        </w:tc>
        <w:tc>
          <w:tcPr>
            <w:tcW w:w="4439" w:type="dxa"/>
            <w:noWrap w:val="0"/>
            <w:vAlign w:val="top"/>
          </w:tcPr>
          <w:p w14:paraId="630E03FB">
            <w:pPr>
              <w:spacing w:line="360" w:lineRule="auto"/>
              <w:rPr>
                <w:rFonts w:hint="eastAsia" w:ascii="宋体" w:hAnsi="宋体" w:eastAsia="宋体" w:cs="宋体"/>
                <w:color w:val="auto"/>
                <w:sz w:val="24"/>
                <w:szCs w:val="24"/>
                <w:highlight w:val="none"/>
              </w:rPr>
            </w:pPr>
          </w:p>
          <w:p w14:paraId="66D96E07">
            <w:pPr>
              <w:spacing w:line="360" w:lineRule="auto"/>
              <w:ind w:left="1200" w:hanging="1200" w:hangingChars="5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邮政编码：</w:t>
            </w:r>
          </w:p>
        </w:tc>
      </w:tr>
      <w:tr w14:paraId="0EB3AF66">
        <w:tblPrEx>
          <w:tblCellMar>
            <w:top w:w="0" w:type="dxa"/>
            <w:left w:w="108" w:type="dxa"/>
            <w:bottom w:w="0" w:type="dxa"/>
            <w:right w:w="108" w:type="dxa"/>
          </w:tblCellMar>
        </w:tblPrEx>
        <w:tc>
          <w:tcPr>
            <w:tcW w:w="4302" w:type="dxa"/>
            <w:noWrap w:val="0"/>
            <w:vAlign w:val="top"/>
          </w:tcPr>
          <w:p w14:paraId="076CC238">
            <w:pPr>
              <w:widowControl/>
              <w:spacing w:line="240" w:lineRule="auto"/>
              <w:ind w:left="0" w:firstLine="0" w:firstLineChars="0"/>
              <w:jc w:val="left"/>
              <w:rPr>
                <w:rFonts w:hint="eastAsia" w:ascii="宋体" w:hAnsi="宋体" w:eastAsia="宋体" w:cs="宋体"/>
                <w:color w:val="auto"/>
                <w:sz w:val="24"/>
                <w:szCs w:val="24"/>
                <w:highlight w:val="none"/>
              </w:rPr>
            </w:pPr>
          </w:p>
          <w:p w14:paraId="48F39278">
            <w:pPr>
              <w:widowControl/>
              <w:spacing w:line="240" w:lineRule="auto"/>
              <w:ind w:left="0" w:firstLine="0" w:firstLineChars="0"/>
              <w:jc w:val="left"/>
              <w:rPr>
                <w:rFonts w:hint="eastAsia" w:ascii="宋体" w:hAnsi="宋体" w:eastAsia="宋体" w:cs="宋体"/>
                <w:color w:val="auto"/>
                <w:sz w:val="24"/>
                <w:szCs w:val="24"/>
                <w:highlight w:val="none"/>
              </w:rPr>
            </w:pPr>
          </w:p>
          <w:p w14:paraId="59948BFF">
            <w:pPr>
              <w:rPr>
                <w:rFonts w:hint="eastAsia" w:ascii="宋体" w:hAnsi="宋体" w:eastAsia="宋体" w:cs="宋体"/>
                <w:color w:val="auto"/>
                <w:sz w:val="24"/>
                <w:szCs w:val="24"/>
                <w:highlight w:val="none"/>
              </w:rPr>
            </w:pPr>
          </w:p>
          <w:p w14:paraId="6525D2F9">
            <w:pPr>
              <w:widowControl/>
              <w:spacing w:line="240" w:lineRule="auto"/>
              <w:ind w:left="0" w:firstLine="0" w:firstLineChars="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电话：</w:t>
            </w:r>
          </w:p>
        </w:tc>
        <w:tc>
          <w:tcPr>
            <w:tcW w:w="4439" w:type="dxa"/>
            <w:noWrap w:val="0"/>
            <w:vAlign w:val="top"/>
          </w:tcPr>
          <w:p w14:paraId="0B578C19">
            <w:pPr>
              <w:spacing w:line="360" w:lineRule="auto"/>
              <w:ind w:left="1200" w:hanging="1200" w:hangingChars="500"/>
              <w:rPr>
                <w:rFonts w:hint="eastAsia" w:ascii="宋体" w:hAnsi="宋体" w:eastAsia="宋体" w:cs="宋体"/>
                <w:color w:val="auto"/>
                <w:sz w:val="24"/>
                <w:szCs w:val="24"/>
                <w:highlight w:val="none"/>
              </w:rPr>
            </w:pPr>
          </w:p>
          <w:p w14:paraId="1BE1D733">
            <w:pPr>
              <w:rPr>
                <w:rFonts w:hint="eastAsia" w:ascii="宋体" w:hAnsi="宋体" w:eastAsia="宋体" w:cs="宋体"/>
                <w:color w:val="auto"/>
                <w:sz w:val="24"/>
                <w:szCs w:val="24"/>
                <w:highlight w:val="none"/>
              </w:rPr>
            </w:pPr>
          </w:p>
          <w:p w14:paraId="435F8C5D">
            <w:pPr>
              <w:spacing w:line="360" w:lineRule="auto"/>
              <w:ind w:left="0" w:firstLine="0" w:firstLineChars="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电话：</w:t>
            </w:r>
          </w:p>
        </w:tc>
      </w:tr>
      <w:tr w14:paraId="6A8116CD">
        <w:tblPrEx>
          <w:tblCellMar>
            <w:top w:w="0" w:type="dxa"/>
            <w:left w:w="108" w:type="dxa"/>
            <w:bottom w:w="0" w:type="dxa"/>
            <w:right w:w="108" w:type="dxa"/>
          </w:tblCellMar>
        </w:tblPrEx>
        <w:trPr>
          <w:trHeight w:val="489" w:hRule="atLeast"/>
        </w:trPr>
        <w:tc>
          <w:tcPr>
            <w:tcW w:w="4302" w:type="dxa"/>
            <w:noWrap w:val="0"/>
            <w:vAlign w:val="top"/>
          </w:tcPr>
          <w:p w14:paraId="2DA92DE0">
            <w:pPr>
              <w:widowControl/>
              <w:spacing w:line="240" w:lineRule="auto"/>
              <w:ind w:left="0" w:firstLine="0" w:firstLineChars="0"/>
              <w:jc w:val="left"/>
              <w:rPr>
                <w:rFonts w:hint="eastAsia" w:ascii="宋体" w:hAnsi="宋体" w:eastAsia="宋体" w:cs="宋体"/>
                <w:color w:val="auto"/>
                <w:sz w:val="24"/>
                <w:szCs w:val="24"/>
                <w:highlight w:val="none"/>
              </w:rPr>
            </w:pPr>
          </w:p>
          <w:p w14:paraId="7647CB70">
            <w:pPr>
              <w:widowControl/>
              <w:spacing w:line="240" w:lineRule="auto"/>
              <w:ind w:left="0" w:firstLine="0" w:firstLineChars="0"/>
              <w:jc w:val="left"/>
              <w:rPr>
                <w:rFonts w:hint="eastAsia" w:ascii="宋体" w:hAnsi="宋体" w:eastAsia="宋体" w:cs="宋体"/>
                <w:color w:val="auto"/>
                <w:sz w:val="24"/>
                <w:szCs w:val="24"/>
                <w:highlight w:val="none"/>
              </w:rPr>
            </w:pPr>
          </w:p>
          <w:p w14:paraId="704BD7D1">
            <w:pPr>
              <w:widowControl/>
              <w:spacing w:line="240" w:lineRule="auto"/>
              <w:ind w:left="0" w:firstLine="0" w:firstLineChars="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开户行：</w:t>
            </w:r>
            <w:r>
              <w:rPr>
                <w:rFonts w:hint="eastAsia" w:ascii="宋体" w:hAnsi="宋体" w:eastAsia="宋体" w:cs="宋体"/>
                <w:color w:val="auto"/>
                <w:sz w:val="24"/>
                <w:szCs w:val="24"/>
                <w:highlight w:val="none"/>
                <w:lang w:val="en-US" w:eastAsia="zh-CN" w:bidi="ar"/>
              </w:rPr>
              <w:t xml:space="preserve"> </w:t>
            </w:r>
          </w:p>
        </w:tc>
        <w:tc>
          <w:tcPr>
            <w:tcW w:w="4439" w:type="dxa"/>
            <w:noWrap w:val="0"/>
            <w:vAlign w:val="top"/>
          </w:tcPr>
          <w:p w14:paraId="5C4751D0">
            <w:pPr>
              <w:spacing w:line="360" w:lineRule="auto"/>
              <w:ind w:left="1200" w:hanging="1200" w:hangingChars="500"/>
              <w:rPr>
                <w:rFonts w:hint="eastAsia" w:ascii="宋体" w:hAnsi="宋体" w:eastAsia="宋体" w:cs="宋体"/>
                <w:color w:val="auto"/>
                <w:sz w:val="24"/>
                <w:szCs w:val="24"/>
                <w:highlight w:val="none"/>
              </w:rPr>
            </w:pPr>
          </w:p>
          <w:p w14:paraId="52383C65">
            <w:pPr>
              <w:spacing w:line="360" w:lineRule="auto"/>
              <w:ind w:left="1200" w:hanging="1200" w:hangingChars="5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开户行：</w:t>
            </w:r>
          </w:p>
        </w:tc>
      </w:tr>
      <w:tr w14:paraId="0B08FA9B">
        <w:tblPrEx>
          <w:tblCellMar>
            <w:top w:w="0" w:type="dxa"/>
            <w:left w:w="108" w:type="dxa"/>
            <w:bottom w:w="0" w:type="dxa"/>
            <w:right w:w="108" w:type="dxa"/>
          </w:tblCellMar>
        </w:tblPrEx>
        <w:tc>
          <w:tcPr>
            <w:tcW w:w="4302" w:type="dxa"/>
            <w:noWrap w:val="0"/>
            <w:vAlign w:val="top"/>
          </w:tcPr>
          <w:p w14:paraId="633C7F91">
            <w:pPr>
              <w:widowControl/>
              <w:spacing w:line="240" w:lineRule="auto"/>
              <w:ind w:left="0" w:firstLine="0" w:firstLineChars="0"/>
              <w:jc w:val="left"/>
              <w:rPr>
                <w:rFonts w:hint="eastAsia" w:ascii="宋体" w:hAnsi="宋体" w:eastAsia="宋体" w:cs="宋体"/>
                <w:color w:val="auto"/>
                <w:sz w:val="24"/>
                <w:szCs w:val="24"/>
                <w:highlight w:val="none"/>
              </w:rPr>
            </w:pPr>
          </w:p>
          <w:p w14:paraId="58830D8C">
            <w:pPr>
              <w:widowControl/>
              <w:spacing w:line="240" w:lineRule="auto"/>
              <w:ind w:left="0" w:firstLine="0" w:firstLineChars="0"/>
              <w:jc w:val="left"/>
              <w:rPr>
                <w:rFonts w:hint="eastAsia" w:ascii="宋体" w:hAnsi="宋体" w:eastAsia="宋体" w:cs="宋体"/>
                <w:color w:val="auto"/>
                <w:sz w:val="24"/>
                <w:szCs w:val="24"/>
                <w:highlight w:val="none"/>
              </w:rPr>
            </w:pPr>
          </w:p>
          <w:p w14:paraId="0D9BB65D">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银行账号：</w:t>
            </w:r>
          </w:p>
          <w:p w14:paraId="43DD9230">
            <w:pPr>
              <w:widowControl/>
              <w:spacing w:line="240" w:lineRule="auto"/>
              <w:ind w:left="0" w:firstLine="0" w:firstLineChars="0"/>
              <w:jc w:val="left"/>
              <w:rPr>
                <w:rFonts w:hint="eastAsia" w:ascii="宋体" w:hAnsi="宋体" w:eastAsia="宋体" w:cs="宋体"/>
                <w:color w:val="auto"/>
                <w:sz w:val="24"/>
                <w:szCs w:val="24"/>
                <w:highlight w:val="none"/>
              </w:rPr>
            </w:pPr>
          </w:p>
        </w:tc>
        <w:tc>
          <w:tcPr>
            <w:tcW w:w="4439" w:type="dxa"/>
            <w:noWrap w:val="0"/>
            <w:vAlign w:val="top"/>
          </w:tcPr>
          <w:p w14:paraId="25FD02A5">
            <w:pPr>
              <w:spacing w:line="360" w:lineRule="auto"/>
              <w:ind w:left="1200" w:hanging="1200" w:hangingChars="500"/>
              <w:rPr>
                <w:rFonts w:hint="eastAsia" w:ascii="宋体" w:hAnsi="宋体" w:eastAsia="宋体" w:cs="宋体"/>
                <w:color w:val="auto"/>
                <w:sz w:val="24"/>
                <w:szCs w:val="24"/>
                <w:highlight w:val="none"/>
              </w:rPr>
            </w:pPr>
          </w:p>
          <w:p w14:paraId="5345BC94">
            <w:pPr>
              <w:spacing w:line="360" w:lineRule="auto"/>
              <w:ind w:left="1200" w:hanging="1200" w:hangingChars="5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银行账号：</w:t>
            </w:r>
          </w:p>
        </w:tc>
      </w:tr>
      <w:tr w14:paraId="103CA142">
        <w:tblPrEx>
          <w:tblCellMar>
            <w:top w:w="0" w:type="dxa"/>
            <w:left w:w="108" w:type="dxa"/>
            <w:bottom w:w="0" w:type="dxa"/>
            <w:right w:w="108" w:type="dxa"/>
          </w:tblCellMar>
        </w:tblPrEx>
        <w:tc>
          <w:tcPr>
            <w:tcW w:w="4302" w:type="dxa"/>
            <w:noWrap w:val="0"/>
            <w:vAlign w:val="top"/>
          </w:tcPr>
          <w:p w14:paraId="0F14592F">
            <w:pPr>
              <w:widowControl/>
              <w:spacing w:line="240" w:lineRule="auto"/>
              <w:ind w:left="0" w:firstLine="0" w:firstLineChars="0"/>
              <w:jc w:val="left"/>
              <w:rPr>
                <w:rFonts w:hint="eastAsia" w:ascii="宋体" w:hAnsi="宋体" w:eastAsia="宋体" w:cs="宋体"/>
                <w:color w:val="auto"/>
                <w:sz w:val="24"/>
                <w:szCs w:val="24"/>
                <w:highlight w:val="none"/>
              </w:rPr>
            </w:pPr>
          </w:p>
          <w:p w14:paraId="15E1869F">
            <w:pPr>
              <w:widowControl/>
              <w:spacing w:line="240" w:lineRule="auto"/>
              <w:ind w:left="0" w:firstLine="0" w:firstLineChars="0"/>
              <w:jc w:val="left"/>
              <w:rPr>
                <w:rFonts w:hint="eastAsia" w:ascii="宋体" w:hAnsi="宋体" w:eastAsia="宋体" w:cs="宋体"/>
                <w:color w:val="auto"/>
                <w:sz w:val="24"/>
                <w:szCs w:val="24"/>
                <w:highlight w:val="none"/>
              </w:rPr>
            </w:pPr>
          </w:p>
          <w:p w14:paraId="6BFEA6DD">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税号：</w:t>
            </w:r>
          </w:p>
          <w:p w14:paraId="2A795C3D">
            <w:pPr>
              <w:widowControl/>
              <w:spacing w:line="240" w:lineRule="auto"/>
              <w:ind w:left="0" w:firstLine="0" w:firstLineChars="0"/>
              <w:jc w:val="left"/>
              <w:rPr>
                <w:rFonts w:hint="eastAsia" w:ascii="宋体" w:hAnsi="宋体" w:eastAsia="宋体" w:cs="宋体"/>
                <w:color w:val="auto"/>
                <w:sz w:val="24"/>
                <w:szCs w:val="24"/>
                <w:highlight w:val="none"/>
              </w:rPr>
            </w:pPr>
          </w:p>
        </w:tc>
        <w:tc>
          <w:tcPr>
            <w:tcW w:w="4439" w:type="dxa"/>
            <w:noWrap w:val="0"/>
            <w:vAlign w:val="top"/>
          </w:tcPr>
          <w:p w14:paraId="49D368E8">
            <w:pPr>
              <w:spacing w:line="360" w:lineRule="auto"/>
              <w:ind w:left="1200" w:hanging="1200" w:hangingChars="500"/>
              <w:rPr>
                <w:rFonts w:hint="eastAsia" w:ascii="宋体" w:hAnsi="宋体" w:eastAsia="宋体" w:cs="宋体"/>
                <w:color w:val="auto"/>
                <w:sz w:val="24"/>
                <w:szCs w:val="24"/>
                <w:highlight w:val="none"/>
              </w:rPr>
            </w:pPr>
          </w:p>
          <w:p w14:paraId="40382FC9">
            <w:pPr>
              <w:spacing w:line="360" w:lineRule="auto"/>
              <w:ind w:left="1200" w:hanging="1200" w:hangingChars="5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税号：</w:t>
            </w:r>
          </w:p>
        </w:tc>
      </w:tr>
    </w:tbl>
    <w:p w14:paraId="75DA4F95">
      <w:pPr>
        <w:pStyle w:val="15"/>
        <w:widowControl/>
        <w:tabs>
          <w:tab w:val="left" w:pos="3960"/>
        </w:tabs>
        <w:spacing w:line="360" w:lineRule="auto"/>
        <w:jc w:val="left"/>
        <w:rPr>
          <w:rFonts w:hint="eastAsia" w:ascii="宋体" w:hAnsi="宋体" w:eastAsia="宋体" w:cs="宋体"/>
          <w:color w:val="auto"/>
          <w:kern w:val="0"/>
          <w:sz w:val="24"/>
          <w:szCs w:val="24"/>
          <w:highlight w:val="none"/>
        </w:rPr>
      </w:pPr>
    </w:p>
    <w:p w14:paraId="59893F4D">
      <w:pPr>
        <w:pStyle w:val="15"/>
        <w:widowControl/>
        <w:tabs>
          <w:tab w:val="left" w:pos="3960"/>
        </w:tabs>
        <w:spacing w:line="360" w:lineRule="auto"/>
        <w:ind w:firstLine="600" w:firstLineChars="25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签订时间：</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rPr>
        <w:t>年</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rPr>
        <w:t>月</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u w:val="none"/>
        </w:rPr>
        <w:t xml:space="preserve">日 </w:t>
      </w:r>
      <w:r>
        <w:rPr>
          <w:rFonts w:hint="eastAsia" w:ascii="宋体" w:hAnsi="宋体" w:eastAsia="宋体" w:cs="宋体"/>
          <w:color w:val="auto"/>
          <w:kern w:val="0"/>
          <w:sz w:val="24"/>
          <w:szCs w:val="24"/>
          <w:highlight w:val="none"/>
        </w:rPr>
        <w:t xml:space="preserve"> </w:t>
      </w:r>
    </w:p>
    <w:p w14:paraId="6F6FF48B">
      <w:pPr>
        <w:pStyle w:val="15"/>
        <w:widowControl/>
        <w:tabs>
          <w:tab w:val="left" w:pos="3960"/>
        </w:tabs>
        <w:spacing w:line="360" w:lineRule="auto"/>
        <w:ind w:firstLine="600" w:firstLineChars="25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签订地点：广州市黄埔区</w:t>
      </w:r>
    </w:p>
    <w:p w14:paraId="2F6A0D88">
      <w:pPr>
        <w:spacing w:line="360" w:lineRule="auto"/>
        <w:rPr>
          <w:rFonts w:hint="eastAsia" w:ascii="宋体" w:hAnsi="宋体" w:eastAsia="宋体" w:cs="宋体"/>
          <w:color w:val="auto"/>
          <w:sz w:val="24"/>
          <w:szCs w:val="24"/>
          <w:highlight w:val="none"/>
        </w:rPr>
      </w:pPr>
    </w:p>
    <w:p w14:paraId="4D1DE5CD">
      <w:pPr>
        <w:pStyle w:val="8"/>
        <w:rPr>
          <w:rFonts w:hint="eastAsia" w:ascii="宋体" w:hAnsi="宋体" w:eastAsia="宋体" w:cs="宋体"/>
          <w:color w:val="auto"/>
          <w:sz w:val="24"/>
          <w:szCs w:val="24"/>
          <w:highlight w:val="none"/>
        </w:rPr>
      </w:pPr>
    </w:p>
    <w:p w14:paraId="3A001BB6">
      <w:pPr>
        <w:pStyle w:val="8"/>
        <w:rPr>
          <w:rFonts w:hint="eastAsia" w:ascii="宋体" w:hAnsi="宋体" w:eastAsia="宋体" w:cs="宋体"/>
          <w:color w:val="auto"/>
          <w:sz w:val="24"/>
          <w:szCs w:val="24"/>
          <w:highlight w:val="none"/>
        </w:rPr>
      </w:pPr>
    </w:p>
    <w:p w14:paraId="6E38DC27">
      <w:pPr>
        <w:pStyle w:val="8"/>
        <w:rPr>
          <w:rFonts w:hint="eastAsia" w:ascii="宋体" w:hAnsi="宋体" w:eastAsia="宋体" w:cs="宋体"/>
          <w:color w:val="auto"/>
          <w:sz w:val="24"/>
          <w:szCs w:val="24"/>
          <w:highlight w:val="none"/>
        </w:rPr>
      </w:pPr>
    </w:p>
    <w:p w14:paraId="659B0220">
      <w:pPr>
        <w:pStyle w:val="8"/>
        <w:rPr>
          <w:rFonts w:hint="eastAsia" w:ascii="宋体" w:hAnsi="宋体" w:eastAsia="宋体" w:cs="宋体"/>
          <w:color w:val="auto"/>
          <w:sz w:val="24"/>
          <w:szCs w:val="24"/>
          <w:highlight w:val="none"/>
        </w:rPr>
      </w:pPr>
    </w:p>
    <w:p w14:paraId="401C8BAF">
      <w:pPr>
        <w:pStyle w:val="8"/>
        <w:rPr>
          <w:rFonts w:hint="eastAsia" w:ascii="宋体" w:hAnsi="宋体" w:eastAsia="宋体" w:cs="宋体"/>
          <w:color w:val="auto"/>
          <w:sz w:val="24"/>
          <w:szCs w:val="24"/>
          <w:highlight w:val="none"/>
        </w:rPr>
      </w:pPr>
    </w:p>
    <w:p w14:paraId="41076E13">
      <w:pPr>
        <w:pStyle w:val="8"/>
        <w:rPr>
          <w:rFonts w:hint="eastAsia" w:ascii="宋体" w:hAnsi="宋体" w:eastAsia="宋体" w:cs="宋体"/>
          <w:color w:val="auto"/>
          <w:sz w:val="24"/>
          <w:szCs w:val="24"/>
          <w:highlight w:val="none"/>
        </w:rPr>
      </w:pPr>
    </w:p>
    <w:p w14:paraId="567CB0FB">
      <w:pPr>
        <w:pStyle w:val="8"/>
        <w:rPr>
          <w:rFonts w:hint="eastAsia" w:ascii="宋体" w:hAnsi="宋体" w:eastAsia="宋体" w:cs="宋体"/>
          <w:color w:val="auto"/>
          <w:sz w:val="24"/>
          <w:szCs w:val="24"/>
          <w:highlight w:val="none"/>
        </w:rPr>
      </w:pPr>
    </w:p>
    <w:p w14:paraId="365A6998">
      <w:pPr>
        <w:pStyle w:val="8"/>
        <w:rPr>
          <w:rFonts w:hint="eastAsia" w:ascii="宋体" w:hAnsi="宋体" w:eastAsia="宋体" w:cs="宋体"/>
          <w:color w:val="auto"/>
          <w:sz w:val="24"/>
          <w:szCs w:val="24"/>
          <w:highlight w:val="none"/>
        </w:rPr>
      </w:pPr>
    </w:p>
    <w:p w14:paraId="6B6F73BF">
      <w:pPr>
        <w:pStyle w:val="8"/>
        <w:rPr>
          <w:rFonts w:hint="eastAsia" w:ascii="宋体" w:hAnsi="宋体" w:eastAsia="宋体" w:cs="宋体"/>
          <w:color w:val="auto"/>
          <w:sz w:val="24"/>
          <w:szCs w:val="24"/>
          <w:highlight w:val="none"/>
        </w:rPr>
      </w:pPr>
    </w:p>
    <w:p w14:paraId="7384DC5F">
      <w:pPr>
        <w:pStyle w:val="8"/>
        <w:rPr>
          <w:rFonts w:hint="eastAsia" w:ascii="宋体" w:hAnsi="宋体" w:eastAsia="宋体" w:cs="宋体"/>
          <w:color w:val="auto"/>
          <w:sz w:val="24"/>
          <w:szCs w:val="24"/>
          <w:highlight w:val="none"/>
        </w:rPr>
      </w:pPr>
    </w:p>
    <w:p w14:paraId="2D68B918">
      <w:pPr>
        <w:pStyle w:val="8"/>
        <w:rPr>
          <w:rFonts w:hint="eastAsia" w:ascii="宋体" w:hAnsi="宋体" w:eastAsia="宋体" w:cs="宋体"/>
          <w:color w:val="auto"/>
          <w:sz w:val="24"/>
          <w:szCs w:val="24"/>
          <w:highlight w:val="none"/>
        </w:rPr>
      </w:pPr>
    </w:p>
    <w:p w14:paraId="5E53BD0F">
      <w:pPr>
        <w:pStyle w:val="8"/>
        <w:rPr>
          <w:rFonts w:hint="eastAsia" w:ascii="宋体" w:hAnsi="宋体" w:eastAsia="宋体" w:cs="宋体"/>
          <w:color w:val="auto"/>
          <w:sz w:val="24"/>
          <w:szCs w:val="24"/>
          <w:highlight w:val="none"/>
        </w:rPr>
      </w:pPr>
    </w:p>
    <w:p w14:paraId="6ED9BC75">
      <w:pPr>
        <w:pStyle w:val="8"/>
        <w:rPr>
          <w:rFonts w:hint="eastAsia" w:ascii="宋体" w:hAnsi="宋体" w:eastAsia="宋体" w:cs="宋体"/>
          <w:color w:val="auto"/>
          <w:sz w:val="24"/>
          <w:szCs w:val="24"/>
          <w:highlight w:val="none"/>
        </w:rPr>
      </w:pPr>
    </w:p>
    <w:p w14:paraId="465C0AA1">
      <w:pPr>
        <w:pStyle w:val="8"/>
        <w:rPr>
          <w:rFonts w:hint="eastAsia" w:ascii="宋体" w:hAnsi="宋体" w:eastAsia="宋体" w:cs="宋体"/>
          <w:color w:val="auto"/>
          <w:sz w:val="24"/>
          <w:szCs w:val="24"/>
          <w:highlight w:val="none"/>
        </w:rPr>
      </w:pPr>
    </w:p>
    <w:p w14:paraId="46A830F5">
      <w:pPr>
        <w:pStyle w:val="8"/>
        <w:rPr>
          <w:rFonts w:hint="eastAsia" w:ascii="宋体" w:hAnsi="宋体" w:eastAsia="宋体" w:cs="宋体"/>
          <w:color w:val="auto"/>
          <w:sz w:val="24"/>
          <w:szCs w:val="24"/>
          <w:highlight w:val="none"/>
        </w:rPr>
      </w:pPr>
    </w:p>
    <w:p w14:paraId="0E38DFDF">
      <w:pPr>
        <w:pStyle w:val="8"/>
        <w:rPr>
          <w:rFonts w:hint="eastAsia" w:ascii="宋体" w:hAnsi="宋体" w:eastAsia="宋体" w:cs="宋体"/>
          <w:color w:val="auto"/>
          <w:sz w:val="24"/>
          <w:szCs w:val="24"/>
          <w:highlight w:val="none"/>
        </w:rPr>
      </w:pPr>
    </w:p>
    <w:p w14:paraId="7C5E038B">
      <w:pPr>
        <w:pStyle w:val="8"/>
        <w:rPr>
          <w:rFonts w:hint="eastAsia" w:ascii="宋体" w:hAnsi="宋体" w:eastAsia="宋体" w:cs="宋体"/>
          <w:color w:val="auto"/>
          <w:sz w:val="24"/>
          <w:szCs w:val="24"/>
          <w:highlight w:val="none"/>
        </w:rPr>
      </w:pPr>
    </w:p>
    <w:p w14:paraId="183EFDC5">
      <w:pPr>
        <w:pStyle w:val="8"/>
        <w:rPr>
          <w:rFonts w:hint="eastAsia" w:ascii="宋体" w:hAnsi="宋体" w:eastAsia="宋体" w:cs="宋体"/>
          <w:color w:val="auto"/>
          <w:sz w:val="24"/>
          <w:szCs w:val="24"/>
          <w:highlight w:val="none"/>
        </w:rPr>
      </w:pPr>
    </w:p>
    <w:p w14:paraId="0B9D1A92">
      <w:pPr>
        <w:pStyle w:val="9"/>
        <w:ind w:left="0" w:leftChars="0" w:firstLine="0" w:firstLineChars="0"/>
        <w:rPr>
          <w:rFonts w:hint="eastAsia" w:ascii="宋体" w:hAnsi="宋体" w:eastAsia="宋体" w:cs="宋体"/>
          <w:color w:val="auto"/>
          <w:kern w:val="0"/>
          <w:sz w:val="24"/>
          <w:szCs w:val="24"/>
          <w:highlight w:val="none"/>
        </w:rPr>
      </w:pPr>
    </w:p>
    <w:p w14:paraId="55293C66">
      <w:pPr>
        <w:pStyle w:val="9"/>
        <w:ind w:firstLine="560"/>
        <w:rPr>
          <w:rFonts w:hint="eastAsia" w:ascii="宋体" w:hAnsi="宋体" w:eastAsia="宋体" w:cs="宋体"/>
          <w:color w:val="auto"/>
          <w:kern w:val="0"/>
          <w:sz w:val="24"/>
          <w:szCs w:val="24"/>
          <w:highlight w:val="none"/>
        </w:rPr>
      </w:pPr>
      <w:r>
        <w:rPr>
          <w:rFonts w:hint="eastAsia" w:ascii="宋体" w:hAnsi="宋体" w:eastAsia="宋体" w:cs="宋体"/>
          <w:bCs/>
          <w:color w:val="auto"/>
          <w:kern w:val="0"/>
          <w:sz w:val="24"/>
          <w:szCs w:val="24"/>
          <w:highlight w:val="none"/>
        </w:rPr>
        <w:t>附件2：造价咨询（工程造价）工作质量评分表</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5"/>
        <w:gridCol w:w="865"/>
        <w:gridCol w:w="716"/>
        <w:gridCol w:w="534"/>
        <w:gridCol w:w="3551"/>
        <w:gridCol w:w="863"/>
        <w:gridCol w:w="650"/>
        <w:gridCol w:w="744"/>
        <w:tblGridChange w:id="0">
          <w:tblGrid>
            <w:gridCol w:w="605"/>
            <w:gridCol w:w="865"/>
            <w:gridCol w:w="716"/>
            <w:gridCol w:w="534"/>
            <w:gridCol w:w="3551"/>
            <w:gridCol w:w="863"/>
            <w:gridCol w:w="650"/>
            <w:gridCol w:w="744"/>
          </w:tblGrid>
        </w:tblGridChange>
      </w:tblGrid>
      <w:tr w14:paraId="29FCF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605" w:type="dxa"/>
            <w:tcBorders>
              <w:top w:val="single" w:color="auto" w:sz="4" w:space="0"/>
              <w:left w:val="single" w:color="auto" w:sz="4" w:space="0"/>
              <w:bottom w:val="single" w:color="auto" w:sz="4" w:space="0"/>
              <w:right w:val="single" w:color="auto" w:sz="4" w:space="0"/>
            </w:tcBorders>
            <w:noWrap w:val="0"/>
            <w:vAlign w:val="center"/>
          </w:tcPr>
          <w:p w14:paraId="7731FEF0">
            <w:pPr>
              <w:spacing w:line="44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序号</w:t>
            </w:r>
          </w:p>
        </w:tc>
        <w:tc>
          <w:tcPr>
            <w:tcW w:w="865" w:type="dxa"/>
            <w:tcBorders>
              <w:top w:val="single" w:color="auto" w:sz="4" w:space="0"/>
              <w:left w:val="single" w:color="auto" w:sz="4" w:space="0"/>
              <w:bottom w:val="single" w:color="auto" w:sz="4" w:space="0"/>
              <w:right w:val="single" w:color="auto" w:sz="4" w:space="0"/>
            </w:tcBorders>
            <w:noWrap w:val="0"/>
            <w:vAlign w:val="center"/>
          </w:tcPr>
          <w:p w14:paraId="5BEDEAD2">
            <w:pPr>
              <w:spacing w:line="44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评分项目</w:t>
            </w:r>
          </w:p>
        </w:tc>
        <w:tc>
          <w:tcPr>
            <w:tcW w:w="716" w:type="dxa"/>
            <w:tcBorders>
              <w:top w:val="single" w:color="auto" w:sz="4" w:space="0"/>
              <w:left w:val="single" w:color="auto" w:sz="4" w:space="0"/>
              <w:bottom w:val="single" w:color="auto" w:sz="4" w:space="0"/>
              <w:right w:val="single" w:color="auto" w:sz="4" w:space="0"/>
            </w:tcBorders>
            <w:noWrap w:val="0"/>
            <w:vAlign w:val="center"/>
          </w:tcPr>
          <w:p w14:paraId="2674870D">
            <w:pPr>
              <w:spacing w:line="44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分项基本分</w:t>
            </w:r>
          </w:p>
        </w:tc>
        <w:tc>
          <w:tcPr>
            <w:tcW w:w="534" w:type="dxa"/>
            <w:tcBorders>
              <w:top w:val="single" w:color="auto" w:sz="4" w:space="0"/>
              <w:left w:val="single" w:color="auto" w:sz="4" w:space="0"/>
              <w:bottom w:val="single" w:color="auto" w:sz="4" w:space="0"/>
              <w:right w:val="single" w:color="auto" w:sz="4" w:space="0"/>
            </w:tcBorders>
            <w:noWrap w:val="0"/>
            <w:vAlign w:val="center"/>
          </w:tcPr>
          <w:p w14:paraId="20FCEDFB">
            <w:pPr>
              <w:spacing w:line="44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分项</w:t>
            </w:r>
          </w:p>
        </w:tc>
        <w:tc>
          <w:tcPr>
            <w:tcW w:w="3551" w:type="dxa"/>
            <w:tcBorders>
              <w:top w:val="single" w:color="auto" w:sz="4" w:space="0"/>
              <w:left w:val="single" w:color="auto" w:sz="4" w:space="0"/>
              <w:bottom w:val="single" w:color="auto" w:sz="4" w:space="0"/>
              <w:right w:val="single" w:color="auto" w:sz="4" w:space="0"/>
            </w:tcBorders>
            <w:noWrap w:val="0"/>
            <w:vAlign w:val="center"/>
          </w:tcPr>
          <w:p w14:paraId="485A99AD">
            <w:pPr>
              <w:spacing w:line="44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考评分项与扣分标准</w:t>
            </w:r>
          </w:p>
        </w:tc>
        <w:tc>
          <w:tcPr>
            <w:tcW w:w="863" w:type="dxa"/>
            <w:tcBorders>
              <w:top w:val="single" w:color="auto" w:sz="4" w:space="0"/>
              <w:left w:val="single" w:color="auto" w:sz="4" w:space="0"/>
              <w:bottom w:val="single" w:color="auto" w:sz="4" w:space="0"/>
              <w:right w:val="single" w:color="auto" w:sz="4" w:space="0"/>
            </w:tcBorders>
            <w:noWrap w:val="0"/>
            <w:vAlign w:val="center"/>
          </w:tcPr>
          <w:p w14:paraId="32875A30">
            <w:pPr>
              <w:spacing w:line="440" w:lineRule="exact"/>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造价咨询单位自评</w:t>
            </w:r>
          </w:p>
          <w:p w14:paraId="006538CC">
            <w:pPr>
              <w:spacing w:line="44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分</w:t>
            </w:r>
          </w:p>
        </w:tc>
        <w:tc>
          <w:tcPr>
            <w:tcW w:w="650" w:type="dxa"/>
            <w:tcBorders>
              <w:top w:val="single" w:color="auto" w:sz="4" w:space="0"/>
              <w:left w:val="single" w:color="auto" w:sz="4" w:space="0"/>
              <w:bottom w:val="single" w:color="auto" w:sz="4" w:space="0"/>
              <w:right w:val="single" w:color="auto" w:sz="4" w:space="0"/>
            </w:tcBorders>
            <w:noWrap w:val="0"/>
            <w:vAlign w:val="center"/>
          </w:tcPr>
          <w:p w14:paraId="200C96B1">
            <w:pPr>
              <w:spacing w:line="440" w:lineRule="exact"/>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代建单位评分</w:t>
            </w:r>
          </w:p>
        </w:tc>
        <w:tc>
          <w:tcPr>
            <w:tcW w:w="744" w:type="dxa"/>
            <w:tcBorders>
              <w:top w:val="single" w:color="auto" w:sz="4" w:space="0"/>
              <w:left w:val="single" w:color="auto" w:sz="4" w:space="0"/>
              <w:bottom w:val="single" w:color="auto" w:sz="4" w:space="0"/>
              <w:right w:val="single" w:color="auto" w:sz="4" w:space="0"/>
            </w:tcBorders>
            <w:noWrap w:val="0"/>
            <w:vAlign w:val="center"/>
          </w:tcPr>
          <w:p w14:paraId="3333428B">
            <w:pPr>
              <w:spacing w:line="440" w:lineRule="exact"/>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建设单位评分</w:t>
            </w:r>
          </w:p>
        </w:tc>
      </w:tr>
      <w:tr w14:paraId="60E67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1" w:hRule="atLeast"/>
          <w:jc w:val="center"/>
        </w:trPr>
        <w:tc>
          <w:tcPr>
            <w:tcW w:w="605" w:type="dxa"/>
            <w:vMerge w:val="restart"/>
            <w:tcBorders>
              <w:top w:val="single" w:color="auto" w:sz="4" w:space="0"/>
              <w:left w:val="single" w:color="auto" w:sz="4" w:space="0"/>
              <w:bottom w:val="single" w:color="auto" w:sz="4" w:space="0"/>
              <w:right w:val="single" w:color="auto" w:sz="4" w:space="0"/>
            </w:tcBorders>
            <w:noWrap w:val="0"/>
            <w:vAlign w:val="center"/>
          </w:tcPr>
          <w:p w14:paraId="54ADA1D5">
            <w:pPr>
              <w:spacing w:line="44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一</w:t>
            </w:r>
          </w:p>
        </w:tc>
        <w:tc>
          <w:tcPr>
            <w:tcW w:w="865" w:type="dxa"/>
            <w:vMerge w:val="restart"/>
            <w:tcBorders>
              <w:top w:val="single" w:color="auto" w:sz="4" w:space="0"/>
              <w:left w:val="single" w:color="auto" w:sz="4" w:space="0"/>
              <w:bottom w:val="single" w:color="auto" w:sz="4" w:space="0"/>
              <w:right w:val="single" w:color="auto" w:sz="4" w:space="0"/>
            </w:tcBorders>
            <w:noWrap w:val="0"/>
            <w:textDirection w:val="tbRlV"/>
            <w:vAlign w:val="center"/>
          </w:tcPr>
          <w:p w14:paraId="7EDD0E18">
            <w:pPr>
              <w:spacing w:line="440" w:lineRule="exact"/>
              <w:ind w:left="113" w:right="113"/>
              <w:jc w:val="center"/>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人员组织</w:t>
            </w:r>
          </w:p>
        </w:tc>
        <w:tc>
          <w:tcPr>
            <w:tcW w:w="716" w:type="dxa"/>
            <w:vMerge w:val="restart"/>
            <w:tcBorders>
              <w:top w:val="single" w:color="auto" w:sz="4" w:space="0"/>
              <w:left w:val="single" w:color="auto" w:sz="4" w:space="0"/>
              <w:bottom w:val="single" w:color="auto" w:sz="4" w:space="0"/>
              <w:right w:val="single" w:color="auto" w:sz="4" w:space="0"/>
            </w:tcBorders>
            <w:noWrap w:val="0"/>
            <w:vAlign w:val="center"/>
          </w:tcPr>
          <w:p w14:paraId="25AD9219">
            <w:pPr>
              <w:spacing w:line="440" w:lineRule="exact"/>
              <w:jc w:val="center"/>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20</w:t>
            </w:r>
          </w:p>
        </w:tc>
        <w:tc>
          <w:tcPr>
            <w:tcW w:w="534" w:type="dxa"/>
            <w:tcBorders>
              <w:top w:val="single" w:color="auto" w:sz="4" w:space="0"/>
              <w:left w:val="single" w:color="auto" w:sz="4" w:space="0"/>
              <w:bottom w:val="single" w:color="auto" w:sz="4" w:space="0"/>
              <w:right w:val="single" w:color="auto" w:sz="4" w:space="0"/>
            </w:tcBorders>
            <w:noWrap w:val="0"/>
            <w:vAlign w:val="center"/>
          </w:tcPr>
          <w:p w14:paraId="3D67E5EF">
            <w:pPr>
              <w:spacing w:line="440" w:lineRule="exact"/>
              <w:jc w:val="center"/>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1</w:t>
            </w:r>
          </w:p>
        </w:tc>
        <w:tc>
          <w:tcPr>
            <w:tcW w:w="3551" w:type="dxa"/>
            <w:tcBorders>
              <w:top w:val="single" w:color="auto" w:sz="4" w:space="0"/>
              <w:left w:val="single" w:color="auto" w:sz="4" w:space="0"/>
              <w:bottom w:val="single" w:color="auto" w:sz="4" w:space="0"/>
              <w:right w:val="single" w:color="auto" w:sz="4" w:space="0"/>
            </w:tcBorders>
            <w:noWrap w:val="0"/>
            <w:vAlign w:val="center"/>
          </w:tcPr>
          <w:p w14:paraId="34CA2841">
            <w:pPr>
              <w:spacing w:line="240" w:lineRule="exac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人员架构：</w:t>
            </w:r>
          </w:p>
          <w:p w14:paraId="3312B28A">
            <w:pPr>
              <w:spacing w:line="240" w:lineRule="exac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（1）架构不合理；</w:t>
            </w:r>
          </w:p>
          <w:p w14:paraId="76168C3D">
            <w:pPr>
              <w:spacing w:line="240" w:lineRule="exac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（2）数量不足够；</w:t>
            </w:r>
          </w:p>
          <w:p w14:paraId="658B7E6C">
            <w:pPr>
              <w:spacing w:line="240" w:lineRule="exac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（3）专业配置不齐全。</w:t>
            </w:r>
          </w:p>
          <w:p w14:paraId="40246405">
            <w:pPr>
              <w:spacing w:line="240" w:lineRule="exact"/>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（4）与承诺人员不符。扣3 分/项</w:t>
            </w:r>
          </w:p>
        </w:tc>
        <w:tc>
          <w:tcPr>
            <w:tcW w:w="863" w:type="dxa"/>
            <w:tcBorders>
              <w:top w:val="single" w:color="auto" w:sz="4" w:space="0"/>
              <w:left w:val="single" w:color="auto" w:sz="4" w:space="0"/>
              <w:bottom w:val="single" w:color="auto" w:sz="4" w:space="0"/>
              <w:right w:val="single" w:color="auto" w:sz="4" w:space="0"/>
            </w:tcBorders>
            <w:noWrap w:val="0"/>
            <w:vAlign w:val="center"/>
          </w:tcPr>
          <w:p w14:paraId="16A4490D">
            <w:pPr>
              <w:spacing w:line="440" w:lineRule="exact"/>
              <w:jc w:val="center"/>
              <w:rPr>
                <w:rFonts w:hint="eastAsia" w:ascii="宋体" w:hAnsi="宋体" w:eastAsia="宋体" w:cs="宋体"/>
                <w:color w:val="auto"/>
                <w:sz w:val="22"/>
                <w:szCs w:val="22"/>
                <w:highlight w:val="none"/>
              </w:rPr>
            </w:pPr>
          </w:p>
        </w:tc>
        <w:tc>
          <w:tcPr>
            <w:tcW w:w="650" w:type="dxa"/>
            <w:tcBorders>
              <w:top w:val="single" w:color="auto" w:sz="4" w:space="0"/>
              <w:left w:val="single" w:color="auto" w:sz="4" w:space="0"/>
              <w:bottom w:val="single" w:color="auto" w:sz="4" w:space="0"/>
              <w:right w:val="single" w:color="auto" w:sz="4" w:space="0"/>
            </w:tcBorders>
            <w:noWrap w:val="0"/>
            <w:vAlign w:val="top"/>
          </w:tcPr>
          <w:p w14:paraId="51126534">
            <w:pPr>
              <w:spacing w:line="440" w:lineRule="exact"/>
              <w:jc w:val="center"/>
              <w:rPr>
                <w:rFonts w:hint="eastAsia" w:ascii="宋体" w:hAnsi="宋体" w:eastAsia="宋体" w:cs="宋体"/>
                <w:color w:val="auto"/>
                <w:sz w:val="22"/>
                <w:szCs w:val="22"/>
                <w:highlight w:val="none"/>
              </w:rPr>
            </w:pPr>
          </w:p>
        </w:tc>
        <w:tc>
          <w:tcPr>
            <w:tcW w:w="744" w:type="dxa"/>
            <w:tcBorders>
              <w:top w:val="single" w:color="auto" w:sz="4" w:space="0"/>
              <w:left w:val="single" w:color="auto" w:sz="4" w:space="0"/>
              <w:bottom w:val="single" w:color="auto" w:sz="4" w:space="0"/>
              <w:right w:val="single" w:color="auto" w:sz="4" w:space="0"/>
            </w:tcBorders>
            <w:noWrap w:val="0"/>
            <w:vAlign w:val="top"/>
          </w:tcPr>
          <w:p w14:paraId="68790F0C">
            <w:pPr>
              <w:spacing w:line="440" w:lineRule="exact"/>
              <w:jc w:val="center"/>
              <w:rPr>
                <w:rFonts w:hint="eastAsia" w:ascii="宋体" w:hAnsi="宋体" w:eastAsia="宋体" w:cs="宋体"/>
                <w:color w:val="auto"/>
                <w:sz w:val="22"/>
                <w:szCs w:val="22"/>
                <w:highlight w:val="none"/>
              </w:rPr>
            </w:pPr>
          </w:p>
        </w:tc>
      </w:tr>
      <w:tr w14:paraId="53137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6" w:hRule="atLeast"/>
          <w:jc w:val="center"/>
        </w:trPr>
        <w:tc>
          <w:tcPr>
            <w:tcW w:w="605" w:type="dxa"/>
            <w:vMerge w:val="continue"/>
            <w:tcBorders>
              <w:top w:val="single" w:color="auto" w:sz="4" w:space="0"/>
              <w:left w:val="single" w:color="auto" w:sz="4" w:space="0"/>
              <w:bottom w:val="single" w:color="auto" w:sz="4" w:space="0"/>
              <w:right w:val="single" w:color="auto" w:sz="4" w:space="0"/>
            </w:tcBorders>
            <w:noWrap w:val="0"/>
            <w:vAlign w:val="center"/>
          </w:tcPr>
          <w:p w14:paraId="49129F67">
            <w:pPr>
              <w:widowControl/>
              <w:spacing w:line="560" w:lineRule="exact"/>
              <w:jc w:val="left"/>
              <w:rPr>
                <w:rFonts w:hint="eastAsia" w:ascii="宋体" w:hAnsi="宋体" w:eastAsia="宋体" w:cs="宋体"/>
                <w:b/>
                <w:bCs/>
                <w:color w:val="auto"/>
                <w:sz w:val="22"/>
                <w:szCs w:val="22"/>
                <w:highlight w:val="none"/>
              </w:rPr>
            </w:pPr>
          </w:p>
        </w:tc>
        <w:tc>
          <w:tcPr>
            <w:tcW w:w="865" w:type="dxa"/>
            <w:vMerge w:val="continue"/>
            <w:tcBorders>
              <w:top w:val="single" w:color="auto" w:sz="4" w:space="0"/>
              <w:left w:val="single" w:color="auto" w:sz="4" w:space="0"/>
              <w:bottom w:val="single" w:color="auto" w:sz="4" w:space="0"/>
              <w:right w:val="single" w:color="auto" w:sz="4" w:space="0"/>
            </w:tcBorders>
            <w:noWrap w:val="0"/>
            <w:vAlign w:val="center"/>
          </w:tcPr>
          <w:p w14:paraId="31DF0A1A">
            <w:pPr>
              <w:widowControl/>
              <w:spacing w:line="560" w:lineRule="exact"/>
              <w:jc w:val="left"/>
              <w:rPr>
                <w:rFonts w:hint="eastAsia" w:ascii="宋体" w:hAnsi="宋体" w:eastAsia="宋体" w:cs="宋体"/>
                <w:color w:val="auto"/>
                <w:sz w:val="22"/>
                <w:szCs w:val="22"/>
                <w:highlight w:val="none"/>
              </w:rPr>
            </w:pPr>
          </w:p>
        </w:tc>
        <w:tc>
          <w:tcPr>
            <w:tcW w:w="716" w:type="dxa"/>
            <w:vMerge w:val="continue"/>
            <w:tcBorders>
              <w:top w:val="single" w:color="auto" w:sz="4" w:space="0"/>
              <w:left w:val="single" w:color="auto" w:sz="4" w:space="0"/>
              <w:bottom w:val="single" w:color="auto" w:sz="4" w:space="0"/>
              <w:right w:val="single" w:color="auto" w:sz="4" w:space="0"/>
            </w:tcBorders>
            <w:noWrap w:val="0"/>
            <w:vAlign w:val="center"/>
          </w:tcPr>
          <w:p w14:paraId="5A564692">
            <w:pPr>
              <w:widowControl/>
              <w:spacing w:line="560" w:lineRule="exact"/>
              <w:jc w:val="left"/>
              <w:rPr>
                <w:rFonts w:hint="eastAsia" w:ascii="宋体" w:hAnsi="宋体" w:eastAsia="宋体" w:cs="宋体"/>
                <w:color w:val="auto"/>
                <w:sz w:val="22"/>
                <w:szCs w:val="22"/>
                <w:highlight w:val="none"/>
              </w:rPr>
            </w:pPr>
          </w:p>
        </w:tc>
        <w:tc>
          <w:tcPr>
            <w:tcW w:w="534" w:type="dxa"/>
            <w:tcBorders>
              <w:top w:val="single" w:color="auto" w:sz="4" w:space="0"/>
              <w:left w:val="single" w:color="auto" w:sz="4" w:space="0"/>
              <w:bottom w:val="single" w:color="auto" w:sz="4" w:space="0"/>
              <w:right w:val="single" w:color="auto" w:sz="4" w:space="0"/>
            </w:tcBorders>
            <w:noWrap w:val="0"/>
            <w:vAlign w:val="center"/>
          </w:tcPr>
          <w:p w14:paraId="1630247B">
            <w:pPr>
              <w:spacing w:line="440" w:lineRule="exact"/>
              <w:jc w:val="center"/>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2</w:t>
            </w:r>
          </w:p>
        </w:tc>
        <w:tc>
          <w:tcPr>
            <w:tcW w:w="3551" w:type="dxa"/>
            <w:tcBorders>
              <w:top w:val="single" w:color="auto" w:sz="4" w:space="0"/>
              <w:left w:val="single" w:color="auto" w:sz="4" w:space="0"/>
              <w:bottom w:val="single" w:color="auto" w:sz="4" w:space="0"/>
              <w:right w:val="single" w:color="auto" w:sz="4" w:space="0"/>
            </w:tcBorders>
            <w:noWrap w:val="0"/>
            <w:vAlign w:val="center"/>
          </w:tcPr>
          <w:p w14:paraId="4C9DCCF9">
            <w:pPr>
              <w:spacing w:line="240" w:lineRule="exac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总负责人在造价咨询项目推进及有需要时，未及时协调处理突发事件并未提供专业咨询意见.</w:t>
            </w:r>
          </w:p>
          <w:p w14:paraId="02150357">
            <w:pPr>
              <w:spacing w:line="240" w:lineRule="exact"/>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扣3 分</w:t>
            </w:r>
          </w:p>
        </w:tc>
        <w:tc>
          <w:tcPr>
            <w:tcW w:w="863" w:type="dxa"/>
            <w:tcBorders>
              <w:top w:val="single" w:color="auto" w:sz="4" w:space="0"/>
              <w:left w:val="single" w:color="auto" w:sz="4" w:space="0"/>
              <w:bottom w:val="single" w:color="auto" w:sz="4" w:space="0"/>
              <w:right w:val="single" w:color="auto" w:sz="4" w:space="0"/>
            </w:tcBorders>
            <w:noWrap w:val="0"/>
            <w:vAlign w:val="center"/>
          </w:tcPr>
          <w:p w14:paraId="35EA2751">
            <w:pPr>
              <w:spacing w:line="440" w:lineRule="exact"/>
              <w:jc w:val="center"/>
              <w:rPr>
                <w:rFonts w:hint="eastAsia" w:ascii="宋体" w:hAnsi="宋体" w:eastAsia="宋体" w:cs="宋体"/>
                <w:color w:val="auto"/>
                <w:sz w:val="22"/>
                <w:szCs w:val="22"/>
                <w:highlight w:val="none"/>
              </w:rPr>
            </w:pPr>
          </w:p>
        </w:tc>
        <w:tc>
          <w:tcPr>
            <w:tcW w:w="650" w:type="dxa"/>
            <w:tcBorders>
              <w:top w:val="single" w:color="auto" w:sz="4" w:space="0"/>
              <w:left w:val="single" w:color="auto" w:sz="4" w:space="0"/>
              <w:bottom w:val="single" w:color="auto" w:sz="4" w:space="0"/>
              <w:right w:val="single" w:color="auto" w:sz="4" w:space="0"/>
            </w:tcBorders>
            <w:noWrap w:val="0"/>
            <w:vAlign w:val="top"/>
          </w:tcPr>
          <w:p w14:paraId="15F7FB6F">
            <w:pPr>
              <w:spacing w:line="440" w:lineRule="exact"/>
              <w:jc w:val="center"/>
              <w:rPr>
                <w:rFonts w:hint="eastAsia" w:ascii="宋体" w:hAnsi="宋体" w:eastAsia="宋体" w:cs="宋体"/>
                <w:color w:val="auto"/>
                <w:sz w:val="22"/>
                <w:szCs w:val="22"/>
                <w:highlight w:val="none"/>
              </w:rPr>
            </w:pPr>
          </w:p>
        </w:tc>
        <w:tc>
          <w:tcPr>
            <w:tcW w:w="744" w:type="dxa"/>
            <w:tcBorders>
              <w:top w:val="single" w:color="auto" w:sz="4" w:space="0"/>
              <w:left w:val="single" w:color="auto" w:sz="4" w:space="0"/>
              <w:bottom w:val="single" w:color="auto" w:sz="4" w:space="0"/>
              <w:right w:val="single" w:color="auto" w:sz="4" w:space="0"/>
            </w:tcBorders>
            <w:noWrap w:val="0"/>
            <w:vAlign w:val="top"/>
          </w:tcPr>
          <w:p w14:paraId="31F0C7C3">
            <w:pPr>
              <w:spacing w:line="440" w:lineRule="exact"/>
              <w:jc w:val="center"/>
              <w:rPr>
                <w:rFonts w:hint="eastAsia" w:ascii="宋体" w:hAnsi="宋体" w:eastAsia="宋体" w:cs="宋体"/>
                <w:color w:val="auto"/>
                <w:sz w:val="22"/>
                <w:szCs w:val="22"/>
                <w:highlight w:val="none"/>
              </w:rPr>
            </w:pPr>
          </w:p>
        </w:tc>
      </w:tr>
      <w:tr w14:paraId="17990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3" w:hRule="atLeast"/>
          <w:jc w:val="center"/>
        </w:trPr>
        <w:tc>
          <w:tcPr>
            <w:tcW w:w="605" w:type="dxa"/>
            <w:vMerge w:val="continue"/>
            <w:tcBorders>
              <w:top w:val="single" w:color="auto" w:sz="4" w:space="0"/>
              <w:left w:val="single" w:color="auto" w:sz="4" w:space="0"/>
              <w:bottom w:val="single" w:color="auto" w:sz="4" w:space="0"/>
              <w:right w:val="single" w:color="auto" w:sz="4" w:space="0"/>
            </w:tcBorders>
            <w:noWrap w:val="0"/>
            <w:vAlign w:val="center"/>
          </w:tcPr>
          <w:p w14:paraId="2265AEA0">
            <w:pPr>
              <w:widowControl/>
              <w:spacing w:line="560" w:lineRule="exact"/>
              <w:jc w:val="left"/>
              <w:rPr>
                <w:rFonts w:hint="eastAsia" w:ascii="宋体" w:hAnsi="宋体" w:eastAsia="宋体" w:cs="宋体"/>
                <w:b/>
                <w:bCs/>
                <w:color w:val="auto"/>
                <w:sz w:val="22"/>
                <w:szCs w:val="22"/>
                <w:highlight w:val="none"/>
              </w:rPr>
            </w:pPr>
          </w:p>
        </w:tc>
        <w:tc>
          <w:tcPr>
            <w:tcW w:w="865" w:type="dxa"/>
            <w:vMerge w:val="continue"/>
            <w:tcBorders>
              <w:top w:val="single" w:color="auto" w:sz="4" w:space="0"/>
              <w:left w:val="single" w:color="auto" w:sz="4" w:space="0"/>
              <w:bottom w:val="single" w:color="auto" w:sz="4" w:space="0"/>
              <w:right w:val="single" w:color="auto" w:sz="4" w:space="0"/>
            </w:tcBorders>
            <w:noWrap w:val="0"/>
            <w:vAlign w:val="center"/>
          </w:tcPr>
          <w:p w14:paraId="53033742">
            <w:pPr>
              <w:widowControl/>
              <w:spacing w:line="560" w:lineRule="exact"/>
              <w:jc w:val="left"/>
              <w:rPr>
                <w:rFonts w:hint="eastAsia" w:ascii="宋体" w:hAnsi="宋体" w:eastAsia="宋体" w:cs="宋体"/>
                <w:color w:val="auto"/>
                <w:sz w:val="22"/>
                <w:szCs w:val="22"/>
                <w:highlight w:val="none"/>
              </w:rPr>
            </w:pPr>
          </w:p>
        </w:tc>
        <w:tc>
          <w:tcPr>
            <w:tcW w:w="716" w:type="dxa"/>
            <w:vMerge w:val="continue"/>
            <w:tcBorders>
              <w:top w:val="single" w:color="auto" w:sz="4" w:space="0"/>
              <w:left w:val="single" w:color="auto" w:sz="4" w:space="0"/>
              <w:bottom w:val="single" w:color="auto" w:sz="4" w:space="0"/>
              <w:right w:val="single" w:color="auto" w:sz="4" w:space="0"/>
            </w:tcBorders>
            <w:noWrap w:val="0"/>
            <w:vAlign w:val="center"/>
          </w:tcPr>
          <w:p w14:paraId="4D0292DB">
            <w:pPr>
              <w:widowControl/>
              <w:spacing w:line="560" w:lineRule="exact"/>
              <w:jc w:val="left"/>
              <w:rPr>
                <w:rFonts w:hint="eastAsia" w:ascii="宋体" w:hAnsi="宋体" w:eastAsia="宋体" w:cs="宋体"/>
                <w:color w:val="auto"/>
                <w:sz w:val="22"/>
                <w:szCs w:val="22"/>
                <w:highlight w:val="none"/>
              </w:rPr>
            </w:pPr>
          </w:p>
        </w:tc>
        <w:tc>
          <w:tcPr>
            <w:tcW w:w="534" w:type="dxa"/>
            <w:tcBorders>
              <w:top w:val="single" w:color="auto" w:sz="4" w:space="0"/>
              <w:left w:val="single" w:color="auto" w:sz="4" w:space="0"/>
              <w:bottom w:val="single" w:color="auto" w:sz="4" w:space="0"/>
              <w:right w:val="single" w:color="auto" w:sz="4" w:space="0"/>
            </w:tcBorders>
            <w:noWrap w:val="0"/>
            <w:vAlign w:val="center"/>
          </w:tcPr>
          <w:p w14:paraId="3679F5AD">
            <w:pPr>
              <w:spacing w:line="440" w:lineRule="exact"/>
              <w:jc w:val="center"/>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3</w:t>
            </w:r>
          </w:p>
        </w:tc>
        <w:tc>
          <w:tcPr>
            <w:tcW w:w="3551" w:type="dxa"/>
            <w:tcBorders>
              <w:top w:val="single" w:color="auto" w:sz="4" w:space="0"/>
              <w:left w:val="single" w:color="auto" w:sz="4" w:space="0"/>
              <w:bottom w:val="single" w:color="auto" w:sz="4" w:space="0"/>
              <w:right w:val="single" w:color="auto" w:sz="4" w:space="0"/>
            </w:tcBorders>
            <w:noWrap w:val="0"/>
            <w:vAlign w:val="center"/>
          </w:tcPr>
          <w:p w14:paraId="71ECAA6E">
            <w:pPr>
              <w:autoSpaceDE w:val="0"/>
              <w:autoSpaceDN w:val="0"/>
              <w:adjustRightInd w:val="0"/>
              <w:spacing w:line="240" w:lineRule="exact"/>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技术负责人：</w:t>
            </w:r>
          </w:p>
          <w:p w14:paraId="09893FCF">
            <w:pPr>
              <w:autoSpaceDE w:val="0"/>
              <w:autoSpaceDN w:val="0"/>
              <w:adjustRightInd w:val="0"/>
              <w:spacing w:line="240" w:lineRule="exact"/>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（1）未经面试通过，自行更换；</w:t>
            </w:r>
          </w:p>
          <w:p w14:paraId="4033E237">
            <w:pPr>
              <w:autoSpaceDE w:val="0"/>
              <w:autoSpaceDN w:val="0"/>
              <w:adjustRightInd w:val="0"/>
              <w:spacing w:line="240" w:lineRule="exact"/>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（2）未按委托人要求在指定地点驻场办公；</w:t>
            </w:r>
          </w:p>
          <w:p w14:paraId="7706EB34">
            <w:pPr>
              <w:autoSpaceDE w:val="0"/>
              <w:autoSpaceDN w:val="0"/>
              <w:adjustRightInd w:val="0"/>
              <w:spacing w:line="240" w:lineRule="exact"/>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（3）跟进项目咨询服务进展不及时；</w:t>
            </w:r>
          </w:p>
          <w:p w14:paraId="7DF29FA3">
            <w:pPr>
              <w:autoSpaceDE w:val="0"/>
              <w:autoSpaceDN w:val="0"/>
              <w:adjustRightInd w:val="0"/>
              <w:spacing w:line="240" w:lineRule="exact"/>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（4）未直接参与咨询工作的各重大环节，包括清单的编制及审核、预算的编制及审核、与施工单位等对数、参加相关工作会议；</w:t>
            </w:r>
          </w:p>
          <w:p w14:paraId="2776A59E">
            <w:pPr>
              <w:autoSpaceDE w:val="0"/>
              <w:autoSpaceDN w:val="0"/>
              <w:adjustRightInd w:val="0"/>
              <w:spacing w:line="240" w:lineRule="exact"/>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（5）未及时向委托人主办部门负责人汇报。</w:t>
            </w:r>
          </w:p>
          <w:p w14:paraId="42457E71">
            <w:pPr>
              <w:spacing w:line="240" w:lineRule="exact"/>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扣2 分/项，扣完为止</w:t>
            </w:r>
          </w:p>
        </w:tc>
        <w:tc>
          <w:tcPr>
            <w:tcW w:w="863" w:type="dxa"/>
            <w:tcBorders>
              <w:top w:val="single" w:color="auto" w:sz="4" w:space="0"/>
              <w:left w:val="single" w:color="auto" w:sz="4" w:space="0"/>
              <w:bottom w:val="single" w:color="auto" w:sz="4" w:space="0"/>
              <w:right w:val="single" w:color="auto" w:sz="4" w:space="0"/>
            </w:tcBorders>
            <w:noWrap w:val="0"/>
            <w:vAlign w:val="center"/>
          </w:tcPr>
          <w:p w14:paraId="755472A3">
            <w:pPr>
              <w:spacing w:line="440" w:lineRule="exact"/>
              <w:jc w:val="center"/>
              <w:rPr>
                <w:rFonts w:hint="eastAsia" w:ascii="宋体" w:hAnsi="宋体" w:eastAsia="宋体" w:cs="宋体"/>
                <w:color w:val="auto"/>
                <w:sz w:val="22"/>
                <w:szCs w:val="22"/>
                <w:highlight w:val="none"/>
              </w:rPr>
            </w:pPr>
          </w:p>
        </w:tc>
        <w:tc>
          <w:tcPr>
            <w:tcW w:w="650" w:type="dxa"/>
            <w:tcBorders>
              <w:top w:val="single" w:color="auto" w:sz="4" w:space="0"/>
              <w:left w:val="single" w:color="auto" w:sz="4" w:space="0"/>
              <w:bottom w:val="single" w:color="auto" w:sz="4" w:space="0"/>
              <w:right w:val="single" w:color="auto" w:sz="4" w:space="0"/>
            </w:tcBorders>
            <w:noWrap w:val="0"/>
            <w:vAlign w:val="top"/>
          </w:tcPr>
          <w:p w14:paraId="4C817497">
            <w:pPr>
              <w:spacing w:line="440" w:lineRule="exact"/>
              <w:jc w:val="center"/>
              <w:rPr>
                <w:rFonts w:hint="eastAsia" w:ascii="宋体" w:hAnsi="宋体" w:eastAsia="宋体" w:cs="宋体"/>
                <w:color w:val="auto"/>
                <w:sz w:val="22"/>
                <w:szCs w:val="22"/>
                <w:highlight w:val="none"/>
              </w:rPr>
            </w:pPr>
          </w:p>
        </w:tc>
        <w:tc>
          <w:tcPr>
            <w:tcW w:w="744" w:type="dxa"/>
            <w:tcBorders>
              <w:top w:val="single" w:color="auto" w:sz="4" w:space="0"/>
              <w:left w:val="single" w:color="auto" w:sz="4" w:space="0"/>
              <w:bottom w:val="single" w:color="auto" w:sz="4" w:space="0"/>
              <w:right w:val="single" w:color="auto" w:sz="4" w:space="0"/>
            </w:tcBorders>
            <w:noWrap w:val="0"/>
            <w:vAlign w:val="top"/>
          </w:tcPr>
          <w:p w14:paraId="36914F0C">
            <w:pPr>
              <w:spacing w:line="440" w:lineRule="exact"/>
              <w:jc w:val="center"/>
              <w:rPr>
                <w:rFonts w:hint="eastAsia" w:ascii="宋体" w:hAnsi="宋体" w:eastAsia="宋体" w:cs="宋体"/>
                <w:color w:val="auto"/>
                <w:sz w:val="22"/>
                <w:szCs w:val="22"/>
                <w:highlight w:val="none"/>
              </w:rPr>
            </w:pPr>
          </w:p>
        </w:tc>
      </w:tr>
      <w:tr w14:paraId="79BC3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5" w:hRule="atLeast"/>
          <w:jc w:val="center"/>
        </w:trPr>
        <w:tc>
          <w:tcPr>
            <w:tcW w:w="605" w:type="dxa"/>
            <w:vMerge w:val="continue"/>
            <w:tcBorders>
              <w:top w:val="single" w:color="auto" w:sz="4" w:space="0"/>
              <w:left w:val="single" w:color="auto" w:sz="4" w:space="0"/>
              <w:bottom w:val="single" w:color="auto" w:sz="4" w:space="0"/>
              <w:right w:val="single" w:color="auto" w:sz="4" w:space="0"/>
            </w:tcBorders>
            <w:noWrap w:val="0"/>
            <w:vAlign w:val="center"/>
          </w:tcPr>
          <w:p w14:paraId="1FBFE766">
            <w:pPr>
              <w:widowControl/>
              <w:spacing w:line="560" w:lineRule="exact"/>
              <w:jc w:val="left"/>
              <w:rPr>
                <w:rFonts w:hint="eastAsia" w:ascii="宋体" w:hAnsi="宋体" w:eastAsia="宋体" w:cs="宋体"/>
                <w:b/>
                <w:bCs/>
                <w:color w:val="auto"/>
                <w:sz w:val="22"/>
                <w:szCs w:val="22"/>
                <w:highlight w:val="none"/>
              </w:rPr>
            </w:pPr>
          </w:p>
        </w:tc>
        <w:tc>
          <w:tcPr>
            <w:tcW w:w="865" w:type="dxa"/>
            <w:vMerge w:val="continue"/>
            <w:tcBorders>
              <w:top w:val="single" w:color="auto" w:sz="4" w:space="0"/>
              <w:left w:val="single" w:color="auto" w:sz="4" w:space="0"/>
              <w:bottom w:val="single" w:color="auto" w:sz="4" w:space="0"/>
              <w:right w:val="single" w:color="auto" w:sz="4" w:space="0"/>
            </w:tcBorders>
            <w:noWrap w:val="0"/>
            <w:vAlign w:val="center"/>
          </w:tcPr>
          <w:p w14:paraId="2FB88F8D">
            <w:pPr>
              <w:widowControl/>
              <w:spacing w:line="560" w:lineRule="exact"/>
              <w:jc w:val="left"/>
              <w:rPr>
                <w:rFonts w:hint="eastAsia" w:ascii="宋体" w:hAnsi="宋体" w:eastAsia="宋体" w:cs="宋体"/>
                <w:color w:val="auto"/>
                <w:sz w:val="22"/>
                <w:szCs w:val="22"/>
                <w:highlight w:val="none"/>
              </w:rPr>
            </w:pPr>
          </w:p>
        </w:tc>
        <w:tc>
          <w:tcPr>
            <w:tcW w:w="716" w:type="dxa"/>
            <w:vMerge w:val="continue"/>
            <w:tcBorders>
              <w:top w:val="single" w:color="auto" w:sz="4" w:space="0"/>
              <w:left w:val="single" w:color="auto" w:sz="4" w:space="0"/>
              <w:bottom w:val="single" w:color="auto" w:sz="4" w:space="0"/>
              <w:right w:val="single" w:color="auto" w:sz="4" w:space="0"/>
            </w:tcBorders>
            <w:noWrap w:val="0"/>
            <w:vAlign w:val="center"/>
          </w:tcPr>
          <w:p w14:paraId="2695CFBB">
            <w:pPr>
              <w:widowControl/>
              <w:spacing w:line="560" w:lineRule="exact"/>
              <w:jc w:val="left"/>
              <w:rPr>
                <w:rFonts w:hint="eastAsia" w:ascii="宋体" w:hAnsi="宋体" w:eastAsia="宋体" w:cs="宋体"/>
                <w:color w:val="auto"/>
                <w:sz w:val="22"/>
                <w:szCs w:val="22"/>
                <w:highlight w:val="none"/>
              </w:rPr>
            </w:pPr>
          </w:p>
        </w:tc>
        <w:tc>
          <w:tcPr>
            <w:tcW w:w="534" w:type="dxa"/>
            <w:tcBorders>
              <w:top w:val="single" w:color="auto" w:sz="4" w:space="0"/>
              <w:left w:val="single" w:color="auto" w:sz="4" w:space="0"/>
              <w:bottom w:val="single" w:color="auto" w:sz="4" w:space="0"/>
              <w:right w:val="single" w:color="auto" w:sz="4" w:space="0"/>
            </w:tcBorders>
            <w:noWrap w:val="0"/>
            <w:vAlign w:val="center"/>
          </w:tcPr>
          <w:p w14:paraId="6B8772D8">
            <w:pPr>
              <w:spacing w:line="440" w:lineRule="exact"/>
              <w:jc w:val="center"/>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4</w:t>
            </w:r>
          </w:p>
        </w:tc>
        <w:tc>
          <w:tcPr>
            <w:tcW w:w="3551" w:type="dxa"/>
            <w:tcBorders>
              <w:top w:val="single" w:color="auto" w:sz="4" w:space="0"/>
              <w:left w:val="single" w:color="auto" w:sz="4" w:space="0"/>
              <w:bottom w:val="single" w:color="auto" w:sz="4" w:space="0"/>
              <w:right w:val="single" w:color="auto" w:sz="4" w:space="0"/>
            </w:tcBorders>
            <w:noWrap w:val="0"/>
            <w:vAlign w:val="center"/>
          </w:tcPr>
          <w:p w14:paraId="704E40CF">
            <w:pPr>
              <w:autoSpaceDE w:val="0"/>
              <w:autoSpaceDN w:val="0"/>
              <w:adjustRightInd w:val="0"/>
              <w:spacing w:line="240" w:lineRule="exact"/>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编制、复核人员：</w:t>
            </w:r>
          </w:p>
          <w:p w14:paraId="20761A3E">
            <w:pPr>
              <w:autoSpaceDE w:val="0"/>
              <w:autoSpaceDN w:val="0"/>
              <w:adjustRightInd w:val="0"/>
              <w:spacing w:line="240" w:lineRule="exact"/>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（1）非造价咨询机构本单位正式聘用人员；</w:t>
            </w:r>
          </w:p>
          <w:p w14:paraId="64D5F06C">
            <w:pPr>
              <w:autoSpaceDE w:val="0"/>
              <w:autoSpaceDN w:val="0"/>
              <w:adjustRightInd w:val="0"/>
              <w:spacing w:line="240" w:lineRule="exact"/>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（2）专业负责人不具备注册造价工程师执业资格；</w:t>
            </w:r>
          </w:p>
          <w:p w14:paraId="01C0164F">
            <w:pPr>
              <w:autoSpaceDE w:val="0"/>
              <w:autoSpaceDN w:val="0"/>
              <w:adjustRightInd w:val="0"/>
              <w:spacing w:line="240" w:lineRule="exact"/>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（3）其他专业人员未持有造价资格证书；</w:t>
            </w:r>
          </w:p>
          <w:p w14:paraId="29291717">
            <w:pPr>
              <w:autoSpaceDE w:val="0"/>
              <w:autoSpaceDN w:val="0"/>
              <w:adjustRightInd w:val="0"/>
              <w:spacing w:line="240" w:lineRule="exact"/>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（4）未按委托人要求在指定地点驻场办公。</w:t>
            </w:r>
          </w:p>
          <w:p w14:paraId="6614A2B8">
            <w:pPr>
              <w:spacing w:line="240" w:lineRule="exact"/>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扣2.5 分/项，扣完为止</w:t>
            </w:r>
          </w:p>
        </w:tc>
        <w:tc>
          <w:tcPr>
            <w:tcW w:w="863" w:type="dxa"/>
            <w:tcBorders>
              <w:top w:val="single" w:color="auto" w:sz="4" w:space="0"/>
              <w:left w:val="single" w:color="auto" w:sz="4" w:space="0"/>
              <w:bottom w:val="single" w:color="auto" w:sz="4" w:space="0"/>
              <w:right w:val="single" w:color="auto" w:sz="4" w:space="0"/>
            </w:tcBorders>
            <w:noWrap w:val="0"/>
            <w:vAlign w:val="center"/>
          </w:tcPr>
          <w:p w14:paraId="11272B8B">
            <w:pPr>
              <w:spacing w:line="440" w:lineRule="exact"/>
              <w:jc w:val="center"/>
              <w:rPr>
                <w:rFonts w:hint="eastAsia" w:ascii="宋体" w:hAnsi="宋体" w:eastAsia="宋体" w:cs="宋体"/>
                <w:color w:val="auto"/>
                <w:sz w:val="22"/>
                <w:szCs w:val="22"/>
                <w:highlight w:val="none"/>
              </w:rPr>
            </w:pPr>
          </w:p>
        </w:tc>
        <w:tc>
          <w:tcPr>
            <w:tcW w:w="650" w:type="dxa"/>
            <w:tcBorders>
              <w:top w:val="single" w:color="auto" w:sz="4" w:space="0"/>
              <w:left w:val="single" w:color="auto" w:sz="4" w:space="0"/>
              <w:bottom w:val="single" w:color="auto" w:sz="4" w:space="0"/>
              <w:right w:val="single" w:color="auto" w:sz="4" w:space="0"/>
            </w:tcBorders>
            <w:noWrap w:val="0"/>
            <w:vAlign w:val="top"/>
          </w:tcPr>
          <w:p w14:paraId="2198AE0E">
            <w:pPr>
              <w:spacing w:line="440" w:lineRule="exact"/>
              <w:jc w:val="center"/>
              <w:rPr>
                <w:rFonts w:hint="eastAsia" w:ascii="宋体" w:hAnsi="宋体" w:eastAsia="宋体" w:cs="宋体"/>
                <w:color w:val="auto"/>
                <w:sz w:val="22"/>
                <w:szCs w:val="22"/>
                <w:highlight w:val="none"/>
              </w:rPr>
            </w:pPr>
          </w:p>
        </w:tc>
        <w:tc>
          <w:tcPr>
            <w:tcW w:w="744" w:type="dxa"/>
            <w:tcBorders>
              <w:top w:val="single" w:color="auto" w:sz="4" w:space="0"/>
              <w:left w:val="single" w:color="auto" w:sz="4" w:space="0"/>
              <w:bottom w:val="single" w:color="auto" w:sz="4" w:space="0"/>
              <w:right w:val="single" w:color="auto" w:sz="4" w:space="0"/>
            </w:tcBorders>
            <w:noWrap w:val="0"/>
            <w:vAlign w:val="top"/>
          </w:tcPr>
          <w:p w14:paraId="19192E14">
            <w:pPr>
              <w:spacing w:line="440" w:lineRule="exact"/>
              <w:jc w:val="center"/>
              <w:rPr>
                <w:rFonts w:hint="eastAsia" w:ascii="宋体" w:hAnsi="宋体" w:eastAsia="宋体" w:cs="宋体"/>
                <w:color w:val="auto"/>
                <w:sz w:val="22"/>
                <w:szCs w:val="22"/>
                <w:highlight w:val="none"/>
              </w:rPr>
            </w:pPr>
          </w:p>
        </w:tc>
      </w:tr>
      <w:tr w14:paraId="6832E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jc w:val="center"/>
        </w:trPr>
        <w:tc>
          <w:tcPr>
            <w:tcW w:w="605" w:type="dxa"/>
            <w:vMerge w:val="continue"/>
            <w:tcBorders>
              <w:top w:val="single" w:color="auto" w:sz="4" w:space="0"/>
              <w:left w:val="single" w:color="auto" w:sz="4" w:space="0"/>
              <w:bottom w:val="single" w:color="auto" w:sz="4" w:space="0"/>
              <w:right w:val="single" w:color="auto" w:sz="4" w:space="0"/>
            </w:tcBorders>
            <w:noWrap w:val="0"/>
            <w:vAlign w:val="center"/>
          </w:tcPr>
          <w:p w14:paraId="056A34EB">
            <w:pPr>
              <w:widowControl/>
              <w:spacing w:line="560" w:lineRule="exact"/>
              <w:jc w:val="left"/>
              <w:rPr>
                <w:rFonts w:hint="eastAsia" w:ascii="宋体" w:hAnsi="宋体" w:eastAsia="宋体" w:cs="宋体"/>
                <w:b/>
                <w:bCs/>
                <w:color w:val="auto"/>
                <w:sz w:val="22"/>
                <w:szCs w:val="22"/>
                <w:highlight w:val="none"/>
              </w:rPr>
            </w:pPr>
          </w:p>
        </w:tc>
        <w:tc>
          <w:tcPr>
            <w:tcW w:w="865" w:type="dxa"/>
            <w:vMerge w:val="continue"/>
            <w:tcBorders>
              <w:top w:val="single" w:color="auto" w:sz="4" w:space="0"/>
              <w:left w:val="single" w:color="auto" w:sz="4" w:space="0"/>
              <w:bottom w:val="single" w:color="auto" w:sz="4" w:space="0"/>
              <w:right w:val="single" w:color="auto" w:sz="4" w:space="0"/>
            </w:tcBorders>
            <w:noWrap w:val="0"/>
            <w:vAlign w:val="center"/>
          </w:tcPr>
          <w:p w14:paraId="459E5A23">
            <w:pPr>
              <w:widowControl/>
              <w:spacing w:line="560" w:lineRule="exact"/>
              <w:jc w:val="left"/>
              <w:rPr>
                <w:rFonts w:hint="eastAsia" w:ascii="宋体" w:hAnsi="宋体" w:eastAsia="宋体" w:cs="宋体"/>
                <w:color w:val="auto"/>
                <w:sz w:val="22"/>
                <w:szCs w:val="22"/>
                <w:highlight w:val="none"/>
              </w:rPr>
            </w:pPr>
          </w:p>
        </w:tc>
        <w:tc>
          <w:tcPr>
            <w:tcW w:w="716" w:type="dxa"/>
            <w:vMerge w:val="continue"/>
            <w:tcBorders>
              <w:top w:val="single" w:color="auto" w:sz="4" w:space="0"/>
              <w:left w:val="single" w:color="auto" w:sz="4" w:space="0"/>
              <w:bottom w:val="single" w:color="auto" w:sz="4" w:space="0"/>
              <w:right w:val="single" w:color="auto" w:sz="4" w:space="0"/>
            </w:tcBorders>
            <w:noWrap w:val="0"/>
            <w:vAlign w:val="center"/>
          </w:tcPr>
          <w:p w14:paraId="20C439A3">
            <w:pPr>
              <w:widowControl/>
              <w:spacing w:line="560" w:lineRule="exact"/>
              <w:jc w:val="left"/>
              <w:rPr>
                <w:rFonts w:hint="eastAsia" w:ascii="宋体" w:hAnsi="宋体" w:eastAsia="宋体" w:cs="宋体"/>
                <w:color w:val="auto"/>
                <w:sz w:val="22"/>
                <w:szCs w:val="22"/>
                <w:highlight w:val="none"/>
              </w:rPr>
            </w:pPr>
          </w:p>
        </w:tc>
        <w:tc>
          <w:tcPr>
            <w:tcW w:w="534" w:type="dxa"/>
            <w:tcBorders>
              <w:top w:val="single" w:color="auto" w:sz="4" w:space="0"/>
              <w:left w:val="single" w:color="auto" w:sz="4" w:space="0"/>
              <w:bottom w:val="single" w:color="auto" w:sz="4" w:space="0"/>
              <w:right w:val="single" w:color="auto" w:sz="4" w:space="0"/>
            </w:tcBorders>
            <w:noWrap w:val="0"/>
            <w:vAlign w:val="center"/>
          </w:tcPr>
          <w:p w14:paraId="49C4C0BE">
            <w:pPr>
              <w:spacing w:line="440" w:lineRule="exact"/>
              <w:jc w:val="center"/>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5</w:t>
            </w:r>
          </w:p>
        </w:tc>
        <w:tc>
          <w:tcPr>
            <w:tcW w:w="3551" w:type="dxa"/>
            <w:tcBorders>
              <w:top w:val="single" w:color="auto" w:sz="4" w:space="0"/>
              <w:left w:val="single" w:color="auto" w:sz="4" w:space="0"/>
              <w:bottom w:val="single" w:color="auto" w:sz="4" w:space="0"/>
              <w:right w:val="single" w:color="auto" w:sz="4" w:space="0"/>
            </w:tcBorders>
            <w:noWrap w:val="0"/>
            <w:vAlign w:val="center"/>
          </w:tcPr>
          <w:p w14:paraId="7997A189">
            <w:pPr>
              <w:autoSpaceDE w:val="0"/>
              <w:autoSpaceDN w:val="0"/>
              <w:adjustRightInd w:val="0"/>
              <w:spacing w:line="240" w:lineRule="exact"/>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长期驻场服务人员：</w:t>
            </w:r>
          </w:p>
          <w:p w14:paraId="6AA1FF8B">
            <w:pPr>
              <w:autoSpaceDE w:val="0"/>
              <w:autoSpaceDN w:val="0"/>
              <w:adjustRightInd w:val="0"/>
              <w:spacing w:line="240" w:lineRule="exact"/>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（1）未经面试通过，自行更换；</w:t>
            </w:r>
          </w:p>
          <w:p w14:paraId="5A00F312">
            <w:pPr>
              <w:autoSpaceDE w:val="0"/>
              <w:autoSpaceDN w:val="0"/>
              <w:adjustRightInd w:val="0"/>
              <w:spacing w:line="240" w:lineRule="exact"/>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（2）未按委托人作息时间在指定地点驻场办公；</w:t>
            </w:r>
          </w:p>
          <w:p w14:paraId="54A3E5CB">
            <w:pPr>
              <w:autoSpaceDE w:val="0"/>
              <w:autoSpaceDN w:val="0"/>
              <w:adjustRightInd w:val="0"/>
              <w:spacing w:line="240" w:lineRule="exact"/>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（3）跟进工作不及时。</w:t>
            </w:r>
          </w:p>
          <w:p w14:paraId="3E004797">
            <w:pPr>
              <w:spacing w:line="240" w:lineRule="exact"/>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扣3 分/项</w:t>
            </w:r>
          </w:p>
        </w:tc>
        <w:tc>
          <w:tcPr>
            <w:tcW w:w="863" w:type="dxa"/>
            <w:tcBorders>
              <w:top w:val="single" w:color="auto" w:sz="4" w:space="0"/>
              <w:left w:val="single" w:color="auto" w:sz="4" w:space="0"/>
              <w:bottom w:val="single" w:color="auto" w:sz="4" w:space="0"/>
              <w:right w:val="single" w:color="auto" w:sz="4" w:space="0"/>
            </w:tcBorders>
            <w:noWrap w:val="0"/>
            <w:vAlign w:val="center"/>
          </w:tcPr>
          <w:p w14:paraId="5D3E46BA">
            <w:pPr>
              <w:spacing w:line="440" w:lineRule="exact"/>
              <w:jc w:val="center"/>
              <w:rPr>
                <w:rFonts w:hint="eastAsia" w:ascii="宋体" w:hAnsi="宋体" w:eastAsia="宋体" w:cs="宋体"/>
                <w:color w:val="auto"/>
                <w:sz w:val="22"/>
                <w:szCs w:val="22"/>
                <w:highlight w:val="none"/>
              </w:rPr>
            </w:pPr>
          </w:p>
        </w:tc>
        <w:tc>
          <w:tcPr>
            <w:tcW w:w="650" w:type="dxa"/>
            <w:tcBorders>
              <w:top w:val="single" w:color="auto" w:sz="4" w:space="0"/>
              <w:left w:val="single" w:color="auto" w:sz="4" w:space="0"/>
              <w:bottom w:val="single" w:color="auto" w:sz="4" w:space="0"/>
              <w:right w:val="single" w:color="auto" w:sz="4" w:space="0"/>
            </w:tcBorders>
            <w:noWrap w:val="0"/>
            <w:vAlign w:val="top"/>
          </w:tcPr>
          <w:p w14:paraId="2D400ADD">
            <w:pPr>
              <w:spacing w:line="440" w:lineRule="exact"/>
              <w:jc w:val="center"/>
              <w:rPr>
                <w:rFonts w:hint="eastAsia" w:ascii="宋体" w:hAnsi="宋体" w:eastAsia="宋体" w:cs="宋体"/>
                <w:color w:val="auto"/>
                <w:sz w:val="22"/>
                <w:szCs w:val="22"/>
                <w:highlight w:val="none"/>
              </w:rPr>
            </w:pPr>
          </w:p>
        </w:tc>
        <w:tc>
          <w:tcPr>
            <w:tcW w:w="744" w:type="dxa"/>
            <w:tcBorders>
              <w:top w:val="single" w:color="auto" w:sz="4" w:space="0"/>
              <w:left w:val="single" w:color="auto" w:sz="4" w:space="0"/>
              <w:bottom w:val="single" w:color="auto" w:sz="4" w:space="0"/>
              <w:right w:val="single" w:color="auto" w:sz="4" w:space="0"/>
            </w:tcBorders>
            <w:noWrap w:val="0"/>
            <w:vAlign w:val="top"/>
          </w:tcPr>
          <w:p w14:paraId="15D4127C">
            <w:pPr>
              <w:spacing w:line="440" w:lineRule="exact"/>
              <w:jc w:val="center"/>
              <w:rPr>
                <w:rFonts w:hint="eastAsia" w:ascii="宋体" w:hAnsi="宋体" w:eastAsia="宋体" w:cs="宋体"/>
                <w:color w:val="auto"/>
                <w:sz w:val="22"/>
                <w:szCs w:val="22"/>
                <w:highlight w:val="none"/>
              </w:rPr>
            </w:pPr>
          </w:p>
        </w:tc>
      </w:tr>
      <w:tr w14:paraId="37D21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 w:author="南美涛" w:date="2025-07-22T22:22:19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702" w:hRule="atLeast"/>
          <w:jc w:val="center"/>
          <w:trPrChange w:id="1" w:author="南美涛" w:date="2025-07-22T22:22:19Z">
            <w:trPr>
              <w:trHeight w:val="841" w:hRule="atLeast"/>
              <w:jc w:val="center"/>
            </w:trPr>
          </w:trPrChange>
        </w:trPr>
        <w:tc>
          <w:tcPr>
            <w:tcW w:w="605" w:type="dxa"/>
            <w:vMerge w:val="continue"/>
            <w:tcBorders>
              <w:top w:val="single" w:color="auto" w:sz="4" w:space="0"/>
              <w:left w:val="single" w:color="auto" w:sz="4" w:space="0"/>
              <w:bottom w:val="single" w:color="auto" w:sz="4" w:space="0"/>
              <w:right w:val="single" w:color="auto" w:sz="4" w:space="0"/>
            </w:tcBorders>
            <w:noWrap w:val="0"/>
            <w:vAlign w:val="center"/>
            <w:tcPrChange w:id="2" w:author="南美涛" w:date="2025-07-22T22:22:19Z">
              <w:tcPr>
                <w:tcW w:w="605" w:type="dxa"/>
                <w:vMerge w:val="continue"/>
                <w:tcBorders>
                  <w:top w:val="single" w:color="auto" w:sz="4" w:space="0"/>
                  <w:left w:val="single" w:color="auto" w:sz="4" w:space="0"/>
                  <w:bottom w:val="single" w:color="auto" w:sz="4" w:space="0"/>
                  <w:right w:val="single" w:color="auto" w:sz="4" w:space="0"/>
                </w:tcBorders>
                <w:noWrap w:val="0"/>
                <w:vAlign w:val="center"/>
              </w:tcPr>
            </w:tcPrChange>
          </w:tcPr>
          <w:p w14:paraId="4786F53F">
            <w:pPr>
              <w:widowControl/>
              <w:spacing w:line="560" w:lineRule="exact"/>
              <w:jc w:val="left"/>
              <w:rPr>
                <w:rFonts w:hint="eastAsia" w:ascii="宋体" w:hAnsi="宋体" w:eastAsia="宋体" w:cs="宋体"/>
                <w:b/>
                <w:bCs/>
                <w:color w:val="auto"/>
                <w:sz w:val="22"/>
                <w:szCs w:val="22"/>
                <w:highlight w:val="none"/>
              </w:rPr>
            </w:pPr>
          </w:p>
        </w:tc>
        <w:tc>
          <w:tcPr>
            <w:tcW w:w="865" w:type="dxa"/>
            <w:vMerge w:val="continue"/>
            <w:tcBorders>
              <w:top w:val="single" w:color="auto" w:sz="4" w:space="0"/>
              <w:left w:val="single" w:color="auto" w:sz="4" w:space="0"/>
              <w:bottom w:val="single" w:color="auto" w:sz="4" w:space="0"/>
              <w:right w:val="single" w:color="auto" w:sz="4" w:space="0"/>
            </w:tcBorders>
            <w:noWrap w:val="0"/>
            <w:vAlign w:val="center"/>
            <w:tcPrChange w:id="3" w:author="南美涛" w:date="2025-07-22T22:22:19Z">
              <w:tcPr>
                <w:tcW w:w="865" w:type="dxa"/>
                <w:vMerge w:val="continue"/>
                <w:tcBorders>
                  <w:top w:val="single" w:color="auto" w:sz="4" w:space="0"/>
                  <w:left w:val="single" w:color="auto" w:sz="4" w:space="0"/>
                  <w:bottom w:val="single" w:color="auto" w:sz="4" w:space="0"/>
                  <w:right w:val="single" w:color="auto" w:sz="4" w:space="0"/>
                </w:tcBorders>
                <w:noWrap w:val="0"/>
                <w:vAlign w:val="center"/>
              </w:tcPr>
            </w:tcPrChange>
          </w:tcPr>
          <w:p w14:paraId="22325496">
            <w:pPr>
              <w:widowControl/>
              <w:spacing w:line="560" w:lineRule="exact"/>
              <w:jc w:val="left"/>
              <w:rPr>
                <w:rFonts w:hint="eastAsia" w:ascii="宋体" w:hAnsi="宋体" w:eastAsia="宋体" w:cs="宋体"/>
                <w:color w:val="auto"/>
                <w:sz w:val="22"/>
                <w:szCs w:val="22"/>
                <w:highlight w:val="none"/>
              </w:rPr>
            </w:pPr>
          </w:p>
        </w:tc>
        <w:tc>
          <w:tcPr>
            <w:tcW w:w="4801" w:type="dxa"/>
            <w:gridSpan w:val="3"/>
            <w:tcBorders>
              <w:top w:val="single" w:color="auto" w:sz="4" w:space="0"/>
              <w:left w:val="single" w:color="auto" w:sz="4" w:space="0"/>
              <w:bottom w:val="single" w:color="auto" w:sz="4" w:space="0"/>
              <w:right w:val="single" w:color="auto" w:sz="4" w:space="0"/>
            </w:tcBorders>
            <w:noWrap w:val="0"/>
            <w:vAlign w:val="center"/>
            <w:tcPrChange w:id="4" w:author="南美涛" w:date="2025-07-22T22:22:19Z">
              <w:tcPr>
                <w:tcW w:w="4801" w:type="dxa"/>
                <w:gridSpan w:val="3"/>
                <w:tcBorders>
                  <w:top w:val="single" w:color="auto" w:sz="4" w:space="0"/>
                  <w:left w:val="single" w:color="auto" w:sz="4" w:space="0"/>
                  <w:bottom w:val="single" w:color="auto" w:sz="4" w:space="0"/>
                  <w:right w:val="single" w:color="auto" w:sz="4" w:space="0"/>
                </w:tcBorders>
                <w:noWrap w:val="0"/>
                <w:vAlign w:val="center"/>
              </w:tcPr>
            </w:tcPrChange>
          </w:tcPr>
          <w:p w14:paraId="4D9E542A">
            <w:pPr>
              <w:spacing w:line="240" w:lineRule="exact"/>
              <w:jc w:val="center"/>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小计（分项基本分-扣除分数）</w:t>
            </w:r>
          </w:p>
        </w:tc>
        <w:tc>
          <w:tcPr>
            <w:tcW w:w="863" w:type="dxa"/>
            <w:tcBorders>
              <w:top w:val="single" w:color="auto" w:sz="4" w:space="0"/>
              <w:left w:val="single" w:color="auto" w:sz="4" w:space="0"/>
              <w:bottom w:val="single" w:color="auto" w:sz="4" w:space="0"/>
              <w:right w:val="single" w:color="auto" w:sz="4" w:space="0"/>
            </w:tcBorders>
            <w:noWrap w:val="0"/>
            <w:vAlign w:val="center"/>
            <w:tcPrChange w:id="5" w:author="南美涛" w:date="2025-07-22T22:22:19Z">
              <w:tcPr>
                <w:tcW w:w="863" w:type="dxa"/>
                <w:tcBorders>
                  <w:top w:val="single" w:color="auto" w:sz="4" w:space="0"/>
                  <w:left w:val="single" w:color="auto" w:sz="4" w:space="0"/>
                  <w:bottom w:val="single" w:color="auto" w:sz="4" w:space="0"/>
                  <w:right w:val="single" w:color="auto" w:sz="4" w:space="0"/>
                </w:tcBorders>
                <w:noWrap w:val="0"/>
                <w:vAlign w:val="center"/>
              </w:tcPr>
            </w:tcPrChange>
          </w:tcPr>
          <w:p w14:paraId="1FE83927">
            <w:pPr>
              <w:spacing w:line="440" w:lineRule="exact"/>
              <w:jc w:val="center"/>
              <w:rPr>
                <w:rFonts w:hint="eastAsia" w:ascii="宋体" w:hAnsi="宋体" w:eastAsia="宋体" w:cs="宋体"/>
                <w:color w:val="auto"/>
                <w:sz w:val="22"/>
                <w:szCs w:val="22"/>
                <w:highlight w:val="none"/>
              </w:rPr>
            </w:pPr>
          </w:p>
        </w:tc>
        <w:tc>
          <w:tcPr>
            <w:tcW w:w="650" w:type="dxa"/>
            <w:tcBorders>
              <w:top w:val="single" w:color="auto" w:sz="4" w:space="0"/>
              <w:left w:val="single" w:color="auto" w:sz="4" w:space="0"/>
              <w:bottom w:val="single" w:color="auto" w:sz="4" w:space="0"/>
              <w:right w:val="single" w:color="auto" w:sz="4" w:space="0"/>
            </w:tcBorders>
            <w:noWrap w:val="0"/>
            <w:vAlign w:val="top"/>
            <w:tcPrChange w:id="6" w:author="南美涛" w:date="2025-07-22T22:22:19Z">
              <w:tcPr>
                <w:tcW w:w="650" w:type="dxa"/>
                <w:tcBorders>
                  <w:top w:val="single" w:color="auto" w:sz="4" w:space="0"/>
                  <w:left w:val="single" w:color="auto" w:sz="4" w:space="0"/>
                  <w:bottom w:val="single" w:color="auto" w:sz="4" w:space="0"/>
                  <w:right w:val="single" w:color="auto" w:sz="4" w:space="0"/>
                </w:tcBorders>
                <w:noWrap w:val="0"/>
                <w:vAlign w:val="top"/>
              </w:tcPr>
            </w:tcPrChange>
          </w:tcPr>
          <w:p w14:paraId="4714DB58">
            <w:pPr>
              <w:spacing w:line="440" w:lineRule="exact"/>
              <w:jc w:val="center"/>
              <w:rPr>
                <w:rFonts w:hint="eastAsia" w:ascii="宋体" w:hAnsi="宋体" w:eastAsia="宋体" w:cs="宋体"/>
                <w:color w:val="auto"/>
                <w:sz w:val="22"/>
                <w:szCs w:val="22"/>
                <w:highlight w:val="none"/>
              </w:rPr>
            </w:pPr>
          </w:p>
        </w:tc>
        <w:tc>
          <w:tcPr>
            <w:tcW w:w="744" w:type="dxa"/>
            <w:tcBorders>
              <w:top w:val="single" w:color="auto" w:sz="4" w:space="0"/>
              <w:left w:val="single" w:color="auto" w:sz="4" w:space="0"/>
              <w:bottom w:val="single" w:color="auto" w:sz="4" w:space="0"/>
              <w:right w:val="single" w:color="auto" w:sz="4" w:space="0"/>
            </w:tcBorders>
            <w:noWrap w:val="0"/>
            <w:vAlign w:val="top"/>
            <w:tcPrChange w:id="7" w:author="南美涛" w:date="2025-07-22T22:22:19Z">
              <w:tcPr>
                <w:tcW w:w="744" w:type="dxa"/>
                <w:tcBorders>
                  <w:top w:val="single" w:color="auto" w:sz="4" w:space="0"/>
                  <w:left w:val="single" w:color="auto" w:sz="4" w:space="0"/>
                  <w:bottom w:val="single" w:color="auto" w:sz="4" w:space="0"/>
                  <w:right w:val="single" w:color="auto" w:sz="4" w:space="0"/>
                </w:tcBorders>
                <w:noWrap w:val="0"/>
                <w:vAlign w:val="top"/>
              </w:tcPr>
            </w:tcPrChange>
          </w:tcPr>
          <w:p w14:paraId="419A597E">
            <w:pPr>
              <w:spacing w:line="440" w:lineRule="exact"/>
              <w:jc w:val="center"/>
              <w:rPr>
                <w:rFonts w:hint="eastAsia" w:ascii="宋体" w:hAnsi="宋体" w:eastAsia="宋体" w:cs="宋体"/>
                <w:color w:val="auto"/>
                <w:sz w:val="22"/>
                <w:szCs w:val="22"/>
                <w:highlight w:val="none"/>
              </w:rPr>
            </w:pPr>
          </w:p>
        </w:tc>
      </w:tr>
      <w:tr w14:paraId="01B42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605" w:type="dxa"/>
            <w:vMerge w:val="restart"/>
            <w:tcBorders>
              <w:top w:val="single" w:color="auto" w:sz="4" w:space="0"/>
              <w:left w:val="single" w:color="auto" w:sz="4" w:space="0"/>
              <w:bottom w:val="single" w:color="auto" w:sz="4" w:space="0"/>
              <w:right w:val="single" w:color="auto" w:sz="4" w:space="0"/>
            </w:tcBorders>
            <w:noWrap w:val="0"/>
            <w:vAlign w:val="center"/>
          </w:tcPr>
          <w:p w14:paraId="1E73FB20">
            <w:pPr>
              <w:spacing w:line="44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二</w:t>
            </w:r>
          </w:p>
        </w:tc>
        <w:tc>
          <w:tcPr>
            <w:tcW w:w="865" w:type="dxa"/>
            <w:vMerge w:val="restart"/>
            <w:tcBorders>
              <w:top w:val="single" w:color="auto" w:sz="4" w:space="0"/>
              <w:left w:val="single" w:color="auto" w:sz="4" w:space="0"/>
              <w:bottom w:val="single" w:color="auto" w:sz="4" w:space="0"/>
              <w:right w:val="single" w:color="auto" w:sz="4" w:space="0"/>
            </w:tcBorders>
            <w:noWrap w:val="0"/>
            <w:textDirection w:val="tbRlV"/>
            <w:vAlign w:val="center"/>
          </w:tcPr>
          <w:p w14:paraId="62167301">
            <w:pPr>
              <w:spacing w:line="440" w:lineRule="exact"/>
              <w:ind w:left="113" w:right="113"/>
              <w:jc w:val="center"/>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工作过程</w:t>
            </w:r>
          </w:p>
        </w:tc>
        <w:tc>
          <w:tcPr>
            <w:tcW w:w="716" w:type="dxa"/>
            <w:vMerge w:val="restart"/>
            <w:tcBorders>
              <w:top w:val="single" w:color="auto" w:sz="4" w:space="0"/>
              <w:left w:val="single" w:color="auto" w:sz="4" w:space="0"/>
              <w:bottom w:val="single" w:color="auto" w:sz="4" w:space="0"/>
              <w:right w:val="single" w:color="auto" w:sz="4" w:space="0"/>
            </w:tcBorders>
            <w:noWrap w:val="0"/>
            <w:vAlign w:val="center"/>
          </w:tcPr>
          <w:p w14:paraId="4A210660">
            <w:pPr>
              <w:spacing w:line="440" w:lineRule="exact"/>
              <w:jc w:val="center"/>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20</w:t>
            </w:r>
          </w:p>
        </w:tc>
        <w:tc>
          <w:tcPr>
            <w:tcW w:w="534" w:type="dxa"/>
            <w:tcBorders>
              <w:top w:val="single" w:color="auto" w:sz="4" w:space="0"/>
              <w:left w:val="single" w:color="auto" w:sz="4" w:space="0"/>
              <w:bottom w:val="single" w:color="auto" w:sz="4" w:space="0"/>
              <w:right w:val="single" w:color="auto" w:sz="4" w:space="0"/>
            </w:tcBorders>
            <w:noWrap w:val="0"/>
            <w:vAlign w:val="center"/>
          </w:tcPr>
          <w:p w14:paraId="69D89405">
            <w:pPr>
              <w:spacing w:line="440" w:lineRule="exact"/>
              <w:jc w:val="center"/>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1</w:t>
            </w:r>
          </w:p>
        </w:tc>
        <w:tc>
          <w:tcPr>
            <w:tcW w:w="3551" w:type="dxa"/>
            <w:tcBorders>
              <w:top w:val="single" w:color="auto" w:sz="4" w:space="0"/>
              <w:left w:val="single" w:color="auto" w:sz="4" w:space="0"/>
              <w:bottom w:val="single" w:color="auto" w:sz="4" w:space="0"/>
              <w:right w:val="single" w:color="auto" w:sz="4" w:space="0"/>
            </w:tcBorders>
            <w:noWrap w:val="0"/>
            <w:vAlign w:val="center"/>
          </w:tcPr>
          <w:p w14:paraId="5C9894FF">
            <w:pPr>
              <w:spacing w:line="240" w:lineRule="exac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（1）咨询服务计划安排不合理；</w:t>
            </w:r>
          </w:p>
          <w:p w14:paraId="64C44BD5">
            <w:pPr>
              <w:spacing w:line="240" w:lineRule="exac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（2）未能按照计划按时完成任务。</w:t>
            </w:r>
          </w:p>
          <w:p w14:paraId="5A7B7224">
            <w:pPr>
              <w:spacing w:line="240" w:lineRule="exac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扣5 分/项,扣完为止</w:t>
            </w:r>
          </w:p>
        </w:tc>
        <w:tc>
          <w:tcPr>
            <w:tcW w:w="863" w:type="dxa"/>
            <w:tcBorders>
              <w:top w:val="single" w:color="auto" w:sz="4" w:space="0"/>
              <w:left w:val="single" w:color="auto" w:sz="4" w:space="0"/>
              <w:bottom w:val="single" w:color="auto" w:sz="4" w:space="0"/>
              <w:right w:val="single" w:color="auto" w:sz="4" w:space="0"/>
            </w:tcBorders>
            <w:noWrap w:val="0"/>
            <w:vAlign w:val="center"/>
          </w:tcPr>
          <w:p w14:paraId="58200456">
            <w:pPr>
              <w:spacing w:line="440" w:lineRule="exact"/>
              <w:jc w:val="center"/>
              <w:rPr>
                <w:rFonts w:hint="eastAsia" w:ascii="宋体" w:hAnsi="宋体" w:eastAsia="宋体" w:cs="宋体"/>
                <w:color w:val="auto"/>
                <w:sz w:val="22"/>
                <w:szCs w:val="22"/>
                <w:highlight w:val="none"/>
              </w:rPr>
            </w:pPr>
          </w:p>
        </w:tc>
        <w:tc>
          <w:tcPr>
            <w:tcW w:w="650" w:type="dxa"/>
            <w:tcBorders>
              <w:top w:val="single" w:color="auto" w:sz="4" w:space="0"/>
              <w:left w:val="single" w:color="auto" w:sz="4" w:space="0"/>
              <w:bottom w:val="single" w:color="auto" w:sz="4" w:space="0"/>
              <w:right w:val="single" w:color="auto" w:sz="4" w:space="0"/>
            </w:tcBorders>
            <w:noWrap w:val="0"/>
            <w:vAlign w:val="top"/>
          </w:tcPr>
          <w:p w14:paraId="217B8230">
            <w:pPr>
              <w:spacing w:line="440" w:lineRule="exact"/>
              <w:jc w:val="center"/>
              <w:rPr>
                <w:rFonts w:hint="eastAsia" w:ascii="宋体" w:hAnsi="宋体" w:eastAsia="宋体" w:cs="宋体"/>
                <w:color w:val="auto"/>
                <w:sz w:val="22"/>
                <w:szCs w:val="22"/>
                <w:highlight w:val="none"/>
              </w:rPr>
            </w:pPr>
          </w:p>
        </w:tc>
        <w:tc>
          <w:tcPr>
            <w:tcW w:w="744" w:type="dxa"/>
            <w:tcBorders>
              <w:top w:val="single" w:color="auto" w:sz="4" w:space="0"/>
              <w:left w:val="single" w:color="auto" w:sz="4" w:space="0"/>
              <w:bottom w:val="single" w:color="auto" w:sz="4" w:space="0"/>
              <w:right w:val="single" w:color="auto" w:sz="4" w:space="0"/>
            </w:tcBorders>
            <w:noWrap w:val="0"/>
            <w:vAlign w:val="top"/>
          </w:tcPr>
          <w:p w14:paraId="27F7114A">
            <w:pPr>
              <w:spacing w:line="440" w:lineRule="exact"/>
              <w:jc w:val="center"/>
              <w:rPr>
                <w:rFonts w:hint="eastAsia" w:ascii="宋体" w:hAnsi="宋体" w:eastAsia="宋体" w:cs="宋体"/>
                <w:color w:val="auto"/>
                <w:sz w:val="22"/>
                <w:szCs w:val="22"/>
                <w:highlight w:val="none"/>
              </w:rPr>
            </w:pPr>
          </w:p>
        </w:tc>
      </w:tr>
      <w:tr w14:paraId="35107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jc w:val="center"/>
        </w:trPr>
        <w:tc>
          <w:tcPr>
            <w:tcW w:w="605" w:type="dxa"/>
            <w:vMerge w:val="continue"/>
            <w:tcBorders>
              <w:top w:val="single" w:color="auto" w:sz="4" w:space="0"/>
              <w:left w:val="single" w:color="auto" w:sz="4" w:space="0"/>
              <w:bottom w:val="single" w:color="auto" w:sz="4" w:space="0"/>
              <w:right w:val="single" w:color="auto" w:sz="4" w:space="0"/>
            </w:tcBorders>
            <w:noWrap w:val="0"/>
            <w:vAlign w:val="center"/>
          </w:tcPr>
          <w:p w14:paraId="0A55BD78">
            <w:pPr>
              <w:widowControl/>
              <w:spacing w:line="560" w:lineRule="exact"/>
              <w:jc w:val="left"/>
              <w:rPr>
                <w:rFonts w:hint="eastAsia" w:ascii="宋体" w:hAnsi="宋体" w:eastAsia="宋体" w:cs="宋体"/>
                <w:b/>
                <w:bCs/>
                <w:color w:val="auto"/>
                <w:sz w:val="22"/>
                <w:szCs w:val="22"/>
                <w:highlight w:val="none"/>
              </w:rPr>
            </w:pPr>
          </w:p>
        </w:tc>
        <w:tc>
          <w:tcPr>
            <w:tcW w:w="865" w:type="dxa"/>
            <w:vMerge w:val="continue"/>
            <w:tcBorders>
              <w:top w:val="single" w:color="auto" w:sz="4" w:space="0"/>
              <w:left w:val="single" w:color="auto" w:sz="4" w:space="0"/>
              <w:bottom w:val="single" w:color="auto" w:sz="4" w:space="0"/>
              <w:right w:val="single" w:color="auto" w:sz="4" w:space="0"/>
            </w:tcBorders>
            <w:noWrap w:val="0"/>
            <w:vAlign w:val="center"/>
          </w:tcPr>
          <w:p w14:paraId="7DCCA0F9">
            <w:pPr>
              <w:widowControl/>
              <w:spacing w:line="560" w:lineRule="exact"/>
              <w:jc w:val="left"/>
              <w:rPr>
                <w:rFonts w:hint="eastAsia" w:ascii="宋体" w:hAnsi="宋体" w:eastAsia="宋体" w:cs="宋体"/>
                <w:color w:val="auto"/>
                <w:sz w:val="22"/>
                <w:szCs w:val="22"/>
                <w:highlight w:val="none"/>
              </w:rPr>
            </w:pPr>
          </w:p>
        </w:tc>
        <w:tc>
          <w:tcPr>
            <w:tcW w:w="716" w:type="dxa"/>
            <w:vMerge w:val="continue"/>
            <w:tcBorders>
              <w:top w:val="single" w:color="auto" w:sz="4" w:space="0"/>
              <w:left w:val="single" w:color="auto" w:sz="4" w:space="0"/>
              <w:bottom w:val="single" w:color="auto" w:sz="4" w:space="0"/>
              <w:right w:val="single" w:color="auto" w:sz="4" w:space="0"/>
            </w:tcBorders>
            <w:noWrap w:val="0"/>
            <w:vAlign w:val="center"/>
          </w:tcPr>
          <w:p w14:paraId="22C560AA">
            <w:pPr>
              <w:widowControl/>
              <w:spacing w:line="560" w:lineRule="exact"/>
              <w:jc w:val="left"/>
              <w:rPr>
                <w:rFonts w:hint="eastAsia" w:ascii="宋体" w:hAnsi="宋体" w:eastAsia="宋体" w:cs="宋体"/>
                <w:color w:val="auto"/>
                <w:sz w:val="22"/>
                <w:szCs w:val="22"/>
                <w:highlight w:val="none"/>
              </w:rPr>
            </w:pPr>
          </w:p>
        </w:tc>
        <w:tc>
          <w:tcPr>
            <w:tcW w:w="534" w:type="dxa"/>
            <w:tcBorders>
              <w:top w:val="single" w:color="auto" w:sz="4" w:space="0"/>
              <w:left w:val="single" w:color="auto" w:sz="4" w:space="0"/>
              <w:bottom w:val="single" w:color="auto" w:sz="4" w:space="0"/>
              <w:right w:val="single" w:color="auto" w:sz="4" w:space="0"/>
            </w:tcBorders>
            <w:noWrap w:val="0"/>
            <w:vAlign w:val="center"/>
          </w:tcPr>
          <w:p w14:paraId="7C53202D">
            <w:pPr>
              <w:spacing w:line="440" w:lineRule="exact"/>
              <w:jc w:val="center"/>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2</w:t>
            </w:r>
          </w:p>
        </w:tc>
        <w:tc>
          <w:tcPr>
            <w:tcW w:w="3551" w:type="dxa"/>
            <w:tcBorders>
              <w:top w:val="single" w:color="auto" w:sz="4" w:space="0"/>
              <w:left w:val="single" w:color="auto" w:sz="4" w:space="0"/>
              <w:bottom w:val="single" w:color="auto" w:sz="4" w:space="0"/>
              <w:right w:val="single" w:color="auto" w:sz="4" w:space="0"/>
            </w:tcBorders>
            <w:noWrap w:val="0"/>
            <w:vAlign w:val="center"/>
          </w:tcPr>
          <w:p w14:paraId="1A8BBA51">
            <w:pPr>
              <w:autoSpaceDE w:val="0"/>
              <w:autoSpaceDN w:val="0"/>
              <w:adjustRightInd w:val="0"/>
              <w:spacing w:line="240" w:lineRule="exact"/>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（1）无故不参加委托人组织的会议；</w:t>
            </w:r>
          </w:p>
          <w:p w14:paraId="492FD4E7">
            <w:pPr>
              <w:autoSpaceDE w:val="0"/>
              <w:autoSpaceDN w:val="0"/>
              <w:adjustRightInd w:val="0"/>
              <w:spacing w:line="240" w:lineRule="exact"/>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（2）对存在问题的不提出,无合理化建议。</w:t>
            </w:r>
          </w:p>
          <w:p w14:paraId="6F94D396">
            <w:pPr>
              <w:spacing w:line="240" w:lineRule="exac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扣5 分/项,扣完为止</w:t>
            </w:r>
          </w:p>
        </w:tc>
        <w:tc>
          <w:tcPr>
            <w:tcW w:w="863" w:type="dxa"/>
            <w:tcBorders>
              <w:top w:val="single" w:color="auto" w:sz="4" w:space="0"/>
              <w:left w:val="single" w:color="auto" w:sz="4" w:space="0"/>
              <w:bottom w:val="single" w:color="auto" w:sz="4" w:space="0"/>
              <w:right w:val="single" w:color="auto" w:sz="4" w:space="0"/>
            </w:tcBorders>
            <w:noWrap w:val="0"/>
            <w:vAlign w:val="center"/>
          </w:tcPr>
          <w:p w14:paraId="038408ED">
            <w:pPr>
              <w:spacing w:line="440" w:lineRule="exact"/>
              <w:jc w:val="center"/>
              <w:rPr>
                <w:rFonts w:hint="eastAsia" w:ascii="宋体" w:hAnsi="宋体" w:eastAsia="宋体" w:cs="宋体"/>
                <w:color w:val="auto"/>
                <w:sz w:val="22"/>
                <w:szCs w:val="22"/>
                <w:highlight w:val="none"/>
              </w:rPr>
            </w:pPr>
          </w:p>
        </w:tc>
        <w:tc>
          <w:tcPr>
            <w:tcW w:w="650" w:type="dxa"/>
            <w:tcBorders>
              <w:top w:val="single" w:color="auto" w:sz="4" w:space="0"/>
              <w:left w:val="single" w:color="auto" w:sz="4" w:space="0"/>
              <w:bottom w:val="single" w:color="auto" w:sz="4" w:space="0"/>
              <w:right w:val="single" w:color="auto" w:sz="4" w:space="0"/>
            </w:tcBorders>
            <w:noWrap w:val="0"/>
            <w:vAlign w:val="top"/>
          </w:tcPr>
          <w:p w14:paraId="1A7437CD">
            <w:pPr>
              <w:spacing w:line="440" w:lineRule="exact"/>
              <w:jc w:val="center"/>
              <w:rPr>
                <w:rFonts w:hint="eastAsia" w:ascii="宋体" w:hAnsi="宋体" w:eastAsia="宋体" w:cs="宋体"/>
                <w:color w:val="auto"/>
                <w:sz w:val="22"/>
                <w:szCs w:val="22"/>
                <w:highlight w:val="none"/>
              </w:rPr>
            </w:pPr>
          </w:p>
        </w:tc>
        <w:tc>
          <w:tcPr>
            <w:tcW w:w="744" w:type="dxa"/>
            <w:tcBorders>
              <w:top w:val="single" w:color="auto" w:sz="4" w:space="0"/>
              <w:left w:val="single" w:color="auto" w:sz="4" w:space="0"/>
              <w:bottom w:val="single" w:color="auto" w:sz="4" w:space="0"/>
              <w:right w:val="single" w:color="auto" w:sz="4" w:space="0"/>
            </w:tcBorders>
            <w:noWrap w:val="0"/>
            <w:vAlign w:val="top"/>
          </w:tcPr>
          <w:p w14:paraId="0B9D4BB2">
            <w:pPr>
              <w:spacing w:line="440" w:lineRule="exact"/>
              <w:jc w:val="center"/>
              <w:rPr>
                <w:rFonts w:hint="eastAsia" w:ascii="宋体" w:hAnsi="宋体" w:eastAsia="宋体" w:cs="宋体"/>
                <w:color w:val="auto"/>
                <w:sz w:val="22"/>
                <w:szCs w:val="22"/>
                <w:highlight w:val="none"/>
              </w:rPr>
            </w:pPr>
          </w:p>
        </w:tc>
      </w:tr>
      <w:tr w14:paraId="43541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jc w:val="center"/>
        </w:trPr>
        <w:tc>
          <w:tcPr>
            <w:tcW w:w="605" w:type="dxa"/>
            <w:vMerge w:val="continue"/>
            <w:tcBorders>
              <w:top w:val="single" w:color="auto" w:sz="4" w:space="0"/>
              <w:left w:val="single" w:color="auto" w:sz="4" w:space="0"/>
              <w:bottom w:val="single" w:color="auto" w:sz="4" w:space="0"/>
              <w:right w:val="single" w:color="auto" w:sz="4" w:space="0"/>
            </w:tcBorders>
            <w:noWrap w:val="0"/>
            <w:vAlign w:val="center"/>
          </w:tcPr>
          <w:p w14:paraId="4924B6E1">
            <w:pPr>
              <w:widowControl/>
              <w:spacing w:line="560" w:lineRule="exact"/>
              <w:jc w:val="left"/>
              <w:rPr>
                <w:rFonts w:hint="eastAsia" w:ascii="宋体" w:hAnsi="宋体" w:eastAsia="宋体" w:cs="宋体"/>
                <w:b/>
                <w:bCs/>
                <w:color w:val="auto"/>
                <w:sz w:val="22"/>
                <w:szCs w:val="22"/>
                <w:highlight w:val="none"/>
              </w:rPr>
            </w:pPr>
          </w:p>
        </w:tc>
        <w:tc>
          <w:tcPr>
            <w:tcW w:w="865" w:type="dxa"/>
            <w:vMerge w:val="continue"/>
            <w:tcBorders>
              <w:top w:val="single" w:color="auto" w:sz="4" w:space="0"/>
              <w:left w:val="single" w:color="auto" w:sz="4" w:space="0"/>
              <w:bottom w:val="single" w:color="auto" w:sz="4" w:space="0"/>
              <w:right w:val="single" w:color="auto" w:sz="4" w:space="0"/>
            </w:tcBorders>
            <w:noWrap w:val="0"/>
            <w:vAlign w:val="center"/>
          </w:tcPr>
          <w:p w14:paraId="27BFE314">
            <w:pPr>
              <w:widowControl/>
              <w:spacing w:line="560" w:lineRule="exact"/>
              <w:jc w:val="left"/>
              <w:rPr>
                <w:rFonts w:hint="eastAsia" w:ascii="宋体" w:hAnsi="宋体" w:eastAsia="宋体" w:cs="宋体"/>
                <w:color w:val="auto"/>
                <w:sz w:val="22"/>
                <w:szCs w:val="22"/>
                <w:highlight w:val="none"/>
              </w:rPr>
            </w:pPr>
          </w:p>
        </w:tc>
        <w:tc>
          <w:tcPr>
            <w:tcW w:w="716" w:type="dxa"/>
            <w:vMerge w:val="continue"/>
            <w:tcBorders>
              <w:top w:val="single" w:color="auto" w:sz="4" w:space="0"/>
              <w:left w:val="single" w:color="auto" w:sz="4" w:space="0"/>
              <w:bottom w:val="single" w:color="auto" w:sz="4" w:space="0"/>
              <w:right w:val="single" w:color="auto" w:sz="4" w:space="0"/>
            </w:tcBorders>
            <w:noWrap w:val="0"/>
            <w:vAlign w:val="center"/>
          </w:tcPr>
          <w:p w14:paraId="1B5BD2CC">
            <w:pPr>
              <w:widowControl/>
              <w:spacing w:line="560" w:lineRule="exact"/>
              <w:jc w:val="left"/>
              <w:rPr>
                <w:rFonts w:hint="eastAsia" w:ascii="宋体" w:hAnsi="宋体" w:eastAsia="宋体" w:cs="宋体"/>
                <w:color w:val="auto"/>
                <w:sz w:val="22"/>
                <w:szCs w:val="22"/>
                <w:highlight w:val="none"/>
              </w:rPr>
            </w:pPr>
          </w:p>
        </w:tc>
        <w:tc>
          <w:tcPr>
            <w:tcW w:w="534" w:type="dxa"/>
            <w:tcBorders>
              <w:top w:val="single" w:color="auto" w:sz="4" w:space="0"/>
              <w:left w:val="single" w:color="auto" w:sz="4" w:space="0"/>
              <w:bottom w:val="single" w:color="auto" w:sz="4" w:space="0"/>
              <w:right w:val="single" w:color="auto" w:sz="4" w:space="0"/>
            </w:tcBorders>
            <w:noWrap w:val="0"/>
            <w:vAlign w:val="center"/>
          </w:tcPr>
          <w:p w14:paraId="5E1DE1E7">
            <w:pPr>
              <w:spacing w:line="440" w:lineRule="exact"/>
              <w:jc w:val="center"/>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3</w:t>
            </w:r>
          </w:p>
        </w:tc>
        <w:tc>
          <w:tcPr>
            <w:tcW w:w="3551" w:type="dxa"/>
            <w:tcBorders>
              <w:top w:val="single" w:color="auto" w:sz="4" w:space="0"/>
              <w:left w:val="single" w:color="auto" w:sz="4" w:space="0"/>
              <w:bottom w:val="single" w:color="auto" w:sz="4" w:space="0"/>
              <w:right w:val="single" w:color="auto" w:sz="4" w:space="0"/>
            </w:tcBorders>
            <w:noWrap w:val="0"/>
            <w:vAlign w:val="center"/>
          </w:tcPr>
          <w:p w14:paraId="6E8A7BF5">
            <w:pPr>
              <w:autoSpaceDE w:val="0"/>
              <w:autoSpaceDN w:val="0"/>
              <w:adjustRightInd w:val="0"/>
              <w:spacing w:line="240" w:lineRule="exact"/>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工程量清单及造价（初稿）未按委托人要求的时间提交。</w:t>
            </w:r>
          </w:p>
          <w:p w14:paraId="0DE1F4A4">
            <w:pPr>
              <w:spacing w:line="240" w:lineRule="exac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每延误1 天扣2.5 分,扣完为止</w:t>
            </w:r>
          </w:p>
        </w:tc>
        <w:tc>
          <w:tcPr>
            <w:tcW w:w="863" w:type="dxa"/>
            <w:tcBorders>
              <w:top w:val="single" w:color="auto" w:sz="4" w:space="0"/>
              <w:left w:val="single" w:color="auto" w:sz="4" w:space="0"/>
              <w:bottom w:val="single" w:color="auto" w:sz="4" w:space="0"/>
              <w:right w:val="single" w:color="auto" w:sz="4" w:space="0"/>
            </w:tcBorders>
            <w:noWrap w:val="0"/>
            <w:vAlign w:val="center"/>
          </w:tcPr>
          <w:p w14:paraId="62D05447">
            <w:pPr>
              <w:spacing w:line="440" w:lineRule="exact"/>
              <w:jc w:val="center"/>
              <w:rPr>
                <w:rFonts w:hint="eastAsia" w:ascii="宋体" w:hAnsi="宋体" w:eastAsia="宋体" w:cs="宋体"/>
                <w:color w:val="auto"/>
                <w:sz w:val="22"/>
                <w:szCs w:val="22"/>
                <w:highlight w:val="none"/>
              </w:rPr>
            </w:pPr>
          </w:p>
        </w:tc>
        <w:tc>
          <w:tcPr>
            <w:tcW w:w="650" w:type="dxa"/>
            <w:tcBorders>
              <w:top w:val="single" w:color="auto" w:sz="4" w:space="0"/>
              <w:left w:val="single" w:color="auto" w:sz="4" w:space="0"/>
              <w:bottom w:val="single" w:color="auto" w:sz="4" w:space="0"/>
              <w:right w:val="single" w:color="auto" w:sz="4" w:space="0"/>
            </w:tcBorders>
            <w:noWrap w:val="0"/>
            <w:vAlign w:val="top"/>
          </w:tcPr>
          <w:p w14:paraId="3E13E34E">
            <w:pPr>
              <w:spacing w:line="440" w:lineRule="exact"/>
              <w:jc w:val="center"/>
              <w:rPr>
                <w:rFonts w:hint="eastAsia" w:ascii="宋体" w:hAnsi="宋体" w:eastAsia="宋体" w:cs="宋体"/>
                <w:color w:val="auto"/>
                <w:sz w:val="22"/>
                <w:szCs w:val="22"/>
                <w:highlight w:val="none"/>
              </w:rPr>
            </w:pPr>
          </w:p>
        </w:tc>
        <w:tc>
          <w:tcPr>
            <w:tcW w:w="744" w:type="dxa"/>
            <w:tcBorders>
              <w:top w:val="single" w:color="auto" w:sz="4" w:space="0"/>
              <w:left w:val="single" w:color="auto" w:sz="4" w:space="0"/>
              <w:bottom w:val="single" w:color="auto" w:sz="4" w:space="0"/>
              <w:right w:val="single" w:color="auto" w:sz="4" w:space="0"/>
            </w:tcBorders>
            <w:noWrap w:val="0"/>
            <w:vAlign w:val="top"/>
          </w:tcPr>
          <w:p w14:paraId="522351CE">
            <w:pPr>
              <w:spacing w:line="440" w:lineRule="exact"/>
              <w:jc w:val="center"/>
              <w:rPr>
                <w:rFonts w:hint="eastAsia" w:ascii="宋体" w:hAnsi="宋体" w:eastAsia="宋体" w:cs="宋体"/>
                <w:color w:val="auto"/>
                <w:sz w:val="22"/>
                <w:szCs w:val="22"/>
                <w:highlight w:val="none"/>
              </w:rPr>
            </w:pPr>
          </w:p>
        </w:tc>
      </w:tr>
      <w:tr w14:paraId="57C1E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605" w:type="dxa"/>
            <w:vMerge w:val="continue"/>
            <w:tcBorders>
              <w:top w:val="single" w:color="auto" w:sz="4" w:space="0"/>
              <w:left w:val="single" w:color="auto" w:sz="4" w:space="0"/>
              <w:bottom w:val="single" w:color="auto" w:sz="4" w:space="0"/>
              <w:right w:val="single" w:color="auto" w:sz="4" w:space="0"/>
            </w:tcBorders>
            <w:noWrap w:val="0"/>
            <w:vAlign w:val="center"/>
          </w:tcPr>
          <w:p w14:paraId="2B02F1AF">
            <w:pPr>
              <w:widowControl/>
              <w:spacing w:line="560" w:lineRule="exact"/>
              <w:jc w:val="left"/>
              <w:rPr>
                <w:rFonts w:hint="eastAsia" w:ascii="宋体" w:hAnsi="宋体" w:eastAsia="宋体" w:cs="宋体"/>
                <w:b/>
                <w:bCs/>
                <w:color w:val="auto"/>
                <w:sz w:val="22"/>
                <w:szCs w:val="22"/>
                <w:highlight w:val="none"/>
              </w:rPr>
            </w:pPr>
          </w:p>
        </w:tc>
        <w:tc>
          <w:tcPr>
            <w:tcW w:w="865" w:type="dxa"/>
            <w:vMerge w:val="continue"/>
            <w:tcBorders>
              <w:top w:val="single" w:color="auto" w:sz="4" w:space="0"/>
              <w:left w:val="single" w:color="auto" w:sz="4" w:space="0"/>
              <w:bottom w:val="single" w:color="auto" w:sz="4" w:space="0"/>
              <w:right w:val="single" w:color="auto" w:sz="4" w:space="0"/>
            </w:tcBorders>
            <w:noWrap w:val="0"/>
            <w:vAlign w:val="center"/>
          </w:tcPr>
          <w:p w14:paraId="7921DCD1">
            <w:pPr>
              <w:widowControl/>
              <w:spacing w:line="560" w:lineRule="exact"/>
              <w:jc w:val="left"/>
              <w:rPr>
                <w:rFonts w:hint="eastAsia" w:ascii="宋体" w:hAnsi="宋体" w:eastAsia="宋体" w:cs="宋体"/>
                <w:color w:val="auto"/>
                <w:sz w:val="22"/>
                <w:szCs w:val="22"/>
                <w:highlight w:val="none"/>
              </w:rPr>
            </w:pPr>
          </w:p>
        </w:tc>
        <w:tc>
          <w:tcPr>
            <w:tcW w:w="716" w:type="dxa"/>
            <w:vMerge w:val="continue"/>
            <w:tcBorders>
              <w:top w:val="single" w:color="auto" w:sz="4" w:space="0"/>
              <w:left w:val="single" w:color="auto" w:sz="4" w:space="0"/>
              <w:bottom w:val="single" w:color="auto" w:sz="4" w:space="0"/>
              <w:right w:val="single" w:color="auto" w:sz="4" w:space="0"/>
            </w:tcBorders>
            <w:noWrap w:val="0"/>
            <w:vAlign w:val="center"/>
          </w:tcPr>
          <w:p w14:paraId="339CAF55">
            <w:pPr>
              <w:widowControl/>
              <w:spacing w:line="560" w:lineRule="exact"/>
              <w:jc w:val="left"/>
              <w:rPr>
                <w:rFonts w:hint="eastAsia" w:ascii="宋体" w:hAnsi="宋体" w:eastAsia="宋体" w:cs="宋体"/>
                <w:color w:val="auto"/>
                <w:sz w:val="22"/>
                <w:szCs w:val="22"/>
                <w:highlight w:val="none"/>
              </w:rPr>
            </w:pPr>
          </w:p>
        </w:tc>
        <w:tc>
          <w:tcPr>
            <w:tcW w:w="534" w:type="dxa"/>
            <w:tcBorders>
              <w:top w:val="single" w:color="auto" w:sz="4" w:space="0"/>
              <w:left w:val="single" w:color="auto" w:sz="4" w:space="0"/>
              <w:bottom w:val="single" w:color="auto" w:sz="4" w:space="0"/>
              <w:right w:val="single" w:color="auto" w:sz="4" w:space="0"/>
            </w:tcBorders>
            <w:noWrap w:val="0"/>
            <w:vAlign w:val="center"/>
          </w:tcPr>
          <w:p w14:paraId="36E122D6">
            <w:pPr>
              <w:spacing w:line="440" w:lineRule="exact"/>
              <w:jc w:val="center"/>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4</w:t>
            </w:r>
          </w:p>
        </w:tc>
        <w:tc>
          <w:tcPr>
            <w:tcW w:w="3551" w:type="dxa"/>
            <w:tcBorders>
              <w:top w:val="single" w:color="auto" w:sz="4" w:space="0"/>
              <w:left w:val="single" w:color="auto" w:sz="4" w:space="0"/>
              <w:bottom w:val="single" w:color="auto" w:sz="4" w:space="0"/>
              <w:right w:val="single" w:color="auto" w:sz="4" w:space="0"/>
            </w:tcBorders>
            <w:noWrap w:val="0"/>
            <w:vAlign w:val="center"/>
          </w:tcPr>
          <w:p w14:paraId="6CA82B58">
            <w:pPr>
              <w:autoSpaceDE w:val="0"/>
              <w:autoSpaceDN w:val="0"/>
              <w:adjustRightInd w:val="0"/>
              <w:spacing w:line="240" w:lineRule="exact"/>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工程量清单及造价（修正稿）未按委托人要求的时间提交。</w:t>
            </w:r>
          </w:p>
          <w:p w14:paraId="78F58C20">
            <w:pPr>
              <w:spacing w:line="240" w:lineRule="exac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每延误1 天扣2.5 分,扣完为止</w:t>
            </w:r>
          </w:p>
        </w:tc>
        <w:tc>
          <w:tcPr>
            <w:tcW w:w="863" w:type="dxa"/>
            <w:tcBorders>
              <w:top w:val="single" w:color="auto" w:sz="4" w:space="0"/>
              <w:left w:val="single" w:color="auto" w:sz="4" w:space="0"/>
              <w:bottom w:val="single" w:color="auto" w:sz="4" w:space="0"/>
              <w:right w:val="single" w:color="auto" w:sz="4" w:space="0"/>
            </w:tcBorders>
            <w:noWrap w:val="0"/>
            <w:vAlign w:val="center"/>
          </w:tcPr>
          <w:p w14:paraId="418F53C2">
            <w:pPr>
              <w:spacing w:line="440" w:lineRule="exact"/>
              <w:jc w:val="center"/>
              <w:rPr>
                <w:rFonts w:hint="eastAsia" w:ascii="宋体" w:hAnsi="宋体" w:eastAsia="宋体" w:cs="宋体"/>
                <w:color w:val="auto"/>
                <w:sz w:val="22"/>
                <w:szCs w:val="22"/>
                <w:highlight w:val="none"/>
              </w:rPr>
            </w:pPr>
          </w:p>
        </w:tc>
        <w:tc>
          <w:tcPr>
            <w:tcW w:w="650" w:type="dxa"/>
            <w:tcBorders>
              <w:top w:val="single" w:color="auto" w:sz="4" w:space="0"/>
              <w:left w:val="single" w:color="auto" w:sz="4" w:space="0"/>
              <w:bottom w:val="single" w:color="auto" w:sz="4" w:space="0"/>
              <w:right w:val="single" w:color="auto" w:sz="4" w:space="0"/>
            </w:tcBorders>
            <w:noWrap w:val="0"/>
            <w:vAlign w:val="top"/>
          </w:tcPr>
          <w:p w14:paraId="080001A9">
            <w:pPr>
              <w:spacing w:line="440" w:lineRule="exact"/>
              <w:jc w:val="center"/>
              <w:rPr>
                <w:rFonts w:hint="eastAsia" w:ascii="宋体" w:hAnsi="宋体" w:eastAsia="宋体" w:cs="宋体"/>
                <w:color w:val="auto"/>
                <w:sz w:val="22"/>
                <w:szCs w:val="22"/>
                <w:highlight w:val="none"/>
              </w:rPr>
            </w:pPr>
          </w:p>
        </w:tc>
        <w:tc>
          <w:tcPr>
            <w:tcW w:w="744" w:type="dxa"/>
            <w:tcBorders>
              <w:top w:val="single" w:color="auto" w:sz="4" w:space="0"/>
              <w:left w:val="single" w:color="auto" w:sz="4" w:space="0"/>
              <w:bottom w:val="single" w:color="auto" w:sz="4" w:space="0"/>
              <w:right w:val="single" w:color="auto" w:sz="4" w:space="0"/>
            </w:tcBorders>
            <w:noWrap w:val="0"/>
            <w:vAlign w:val="top"/>
          </w:tcPr>
          <w:p w14:paraId="2BE53317">
            <w:pPr>
              <w:spacing w:line="440" w:lineRule="exact"/>
              <w:jc w:val="center"/>
              <w:rPr>
                <w:rFonts w:hint="eastAsia" w:ascii="宋体" w:hAnsi="宋体" w:eastAsia="宋体" w:cs="宋体"/>
                <w:color w:val="auto"/>
                <w:sz w:val="22"/>
                <w:szCs w:val="22"/>
                <w:highlight w:val="none"/>
              </w:rPr>
            </w:pPr>
          </w:p>
        </w:tc>
      </w:tr>
      <w:tr w14:paraId="21B7B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605" w:type="dxa"/>
            <w:vMerge w:val="continue"/>
            <w:tcBorders>
              <w:top w:val="single" w:color="auto" w:sz="4" w:space="0"/>
              <w:left w:val="single" w:color="auto" w:sz="4" w:space="0"/>
              <w:bottom w:val="single" w:color="auto" w:sz="4" w:space="0"/>
              <w:right w:val="single" w:color="auto" w:sz="4" w:space="0"/>
            </w:tcBorders>
            <w:noWrap w:val="0"/>
            <w:vAlign w:val="center"/>
          </w:tcPr>
          <w:p w14:paraId="6CC55893">
            <w:pPr>
              <w:widowControl/>
              <w:spacing w:line="560" w:lineRule="exact"/>
              <w:jc w:val="left"/>
              <w:rPr>
                <w:rFonts w:hint="eastAsia" w:ascii="宋体" w:hAnsi="宋体" w:eastAsia="宋体" w:cs="宋体"/>
                <w:b/>
                <w:bCs/>
                <w:color w:val="auto"/>
                <w:sz w:val="22"/>
                <w:szCs w:val="22"/>
                <w:highlight w:val="none"/>
              </w:rPr>
            </w:pPr>
          </w:p>
        </w:tc>
        <w:tc>
          <w:tcPr>
            <w:tcW w:w="865" w:type="dxa"/>
            <w:vMerge w:val="continue"/>
            <w:tcBorders>
              <w:top w:val="single" w:color="auto" w:sz="4" w:space="0"/>
              <w:left w:val="single" w:color="auto" w:sz="4" w:space="0"/>
              <w:bottom w:val="single" w:color="auto" w:sz="4" w:space="0"/>
              <w:right w:val="single" w:color="auto" w:sz="4" w:space="0"/>
            </w:tcBorders>
            <w:noWrap w:val="0"/>
            <w:vAlign w:val="center"/>
          </w:tcPr>
          <w:p w14:paraId="2FBD4797">
            <w:pPr>
              <w:widowControl/>
              <w:spacing w:line="560" w:lineRule="exact"/>
              <w:jc w:val="left"/>
              <w:rPr>
                <w:rFonts w:hint="eastAsia" w:ascii="宋体" w:hAnsi="宋体" w:eastAsia="宋体" w:cs="宋体"/>
                <w:color w:val="auto"/>
                <w:sz w:val="22"/>
                <w:szCs w:val="22"/>
                <w:highlight w:val="none"/>
              </w:rPr>
            </w:pPr>
          </w:p>
        </w:tc>
        <w:tc>
          <w:tcPr>
            <w:tcW w:w="716" w:type="dxa"/>
            <w:vMerge w:val="continue"/>
            <w:tcBorders>
              <w:top w:val="single" w:color="auto" w:sz="4" w:space="0"/>
              <w:left w:val="single" w:color="auto" w:sz="4" w:space="0"/>
              <w:bottom w:val="single" w:color="auto" w:sz="4" w:space="0"/>
              <w:right w:val="single" w:color="auto" w:sz="4" w:space="0"/>
            </w:tcBorders>
            <w:noWrap w:val="0"/>
            <w:vAlign w:val="center"/>
          </w:tcPr>
          <w:p w14:paraId="5C630BB7">
            <w:pPr>
              <w:widowControl/>
              <w:spacing w:line="560" w:lineRule="exact"/>
              <w:jc w:val="left"/>
              <w:rPr>
                <w:rFonts w:hint="eastAsia" w:ascii="宋体" w:hAnsi="宋体" w:eastAsia="宋体" w:cs="宋体"/>
                <w:color w:val="auto"/>
                <w:sz w:val="22"/>
                <w:szCs w:val="22"/>
                <w:highlight w:val="none"/>
              </w:rPr>
            </w:pPr>
          </w:p>
        </w:tc>
        <w:tc>
          <w:tcPr>
            <w:tcW w:w="534" w:type="dxa"/>
            <w:tcBorders>
              <w:top w:val="single" w:color="auto" w:sz="4" w:space="0"/>
              <w:left w:val="single" w:color="auto" w:sz="4" w:space="0"/>
              <w:bottom w:val="single" w:color="auto" w:sz="4" w:space="0"/>
              <w:right w:val="single" w:color="auto" w:sz="4" w:space="0"/>
            </w:tcBorders>
            <w:noWrap w:val="0"/>
            <w:vAlign w:val="center"/>
          </w:tcPr>
          <w:p w14:paraId="73DE8400">
            <w:pPr>
              <w:spacing w:line="440" w:lineRule="exact"/>
              <w:jc w:val="center"/>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5</w:t>
            </w:r>
          </w:p>
        </w:tc>
        <w:tc>
          <w:tcPr>
            <w:tcW w:w="3551" w:type="dxa"/>
            <w:tcBorders>
              <w:top w:val="single" w:color="auto" w:sz="4" w:space="0"/>
              <w:left w:val="single" w:color="auto" w:sz="4" w:space="0"/>
              <w:bottom w:val="single" w:color="auto" w:sz="4" w:space="0"/>
              <w:right w:val="single" w:color="auto" w:sz="4" w:space="0"/>
            </w:tcBorders>
            <w:noWrap w:val="0"/>
            <w:vAlign w:val="center"/>
          </w:tcPr>
          <w:p w14:paraId="55BD860C">
            <w:pPr>
              <w:autoSpaceDE w:val="0"/>
              <w:autoSpaceDN w:val="0"/>
              <w:adjustRightInd w:val="0"/>
              <w:spacing w:line="240" w:lineRule="exact"/>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未按委托人要求的时间完成工程量清单讨论、对数、审核工作。</w:t>
            </w:r>
          </w:p>
          <w:p w14:paraId="7927DD27">
            <w:pPr>
              <w:spacing w:line="240" w:lineRule="exac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每延误1 天扣2.5 分,扣完为止</w:t>
            </w:r>
          </w:p>
        </w:tc>
        <w:tc>
          <w:tcPr>
            <w:tcW w:w="863" w:type="dxa"/>
            <w:tcBorders>
              <w:top w:val="single" w:color="auto" w:sz="4" w:space="0"/>
              <w:left w:val="single" w:color="auto" w:sz="4" w:space="0"/>
              <w:bottom w:val="single" w:color="auto" w:sz="4" w:space="0"/>
              <w:right w:val="single" w:color="auto" w:sz="4" w:space="0"/>
            </w:tcBorders>
            <w:noWrap w:val="0"/>
            <w:vAlign w:val="center"/>
          </w:tcPr>
          <w:p w14:paraId="36605DB7">
            <w:pPr>
              <w:spacing w:line="440" w:lineRule="exact"/>
              <w:jc w:val="center"/>
              <w:rPr>
                <w:rFonts w:hint="eastAsia" w:ascii="宋体" w:hAnsi="宋体" w:eastAsia="宋体" w:cs="宋体"/>
                <w:color w:val="auto"/>
                <w:sz w:val="22"/>
                <w:szCs w:val="22"/>
                <w:highlight w:val="none"/>
              </w:rPr>
            </w:pPr>
          </w:p>
        </w:tc>
        <w:tc>
          <w:tcPr>
            <w:tcW w:w="650" w:type="dxa"/>
            <w:tcBorders>
              <w:top w:val="single" w:color="auto" w:sz="4" w:space="0"/>
              <w:left w:val="single" w:color="auto" w:sz="4" w:space="0"/>
              <w:bottom w:val="single" w:color="auto" w:sz="4" w:space="0"/>
              <w:right w:val="single" w:color="auto" w:sz="4" w:space="0"/>
            </w:tcBorders>
            <w:noWrap w:val="0"/>
            <w:vAlign w:val="top"/>
          </w:tcPr>
          <w:p w14:paraId="41D6CD7E">
            <w:pPr>
              <w:spacing w:line="440" w:lineRule="exact"/>
              <w:jc w:val="center"/>
              <w:rPr>
                <w:rFonts w:hint="eastAsia" w:ascii="宋体" w:hAnsi="宋体" w:eastAsia="宋体" w:cs="宋体"/>
                <w:color w:val="auto"/>
                <w:sz w:val="22"/>
                <w:szCs w:val="22"/>
                <w:highlight w:val="none"/>
              </w:rPr>
            </w:pPr>
          </w:p>
        </w:tc>
        <w:tc>
          <w:tcPr>
            <w:tcW w:w="744" w:type="dxa"/>
            <w:tcBorders>
              <w:top w:val="single" w:color="auto" w:sz="4" w:space="0"/>
              <w:left w:val="single" w:color="auto" w:sz="4" w:space="0"/>
              <w:bottom w:val="single" w:color="auto" w:sz="4" w:space="0"/>
              <w:right w:val="single" w:color="auto" w:sz="4" w:space="0"/>
            </w:tcBorders>
            <w:noWrap w:val="0"/>
            <w:vAlign w:val="top"/>
          </w:tcPr>
          <w:p w14:paraId="4F087DDF">
            <w:pPr>
              <w:spacing w:line="440" w:lineRule="exact"/>
              <w:jc w:val="center"/>
              <w:rPr>
                <w:rFonts w:hint="eastAsia" w:ascii="宋体" w:hAnsi="宋体" w:eastAsia="宋体" w:cs="宋体"/>
                <w:color w:val="auto"/>
                <w:sz w:val="22"/>
                <w:szCs w:val="22"/>
                <w:highlight w:val="none"/>
              </w:rPr>
            </w:pPr>
          </w:p>
        </w:tc>
      </w:tr>
      <w:tr w14:paraId="1569F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jc w:val="center"/>
        </w:trPr>
        <w:tc>
          <w:tcPr>
            <w:tcW w:w="605" w:type="dxa"/>
            <w:vMerge w:val="continue"/>
            <w:tcBorders>
              <w:top w:val="single" w:color="auto" w:sz="4" w:space="0"/>
              <w:left w:val="single" w:color="auto" w:sz="4" w:space="0"/>
              <w:bottom w:val="single" w:color="auto" w:sz="4" w:space="0"/>
              <w:right w:val="single" w:color="auto" w:sz="4" w:space="0"/>
            </w:tcBorders>
            <w:noWrap w:val="0"/>
            <w:vAlign w:val="center"/>
          </w:tcPr>
          <w:p w14:paraId="2B1648BB">
            <w:pPr>
              <w:widowControl/>
              <w:spacing w:line="560" w:lineRule="exact"/>
              <w:jc w:val="left"/>
              <w:rPr>
                <w:rFonts w:hint="eastAsia" w:ascii="宋体" w:hAnsi="宋体" w:eastAsia="宋体" w:cs="宋体"/>
                <w:b/>
                <w:bCs/>
                <w:color w:val="auto"/>
                <w:sz w:val="22"/>
                <w:szCs w:val="22"/>
                <w:highlight w:val="none"/>
              </w:rPr>
            </w:pPr>
          </w:p>
        </w:tc>
        <w:tc>
          <w:tcPr>
            <w:tcW w:w="865" w:type="dxa"/>
            <w:vMerge w:val="continue"/>
            <w:tcBorders>
              <w:top w:val="single" w:color="auto" w:sz="4" w:space="0"/>
              <w:left w:val="single" w:color="auto" w:sz="4" w:space="0"/>
              <w:bottom w:val="single" w:color="auto" w:sz="4" w:space="0"/>
              <w:right w:val="single" w:color="auto" w:sz="4" w:space="0"/>
            </w:tcBorders>
            <w:noWrap w:val="0"/>
            <w:vAlign w:val="center"/>
          </w:tcPr>
          <w:p w14:paraId="7C857AA8">
            <w:pPr>
              <w:widowControl/>
              <w:spacing w:line="560" w:lineRule="exact"/>
              <w:jc w:val="left"/>
              <w:rPr>
                <w:rFonts w:hint="eastAsia" w:ascii="宋体" w:hAnsi="宋体" w:eastAsia="宋体" w:cs="宋体"/>
                <w:color w:val="auto"/>
                <w:sz w:val="22"/>
                <w:szCs w:val="22"/>
                <w:highlight w:val="none"/>
              </w:rPr>
            </w:pPr>
          </w:p>
        </w:tc>
        <w:tc>
          <w:tcPr>
            <w:tcW w:w="716" w:type="dxa"/>
            <w:vMerge w:val="continue"/>
            <w:tcBorders>
              <w:top w:val="single" w:color="auto" w:sz="4" w:space="0"/>
              <w:left w:val="single" w:color="auto" w:sz="4" w:space="0"/>
              <w:bottom w:val="single" w:color="auto" w:sz="4" w:space="0"/>
              <w:right w:val="single" w:color="auto" w:sz="4" w:space="0"/>
            </w:tcBorders>
            <w:noWrap w:val="0"/>
            <w:vAlign w:val="center"/>
          </w:tcPr>
          <w:p w14:paraId="5F83A030">
            <w:pPr>
              <w:widowControl/>
              <w:spacing w:line="560" w:lineRule="exact"/>
              <w:jc w:val="left"/>
              <w:rPr>
                <w:rFonts w:hint="eastAsia" w:ascii="宋体" w:hAnsi="宋体" w:eastAsia="宋体" w:cs="宋体"/>
                <w:color w:val="auto"/>
                <w:sz w:val="22"/>
                <w:szCs w:val="22"/>
                <w:highlight w:val="none"/>
              </w:rPr>
            </w:pPr>
          </w:p>
        </w:tc>
        <w:tc>
          <w:tcPr>
            <w:tcW w:w="534" w:type="dxa"/>
            <w:tcBorders>
              <w:top w:val="single" w:color="auto" w:sz="4" w:space="0"/>
              <w:left w:val="single" w:color="auto" w:sz="4" w:space="0"/>
              <w:bottom w:val="single" w:color="auto" w:sz="4" w:space="0"/>
              <w:right w:val="single" w:color="auto" w:sz="4" w:space="0"/>
            </w:tcBorders>
            <w:noWrap w:val="0"/>
            <w:vAlign w:val="center"/>
          </w:tcPr>
          <w:p w14:paraId="14AAAC43">
            <w:pPr>
              <w:spacing w:line="440" w:lineRule="exact"/>
              <w:jc w:val="center"/>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6</w:t>
            </w:r>
          </w:p>
        </w:tc>
        <w:tc>
          <w:tcPr>
            <w:tcW w:w="3551" w:type="dxa"/>
            <w:tcBorders>
              <w:top w:val="single" w:color="auto" w:sz="4" w:space="0"/>
              <w:left w:val="single" w:color="auto" w:sz="4" w:space="0"/>
              <w:bottom w:val="single" w:color="auto" w:sz="4" w:space="0"/>
              <w:right w:val="single" w:color="auto" w:sz="4" w:space="0"/>
            </w:tcBorders>
            <w:noWrap w:val="0"/>
            <w:vAlign w:val="center"/>
          </w:tcPr>
          <w:p w14:paraId="4E0BC0C6">
            <w:pPr>
              <w:autoSpaceDE w:val="0"/>
              <w:autoSpaceDN w:val="0"/>
              <w:adjustRightInd w:val="0"/>
              <w:spacing w:line="240" w:lineRule="exact"/>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工程量清单及造价（终稿）未按委托人要求的时间提交。</w:t>
            </w:r>
          </w:p>
          <w:p w14:paraId="16B020B2">
            <w:pPr>
              <w:autoSpaceDE w:val="0"/>
              <w:autoSpaceDN w:val="0"/>
              <w:adjustRightInd w:val="0"/>
              <w:spacing w:line="240" w:lineRule="exact"/>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每延误1 天扣2.5 分,扣完为止</w:t>
            </w:r>
          </w:p>
        </w:tc>
        <w:tc>
          <w:tcPr>
            <w:tcW w:w="863" w:type="dxa"/>
            <w:tcBorders>
              <w:top w:val="single" w:color="auto" w:sz="4" w:space="0"/>
              <w:left w:val="single" w:color="auto" w:sz="4" w:space="0"/>
              <w:bottom w:val="single" w:color="auto" w:sz="4" w:space="0"/>
              <w:right w:val="single" w:color="auto" w:sz="4" w:space="0"/>
            </w:tcBorders>
            <w:noWrap w:val="0"/>
            <w:vAlign w:val="center"/>
          </w:tcPr>
          <w:p w14:paraId="7CD2E083">
            <w:pPr>
              <w:spacing w:line="440" w:lineRule="exact"/>
              <w:jc w:val="center"/>
              <w:rPr>
                <w:rFonts w:hint="eastAsia" w:ascii="宋体" w:hAnsi="宋体" w:eastAsia="宋体" w:cs="宋体"/>
                <w:color w:val="auto"/>
                <w:sz w:val="22"/>
                <w:szCs w:val="22"/>
                <w:highlight w:val="none"/>
              </w:rPr>
            </w:pPr>
          </w:p>
        </w:tc>
        <w:tc>
          <w:tcPr>
            <w:tcW w:w="650" w:type="dxa"/>
            <w:tcBorders>
              <w:top w:val="single" w:color="auto" w:sz="4" w:space="0"/>
              <w:left w:val="single" w:color="auto" w:sz="4" w:space="0"/>
              <w:bottom w:val="single" w:color="auto" w:sz="4" w:space="0"/>
              <w:right w:val="single" w:color="auto" w:sz="4" w:space="0"/>
            </w:tcBorders>
            <w:noWrap w:val="0"/>
            <w:vAlign w:val="top"/>
          </w:tcPr>
          <w:p w14:paraId="6E614426">
            <w:pPr>
              <w:spacing w:line="440" w:lineRule="exact"/>
              <w:jc w:val="center"/>
              <w:rPr>
                <w:rFonts w:hint="eastAsia" w:ascii="宋体" w:hAnsi="宋体" w:eastAsia="宋体" w:cs="宋体"/>
                <w:color w:val="auto"/>
                <w:sz w:val="22"/>
                <w:szCs w:val="22"/>
                <w:highlight w:val="none"/>
              </w:rPr>
            </w:pPr>
          </w:p>
        </w:tc>
        <w:tc>
          <w:tcPr>
            <w:tcW w:w="744" w:type="dxa"/>
            <w:tcBorders>
              <w:top w:val="single" w:color="auto" w:sz="4" w:space="0"/>
              <w:left w:val="single" w:color="auto" w:sz="4" w:space="0"/>
              <w:bottom w:val="single" w:color="auto" w:sz="4" w:space="0"/>
              <w:right w:val="single" w:color="auto" w:sz="4" w:space="0"/>
            </w:tcBorders>
            <w:noWrap w:val="0"/>
            <w:vAlign w:val="top"/>
          </w:tcPr>
          <w:p w14:paraId="1EFDE3A3">
            <w:pPr>
              <w:spacing w:line="440" w:lineRule="exact"/>
              <w:jc w:val="center"/>
              <w:rPr>
                <w:rFonts w:hint="eastAsia" w:ascii="宋体" w:hAnsi="宋体" w:eastAsia="宋体" w:cs="宋体"/>
                <w:color w:val="auto"/>
                <w:sz w:val="22"/>
                <w:szCs w:val="22"/>
                <w:highlight w:val="none"/>
              </w:rPr>
            </w:pPr>
          </w:p>
        </w:tc>
      </w:tr>
      <w:tr w14:paraId="323C9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jc w:val="center"/>
        </w:trPr>
        <w:tc>
          <w:tcPr>
            <w:tcW w:w="605" w:type="dxa"/>
            <w:vMerge w:val="continue"/>
            <w:tcBorders>
              <w:top w:val="single" w:color="auto" w:sz="4" w:space="0"/>
              <w:left w:val="single" w:color="auto" w:sz="4" w:space="0"/>
              <w:bottom w:val="single" w:color="auto" w:sz="4" w:space="0"/>
              <w:right w:val="single" w:color="auto" w:sz="4" w:space="0"/>
            </w:tcBorders>
            <w:noWrap w:val="0"/>
            <w:vAlign w:val="center"/>
          </w:tcPr>
          <w:p w14:paraId="4F186DCF">
            <w:pPr>
              <w:widowControl/>
              <w:spacing w:line="560" w:lineRule="exact"/>
              <w:jc w:val="left"/>
              <w:rPr>
                <w:rFonts w:hint="eastAsia" w:ascii="宋体" w:hAnsi="宋体" w:eastAsia="宋体" w:cs="宋体"/>
                <w:b/>
                <w:bCs/>
                <w:color w:val="auto"/>
                <w:sz w:val="22"/>
                <w:szCs w:val="22"/>
                <w:highlight w:val="none"/>
              </w:rPr>
            </w:pPr>
          </w:p>
        </w:tc>
        <w:tc>
          <w:tcPr>
            <w:tcW w:w="865" w:type="dxa"/>
            <w:vMerge w:val="continue"/>
            <w:tcBorders>
              <w:top w:val="single" w:color="auto" w:sz="4" w:space="0"/>
              <w:left w:val="single" w:color="auto" w:sz="4" w:space="0"/>
              <w:bottom w:val="single" w:color="auto" w:sz="4" w:space="0"/>
              <w:right w:val="single" w:color="auto" w:sz="4" w:space="0"/>
            </w:tcBorders>
            <w:noWrap w:val="0"/>
            <w:vAlign w:val="center"/>
          </w:tcPr>
          <w:p w14:paraId="4A51381F">
            <w:pPr>
              <w:widowControl/>
              <w:spacing w:line="560" w:lineRule="exact"/>
              <w:jc w:val="left"/>
              <w:rPr>
                <w:rFonts w:hint="eastAsia" w:ascii="宋体" w:hAnsi="宋体" w:eastAsia="宋体" w:cs="宋体"/>
                <w:color w:val="auto"/>
                <w:sz w:val="22"/>
                <w:szCs w:val="22"/>
                <w:highlight w:val="none"/>
              </w:rPr>
            </w:pPr>
          </w:p>
        </w:tc>
        <w:tc>
          <w:tcPr>
            <w:tcW w:w="716" w:type="dxa"/>
            <w:vMerge w:val="continue"/>
            <w:tcBorders>
              <w:top w:val="single" w:color="auto" w:sz="4" w:space="0"/>
              <w:left w:val="single" w:color="auto" w:sz="4" w:space="0"/>
              <w:bottom w:val="single" w:color="auto" w:sz="4" w:space="0"/>
              <w:right w:val="single" w:color="auto" w:sz="4" w:space="0"/>
            </w:tcBorders>
            <w:noWrap w:val="0"/>
            <w:vAlign w:val="center"/>
          </w:tcPr>
          <w:p w14:paraId="46B04D3E">
            <w:pPr>
              <w:widowControl/>
              <w:spacing w:line="560" w:lineRule="exact"/>
              <w:jc w:val="left"/>
              <w:rPr>
                <w:rFonts w:hint="eastAsia" w:ascii="宋体" w:hAnsi="宋体" w:eastAsia="宋体" w:cs="宋体"/>
                <w:color w:val="auto"/>
                <w:sz w:val="22"/>
                <w:szCs w:val="22"/>
                <w:highlight w:val="none"/>
              </w:rPr>
            </w:pPr>
          </w:p>
        </w:tc>
        <w:tc>
          <w:tcPr>
            <w:tcW w:w="534" w:type="dxa"/>
            <w:tcBorders>
              <w:top w:val="single" w:color="auto" w:sz="4" w:space="0"/>
              <w:left w:val="single" w:color="auto" w:sz="4" w:space="0"/>
              <w:bottom w:val="single" w:color="auto" w:sz="4" w:space="0"/>
              <w:right w:val="single" w:color="auto" w:sz="4" w:space="0"/>
            </w:tcBorders>
            <w:noWrap w:val="0"/>
            <w:vAlign w:val="center"/>
          </w:tcPr>
          <w:p w14:paraId="520547E2">
            <w:pPr>
              <w:spacing w:line="440" w:lineRule="exact"/>
              <w:jc w:val="center"/>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7</w:t>
            </w:r>
          </w:p>
        </w:tc>
        <w:tc>
          <w:tcPr>
            <w:tcW w:w="3551" w:type="dxa"/>
            <w:tcBorders>
              <w:top w:val="single" w:color="auto" w:sz="4" w:space="0"/>
              <w:left w:val="single" w:color="auto" w:sz="4" w:space="0"/>
              <w:bottom w:val="single" w:color="auto" w:sz="4" w:space="0"/>
              <w:right w:val="single" w:color="auto" w:sz="4" w:space="0"/>
            </w:tcBorders>
            <w:noWrap w:val="0"/>
            <w:vAlign w:val="center"/>
          </w:tcPr>
          <w:p w14:paraId="3F92DABC">
            <w:pPr>
              <w:autoSpaceDE w:val="0"/>
              <w:autoSpaceDN w:val="0"/>
              <w:adjustRightInd w:val="0"/>
              <w:spacing w:line="240" w:lineRule="exact"/>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未按委托人要求的时间完成网上备案手续或工程量清单复核或动态成本控制报告编制工作。</w:t>
            </w:r>
          </w:p>
          <w:p w14:paraId="25B5BFA7">
            <w:pPr>
              <w:spacing w:line="240" w:lineRule="exac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每延误1 天扣2.5 分,扣完为止</w:t>
            </w:r>
          </w:p>
        </w:tc>
        <w:tc>
          <w:tcPr>
            <w:tcW w:w="863" w:type="dxa"/>
            <w:tcBorders>
              <w:top w:val="single" w:color="auto" w:sz="4" w:space="0"/>
              <w:left w:val="single" w:color="auto" w:sz="4" w:space="0"/>
              <w:bottom w:val="single" w:color="auto" w:sz="4" w:space="0"/>
              <w:right w:val="single" w:color="auto" w:sz="4" w:space="0"/>
            </w:tcBorders>
            <w:noWrap w:val="0"/>
            <w:vAlign w:val="center"/>
          </w:tcPr>
          <w:p w14:paraId="591576EF">
            <w:pPr>
              <w:spacing w:line="440" w:lineRule="exact"/>
              <w:jc w:val="center"/>
              <w:rPr>
                <w:rFonts w:hint="eastAsia" w:ascii="宋体" w:hAnsi="宋体" w:eastAsia="宋体" w:cs="宋体"/>
                <w:color w:val="auto"/>
                <w:sz w:val="22"/>
                <w:szCs w:val="22"/>
                <w:highlight w:val="none"/>
              </w:rPr>
            </w:pPr>
          </w:p>
        </w:tc>
        <w:tc>
          <w:tcPr>
            <w:tcW w:w="650" w:type="dxa"/>
            <w:tcBorders>
              <w:top w:val="single" w:color="auto" w:sz="4" w:space="0"/>
              <w:left w:val="single" w:color="auto" w:sz="4" w:space="0"/>
              <w:bottom w:val="single" w:color="auto" w:sz="4" w:space="0"/>
              <w:right w:val="single" w:color="auto" w:sz="4" w:space="0"/>
            </w:tcBorders>
            <w:noWrap w:val="0"/>
            <w:vAlign w:val="top"/>
          </w:tcPr>
          <w:p w14:paraId="3384FC6C">
            <w:pPr>
              <w:spacing w:line="440" w:lineRule="exact"/>
              <w:jc w:val="center"/>
              <w:rPr>
                <w:rFonts w:hint="eastAsia" w:ascii="宋体" w:hAnsi="宋体" w:eastAsia="宋体" w:cs="宋体"/>
                <w:color w:val="auto"/>
                <w:sz w:val="22"/>
                <w:szCs w:val="22"/>
                <w:highlight w:val="none"/>
              </w:rPr>
            </w:pPr>
          </w:p>
        </w:tc>
        <w:tc>
          <w:tcPr>
            <w:tcW w:w="744" w:type="dxa"/>
            <w:tcBorders>
              <w:top w:val="single" w:color="auto" w:sz="4" w:space="0"/>
              <w:left w:val="single" w:color="auto" w:sz="4" w:space="0"/>
              <w:bottom w:val="single" w:color="auto" w:sz="4" w:space="0"/>
              <w:right w:val="single" w:color="auto" w:sz="4" w:space="0"/>
            </w:tcBorders>
            <w:noWrap w:val="0"/>
            <w:vAlign w:val="top"/>
          </w:tcPr>
          <w:p w14:paraId="7B4EA368">
            <w:pPr>
              <w:spacing w:line="440" w:lineRule="exact"/>
              <w:jc w:val="center"/>
              <w:rPr>
                <w:rFonts w:hint="eastAsia" w:ascii="宋体" w:hAnsi="宋体" w:eastAsia="宋体" w:cs="宋体"/>
                <w:color w:val="auto"/>
                <w:sz w:val="22"/>
                <w:szCs w:val="22"/>
                <w:highlight w:val="none"/>
              </w:rPr>
            </w:pPr>
          </w:p>
        </w:tc>
      </w:tr>
      <w:tr w14:paraId="31DF5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05" w:type="dxa"/>
            <w:vMerge w:val="continue"/>
            <w:tcBorders>
              <w:top w:val="single" w:color="auto" w:sz="4" w:space="0"/>
              <w:left w:val="single" w:color="auto" w:sz="4" w:space="0"/>
              <w:bottom w:val="single" w:color="auto" w:sz="4" w:space="0"/>
              <w:right w:val="single" w:color="auto" w:sz="4" w:space="0"/>
            </w:tcBorders>
            <w:noWrap w:val="0"/>
            <w:vAlign w:val="center"/>
          </w:tcPr>
          <w:p w14:paraId="047A9C8F">
            <w:pPr>
              <w:widowControl/>
              <w:spacing w:line="560" w:lineRule="exact"/>
              <w:jc w:val="left"/>
              <w:rPr>
                <w:rFonts w:hint="eastAsia" w:ascii="宋体" w:hAnsi="宋体" w:eastAsia="宋体" w:cs="宋体"/>
                <w:b/>
                <w:bCs/>
                <w:color w:val="auto"/>
                <w:sz w:val="22"/>
                <w:szCs w:val="22"/>
                <w:highlight w:val="none"/>
              </w:rPr>
            </w:pPr>
          </w:p>
        </w:tc>
        <w:tc>
          <w:tcPr>
            <w:tcW w:w="865" w:type="dxa"/>
            <w:vMerge w:val="continue"/>
            <w:tcBorders>
              <w:top w:val="single" w:color="auto" w:sz="4" w:space="0"/>
              <w:left w:val="single" w:color="auto" w:sz="4" w:space="0"/>
              <w:bottom w:val="single" w:color="auto" w:sz="4" w:space="0"/>
              <w:right w:val="single" w:color="auto" w:sz="4" w:space="0"/>
            </w:tcBorders>
            <w:noWrap w:val="0"/>
            <w:vAlign w:val="center"/>
          </w:tcPr>
          <w:p w14:paraId="7E6D85F9">
            <w:pPr>
              <w:widowControl/>
              <w:spacing w:line="560" w:lineRule="exact"/>
              <w:jc w:val="left"/>
              <w:rPr>
                <w:rFonts w:hint="eastAsia" w:ascii="宋体" w:hAnsi="宋体" w:eastAsia="宋体" w:cs="宋体"/>
                <w:color w:val="auto"/>
                <w:sz w:val="22"/>
                <w:szCs w:val="22"/>
                <w:highlight w:val="none"/>
              </w:rPr>
            </w:pPr>
          </w:p>
        </w:tc>
        <w:tc>
          <w:tcPr>
            <w:tcW w:w="4801" w:type="dxa"/>
            <w:gridSpan w:val="3"/>
            <w:tcBorders>
              <w:top w:val="single" w:color="auto" w:sz="4" w:space="0"/>
              <w:left w:val="single" w:color="auto" w:sz="4" w:space="0"/>
              <w:bottom w:val="single" w:color="auto" w:sz="4" w:space="0"/>
              <w:right w:val="single" w:color="auto" w:sz="4" w:space="0"/>
            </w:tcBorders>
            <w:noWrap w:val="0"/>
            <w:vAlign w:val="center"/>
          </w:tcPr>
          <w:p w14:paraId="08FCDAFC">
            <w:pPr>
              <w:spacing w:line="240" w:lineRule="exact"/>
              <w:jc w:val="center"/>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小计（分项基本分-扣除分数）</w:t>
            </w:r>
          </w:p>
        </w:tc>
        <w:tc>
          <w:tcPr>
            <w:tcW w:w="863" w:type="dxa"/>
            <w:tcBorders>
              <w:top w:val="single" w:color="auto" w:sz="4" w:space="0"/>
              <w:left w:val="single" w:color="auto" w:sz="4" w:space="0"/>
              <w:bottom w:val="single" w:color="auto" w:sz="4" w:space="0"/>
              <w:right w:val="single" w:color="auto" w:sz="4" w:space="0"/>
            </w:tcBorders>
            <w:noWrap w:val="0"/>
            <w:vAlign w:val="center"/>
          </w:tcPr>
          <w:p w14:paraId="79425F55">
            <w:pPr>
              <w:spacing w:line="440" w:lineRule="exact"/>
              <w:jc w:val="center"/>
              <w:rPr>
                <w:rFonts w:hint="eastAsia" w:ascii="宋体" w:hAnsi="宋体" w:eastAsia="宋体" w:cs="宋体"/>
                <w:color w:val="auto"/>
                <w:sz w:val="22"/>
                <w:szCs w:val="22"/>
                <w:highlight w:val="none"/>
              </w:rPr>
            </w:pPr>
          </w:p>
        </w:tc>
        <w:tc>
          <w:tcPr>
            <w:tcW w:w="650" w:type="dxa"/>
            <w:tcBorders>
              <w:top w:val="single" w:color="auto" w:sz="4" w:space="0"/>
              <w:left w:val="single" w:color="auto" w:sz="4" w:space="0"/>
              <w:bottom w:val="single" w:color="auto" w:sz="4" w:space="0"/>
              <w:right w:val="single" w:color="auto" w:sz="4" w:space="0"/>
            </w:tcBorders>
            <w:noWrap w:val="0"/>
            <w:vAlign w:val="top"/>
          </w:tcPr>
          <w:p w14:paraId="7919E792">
            <w:pPr>
              <w:spacing w:line="440" w:lineRule="exact"/>
              <w:jc w:val="center"/>
              <w:rPr>
                <w:rFonts w:hint="eastAsia" w:ascii="宋体" w:hAnsi="宋体" w:eastAsia="宋体" w:cs="宋体"/>
                <w:color w:val="auto"/>
                <w:sz w:val="22"/>
                <w:szCs w:val="22"/>
                <w:highlight w:val="none"/>
              </w:rPr>
            </w:pPr>
          </w:p>
        </w:tc>
        <w:tc>
          <w:tcPr>
            <w:tcW w:w="744" w:type="dxa"/>
            <w:tcBorders>
              <w:top w:val="single" w:color="auto" w:sz="4" w:space="0"/>
              <w:left w:val="single" w:color="auto" w:sz="4" w:space="0"/>
              <w:bottom w:val="single" w:color="auto" w:sz="4" w:space="0"/>
              <w:right w:val="single" w:color="auto" w:sz="4" w:space="0"/>
            </w:tcBorders>
            <w:noWrap w:val="0"/>
            <w:vAlign w:val="top"/>
          </w:tcPr>
          <w:p w14:paraId="0246D758">
            <w:pPr>
              <w:spacing w:line="440" w:lineRule="exact"/>
              <w:jc w:val="center"/>
              <w:rPr>
                <w:rFonts w:hint="eastAsia" w:ascii="宋体" w:hAnsi="宋体" w:eastAsia="宋体" w:cs="宋体"/>
                <w:color w:val="auto"/>
                <w:sz w:val="22"/>
                <w:szCs w:val="22"/>
                <w:highlight w:val="none"/>
              </w:rPr>
            </w:pPr>
          </w:p>
        </w:tc>
      </w:tr>
      <w:tr w14:paraId="46881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jc w:val="center"/>
        </w:trPr>
        <w:tc>
          <w:tcPr>
            <w:tcW w:w="605" w:type="dxa"/>
            <w:vMerge w:val="restart"/>
            <w:tcBorders>
              <w:top w:val="single" w:color="auto" w:sz="4" w:space="0"/>
              <w:left w:val="single" w:color="auto" w:sz="4" w:space="0"/>
              <w:bottom w:val="single" w:color="auto" w:sz="4" w:space="0"/>
              <w:right w:val="single" w:color="auto" w:sz="4" w:space="0"/>
            </w:tcBorders>
            <w:noWrap w:val="0"/>
            <w:vAlign w:val="center"/>
          </w:tcPr>
          <w:p w14:paraId="5C12F6C2">
            <w:pPr>
              <w:spacing w:line="44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三</w:t>
            </w:r>
          </w:p>
        </w:tc>
        <w:tc>
          <w:tcPr>
            <w:tcW w:w="865" w:type="dxa"/>
            <w:vMerge w:val="restart"/>
            <w:tcBorders>
              <w:top w:val="single" w:color="auto" w:sz="4" w:space="0"/>
              <w:left w:val="single" w:color="auto" w:sz="4" w:space="0"/>
              <w:bottom w:val="single" w:color="auto" w:sz="4" w:space="0"/>
              <w:right w:val="single" w:color="auto" w:sz="4" w:space="0"/>
            </w:tcBorders>
            <w:noWrap w:val="0"/>
            <w:textDirection w:val="tbRlV"/>
            <w:vAlign w:val="center"/>
          </w:tcPr>
          <w:p w14:paraId="0A9DD91D">
            <w:pPr>
              <w:spacing w:line="440" w:lineRule="exact"/>
              <w:ind w:left="113" w:right="113"/>
              <w:jc w:val="center"/>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服务质量</w:t>
            </w:r>
          </w:p>
        </w:tc>
        <w:tc>
          <w:tcPr>
            <w:tcW w:w="716" w:type="dxa"/>
            <w:vMerge w:val="restart"/>
            <w:tcBorders>
              <w:top w:val="single" w:color="auto" w:sz="4" w:space="0"/>
              <w:left w:val="single" w:color="auto" w:sz="4" w:space="0"/>
              <w:bottom w:val="single" w:color="auto" w:sz="4" w:space="0"/>
              <w:right w:val="single" w:color="auto" w:sz="4" w:space="0"/>
            </w:tcBorders>
            <w:noWrap w:val="0"/>
            <w:vAlign w:val="center"/>
          </w:tcPr>
          <w:p w14:paraId="0C0074AD">
            <w:pPr>
              <w:spacing w:line="440" w:lineRule="exact"/>
              <w:jc w:val="center"/>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40</w:t>
            </w:r>
          </w:p>
        </w:tc>
        <w:tc>
          <w:tcPr>
            <w:tcW w:w="534" w:type="dxa"/>
            <w:tcBorders>
              <w:top w:val="single" w:color="auto" w:sz="4" w:space="0"/>
              <w:left w:val="single" w:color="auto" w:sz="4" w:space="0"/>
              <w:bottom w:val="single" w:color="auto" w:sz="4" w:space="0"/>
              <w:right w:val="single" w:color="auto" w:sz="4" w:space="0"/>
            </w:tcBorders>
            <w:noWrap w:val="0"/>
            <w:vAlign w:val="center"/>
          </w:tcPr>
          <w:p w14:paraId="6B772524">
            <w:pPr>
              <w:spacing w:line="440" w:lineRule="exact"/>
              <w:jc w:val="center"/>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1</w:t>
            </w:r>
          </w:p>
        </w:tc>
        <w:tc>
          <w:tcPr>
            <w:tcW w:w="3551" w:type="dxa"/>
            <w:tcBorders>
              <w:top w:val="single" w:color="auto" w:sz="4" w:space="0"/>
              <w:left w:val="single" w:color="auto" w:sz="4" w:space="0"/>
              <w:bottom w:val="single" w:color="auto" w:sz="4" w:space="0"/>
              <w:right w:val="single" w:color="auto" w:sz="4" w:space="0"/>
            </w:tcBorders>
            <w:noWrap w:val="0"/>
            <w:vAlign w:val="center"/>
          </w:tcPr>
          <w:p w14:paraId="066B6C46">
            <w:pPr>
              <w:spacing w:line="240" w:lineRule="exac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工程造价部分</w:t>
            </w:r>
          </w:p>
          <w:p w14:paraId="6D8D029E">
            <w:pPr>
              <w:spacing w:line="240" w:lineRule="exac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（1）编制总价与审定总价偏差在</w:t>
            </w:r>
            <w:r>
              <w:rPr>
                <w:rFonts w:hint="eastAsia" w:ascii="宋体" w:hAnsi="宋体" w:cs="宋体"/>
                <w:color w:val="auto"/>
                <w:kern w:val="0"/>
                <w:sz w:val="22"/>
                <w:szCs w:val="22"/>
                <w:highlight w:val="none"/>
                <w:lang w:val="en-US" w:eastAsia="zh-CN"/>
              </w:rPr>
              <w:t>3</w:t>
            </w:r>
            <w:r>
              <w:rPr>
                <w:rFonts w:hint="eastAsia" w:ascii="宋体" w:hAnsi="宋体" w:eastAsia="宋体" w:cs="宋体"/>
                <w:color w:val="auto"/>
                <w:kern w:val="0"/>
                <w:sz w:val="22"/>
                <w:szCs w:val="22"/>
                <w:highlight w:val="none"/>
              </w:rPr>
              <w:t>%（含本数）~</w:t>
            </w:r>
            <w:r>
              <w:rPr>
                <w:rFonts w:hint="eastAsia" w:ascii="宋体" w:hAnsi="宋体" w:cs="宋体"/>
                <w:color w:val="auto"/>
                <w:kern w:val="0"/>
                <w:sz w:val="22"/>
                <w:szCs w:val="22"/>
                <w:highlight w:val="none"/>
                <w:lang w:val="en-US" w:eastAsia="zh-CN"/>
              </w:rPr>
              <w:t>5</w:t>
            </w:r>
            <w:r>
              <w:rPr>
                <w:rFonts w:hint="eastAsia" w:ascii="宋体" w:hAnsi="宋体" w:eastAsia="宋体" w:cs="宋体"/>
                <w:color w:val="auto"/>
                <w:kern w:val="0"/>
                <w:sz w:val="22"/>
                <w:szCs w:val="22"/>
                <w:highlight w:val="none"/>
              </w:rPr>
              <w:t>%（不含本数）的扣10分，</w:t>
            </w:r>
            <w:r>
              <w:rPr>
                <w:rFonts w:hint="eastAsia" w:ascii="宋体" w:hAnsi="宋体" w:cs="宋体"/>
                <w:color w:val="auto"/>
                <w:kern w:val="0"/>
                <w:sz w:val="22"/>
                <w:szCs w:val="22"/>
                <w:highlight w:val="none"/>
                <w:lang w:val="en-US" w:eastAsia="zh-CN"/>
              </w:rPr>
              <w:t>5</w:t>
            </w:r>
            <w:r>
              <w:rPr>
                <w:rFonts w:hint="eastAsia" w:ascii="宋体" w:hAnsi="宋体" w:eastAsia="宋体" w:cs="宋体"/>
                <w:color w:val="auto"/>
                <w:kern w:val="0"/>
                <w:sz w:val="22"/>
                <w:szCs w:val="22"/>
                <w:highlight w:val="none"/>
              </w:rPr>
              <w:t>%（含本数）~</w:t>
            </w:r>
            <w:r>
              <w:rPr>
                <w:rFonts w:hint="eastAsia" w:ascii="宋体" w:hAnsi="宋体" w:cs="宋体"/>
                <w:color w:val="auto"/>
                <w:kern w:val="0"/>
                <w:sz w:val="22"/>
                <w:szCs w:val="22"/>
                <w:highlight w:val="none"/>
                <w:lang w:val="en-US" w:eastAsia="zh-CN"/>
              </w:rPr>
              <w:t>10</w:t>
            </w:r>
            <w:r>
              <w:rPr>
                <w:rFonts w:hint="eastAsia" w:ascii="宋体" w:hAnsi="宋体" w:eastAsia="宋体" w:cs="宋体"/>
                <w:color w:val="auto"/>
                <w:kern w:val="0"/>
                <w:sz w:val="22"/>
                <w:szCs w:val="22"/>
                <w:highlight w:val="none"/>
              </w:rPr>
              <w:t>%（不含本数）的扣20分，超过1</w:t>
            </w:r>
            <w:r>
              <w:rPr>
                <w:rFonts w:hint="eastAsia" w:ascii="宋体" w:hAnsi="宋体" w:cs="宋体"/>
                <w:color w:val="auto"/>
                <w:kern w:val="0"/>
                <w:sz w:val="22"/>
                <w:szCs w:val="22"/>
                <w:highlight w:val="none"/>
                <w:lang w:val="en-US" w:eastAsia="zh-CN"/>
              </w:rPr>
              <w:t>0</w:t>
            </w:r>
            <w:r>
              <w:rPr>
                <w:rFonts w:hint="eastAsia" w:ascii="宋体" w:hAnsi="宋体" w:eastAsia="宋体" w:cs="宋体"/>
                <w:color w:val="auto"/>
                <w:kern w:val="0"/>
                <w:sz w:val="22"/>
                <w:szCs w:val="22"/>
                <w:highlight w:val="none"/>
              </w:rPr>
              <w:t>%（含本数）扣40分；</w:t>
            </w:r>
          </w:p>
          <w:p w14:paraId="1BB6730B">
            <w:pPr>
              <w:spacing w:line="240" w:lineRule="exac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（2）中标价与工程量清单复核价偏差在</w:t>
            </w:r>
            <w:r>
              <w:rPr>
                <w:rFonts w:hint="eastAsia" w:ascii="宋体" w:hAnsi="宋体" w:cs="宋体"/>
                <w:color w:val="auto"/>
                <w:kern w:val="0"/>
                <w:sz w:val="22"/>
                <w:szCs w:val="22"/>
                <w:highlight w:val="none"/>
                <w:lang w:val="en-US" w:eastAsia="zh-CN"/>
              </w:rPr>
              <w:t>3</w:t>
            </w:r>
            <w:r>
              <w:rPr>
                <w:rFonts w:hint="eastAsia" w:ascii="宋体" w:hAnsi="宋体" w:eastAsia="宋体" w:cs="宋体"/>
                <w:color w:val="auto"/>
                <w:kern w:val="0"/>
                <w:sz w:val="22"/>
                <w:szCs w:val="22"/>
                <w:highlight w:val="none"/>
              </w:rPr>
              <w:t>%（含本数）~</w:t>
            </w:r>
            <w:r>
              <w:rPr>
                <w:rFonts w:hint="eastAsia" w:ascii="宋体" w:hAnsi="宋体" w:cs="宋体"/>
                <w:color w:val="auto"/>
                <w:kern w:val="0"/>
                <w:sz w:val="22"/>
                <w:szCs w:val="22"/>
                <w:highlight w:val="none"/>
                <w:lang w:val="en-US" w:eastAsia="zh-CN"/>
              </w:rPr>
              <w:t>5</w:t>
            </w:r>
            <w:r>
              <w:rPr>
                <w:rFonts w:hint="eastAsia" w:ascii="宋体" w:hAnsi="宋体" w:eastAsia="宋体" w:cs="宋体"/>
                <w:color w:val="auto"/>
                <w:kern w:val="0"/>
                <w:sz w:val="22"/>
                <w:szCs w:val="22"/>
                <w:highlight w:val="none"/>
              </w:rPr>
              <w:t>%（不含本数）的扣10分，</w:t>
            </w:r>
            <w:r>
              <w:rPr>
                <w:rFonts w:hint="eastAsia" w:ascii="宋体" w:hAnsi="宋体" w:cs="宋体"/>
                <w:color w:val="auto"/>
                <w:kern w:val="0"/>
                <w:sz w:val="22"/>
                <w:szCs w:val="22"/>
                <w:highlight w:val="none"/>
                <w:lang w:val="en-US" w:eastAsia="zh-CN"/>
              </w:rPr>
              <w:t>5</w:t>
            </w:r>
            <w:r>
              <w:rPr>
                <w:rFonts w:hint="eastAsia" w:ascii="宋体" w:hAnsi="宋体" w:eastAsia="宋体" w:cs="宋体"/>
                <w:color w:val="auto"/>
                <w:kern w:val="0"/>
                <w:sz w:val="22"/>
                <w:szCs w:val="22"/>
                <w:highlight w:val="none"/>
              </w:rPr>
              <w:t>%（含本数）~1</w:t>
            </w:r>
            <w:r>
              <w:rPr>
                <w:rFonts w:hint="eastAsia" w:ascii="宋体" w:hAnsi="宋体" w:cs="宋体"/>
                <w:color w:val="auto"/>
                <w:kern w:val="0"/>
                <w:sz w:val="22"/>
                <w:szCs w:val="22"/>
                <w:highlight w:val="none"/>
                <w:lang w:val="en-US" w:eastAsia="zh-CN"/>
              </w:rPr>
              <w:t>0</w:t>
            </w:r>
            <w:r>
              <w:rPr>
                <w:rFonts w:hint="eastAsia" w:ascii="宋体" w:hAnsi="宋体" w:eastAsia="宋体" w:cs="宋体"/>
                <w:color w:val="auto"/>
                <w:kern w:val="0"/>
                <w:sz w:val="22"/>
                <w:szCs w:val="22"/>
                <w:highlight w:val="none"/>
              </w:rPr>
              <w:t>%（不含本数）的扣20分，超过1</w:t>
            </w:r>
            <w:r>
              <w:rPr>
                <w:rFonts w:hint="eastAsia" w:ascii="宋体" w:hAnsi="宋体" w:cs="宋体"/>
                <w:color w:val="auto"/>
                <w:kern w:val="0"/>
                <w:sz w:val="22"/>
                <w:szCs w:val="22"/>
                <w:highlight w:val="none"/>
                <w:lang w:val="en-US" w:eastAsia="zh-CN"/>
              </w:rPr>
              <w:t>0</w:t>
            </w:r>
            <w:r>
              <w:rPr>
                <w:rFonts w:hint="eastAsia" w:ascii="宋体" w:hAnsi="宋体" w:eastAsia="宋体" w:cs="宋体"/>
                <w:color w:val="auto"/>
                <w:kern w:val="0"/>
                <w:sz w:val="22"/>
                <w:szCs w:val="22"/>
                <w:highlight w:val="none"/>
              </w:rPr>
              <w:t>%（含本数）扣40分；</w:t>
            </w:r>
          </w:p>
          <w:p w14:paraId="33B402F4">
            <w:pPr>
              <w:spacing w:line="240" w:lineRule="exac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(3)结算审核价与委托人或委托人另行委托的第三方单位审定的结算价偏差在</w:t>
            </w:r>
            <w:r>
              <w:rPr>
                <w:rFonts w:hint="eastAsia" w:ascii="宋体" w:hAnsi="宋体" w:cs="宋体"/>
                <w:color w:val="auto"/>
                <w:kern w:val="0"/>
                <w:sz w:val="22"/>
                <w:szCs w:val="22"/>
                <w:highlight w:val="none"/>
                <w:lang w:val="en-US" w:eastAsia="zh-CN"/>
              </w:rPr>
              <w:t>3</w:t>
            </w:r>
            <w:r>
              <w:rPr>
                <w:rFonts w:hint="eastAsia" w:ascii="宋体" w:hAnsi="宋体" w:eastAsia="宋体" w:cs="宋体"/>
                <w:color w:val="auto"/>
                <w:kern w:val="0"/>
                <w:sz w:val="22"/>
                <w:szCs w:val="22"/>
                <w:highlight w:val="none"/>
              </w:rPr>
              <w:t>%（含本数）~</w:t>
            </w:r>
            <w:r>
              <w:rPr>
                <w:rFonts w:hint="eastAsia" w:ascii="宋体" w:hAnsi="宋体" w:cs="宋体"/>
                <w:color w:val="auto"/>
                <w:kern w:val="0"/>
                <w:sz w:val="22"/>
                <w:szCs w:val="22"/>
                <w:highlight w:val="none"/>
                <w:lang w:val="en-US" w:eastAsia="zh-CN"/>
              </w:rPr>
              <w:t>5</w:t>
            </w:r>
            <w:r>
              <w:rPr>
                <w:rFonts w:hint="eastAsia" w:ascii="宋体" w:hAnsi="宋体" w:eastAsia="宋体" w:cs="宋体"/>
                <w:color w:val="auto"/>
                <w:kern w:val="0"/>
                <w:sz w:val="22"/>
                <w:szCs w:val="22"/>
                <w:highlight w:val="none"/>
              </w:rPr>
              <w:t>%（不含本数）的扣10分，</w:t>
            </w:r>
            <w:r>
              <w:rPr>
                <w:rFonts w:hint="eastAsia" w:ascii="宋体" w:hAnsi="宋体" w:cs="宋体"/>
                <w:color w:val="auto"/>
                <w:kern w:val="0"/>
                <w:sz w:val="22"/>
                <w:szCs w:val="22"/>
                <w:highlight w:val="none"/>
                <w:lang w:val="en-US" w:eastAsia="zh-CN"/>
              </w:rPr>
              <w:t>5</w:t>
            </w:r>
            <w:r>
              <w:rPr>
                <w:rFonts w:hint="eastAsia" w:ascii="宋体" w:hAnsi="宋体" w:eastAsia="宋体" w:cs="宋体"/>
                <w:color w:val="auto"/>
                <w:kern w:val="0"/>
                <w:sz w:val="22"/>
                <w:szCs w:val="22"/>
                <w:highlight w:val="none"/>
              </w:rPr>
              <w:t>%（含本数）~1</w:t>
            </w:r>
            <w:r>
              <w:rPr>
                <w:rFonts w:hint="eastAsia" w:ascii="宋体" w:hAnsi="宋体" w:cs="宋体"/>
                <w:color w:val="auto"/>
                <w:kern w:val="0"/>
                <w:sz w:val="22"/>
                <w:szCs w:val="22"/>
                <w:highlight w:val="none"/>
                <w:lang w:val="en-US" w:eastAsia="zh-CN"/>
              </w:rPr>
              <w:t>0</w:t>
            </w:r>
            <w:r>
              <w:rPr>
                <w:rFonts w:hint="eastAsia" w:ascii="宋体" w:hAnsi="宋体" w:eastAsia="宋体" w:cs="宋体"/>
                <w:color w:val="auto"/>
                <w:kern w:val="0"/>
                <w:sz w:val="22"/>
                <w:szCs w:val="22"/>
                <w:highlight w:val="none"/>
              </w:rPr>
              <w:t>%（不含本数）的扣20分，超过</w:t>
            </w:r>
            <w:r>
              <w:rPr>
                <w:rFonts w:hint="eastAsia" w:ascii="宋体" w:hAnsi="宋体" w:cs="宋体"/>
                <w:color w:val="auto"/>
                <w:kern w:val="0"/>
                <w:sz w:val="22"/>
                <w:szCs w:val="22"/>
                <w:highlight w:val="none"/>
                <w:lang w:val="en-US" w:eastAsia="zh-CN"/>
              </w:rPr>
              <w:t>10</w:t>
            </w:r>
            <w:r>
              <w:rPr>
                <w:rFonts w:hint="eastAsia" w:ascii="宋体" w:hAnsi="宋体" w:eastAsia="宋体" w:cs="宋体"/>
                <w:color w:val="auto"/>
                <w:kern w:val="0"/>
                <w:sz w:val="22"/>
                <w:szCs w:val="22"/>
                <w:highlight w:val="none"/>
              </w:rPr>
              <w:t>%（含本数）扣40分；</w:t>
            </w:r>
          </w:p>
          <w:p w14:paraId="13990CB9">
            <w:pPr>
              <w:spacing w:line="240" w:lineRule="exac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（4）未提交完整造价咨询成果文件的（含委托人要求的常用业务文件）及准确的动态成本控制报告的，扣5 分/项。扣完为止。</w:t>
            </w:r>
          </w:p>
        </w:tc>
        <w:tc>
          <w:tcPr>
            <w:tcW w:w="863" w:type="dxa"/>
            <w:tcBorders>
              <w:top w:val="single" w:color="auto" w:sz="4" w:space="0"/>
              <w:left w:val="single" w:color="auto" w:sz="4" w:space="0"/>
              <w:bottom w:val="single" w:color="auto" w:sz="4" w:space="0"/>
              <w:right w:val="single" w:color="auto" w:sz="4" w:space="0"/>
            </w:tcBorders>
            <w:noWrap w:val="0"/>
            <w:vAlign w:val="center"/>
          </w:tcPr>
          <w:p w14:paraId="3D26BFE7">
            <w:pPr>
              <w:spacing w:line="440" w:lineRule="exact"/>
              <w:jc w:val="center"/>
              <w:rPr>
                <w:rFonts w:hint="eastAsia" w:ascii="宋体" w:hAnsi="宋体" w:eastAsia="宋体" w:cs="宋体"/>
                <w:color w:val="auto"/>
                <w:sz w:val="22"/>
                <w:szCs w:val="22"/>
                <w:highlight w:val="none"/>
              </w:rPr>
            </w:pPr>
          </w:p>
        </w:tc>
        <w:tc>
          <w:tcPr>
            <w:tcW w:w="650" w:type="dxa"/>
            <w:tcBorders>
              <w:top w:val="single" w:color="auto" w:sz="4" w:space="0"/>
              <w:left w:val="single" w:color="auto" w:sz="4" w:space="0"/>
              <w:bottom w:val="single" w:color="auto" w:sz="4" w:space="0"/>
              <w:right w:val="single" w:color="auto" w:sz="4" w:space="0"/>
            </w:tcBorders>
            <w:noWrap w:val="0"/>
            <w:vAlign w:val="top"/>
          </w:tcPr>
          <w:p w14:paraId="0150922F">
            <w:pPr>
              <w:spacing w:line="440" w:lineRule="exact"/>
              <w:jc w:val="center"/>
              <w:rPr>
                <w:rFonts w:hint="eastAsia" w:ascii="宋体" w:hAnsi="宋体" w:eastAsia="宋体" w:cs="宋体"/>
                <w:color w:val="auto"/>
                <w:sz w:val="22"/>
                <w:szCs w:val="22"/>
                <w:highlight w:val="none"/>
              </w:rPr>
            </w:pPr>
          </w:p>
        </w:tc>
        <w:tc>
          <w:tcPr>
            <w:tcW w:w="744" w:type="dxa"/>
            <w:tcBorders>
              <w:top w:val="single" w:color="auto" w:sz="4" w:space="0"/>
              <w:left w:val="single" w:color="auto" w:sz="4" w:space="0"/>
              <w:bottom w:val="single" w:color="auto" w:sz="4" w:space="0"/>
              <w:right w:val="single" w:color="auto" w:sz="4" w:space="0"/>
            </w:tcBorders>
            <w:noWrap w:val="0"/>
            <w:vAlign w:val="top"/>
          </w:tcPr>
          <w:p w14:paraId="3EE033CC">
            <w:pPr>
              <w:spacing w:line="440" w:lineRule="exact"/>
              <w:jc w:val="center"/>
              <w:rPr>
                <w:rFonts w:hint="eastAsia" w:ascii="宋体" w:hAnsi="宋体" w:eastAsia="宋体" w:cs="宋体"/>
                <w:color w:val="auto"/>
                <w:sz w:val="22"/>
                <w:szCs w:val="22"/>
                <w:highlight w:val="none"/>
              </w:rPr>
            </w:pPr>
          </w:p>
        </w:tc>
      </w:tr>
      <w:tr w14:paraId="38957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605" w:type="dxa"/>
            <w:vMerge w:val="continue"/>
            <w:tcBorders>
              <w:top w:val="single" w:color="auto" w:sz="4" w:space="0"/>
              <w:left w:val="single" w:color="auto" w:sz="4" w:space="0"/>
              <w:bottom w:val="single" w:color="auto" w:sz="4" w:space="0"/>
              <w:right w:val="single" w:color="auto" w:sz="4" w:space="0"/>
            </w:tcBorders>
            <w:noWrap w:val="0"/>
            <w:vAlign w:val="center"/>
          </w:tcPr>
          <w:p w14:paraId="5E2EBDB3">
            <w:pPr>
              <w:widowControl/>
              <w:spacing w:line="560" w:lineRule="exact"/>
              <w:jc w:val="left"/>
              <w:rPr>
                <w:rFonts w:hint="eastAsia" w:ascii="宋体" w:hAnsi="宋体" w:eastAsia="宋体" w:cs="宋体"/>
                <w:b/>
                <w:bCs/>
                <w:color w:val="auto"/>
                <w:sz w:val="22"/>
                <w:szCs w:val="22"/>
                <w:highlight w:val="none"/>
              </w:rPr>
            </w:pPr>
          </w:p>
        </w:tc>
        <w:tc>
          <w:tcPr>
            <w:tcW w:w="865" w:type="dxa"/>
            <w:vMerge w:val="continue"/>
            <w:tcBorders>
              <w:top w:val="single" w:color="auto" w:sz="4" w:space="0"/>
              <w:left w:val="single" w:color="auto" w:sz="4" w:space="0"/>
              <w:bottom w:val="single" w:color="auto" w:sz="4" w:space="0"/>
              <w:right w:val="single" w:color="auto" w:sz="4" w:space="0"/>
            </w:tcBorders>
            <w:noWrap w:val="0"/>
            <w:vAlign w:val="center"/>
          </w:tcPr>
          <w:p w14:paraId="6F7ED05F">
            <w:pPr>
              <w:widowControl/>
              <w:spacing w:line="560" w:lineRule="exact"/>
              <w:jc w:val="left"/>
              <w:rPr>
                <w:rFonts w:hint="eastAsia" w:ascii="宋体" w:hAnsi="宋体" w:eastAsia="宋体" w:cs="宋体"/>
                <w:color w:val="auto"/>
                <w:sz w:val="22"/>
                <w:szCs w:val="22"/>
                <w:highlight w:val="none"/>
              </w:rPr>
            </w:pPr>
          </w:p>
        </w:tc>
        <w:tc>
          <w:tcPr>
            <w:tcW w:w="716" w:type="dxa"/>
            <w:vMerge w:val="continue"/>
            <w:tcBorders>
              <w:top w:val="single" w:color="auto" w:sz="4" w:space="0"/>
              <w:left w:val="single" w:color="auto" w:sz="4" w:space="0"/>
              <w:bottom w:val="single" w:color="auto" w:sz="4" w:space="0"/>
              <w:right w:val="single" w:color="auto" w:sz="4" w:space="0"/>
            </w:tcBorders>
            <w:noWrap w:val="0"/>
            <w:vAlign w:val="center"/>
          </w:tcPr>
          <w:p w14:paraId="038570EB">
            <w:pPr>
              <w:widowControl/>
              <w:spacing w:line="560" w:lineRule="exact"/>
              <w:jc w:val="left"/>
              <w:rPr>
                <w:rFonts w:hint="eastAsia" w:ascii="宋体" w:hAnsi="宋体" w:eastAsia="宋体" w:cs="宋体"/>
                <w:color w:val="auto"/>
                <w:sz w:val="22"/>
                <w:szCs w:val="22"/>
                <w:highlight w:val="none"/>
              </w:rPr>
            </w:pPr>
          </w:p>
        </w:tc>
        <w:tc>
          <w:tcPr>
            <w:tcW w:w="534" w:type="dxa"/>
            <w:tcBorders>
              <w:top w:val="single" w:color="auto" w:sz="4" w:space="0"/>
              <w:left w:val="single" w:color="auto" w:sz="4" w:space="0"/>
              <w:bottom w:val="single" w:color="auto" w:sz="4" w:space="0"/>
              <w:right w:val="single" w:color="auto" w:sz="4" w:space="0"/>
            </w:tcBorders>
            <w:noWrap w:val="0"/>
            <w:vAlign w:val="center"/>
          </w:tcPr>
          <w:p w14:paraId="20714C09">
            <w:pPr>
              <w:spacing w:line="440" w:lineRule="exact"/>
              <w:jc w:val="center"/>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2</w:t>
            </w:r>
          </w:p>
        </w:tc>
        <w:tc>
          <w:tcPr>
            <w:tcW w:w="3551" w:type="dxa"/>
            <w:tcBorders>
              <w:top w:val="single" w:color="auto" w:sz="4" w:space="0"/>
              <w:left w:val="single" w:color="auto" w:sz="4" w:space="0"/>
              <w:bottom w:val="single" w:color="auto" w:sz="4" w:space="0"/>
              <w:right w:val="single" w:color="auto" w:sz="4" w:space="0"/>
            </w:tcBorders>
            <w:noWrap w:val="0"/>
            <w:vAlign w:val="center"/>
          </w:tcPr>
          <w:p w14:paraId="4F6FBBE7">
            <w:pPr>
              <w:spacing w:line="240" w:lineRule="exac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其他部分：对咨询服务过程的每一环节未及时跟进、报告。每发现一次扣3 分,扣完为止</w:t>
            </w:r>
          </w:p>
        </w:tc>
        <w:tc>
          <w:tcPr>
            <w:tcW w:w="863" w:type="dxa"/>
            <w:tcBorders>
              <w:top w:val="single" w:color="auto" w:sz="4" w:space="0"/>
              <w:left w:val="single" w:color="auto" w:sz="4" w:space="0"/>
              <w:bottom w:val="single" w:color="auto" w:sz="4" w:space="0"/>
              <w:right w:val="single" w:color="auto" w:sz="4" w:space="0"/>
            </w:tcBorders>
            <w:noWrap w:val="0"/>
            <w:vAlign w:val="center"/>
          </w:tcPr>
          <w:p w14:paraId="60EE7216">
            <w:pPr>
              <w:spacing w:line="440" w:lineRule="exact"/>
              <w:jc w:val="center"/>
              <w:rPr>
                <w:rFonts w:hint="eastAsia" w:ascii="宋体" w:hAnsi="宋体" w:eastAsia="宋体" w:cs="宋体"/>
                <w:color w:val="auto"/>
                <w:sz w:val="22"/>
                <w:szCs w:val="22"/>
                <w:highlight w:val="none"/>
              </w:rPr>
            </w:pPr>
          </w:p>
        </w:tc>
        <w:tc>
          <w:tcPr>
            <w:tcW w:w="650" w:type="dxa"/>
            <w:tcBorders>
              <w:top w:val="single" w:color="auto" w:sz="4" w:space="0"/>
              <w:left w:val="single" w:color="auto" w:sz="4" w:space="0"/>
              <w:bottom w:val="single" w:color="auto" w:sz="4" w:space="0"/>
              <w:right w:val="single" w:color="auto" w:sz="4" w:space="0"/>
            </w:tcBorders>
            <w:noWrap w:val="0"/>
            <w:vAlign w:val="top"/>
          </w:tcPr>
          <w:p w14:paraId="4AB9BCA7">
            <w:pPr>
              <w:spacing w:line="440" w:lineRule="exact"/>
              <w:jc w:val="center"/>
              <w:rPr>
                <w:rFonts w:hint="eastAsia" w:ascii="宋体" w:hAnsi="宋体" w:eastAsia="宋体" w:cs="宋体"/>
                <w:color w:val="auto"/>
                <w:sz w:val="22"/>
                <w:szCs w:val="22"/>
                <w:highlight w:val="none"/>
              </w:rPr>
            </w:pPr>
          </w:p>
        </w:tc>
        <w:tc>
          <w:tcPr>
            <w:tcW w:w="744" w:type="dxa"/>
            <w:tcBorders>
              <w:top w:val="single" w:color="auto" w:sz="4" w:space="0"/>
              <w:left w:val="single" w:color="auto" w:sz="4" w:space="0"/>
              <w:bottom w:val="single" w:color="auto" w:sz="4" w:space="0"/>
              <w:right w:val="single" w:color="auto" w:sz="4" w:space="0"/>
            </w:tcBorders>
            <w:noWrap w:val="0"/>
            <w:vAlign w:val="top"/>
          </w:tcPr>
          <w:p w14:paraId="147B28B5">
            <w:pPr>
              <w:spacing w:line="440" w:lineRule="exact"/>
              <w:jc w:val="center"/>
              <w:rPr>
                <w:rFonts w:hint="eastAsia" w:ascii="宋体" w:hAnsi="宋体" w:eastAsia="宋体" w:cs="宋体"/>
                <w:color w:val="auto"/>
                <w:sz w:val="22"/>
                <w:szCs w:val="22"/>
                <w:highlight w:val="none"/>
              </w:rPr>
            </w:pPr>
          </w:p>
        </w:tc>
      </w:tr>
      <w:tr w14:paraId="0CE9D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605" w:type="dxa"/>
            <w:vMerge w:val="continue"/>
            <w:tcBorders>
              <w:top w:val="single" w:color="auto" w:sz="4" w:space="0"/>
              <w:left w:val="single" w:color="auto" w:sz="4" w:space="0"/>
              <w:bottom w:val="single" w:color="auto" w:sz="4" w:space="0"/>
              <w:right w:val="single" w:color="auto" w:sz="4" w:space="0"/>
            </w:tcBorders>
            <w:noWrap w:val="0"/>
            <w:vAlign w:val="center"/>
          </w:tcPr>
          <w:p w14:paraId="538D2A35">
            <w:pPr>
              <w:widowControl/>
              <w:spacing w:line="560" w:lineRule="exact"/>
              <w:jc w:val="left"/>
              <w:rPr>
                <w:rFonts w:hint="eastAsia" w:ascii="宋体" w:hAnsi="宋体" w:eastAsia="宋体" w:cs="宋体"/>
                <w:b/>
                <w:bCs/>
                <w:color w:val="auto"/>
                <w:sz w:val="22"/>
                <w:szCs w:val="22"/>
                <w:highlight w:val="none"/>
              </w:rPr>
            </w:pPr>
          </w:p>
        </w:tc>
        <w:tc>
          <w:tcPr>
            <w:tcW w:w="865" w:type="dxa"/>
            <w:vMerge w:val="continue"/>
            <w:tcBorders>
              <w:top w:val="single" w:color="auto" w:sz="4" w:space="0"/>
              <w:left w:val="single" w:color="auto" w:sz="4" w:space="0"/>
              <w:bottom w:val="single" w:color="auto" w:sz="4" w:space="0"/>
              <w:right w:val="single" w:color="auto" w:sz="4" w:space="0"/>
            </w:tcBorders>
            <w:noWrap w:val="0"/>
            <w:vAlign w:val="center"/>
          </w:tcPr>
          <w:p w14:paraId="0B4911E1">
            <w:pPr>
              <w:widowControl/>
              <w:spacing w:line="560" w:lineRule="exact"/>
              <w:jc w:val="left"/>
              <w:rPr>
                <w:rFonts w:hint="eastAsia" w:ascii="宋体" w:hAnsi="宋体" w:eastAsia="宋体" w:cs="宋体"/>
                <w:color w:val="auto"/>
                <w:sz w:val="22"/>
                <w:szCs w:val="22"/>
                <w:highlight w:val="none"/>
              </w:rPr>
            </w:pPr>
          </w:p>
        </w:tc>
        <w:tc>
          <w:tcPr>
            <w:tcW w:w="4801" w:type="dxa"/>
            <w:gridSpan w:val="3"/>
            <w:tcBorders>
              <w:top w:val="single" w:color="auto" w:sz="4" w:space="0"/>
              <w:left w:val="single" w:color="auto" w:sz="4" w:space="0"/>
              <w:bottom w:val="single" w:color="auto" w:sz="4" w:space="0"/>
              <w:right w:val="single" w:color="auto" w:sz="4" w:space="0"/>
            </w:tcBorders>
            <w:noWrap w:val="0"/>
            <w:vAlign w:val="center"/>
          </w:tcPr>
          <w:p w14:paraId="710319AD">
            <w:pPr>
              <w:spacing w:line="240" w:lineRule="exact"/>
              <w:jc w:val="center"/>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小计（分项基本分-扣除分数）</w:t>
            </w:r>
          </w:p>
        </w:tc>
        <w:tc>
          <w:tcPr>
            <w:tcW w:w="863" w:type="dxa"/>
            <w:tcBorders>
              <w:top w:val="single" w:color="auto" w:sz="4" w:space="0"/>
              <w:left w:val="single" w:color="auto" w:sz="4" w:space="0"/>
              <w:bottom w:val="single" w:color="auto" w:sz="4" w:space="0"/>
              <w:right w:val="single" w:color="auto" w:sz="4" w:space="0"/>
            </w:tcBorders>
            <w:noWrap w:val="0"/>
            <w:vAlign w:val="center"/>
          </w:tcPr>
          <w:p w14:paraId="4E797140">
            <w:pPr>
              <w:spacing w:line="440" w:lineRule="exact"/>
              <w:jc w:val="center"/>
              <w:rPr>
                <w:rFonts w:hint="eastAsia" w:ascii="宋体" w:hAnsi="宋体" w:eastAsia="宋体" w:cs="宋体"/>
                <w:color w:val="auto"/>
                <w:sz w:val="22"/>
                <w:szCs w:val="22"/>
                <w:highlight w:val="none"/>
              </w:rPr>
            </w:pPr>
          </w:p>
        </w:tc>
        <w:tc>
          <w:tcPr>
            <w:tcW w:w="650" w:type="dxa"/>
            <w:tcBorders>
              <w:top w:val="single" w:color="auto" w:sz="4" w:space="0"/>
              <w:left w:val="single" w:color="auto" w:sz="4" w:space="0"/>
              <w:bottom w:val="single" w:color="auto" w:sz="4" w:space="0"/>
              <w:right w:val="single" w:color="auto" w:sz="4" w:space="0"/>
            </w:tcBorders>
            <w:noWrap w:val="0"/>
            <w:vAlign w:val="top"/>
          </w:tcPr>
          <w:p w14:paraId="1F89EACA">
            <w:pPr>
              <w:spacing w:line="440" w:lineRule="exact"/>
              <w:jc w:val="center"/>
              <w:rPr>
                <w:rFonts w:hint="eastAsia" w:ascii="宋体" w:hAnsi="宋体" w:eastAsia="宋体" w:cs="宋体"/>
                <w:color w:val="auto"/>
                <w:sz w:val="22"/>
                <w:szCs w:val="22"/>
                <w:highlight w:val="none"/>
              </w:rPr>
            </w:pPr>
          </w:p>
        </w:tc>
        <w:tc>
          <w:tcPr>
            <w:tcW w:w="744" w:type="dxa"/>
            <w:tcBorders>
              <w:top w:val="single" w:color="auto" w:sz="4" w:space="0"/>
              <w:left w:val="single" w:color="auto" w:sz="4" w:space="0"/>
              <w:bottom w:val="single" w:color="auto" w:sz="4" w:space="0"/>
              <w:right w:val="single" w:color="auto" w:sz="4" w:space="0"/>
            </w:tcBorders>
            <w:noWrap w:val="0"/>
            <w:vAlign w:val="top"/>
          </w:tcPr>
          <w:p w14:paraId="7274ADDA">
            <w:pPr>
              <w:spacing w:line="440" w:lineRule="exact"/>
              <w:jc w:val="center"/>
              <w:rPr>
                <w:rFonts w:hint="eastAsia" w:ascii="宋体" w:hAnsi="宋体" w:eastAsia="宋体" w:cs="宋体"/>
                <w:color w:val="auto"/>
                <w:sz w:val="22"/>
                <w:szCs w:val="22"/>
                <w:highlight w:val="none"/>
              </w:rPr>
            </w:pPr>
          </w:p>
        </w:tc>
      </w:tr>
      <w:tr w14:paraId="4E7D5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605" w:type="dxa"/>
            <w:vMerge w:val="restart"/>
            <w:tcBorders>
              <w:top w:val="single" w:color="auto" w:sz="4" w:space="0"/>
              <w:left w:val="single" w:color="auto" w:sz="4" w:space="0"/>
              <w:bottom w:val="single" w:color="auto" w:sz="4" w:space="0"/>
              <w:right w:val="single" w:color="auto" w:sz="4" w:space="0"/>
            </w:tcBorders>
            <w:noWrap w:val="0"/>
            <w:vAlign w:val="center"/>
          </w:tcPr>
          <w:p w14:paraId="035F9603">
            <w:pPr>
              <w:spacing w:line="44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四</w:t>
            </w:r>
          </w:p>
        </w:tc>
        <w:tc>
          <w:tcPr>
            <w:tcW w:w="865" w:type="dxa"/>
            <w:vMerge w:val="restart"/>
            <w:tcBorders>
              <w:top w:val="single" w:color="auto" w:sz="4" w:space="0"/>
              <w:left w:val="single" w:color="auto" w:sz="4" w:space="0"/>
              <w:bottom w:val="single" w:color="auto" w:sz="4" w:space="0"/>
              <w:right w:val="single" w:color="auto" w:sz="4" w:space="0"/>
            </w:tcBorders>
            <w:noWrap w:val="0"/>
            <w:textDirection w:val="tbRlV"/>
            <w:vAlign w:val="center"/>
          </w:tcPr>
          <w:p w14:paraId="528BBFBE">
            <w:pPr>
              <w:spacing w:line="440" w:lineRule="exact"/>
              <w:ind w:left="113" w:right="113"/>
              <w:jc w:val="center"/>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工作纪律</w:t>
            </w:r>
          </w:p>
        </w:tc>
        <w:tc>
          <w:tcPr>
            <w:tcW w:w="716" w:type="dxa"/>
            <w:vMerge w:val="restart"/>
            <w:tcBorders>
              <w:top w:val="single" w:color="auto" w:sz="4" w:space="0"/>
              <w:left w:val="single" w:color="auto" w:sz="4" w:space="0"/>
              <w:bottom w:val="single" w:color="auto" w:sz="4" w:space="0"/>
              <w:right w:val="single" w:color="auto" w:sz="4" w:space="0"/>
            </w:tcBorders>
            <w:noWrap w:val="0"/>
            <w:vAlign w:val="center"/>
          </w:tcPr>
          <w:p w14:paraId="5E4B741F">
            <w:pPr>
              <w:spacing w:line="440" w:lineRule="exact"/>
              <w:jc w:val="center"/>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20</w:t>
            </w:r>
          </w:p>
        </w:tc>
        <w:tc>
          <w:tcPr>
            <w:tcW w:w="534" w:type="dxa"/>
            <w:tcBorders>
              <w:top w:val="single" w:color="auto" w:sz="4" w:space="0"/>
              <w:left w:val="single" w:color="auto" w:sz="4" w:space="0"/>
              <w:bottom w:val="single" w:color="auto" w:sz="4" w:space="0"/>
              <w:right w:val="single" w:color="auto" w:sz="4" w:space="0"/>
            </w:tcBorders>
            <w:noWrap w:val="0"/>
            <w:vAlign w:val="center"/>
          </w:tcPr>
          <w:p w14:paraId="29346093">
            <w:pPr>
              <w:spacing w:line="440" w:lineRule="exact"/>
              <w:jc w:val="center"/>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1</w:t>
            </w:r>
          </w:p>
        </w:tc>
        <w:tc>
          <w:tcPr>
            <w:tcW w:w="3551" w:type="dxa"/>
            <w:tcBorders>
              <w:top w:val="single" w:color="auto" w:sz="4" w:space="0"/>
              <w:left w:val="single" w:color="auto" w:sz="4" w:space="0"/>
              <w:bottom w:val="single" w:color="auto" w:sz="4" w:space="0"/>
              <w:right w:val="single" w:color="auto" w:sz="4" w:space="0"/>
            </w:tcBorders>
            <w:noWrap w:val="0"/>
            <w:vAlign w:val="center"/>
          </w:tcPr>
          <w:p w14:paraId="5E88BAD1">
            <w:pPr>
              <w:spacing w:line="240" w:lineRule="exac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违反有关法律、法规和政策,造成委托人损失的，每违反一次扣2 分</w:t>
            </w:r>
          </w:p>
        </w:tc>
        <w:tc>
          <w:tcPr>
            <w:tcW w:w="863" w:type="dxa"/>
            <w:tcBorders>
              <w:top w:val="single" w:color="auto" w:sz="4" w:space="0"/>
              <w:left w:val="single" w:color="auto" w:sz="4" w:space="0"/>
              <w:bottom w:val="single" w:color="auto" w:sz="4" w:space="0"/>
              <w:right w:val="single" w:color="auto" w:sz="4" w:space="0"/>
            </w:tcBorders>
            <w:noWrap w:val="0"/>
            <w:vAlign w:val="center"/>
          </w:tcPr>
          <w:p w14:paraId="6F4ADC84">
            <w:pPr>
              <w:spacing w:line="440" w:lineRule="exact"/>
              <w:jc w:val="center"/>
              <w:rPr>
                <w:rFonts w:hint="eastAsia" w:ascii="宋体" w:hAnsi="宋体" w:eastAsia="宋体" w:cs="宋体"/>
                <w:color w:val="auto"/>
                <w:sz w:val="22"/>
                <w:szCs w:val="22"/>
                <w:highlight w:val="none"/>
              </w:rPr>
            </w:pPr>
          </w:p>
        </w:tc>
        <w:tc>
          <w:tcPr>
            <w:tcW w:w="650" w:type="dxa"/>
            <w:tcBorders>
              <w:top w:val="single" w:color="auto" w:sz="4" w:space="0"/>
              <w:left w:val="single" w:color="auto" w:sz="4" w:space="0"/>
              <w:bottom w:val="single" w:color="auto" w:sz="4" w:space="0"/>
              <w:right w:val="single" w:color="auto" w:sz="4" w:space="0"/>
            </w:tcBorders>
            <w:noWrap w:val="0"/>
            <w:vAlign w:val="top"/>
          </w:tcPr>
          <w:p w14:paraId="5EC7A7A6">
            <w:pPr>
              <w:spacing w:line="440" w:lineRule="exact"/>
              <w:jc w:val="center"/>
              <w:rPr>
                <w:rFonts w:hint="eastAsia" w:ascii="宋体" w:hAnsi="宋体" w:eastAsia="宋体" w:cs="宋体"/>
                <w:color w:val="auto"/>
                <w:sz w:val="22"/>
                <w:szCs w:val="22"/>
                <w:highlight w:val="none"/>
              </w:rPr>
            </w:pPr>
          </w:p>
        </w:tc>
        <w:tc>
          <w:tcPr>
            <w:tcW w:w="744" w:type="dxa"/>
            <w:tcBorders>
              <w:top w:val="single" w:color="auto" w:sz="4" w:space="0"/>
              <w:left w:val="single" w:color="auto" w:sz="4" w:space="0"/>
              <w:bottom w:val="single" w:color="auto" w:sz="4" w:space="0"/>
              <w:right w:val="single" w:color="auto" w:sz="4" w:space="0"/>
            </w:tcBorders>
            <w:noWrap w:val="0"/>
            <w:vAlign w:val="top"/>
          </w:tcPr>
          <w:p w14:paraId="7749012F">
            <w:pPr>
              <w:spacing w:line="440" w:lineRule="exact"/>
              <w:jc w:val="center"/>
              <w:rPr>
                <w:rFonts w:hint="eastAsia" w:ascii="宋体" w:hAnsi="宋体" w:eastAsia="宋体" w:cs="宋体"/>
                <w:color w:val="auto"/>
                <w:sz w:val="22"/>
                <w:szCs w:val="22"/>
                <w:highlight w:val="none"/>
              </w:rPr>
            </w:pPr>
          </w:p>
        </w:tc>
      </w:tr>
      <w:tr w14:paraId="16B7E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8" w:author="南美涛" w:date="2025-07-22T22:23: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606" w:hRule="atLeast"/>
          <w:jc w:val="center"/>
          <w:trPrChange w:id="8" w:author="南美涛" w:date="2025-07-22T22:23:00Z">
            <w:trPr>
              <w:trHeight w:val="697" w:hRule="atLeast"/>
              <w:jc w:val="center"/>
            </w:trPr>
          </w:trPrChange>
        </w:trPr>
        <w:tc>
          <w:tcPr>
            <w:tcW w:w="605" w:type="dxa"/>
            <w:vMerge w:val="continue"/>
            <w:tcBorders>
              <w:top w:val="single" w:color="auto" w:sz="4" w:space="0"/>
              <w:left w:val="single" w:color="auto" w:sz="4" w:space="0"/>
              <w:bottom w:val="single" w:color="auto" w:sz="4" w:space="0"/>
              <w:right w:val="single" w:color="auto" w:sz="4" w:space="0"/>
            </w:tcBorders>
            <w:noWrap w:val="0"/>
            <w:vAlign w:val="center"/>
            <w:tcPrChange w:id="9" w:author="南美涛" w:date="2025-07-22T22:23:00Z">
              <w:tcPr>
                <w:tcW w:w="605" w:type="dxa"/>
                <w:vMerge w:val="continue"/>
                <w:tcBorders>
                  <w:top w:val="single" w:color="auto" w:sz="4" w:space="0"/>
                  <w:left w:val="single" w:color="auto" w:sz="4" w:space="0"/>
                  <w:bottom w:val="single" w:color="auto" w:sz="4" w:space="0"/>
                  <w:right w:val="single" w:color="auto" w:sz="4" w:space="0"/>
                </w:tcBorders>
                <w:noWrap w:val="0"/>
                <w:vAlign w:val="center"/>
              </w:tcPr>
            </w:tcPrChange>
          </w:tcPr>
          <w:p w14:paraId="63426EA7">
            <w:pPr>
              <w:widowControl/>
              <w:spacing w:line="560" w:lineRule="exact"/>
              <w:jc w:val="left"/>
              <w:rPr>
                <w:rFonts w:hint="eastAsia" w:ascii="宋体" w:hAnsi="宋体" w:eastAsia="宋体" w:cs="宋体"/>
                <w:color w:val="auto"/>
                <w:sz w:val="22"/>
                <w:szCs w:val="22"/>
                <w:highlight w:val="none"/>
              </w:rPr>
            </w:pPr>
          </w:p>
        </w:tc>
        <w:tc>
          <w:tcPr>
            <w:tcW w:w="865" w:type="dxa"/>
            <w:vMerge w:val="continue"/>
            <w:tcBorders>
              <w:top w:val="single" w:color="auto" w:sz="4" w:space="0"/>
              <w:left w:val="single" w:color="auto" w:sz="4" w:space="0"/>
              <w:bottom w:val="single" w:color="auto" w:sz="4" w:space="0"/>
              <w:right w:val="single" w:color="auto" w:sz="4" w:space="0"/>
            </w:tcBorders>
            <w:noWrap w:val="0"/>
            <w:vAlign w:val="center"/>
            <w:tcPrChange w:id="10" w:author="南美涛" w:date="2025-07-22T22:23:00Z">
              <w:tcPr>
                <w:tcW w:w="865" w:type="dxa"/>
                <w:vMerge w:val="continue"/>
                <w:tcBorders>
                  <w:top w:val="single" w:color="auto" w:sz="4" w:space="0"/>
                  <w:left w:val="single" w:color="auto" w:sz="4" w:space="0"/>
                  <w:bottom w:val="single" w:color="auto" w:sz="4" w:space="0"/>
                  <w:right w:val="single" w:color="auto" w:sz="4" w:space="0"/>
                </w:tcBorders>
                <w:noWrap w:val="0"/>
                <w:vAlign w:val="center"/>
              </w:tcPr>
            </w:tcPrChange>
          </w:tcPr>
          <w:p w14:paraId="6E22B038">
            <w:pPr>
              <w:widowControl/>
              <w:spacing w:line="560" w:lineRule="exact"/>
              <w:jc w:val="left"/>
              <w:rPr>
                <w:rFonts w:hint="eastAsia" w:ascii="宋体" w:hAnsi="宋体" w:eastAsia="宋体" w:cs="宋体"/>
                <w:color w:val="auto"/>
                <w:sz w:val="22"/>
                <w:szCs w:val="22"/>
                <w:highlight w:val="none"/>
              </w:rPr>
            </w:pPr>
          </w:p>
        </w:tc>
        <w:tc>
          <w:tcPr>
            <w:tcW w:w="716" w:type="dxa"/>
            <w:vMerge w:val="continue"/>
            <w:tcBorders>
              <w:top w:val="single" w:color="auto" w:sz="4" w:space="0"/>
              <w:left w:val="single" w:color="auto" w:sz="4" w:space="0"/>
              <w:bottom w:val="single" w:color="auto" w:sz="4" w:space="0"/>
              <w:right w:val="single" w:color="auto" w:sz="4" w:space="0"/>
            </w:tcBorders>
            <w:noWrap w:val="0"/>
            <w:vAlign w:val="center"/>
            <w:tcPrChange w:id="11" w:author="南美涛" w:date="2025-07-22T22:23:00Z">
              <w:tcPr>
                <w:tcW w:w="716" w:type="dxa"/>
                <w:vMerge w:val="continue"/>
                <w:tcBorders>
                  <w:top w:val="single" w:color="auto" w:sz="4" w:space="0"/>
                  <w:left w:val="single" w:color="auto" w:sz="4" w:space="0"/>
                  <w:bottom w:val="single" w:color="auto" w:sz="4" w:space="0"/>
                  <w:right w:val="single" w:color="auto" w:sz="4" w:space="0"/>
                </w:tcBorders>
                <w:noWrap w:val="0"/>
                <w:vAlign w:val="center"/>
              </w:tcPr>
            </w:tcPrChange>
          </w:tcPr>
          <w:p w14:paraId="2FF4A9C6">
            <w:pPr>
              <w:widowControl/>
              <w:spacing w:line="560" w:lineRule="exact"/>
              <w:jc w:val="left"/>
              <w:rPr>
                <w:rFonts w:hint="eastAsia" w:ascii="宋体" w:hAnsi="宋体" w:eastAsia="宋体" w:cs="宋体"/>
                <w:color w:val="auto"/>
                <w:sz w:val="22"/>
                <w:szCs w:val="22"/>
                <w:highlight w:val="none"/>
              </w:rPr>
            </w:pPr>
          </w:p>
        </w:tc>
        <w:tc>
          <w:tcPr>
            <w:tcW w:w="534" w:type="dxa"/>
            <w:tcBorders>
              <w:top w:val="single" w:color="auto" w:sz="4" w:space="0"/>
              <w:left w:val="single" w:color="auto" w:sz="4" w:space="0"/>
              <w:bottom w:val="single" w:color="auto" w:sz="4" w:space="0"/>
              <w:right w:val="single" w:color="auto" w:sz="4" w:space="0"/>
            </w:tcBorders>
            <w:noWrap w:val="0"/>
            <w:vAlign w:val="center"/>
            <w:tcPrChange w:id="12" w:author="南美涛" w:date="2025-07-22T22:23:00Z">
              <w:tcPr>
                <w:tcW w:w="534" w:type="dxa"/>
                <w:tcBorders>
                  <w:top w:val="single" w:color="auto" w:sz="4" w:space="0"/>
                  <w:left w:val="single" w:color="auto" w:sz="4" w:space="0"/>
                  <w:bottom w:val="single" w:color="auto" w:sz="4" w:space="0"/>
                  <w:right w:val="single" w:color="auto" w:sz="4" w:space="0"/>
                </w:tcBorders>
                <w:noWrap w:val="0"/>
                <w:vAlign w:val="center"/>
              </w:tcPr>
            </w:tcPrChange>
          </w:tcPr>
          <w:p w14:paraId="3A960F53">
            <w:pPr>
              <w:spacing w:line="440" w:lineRule="exact"/>
              <w:jc w:val="center"/>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2</w:t>
            </w:r>
          </w:p>
        </w:tc>
        <w:tc>
          <w:tcPr>
            <w:tcW w:w="3551" w:type="dxa"/>
            <w:tcBorders>
              <w:top w:val="single" w:color="auto" w:sz="4" w:space="0"/>
              <w:left w:val="single" w:color="auto" w:sz="4" w:space="0"/>
              <w:bottom w:val="single" w:color="auto" w:sz="4" w:space="0"/>
              <w:right w:val="single" w:color="auto" w:sz="4" w:space="0"/>
            </w:tcBorders>
            <w:noWrap w:val="0"/>
            <w:vAlign w:val="center"/>
            <w:tcPrChange w:id="13" w:author="南美涛" w:date="2025-07-22T22:23:00Z">
              <w:tcPr>
                <w:tcW w:w="3551" w:type="dxa"/>
                <w:tcBorders>
                  <w:top w:val="single" w:color="auto" w:sz="4" w:space="0"/>
                  <w:left w:val="single" w:color="auto" w:sz="4" w:space="0"/>
                  <w:bottom w:val="single" w:color="auto" w:sz="4" w:space="0"/>
                  <w:right w:val="single" w:color="auto" w:sz="4" w:space="0"/>
                </w:tcBorders>
                <w:noWrap w:val="0"/>
                <w:vAlign w:val="center"/>
              </w:tcPr>
            </w:tcPrChange>
          </w:tcPr>
          <w:p w14:paraId="41BC1056">
            <w:pPr>
              <w:spacing w:line="240" w:lineRule="exact"/>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由于工作失误，造成委托人损失的，每违反一次扣2分</w:t>
            </w:r>
          </w:p>
        </w:tc>
        <w:tc>
          <w:tcPr>
            <w:tcW w:w="863" w:type="dxa"/>
            <w:tcBorders>
              <w:top w:val="single" w:color="auto" w:sz="4" w:space="0"/>
              <w:left w:val="single" w:color="auto" w:sz="4" w:space="0"/>
              <w:bottom w:val="single" w:color="auto" w:sz="4" w:space="0"/>
              <w:right w:val="single" w:color="auto" w:sz="4" w:space="0"/>
            </w:tcBorders>
            <w:noWrap w:val="0"/>
            <w:vAlign w:val="center"/>
            <w:tcPrChange w:id="14" w:author="南美涛" w:date="2025-07-22T22:23:00Z">
              <w:tcPr>
                <w:tcW w:w="863" w:type="dxa"/>
                <w:tcBorders>
                  <w:top w:val="single" w:color="auto" w:sz="4" w:space="0"/>
                  <w:left w:val="single" w:color="auto" w:sz="4" w:space="0"/>
                  <w:bottom w:val="single" w:color="auto" w:sz="4" w:space="0"/>
                  <w:right w:val="single" w:color="auto" w:sz="4" w:space="0"/>
                </w:tcBorders>
                <w:noWrap w:val="0"/>
                <w:vAlign w:val="center"/>
              </w:tcPr>
            </w:tcPrChange>
          </w:tcPr>
          <w:p w14:paraId="73F59B84">
            <w:pPr>
              <w:spacing w:line="440" w:lineRule="exact"/>
              <w:jc w:val="center"/>
              <w:rPr>
                <w:rFonts w:hint="eastAsia" w:ascii="宋体" w:hAnsi="宋体" w:eastAsia="宋体" w:cs="宋体"/>
                <w:color w:val="auto"/>
                <w:sz w:val="22"/>
                <w:szCs w:val="22"/>
                <w:highlight w:val="none"/>
              </w:rPr>
            </w:pPr>
          </w:p>
        </w:tc>
        <w:tc>
          <w:tcPr>
            <w:tcW w:w="650" w:type="dxa"/>
            <w:tcBorders>
              <w:top w:val="single" w:color="auto" w:sz="4" w:space="0"/>
              <w:left w:val="single" w:color="auto" w:sz="4" w:space="0"/>
              <w:bottom w:val="single" w:color="auto" w:sz="4" w:space="0"/>
              <w:right w:val="single" w:color="auto" w:sz="4" w:space="0"/>
            </w:tcBorders>
            <w:noWrap w:val="0"/>
            <w:vAlign w:val="top"/>
            <w:tcPrChange w:id="15" w:author="南美涛" w:date="2025-07-22T22:23:00Z">
              <w:tcPr>
                <w:tcW w:w="650" w:type="dxa"/>
                <w:tcBorders>
                  <w:top w:val="single" w:color="auto" w:sz="4" w:space="0"/>
                  <w:left w:val="single" w:color="auto" w:sz="4" w:space="0"/>
                  <w:bottom w:val="single" w:color="auto" w:sz="4" w:space="0"/>
                  <w:right w:val="single" w:color="auto" w:sz="4" w:space="0"/>
                </w:tcBorders>
                <w:noWrap w:val="0"/>
                <w:vAlign w:val="top"/>
              </w:tcPr>
            </w:tcPrChange>
          </w:tcPr>
          <w:p w14:paraId="1620F7A4">
            <w:pPr>
              <w:spacing w:line="440" w:lineRule="exact"/>
              <w:jc w:val="center"/>
              <w:rPr>
                <w:rFonts w:hint="eastAsia" w:ascii="宋体" w:hAnsi="宋体" w:eastAsia="宋体" w:cs="宋体"/>
                <w:color w:val="auto"/>
                <w:sz w:val="22"/>
                <w:szCs w:val="22"/>
                <w:highlight w:val="none"/>
              </w:rPr>
            </w:pPr>
          </w:p>
        </w:tc>
        <w:tc>
          <w:tcPr>
            <w:tcW w:w="744" w:type="dxa"/>
            <w:tcBorders>
              <w:top w:val="single" w:color="auto" w:sz="4" w:space="0"/>
              <w:left w:val="single" w:color="auto" w:sz="4" w:space="0"/>
              <w:bottom w:val="single" w:color="auto" w:sz="4" w:space="0"/>
              <w:right w:val="single" w:color="auto" w:sz="4" w:space="0"/>
            </w:tcBorders>
            <w:noWrap w:val="0"/>
            <w:vAlign w:val="top"/>
            <w:tcPrChange w:id="16" w:author="南美涛" w:date="2025-07-22T22:23:00Z">
              <w:tcPr>
                <w:tcW w:w="744" w:type="dxa"/>
                <w:tcBorders>
                  <w:top w:val="single" w:color="auto" w:sz="4" w:space="0"/>
                  <w:left w:val="single" w:color="auto" w:sz="4" w:space="0"/>
                  <w:bottom w:val="single" w:color="auto" w:sz="4" w:space="0"/>
                  <w:right w:val="single" w:color="auto" w:sz="4" w:space="0"/>
                </w:tcBorders>
                <w:noWrap w:val="0"/>
                <w:vAlign w:val="top"/>
              </w:tcPr>
            </w:tcPrChange>
          </w:tcPr>
          <w:p w14:paraId="7DBE1ACE">
            <w:pPr>
              <w:spacing w:line="440" w:lineRule="exact"/>
              <w:jc w:val="center"/>
              <w:rPr>
                <w:rFonts w:hint="eastAsia" w:ascii="宋体" w:hAnsi="宋体" w:eastAsia="宋体" w:cs="宋体"/>
                <w:color w:val="auto"/>
                <w:sz w:val="22"/>
                <w:szCs w:val="22"/>
                <w:highlight w:val="none"/>
              </w:rPr>
            </w:pPr>
          </w:p>
        </w:tc>
      </w:tr>
      <w:tr w14:paraId="704F2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jc w:val="center"/>
        </w:trPr>
        <w:tc>
          <w:tcPr>
            <w:tcW w:w="605" w:type="dxa"/>
            <w:vMerge w:val="continue"/>
            <w:tcBorders>
              <w:top w:val="single" w:color="auto" w:sz="4" w:space="0"/>
              <w:left w:val="single" w:color="auto" w:sz="4" w:space="0"/>
              <w:bottom w:val="single" w:color="auto" w:sz="4" w:space="0"/>
              <w:right w:val="single" w:color="auto" w:sz="4" w:space="0"/>
            </w:tcBorders>
            <w:noWrap w:val="0"/>
            <w:vAlign w:val="center"/>
          </w:tcPr>
          <w:p w14:paraId="49E15B38">
            <w:pPr>
              <w:widowControl/>
              <w:spacing w:line="560" w:lineRule="exact"/>
              <w:jc w:val="left"/>
              <w:rPr>
                <w:rFonts w:hint="eastAsia" w:ascii="宋体" w:hAnsi="宋体" w:eastAsia="宋体" w:cs="宋体"/>
                <w:color w:val="auto"/>
                <w:sz w:val="22"/>
                <w:szCs w:val="22"/>
                <w:highlight w:val="none"/>
              </w:rPr>
            </w:pPr>
          </w:p>
        </w:tc>
        <w:tc>
          <w:tcPr>
            <w:tcW w:w="865" w:type="dxa"/>
            <w:vMerge w:val="continue"/>
            <w:tcBorders>
              <w:top w:val="single" w:color="auto" w:sz="4" w:space="0"/>
              <w:left w:val="single" w:color="auto" w:sz="4" w:space="0"/>
              <w:bottom w:val="single" w:color="auto" w:sz="4" w:space="0"/>
              <w:right w:val="single" w:color="auto" w:sz="4" w:space="0"/>
            </w:tcBorders>
            <w:noWrap w:val="0"/>
            <w:vAlign w:val="center"/>
          </w:tcPr>
          <w:p w14:paraId="282D6DC5">
            <w:pPr>
              <w:widowControl/>
              <w:spacing w:line="560" w:lineRule="exact"/>
              <w:jc w:val="left"/>
              <w:rPr>
                <w:rFonts w:hint="eastAsia" w:ascii="宋体" w:hAnsi="宋体" w:eastAsia="宋体" w:cs="宋体"/>
                <w:color w:val="auto"/>
                <w:sz w:val="22"/>
                <w:szCs w:val="22"/>
                <w:highlight w:val="none"/>
              </w:rPr>
            </w:pPr>
          </w:p>
        </w:tc>
        <w:tc>
          <w:tcPr>
            <w:tcW w:w="716" w:type="dxa"/>
            <w:vMerge w:val="continue"/>
            <w:tcBorders>
              <w:top w:val="single" w:color="auto" w:sz="4" w:space="0"/>
              <w:left w:val="single" w:color="auto" w:sz="4" w:space="0"/>
              <w:bottom w:val="single" w:color="auto" w:sz="4" w:space="0"/>
              <w:right w:val="single" w:color="auto" w:sz="4" w:space="0"/>
            </w:tcBorders>
            <w:noWrap w:val="0"/>
            <w:vAlign w:val="center"/>
          </w:tcPr>
          <w:p w14:paraId="3C3498FF">
            <w:pPr>
              <w:widowControl/>
              <w:spacing w:line="560" w:lineRule="exact"/>
              <w:jc w:val="left"/>
              <w:rPr>
                <w:rFonts w:hint="eastAsia" w:ascii="宋体" w:hAnsi="宋体" w:eastAsia="宋体" w:cs="宋体"/>
                <w:color w:val="auto"/>
                <w:sz w:val="22"/>
                <w:szCs w:val="22"/>
                <w:highlight w:val="none"/>
              </w:rPr>
            </w:pPr>
          </w:p>
        </w:tc>
        <w:tc>
          <w:tcPr>
            <w:tcW w:w="534" w:type="dxa"/>
            <w:tcBorders>
              <w:top w:val="single" w:color="auto" w:sz="4" w:space="0"/>
              <w:left w:val="single" w:color="auto" w:sz="4" w:space="0"/>
              <w:bottom w:val="single" w:color="auto" w:sz="4" w:space="0"/>
              <w:right w:val="single" w:color="auto" w:sz="4" w:space="0"/>
            </w:tcBorders>
            <w:noWrap w:val="0"/>
            <w:vAlign w:val="center"/>
          </w:tcPr>
          <w:p w14:paraId="78FA11D9">
            <w:pPr>
              <w:spacing w:line="440" w:lineRule="exact"/>
              <w:jc w:val="center"/>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3</w:t>
            </w:r>
          </w:p>
        </w:tc>
        <w:tc>
          <w:tcPr>
            <w:tcW w:w="3551" w:type="dxa"/>
            <w:tcBorders>
              <w:top w:val="single" w:color="auto" w:sz="4" w:space="0"/>
              <w:left w:val="single" w:color="auto" w:sz="4" w:space="0"/>
              <w:bottom w:val="single" w:color="auto" w:sz="4" w:space="0"/>
              <w:right w:val="single" w:color="auto" w:sz="4" w:space="0"/>
            </w:tcBorders>
            <w:noWrap w:val="0"/>
            <w:vAlign w:val="center"/>
          </w:tcPr>
          <w:p w14:paraId="7EC8C8D1">
            <w:pPr>
              <w:spacing w:line="240" w:lineRule="exact"/>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通过提供虚假信息，误导或欺骗等非法方式，谋取非法利益的，每违反一次扣2 分</w:t>
            </w:r>
          </w:p>
        </w:tc>
        <w:tc>
          <w:tcPr>
            <w:tcW w:w="863" w:type="dxa"/>
            <w:tcBorders>
              <w:top w:val="single" w:color="auto" w:sz="4" w:space="0"/>
              <w:left w:val="single" w:color="auto" w:sz="4" w:space="0"/>
              <w:bottom w:val="single" w:color="auto" w:sz="4" w:space="0"/>
              <w:right w:val="single" w:color="auto" w:sz="4" w:space="0"/>
            </w:tcBorders>
            <w:noWrap w:val="0"/>
            <w:vAlign w:val="center"/>
          </w:tcPr>
          <w:p w14:paraId="53AEDC13">
            <w:pPr>
              <w:spacing w:line="440" w:lineRule="exact"/>
              <w:jc w:val="center"/>
              <w:rPr>
                <w:rFonts w:hint="eastAsia" w:ascii="宋体" w:hAnsi="宋体" w:eastAsia="宋体" w:cs="宋体"/>
                <w:color w:val="auto"/>
                <w:sz w:val="22"/>
                <w:szCs w:val="22"/>
                <w:highlight w:val="none"/>
              </w:rPr>
            </w:pPr>
          </w:p>
        </w:tc>
        <w:tc>
          <w:tcPr>
            <w:tcW w:w="650" w:type="dxa"/>
            <w:tcBorders>
              <w:top w:val="single" w:color="auto" w:sz="4" w:space="0"/>
              <w:left w:val="single" w:color="auto" w:sz="4" w:space="0"/>
              <w:bottom w:val="single" w:color="auto" w:sz="4" w:space="0"/>
              <w:right w:val="single" w:color="auto" w:sz="4" w:space="0"/>
            </w:tcBorders>
            <w:noWrap w:val="0"/>
            <w:vAlign w:val="top"/>
          </w:tcPr>
          <w:p w14:paraId="407AB104">
            <w:pPr>
              <w:spacing w:line="440" w:lineRule="exact"/>
              <w:jc w:val="center"/>
              <w:rPr>
                <w:rFonts w:hint="eastAsia" w:ascii="宋体" w:hAnsi="宋体" w:eastAsia="宋体" w:cs="宋体"/>
                <w:color w:val="auto"/>
                <w:sz w:val="22"/>
                <w:szCs w:val="22"/>
                <w:highlight w:val="none"/>
              </w:rPr>
            </w:pPr>
          </w:p>
        </w:tc>
        <w:tc>
          <w:tcPr>
            <w:tcW w:w="744" w:type="dxa"/>
            <w:tcBorders>
              <w:top w:val="single" w:color="auto" w:sz="4" w:space="0"/>
              <w:left w:val="single" w:color="auto" w:sz="4" w:space="0"/>
              <w:bottom w:val="single" w:color="auto" w:sz="4" w:space="0"/>
              <w:right w:val="single" w:color="auto" w:sz="4" w:space="0"/>
            </w:tcBorders>
            <w:noWrap w:val="0"/>
            <w:vAlign w:val="top"/>
          </w:tcPr>
          <w:p w14:paraId="58214E5C">
            <w:pPr>
              <w:spacing w:line="440" w:lineRule="exact"/>
              <w:jc w:val="center"/>
              <w:rPr>
                <w:rFonts w:hint="eastAsia" w:ascii="宋体" w:hAnsi="宋体" w:eastAsia="宋体" w:cs="宋体"/>
                <w:color w:val="auto"/>
                <w:sz w:val="22"/>
                <w:szCs w:val="22"/>
                <w:highlight w:val="none"/>
              </w:rPr>
            </w:pPr>
          </w:p>
        </w:tc>
      </w:tr>
      <w:tr w14:paraId="1142C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605" w:type="dxa"/>
            <w:vMerge w:val="continue"/>
            <w:tcBorders>
              <w:top w:val="single" w:color="auto" w:sz="4" w:space="0"/>
              <w:left w:val="single" w:color="auto" w:sz="4" w:space="0"/>
              <w:bottom w:val="single" w:color="auto" w:sz="4" w:space="0"/>
              <w:right w:val="single" w:color="auto" w:sz="4" w:space="0"/>
            </w:tcBorders>
            <w:noWrap w:val="0"/>
            <w:vAlign w:val="center"/>
          </w:tcPr>
          <w:p w14:paraId="2FC6D8E1">
            <w:pPr>
              <w:widowControl/>
              <w:spacing w:line="560" w:lineRule="exact"/>
              <w:jc w:val="left"/>
              <w:rPr>
                <w:rFonts w:hint="eastAsia" w:ascii="宋体" w:hAnsi="宋体" w:eastAsia="宋体" w:cs="宋体"/>
                <w:color w:val="auto"/>
                <w:sz w:val="22"/>
                <w:szCs w:val="22"/>
                <w:highlight w:val="none"/>
              </w:rPr>
            </w:pPr>
          </w:p>
        </w:tc>
        <w:tc>
          <w:tcPr>
            <w:tcW w:w="865" w:type="dxa"/>
            <w:vMerge w:val="continue"/>
            <w:tcBorders>
              <w:top w:val="single" w:color="auto" w:sz="4" w:space="0"/>
              <w:left w:val="single" w:color="auto" w:sz="4" w:space="0"/>
              <w:bottom w:val="single" w:color="auto" w:sz="4" w:space="0"/>
              <w:right w:val="single" w:color="auto" w:sz="4" w:space="0"/>
            </w:tcBorders>
            <w:noWrap w:val="0"/>
            <w:vAlign w:val="center"/>
          </w:tcPr>
          <w:p w14:paraId="77704026">
            <w:pPr>
              <w:widowControl/>
              <w:spacing w:line="560" w:lineRule="exact"/>
              <w:jc w:val="left"/>
              <w:rPr>
                <w:rFonts w:hint="eastAsia" w:ascii="宋体" w:hAnsi="宋体" w:eastAsia="宋体" w:cs="宋体"/>
                <w:color w:val="auto"/>
                <w:sz w:val="22"/>
                <w:szCs w:val="22"/>
                <w:highlight w:val="none"/>
              </w:rPr>
            </w:pPr>
          </w:p>
        </w:tc>
        <w:tc>
          <w:tcPr>
            <w:tcW w:w="716" w:type="dxa"/>
            <w:vMerge w:val="continue"/>
            <w:tcBorders>
              <w:top w:val="single" w:color="auto" w:sz="4" w:space="0"/>
              <w:left w:val="single" w:color="auto" w:sz="4" w:space="0"/>
              <w:bottom w:val="single" w:color="auto" w:sz="4" w:space="0"/>
              <w:right w:val="single" w:color="auto" w:sz="4" w:space="0"/>
            </w:tcBorders>
            <w:noWrap w:val="0"/>
            <w:vAlign w:val="center"/>
          </w:tcPr>
          <w:p w14:paraId="19C38B24">
            <w:pPr>
              <w:widowControl/>
              <w:spacing w:line="560" w:lineRule="exact"/>
              <w:jc w:val="left"/>
              <w:rPr>
                <w:rFonts w:hint="eastAsia" w:ascii="宋体" w:hAnsi="宋体" w:eastAsia="宋体" w:cs="宋体"/>
                <w:color w:val="auto"/>
                <w:sz w:val="22"/>
                <w:szCs w:val="22"/>
                <w:highlight w:val="none"/>
              </w:rPr>
            </w:pPr>
          </w:p>
        </w:tc>
        <w:tc>
          <w:tcPr>
            <w:tcW w:w="534" w:type="dxa"/>
            <w:tcBorders>
              <w:top w:val="single" w:color="auto" w:sz="4" w:space="0"/>
              <w:left w:val="single" w:color="auto" w:sz="4" w:space="0"/>
              <w:bottom w:val="single" w:color="auto" w:sz="4" w:space="0"/>
              <w:right w:val="single" w:color="auto" w:sz="4" w:space="0"/>
            </w:tcBorders>
            <w:noWrap w:val="0"/>
            <w:vAlign w:val="center"/>
          </w:tcPr>
          <w:p w14:paraId="23A04411">
            <w:pPr>
              <w:spacing w:line="440" w:lineRule="exact"/>
              <w:jc w:val="center"/>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4</w:t>
            </w:r>
          </w:p>
        </w:tc>
        <w:tc>
          <w:tcPr>
            <w:tcW w:w="3551" w:type="dxa"/>
            <w:tcBorders>
              <w:top w:val="single" w:color="auto" w:sz="4" w:space="0"/>
              <w:left w:val="single" w:color="auto" w:sz="4" w:space="0"/>
              <w:bottom w:val="single" w:color="auto" w:sz="4" w:space="0"/>
              <w:right w:val="single" w:color="auto" w:sz="4" w:space="0"/>
            </w:tcBorders>
            <w:noWrap w:val="0"/>
            <w:vAlign w:val="center"/>
          </w:tcPr>
          <w:p w14:paraId="16B68B25">
            <w:pPr>
              <w:spacing w:line="240" w:lineRule="exact"/>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未经委托人书面同意擅自将受托项目转委托给第三方的，每违反一次扣2 分</w:t>
            </w:r>
          </w:p>
        </w:tc>
        <w:tc>
          <w:tcPr>
            <w:tcW w:w="863" w:type="dxa"/>
            <w:tcBorders>
              <w:top w:val="single" w:color="auto" w:sz="4" w:space="0"/>
              <w:left w:val="single" w:color="auto" w:sz="4" w:space="0"/>
              <w:bottom w:val="single" w:color="auto" w:sz="4" w:space="0"/>
              <w:right w:val="single" w:color="auto" w:sz="4" w:space="0"/>
            </w:tcBorders>
            <w:noWrap w:val="0"/>
            <w:vAlign w:val="center"/>
          </w:tcPr>
          <w:p w14:paraId="454688DA">
            <w:pPr>
              <w:spacing w:line="440" w:lineRule="exact"/>
              <w:jc w:val="center"/>
              <w:rPr>
                <w:rFonts w:hint="eastAsia" w:ascii="宋体" w:hAnsi="宋体" w:eastAsia="宋体" w:cs="宋体"/>
                <w:color w:val="auto"/>
                <w:sz w:val="22"/>
                <w:szCs w:val="22"/>
                <w:highlight w:val="none"/>
              </w:rPr>
            </w:pPr>
          </w:p>
        </w:tc>
        <w:tc>
          <w:tcPr>
            <w:tcW w:w="650" w:type="dxa"/>
            <w:tcBorders>
              <w:top w:val="single" w:color="auto" w:sz="4" w:space="0"/>
              <w:left w:val="single" w:color="auto" w:sz="4" w:space="0"/>
              <w:bottom w:val="single" w:color="auto" w:sz="4" w:space="0"/>
              <w:right w:val="single" w:color="auto" w:sz="4" w:space="0"/>
            </w:tcBorders>
            <w:noWrap w:val="0"/>
            <w:vAlign w:val="top"/>
          </w:tcPr>
          <w:p w14:paraId="72FF7D6A">
            <w:pPr>
              <w:spacing w:line="440" w:lineRule="exact"/>
              <w:jc w:val="center"/>
              <w:rPr>
                <w:rFonts w:hint="eastAsia" w:ascii="宋体" w:hAnsi="宋体" w:eastAsia="宋体" w:cs="宋体"/>
                <w:color w:val="auto"/>
                <w:sz w:val="22"/>
                <w:szCs w:val="22"/>
                <w:highlight w:val="none"/>
              </w:rPr>
            </w:pPr>
          </w:p>
        </w:tc>
        <w:tc>
          <w:tcPr>
            <w:tcW w:w="744" w:type="dxa"/>
            <w:tcBorders>
              <w:top w:val="single" w:color="auto" w:sz="4" w:space="0"/>
              <w:left w:val="single" w:color="auto" w:sz="4" w:space="0"/>
              <w:bottom w:val="single" w:color="auto" w:sz="4" w:space="0"/>
              <w:right w:val="single" w:color="auto" w:sz="4" w:space="0"/>
            </w:tcBorders>
            <w:noWrap w:val="0"/>
            <w:vAlign w:val="top"/>
          </w:tcPr>
          <w:p w14:paraId="69323B36">
            <w:pPr>
              <w:spacing w:line="440" w:lineRule="exact"/>
              <w:jc w:val="center"/>
              <w:rPr>
                <w:rFonts w:hint="eastAsia" w:ascii="宋体" w:hAnsi="宋体" w:eastAsia="宋体" w:cs="宋体"/>
                <w:color w:val="auto"/>
                <w:sz w:val="22"/>
                <w:szCs w:val="22"/>
                <w:highlight w:val="none"/>
              </w:rPr>
            </w:pPr>
          </w:p>
        </w:tc>
      </w:tr>
      <w:tr w14:paraId="407B7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7" w:author="南美涛" w:date="2025-07-22T22:22:5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567" w:hRule="atLeast"/>
          <w:jc w:val="center"/>
          <w:trPrChange w:id="17" w:author="南美涛" w:date="2025-07-22T22:22:55Z">
            <w:trPr>
              <w:trHeight w:val="690" w:hRule="atLeast"/>
              <w:jc w:val="center"/>
            </w:trPr>
          </w:trPrChange>
        </w:trPr>
        <w:tc>
          <w:tcPr>
            <w:tcW w:w="605" w:type="dxa"/>
            <w:vMerge w:val="continue"/>
            <w:tcBorders>
              <w:top w:val="single" w:color="auto" w:sz="4" w:space="0"/>
              <w:left w:val="single" w:color="auto" w:sz="4" w:space="0"/>
              <w:bottom w:val="single" w:color="auto" w:sz="4" w:space="0"/>
              <w:right w:val="single" w:color="auto" w:sz="4" w:space="0"/>
            </w:tcBorders>
            <w:noWrap w:val="0"/>
            <w:vAlign w:val="center"/>
            <w:tcPrChange w:id="18" w:author="南美涛" w:date="2025-07-22T22:22:55Z">
              <w:tcPr>
                <w:tcW w:w="605" w:type="dxa"/>
                <w:vMerge w:val="continue"/>
                <w:tcBorders>
                  <w:top w:val="single" w:color="auto" w:sz="4" w:space="0"/>
                  <w:left w:val="single" w:color="auto" w:sz="4" w:space="0"/>
                  <w:bottom w:val="single" w:color="auto" w:sz="4" w:space="0"/>
                  <w:right w:val="single" w:color="auto" w:sz="4" w:space="0"/>
                </w:tcBorders>
                <w:noWrap w:val="0"/>
                <w:vAlign w:val="center"/>
              </w:tcPr>
            </w:tcPrChange>
          </w:tcPr>
          <w:p w14:paraId="17CAA481">
            <w:pPr>
              <w:widowControl/>
              <w:spacing w:line="560" w:lineRule="exact"/>
              <w:jc w:val="left"/>
              <w:rPr>
                <w:rFonts w:hint="eastAsia" w:ascii="宋体" w:hAnsi="宋体" w:eastAsia="宋体" w:cs="宋体"/>
                <w:color w:val="auto"/>
                <w:sz w:val="22"/>
                <w:szCs w:val="22"/>
                <w:highlight w:val="none"/>
              </w:rPr>
            </w:pPr>
          </w:p>
        </w:tc>
        <w:tc>
          <w:tcPr>
            <w:tcW w:w="865" w:type="dxa"/>
            <w:vMerge w:val="continue"/>
            <w:tcBorders>
              <w:top w:val="single" w:color="auto" w:sz="4" w:space="0"/>
              <w:left w:val="single" w:color="auto" w:sz="4" w:space="0"/>
              <w:bottom w:val="single" w:color="auto" w:sz="4" w:space="0"/>
              <w:right w:val="single" w:color="auto" w:sz="4" w:space="0"/>
            </w:tcBorders>
            <w:noWrap w:val="0"/>
            <w:vAlign w:val="center"/>
            <w:tcPrChange w:id="19" w:author="南美涛" w:date="2025-07-22T22:22:55Z">
              <w:tcPr>
                <w:tcW w:w="865" w:type="dxa"/>
                <w:vMerge w:val="continue"/>
                <w:tcBorders>
                  <w:top w:val="single" w:color="auto" w:sz="4" w:space="0"/>
                  <w:left w:val="single" w:color="auto" w:sz="4" w:space="0"/>
                  <w:bottom w:val="single" w:color="auto" w:sz="4" w:space="0"/>
                  <w:right w:val="single" w:color="auto" w:sz="4" w:space="0"/>
                </w:tcBorders>
                <w:noWrap w:val="0"/>
                <w:vAlign w:val="center"/>
              </w:tcPr>
            </w:tcPrChange>
          </w:tcPr>
          <w:p w14:paraId="14C6B1EC">
            <w:pPr>
              <w:widowControl/>
              <w:spacing w:line="560" w:lineRule="exact"/>
              <w:jc w:val="left"/>
              <w:rPr>
                <w:rFonts w:hint="eastAsia" w:ascii="宋体" w:hAnsi="宋体" w:eastAsia="宋体" w:cs="宋体"/>
                <w:color w:val="auto"/>
                <w:sz w:val="22"/>
                <w:szCs w:val="22"/>
                <w:highlight w:val="none"/>
              </w:rPr>
            </w:pPr>
          </w:p>
        </w:tc>
        <w:tc>
          <w:tcPr>
            <w:tcW w:w="716" w:type="dxa"/>
            <w:vMerge w:val="continue"/>
            <w:tcBorders>
              <w:top w:val="single" w:color="auto" w:sz="4" w:space="0"/>
              <w:left w:val="single" w:color="auto" w:sz="4" w:space="0"/>
              <w:bottom w:val="single" w:color="auto" w:sz="4" w:space="0"/>
              <w:right w:val="single" w:color="auto" w:sz="4" w:space="0"/>
            </w:tcBorders>
            <w:noWrap w:val="0"/>
            <w:vAlign w:val="center"/>
            <w:tcPrChange w:id="20" w:author="南美涛" w:date="2025-07-22T22:22:55Z">
              <w:tcPr>
                <w:tcW w:w="716" w:type="dxa"/>
                <w:vMerge w:val="continue"/>
                <w:tcBorders>
                  <w:top w:val="single" w:color="auto" w:sz="4" w:space="0"/>
                  <w:left w:val="single" w:color="auto" w:sz="4" w:space="0"/>
                  <w:bottom w:val="single" w:color="auto" w:sz="4" w:space="0"/>
                  <w:right w:val="single" w:color="auto" w:sz="4" w:space="0"/>
                </w:tcBorders>
                <w:noWrap w:val="0"/>
                <w:vAlign w:val="center"/>
              </w:tcPr>
            </w:tcPrChange>
          </w:tcPr>
          <w:p w14:paraId="1FB22631">
            <w:pPr>
              <w:widowControl/>
              <w:spacing w:line="560" w:lineRule="exact"/>
              <w:jc w:val="left"/>
              <w:rPr>
                <w:rFonts w:hint="eastAsia" w:ascii="宋体" w:hAnsi="宋体" w:eastAsia="宋体" w:cs="宋体"/>
                <w:color w:val="auto"/>
                <w:sz w:val="22"/>
                <w:szCs w:val="22"/>
                <w:highlight w:val="none"/>
              </w:rPr>
            </w:pPr>
          </w:p>
        </w:tc>
        <w:tc>
          <w:tcPr>
            <w:tcW w:w="534" w:type="dxa"/>
            <w:tcBorders>
              <w:top w:val="single" w:color="auto" w:sz="4" w:space="0"/>
              <w:left w:val="single" w:color="auto" w:sz="4" w:space="0"/>
              <w:bottom w:val="single" w:color="auto" w:sz="4" w:space="0"/>
              <w:right w:val="single" w:color="auto" w:sz="4" w:space="0"/>
            </w:tcBorders>
            <w:noWrap w:val="0"/>
            <w:vAlign w:val="center"/>
            <w:tcPrChange w:id="21" w:author="南美涛" w:date="2025-07-22T22:22:55Z">
              <w:tcPr>
                <w:tcW w:w="534" w:type="dxa"/>
                <w:tcBorders>
                  <w:top w:val="single" w:color="auto" w:sz="4" w:space="0"/>
                  <w:left w:val="single" w:color="auto" w:sz="4" w:space="0"/>
                  <w:bottom w:val="single" w:color="auto" w:sz="4" w:space="0"/>
                  <w:right w:val="single" w:color="auto" w:sz="4" w:space="0"/>
                </w:tcBorders>
                <w:noWrap w:val="0"/>
                <w:vAlign w:val="center"/>
              </w:tcPr>
            </w:tcPrChange>
          </w:tcPr>
          <w:p w14:paraId="1A54802A">
            <w:pPr>
              <w:spacing w:line="440" w:lineRule="exact"/>
              <w:jc w:val="center"/>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5</w:t>
            </w:r>
          </w:p>
        </w:tc>
        <w:tc>
          <w:tcPr>
            <w:tcW w:w="3551" w:type="dxa"/>
            <w:tcBorders>
              <w:top w:val="single" w:color="auto" w:sz="4" w:space="0"/>
              <w:left w:val="single" w:color="auto" w:sz="4" w:space="0"/>
              <w:bottom w:val="single" w:color="auto" w:sz="4" w:space="0"/>
              <w:right w:val="single" w:color="auto" w:sz="4" w:space="0"/>
            </w:tcBorders>
            <w:noWrap w:val="0"/>
            <w:vAlign w:val="center"/>
            <w:tcPrChange w:id="22" w:author="南美涛" w:date="2025-07-22T22:22:55Z">
              <w:tcPr>
                <w:tcW w:w="3551" w:type="dxa"/>
                <w:tcBorders>
                  <w:top w:val="single" w:color="auto" w:sz="4" w:space="0"/>
                  <w:left w:val="single" w:color="auto" w:sz="4" w:space="0"/>
                  <w:bottom w:val="single" w:color="auto" w:sz="4" w:space="0"/>
                  <w:right w:val="single" w:color="auto" w:sz="4" w:space="0"/>
                </w:tcBorders>
                <w:noWrap w:val="0"/>
                <w:vAlign w:val="center"/>
              </w:tcPr>
            </w:tcPrChange>
          </w:tcPr>
          <w:p w14:paraId="2EABCE80">
            <w:pPr>
              <w:spacing w:line="240" w:lineRule="exact"/>
              <w:rPr>
                <w:rFonts w:hint="eastAsia" w:ascii="宋体" w:hAnsi="宋体" w:eastAsia="宋体" w:cs="宋体"/>
                <w:b/>
                <w:bCs/>
                <w:color w:val="auto"/>
                <w:kern w:val="0"/>
                <w:sz w:val="22"/>
                <w:szCs w:val="22"/>
                <w:highlight w:val="none"/>
              </w:rPr>
            </w:pPr>
            <w:r>
              <w:rPr>
                <w:rFonts w:hint="eastAsia" w:ascii="宋体" w:hAnsi="宋体" w:eastAsia="宋体" w:cs="宋体"/>
                <w:color w:val="auto"/>
                <w:kern w:val="0"/>
                <w:sz w:val="22"/>
                <w:szCs w:val="22"/>
                <w:highlight w:val="none"/>
              </w:rPr>
              <w:t>违反回避制度的，每违反一次扣2 分</w:t>
            </w:r>
          </w:p>
        </w:tc>
        <w:tc>
          <w:tcPr>
            <w:tcW w:w="863" w:type="dxa"/>
            <w:tcBorders>
              <w:top w:val="single" w:color="auto" w:sz="4" w:space="0"/>
              <w:left w:val="single" w:color="auto" w:sz="4" w:space="0"/>
              <w:bottom w:val="single" w:color="auto" w:sz="4" w:space="0"/>
              <w:right w:val="single" w:color="auto" w:sz="4" w:space="0"/>
            </w:tcBorders>
            <w:noWrap w:val="0"/>
            <w:vAlign w:val="center"/>
            <w:tcPrChange w:id="23" w:author="南美涛" w:date="2025-07-22T22:22:55Z">
              <w:tcPr>
                <w:tcW w:w="863" w:type="dxa"/>
                <w:tcBorders>
                  <w:top w:val="single" w:color="auto" w:sz="4" w:space="0"/>
                  <w:left w:val="single" w:color="auto" w:sz="4" w:space="0"/>
                  <w:bottom w:val="single" w:color="auto" w:sz="4" w:space="0"/>
                  <w:right w:val="single" w:color="auto" w:sz="4" w:space="0"/>
                </w:tcBorders>
                <w:noWrap w:val="0"/>
                <w:vAlign w:val="center"/>
              </w:tcPr>
            </w:tcPrChange>
          </w:tcPr>
          <w:p w14:paraId="76861BF1">
            <w:pPr>
              <w:spacing w:line="440" w:lineRule="exact"/>
              <w:jc w:val="center"/>
              <w:rPr>
                <w:rFonts w:hint="eastAsia" w:ascii="宋体" w:hAnsi="宋体" w:eastAsia="宋体" w:cs="宋体"/>
                <w:color w:val="auto"/>
                <w:sz w:val="22"/>
                <w:szCs w:val="22"/>
                <w:highlight w:val="none"/>
              </w:rPr>
            </w:pPr>
          </w:p>
        </w:tc>
        <w:tc>
          <w:tcPr>
            <w:tcW w:w="650" w:type="dxa"/>
            <w:tcBorders>
              <w:top w:val="single" w:color="auto" w:sz="4" w:space="0"/>
              <w:left w:val="single" w:color="auto" w:sz="4" w:space="0"/>
              <w:bottom w:val="single" w:color="auto" w:sz="4" w:space="0"/>
              <w:right w:val="single" w:color="auto" w:sz="4" w:space="0"/>
            </w:tcBorders>
            <w:noWrap w:val="0"/>
            <w:vAlign w:val="top"/>
            <w:tcPrChange w:id="24" w:author="南美涛" w:date="2025-07-22T22:22:55Z">
              <w:tcPr>
                <w:tcW w:w="650" w:type="dxa"/>
                <w:tcBorders>
                  <w:top w:val="single" w:color="auto" w:sz="4" w:space="0"/>
                  <w:left w:val="single" w:color="auto" w:sz="4" w:space="0"/>
                  <w:bottom w:val="single" w:color="auto" w:sz="4" w:space="0"/>
                  <w:right w:val="single" w:color="auto" w:sz="4" w:space="0"/>
                </w:tcBorders>
                <w:noWrap w:val="0"/>
                <w:vAlign w:val="top"/>
              </w:tcPr>
            </w:tcPrChange>
          </w:tcPr>
          <w:p w14:paraId="403EECB4">
            <w:pPr>
              <w:spacing w:line="440" w:lineRule="exact"/>
              <w:jc w:val="center"/>
              <w:rPr>
                <w:rFonts w:hint="eastAsia" w:ascii="宋体" w:hAnsi="宋体" w:eastAsia="宋体" w:cs="宋体"/>
                <w:color w:val="auto"/>
                <w:sz w:val="22"/>
                <w:szCs w:val="22"/>
                <w:highlight w:val="none"/>
              </w:rPr>
            </w:pPr>
          </w:p>
        </w:tc>
        <w:tc>
          <w:tcPr>
            <w:tcW w:w="744" w:type="dxa"/>
            <w:tcBorders>
              <w:top w:val="single" w:color="auto" w:sz="4" w:space="0"/>
              <w:left w:val="single" w:color="auto" w:sz="4" w:space="0"/>
              <w:bottom w:val="single" w:color="auto" w:sz="4" w:space="0"/>
              <w:right w:val="single" w:color="auto" w:sz="4" w:space="0"/>
            </w:tcBorders>
            <w:noWrap w:val="0"/>
            <w:vAlign w:val="top"/>
            <w:tcPrChange w:id="25" w:author="南美涛" w:date="2025-07-22T22:22:55Z">
              <w:tcPr>
                <w:tcW w:w="744" w:type="dxa"/>
                <w:tcBorders>
                  <w:top w:val="single" w:color="auto" w:sz="4" w:space="0"/>
                  <w:left w:val="single" w:color="auto" w:sz="4" w:space="0"/>
                  <w:bottom w:val="single" w:color="auto" w:sz="4" w:space="0"/>
                  <w:right w:val="single" w:color="auto" w:sz="4" w:space="0"/>
                </w:tcBorders>
                <w:noWrap w:val="0"/>
                <w:vAlign w:val="top"/>
              </w:tcPr>
            </w:tcPrChange>
          </w:tcPr>
          <w:p w14:paraId="0EBEBF33">
            <w:pPr>
              <w:spacing w:line="440" w:lineRule="exact"/>
              <w:jc w:val="center"/>
              <w:rPr>
                <w:rFonts w:hint="eastAsia" w:ascii="宋体" w:hAnsi="宋体" w:eastAsia="宋体" w:cs="宋体"/>
                <w:color w:val="auto"/>
                <w:sz w:val="22"/>
                <w:szCs w:val="22"/>
                <w:highlight w:val="none"/>
              </w:rPr>
            </w:pPr>
          </w:p>
        </w:tc>
      </w:tr>
      <w:tr w14:paraId="12245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6" w:author="南美涛" w:date="2025-07-22T22:22:53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581" w:hRule="atLeast"/>
          <w:jc w:val="center"/>
          <w:trPrChange w:id="26" w:author="南美涛" w:date="2025-07-22T22:22:53Z">
            <w:trPr>
              <w:trHeight w:val="714" w:hRule="atLeast"/>
              <w:jc w:val="center"/>
            </w:trPr>
          </w:trPrChange>
        </w:trPr>
        <w:tc>
          <w:tcPr>
            <w:tcW w:w="605" w:type="dxa"/>
            <w:vMerge w:val="continue"/>
            <w:tcBorders>
              <w:top w:val="single" w:color="auto" w:sz="4" w:space="0"/>
              <w:left w:val="single" w:color="auto" w:sz="4" w:space="0"/>
              <w:bottom w:val="single" w:color="auto" w:sz="4" w:space="0"/>
              <w:right w:val="single" w:color="auto" w:sz="4" w:space="0"/>
            </w:tcBorders>
            <w:noWrap w:val="0"/>
            <w:vAlign w:val="center"/>
            <w:tcPrChange w:id="27" w:author="南美涛" w:date="2025-07-22T22:22:53Z">
              <w:tcPr>
                <w:tcW w:w="605" w:type="dxa"/>
                <w:vMerge w:val="continue"/>
                <w:tcBorders>
                  <w:top w:val="single" w:color="auto" w:sz="4" w:space="0"/>
                  <w:left w:val="single" w:color="auto" w:sz="4" w:space="0"/>
                  <w:bottom w:val="single" w:color="auto" w:sz="4" w:space="0"/>
                  <w:right w:val="single" w:color="auto" w:sz="4" w:space="0"/>
                </w:tcBorders>
                <w:noWrap w:val="0"/>
                <w:vAlign w:val="center"/>
              </w:tcPr>
            </w:tcPrChange>
          </w:tcPr>
          <w:p w14:paraId="544AFC1E">
            <w:pPr>
              <w:widowControl/>
              <w:spacing w:line="560" w:lineRule="exact"/>
              <w:jc w:val="left"/>
              <w:rPr>
                <w:rFonts w:hint="eastAsia" w:ascii="宋体" w:hAnsi="宋体" w:eastAsia="宋体" w:cs="宋体"/>
                <w:color w:val="auto"/>
                <w:sz w:val="22"/>
                <w:szCs w:val="22"/>
                <w:highlight w:val="none"/>
              </w:rPr>
            </w:pPr>
          </w:p>
        </w:tc>
        <w:tc>
          <w:tcPr>
            <w:tcW w:w="865" w:type="dxa"/>
            <w:vMerge w:val="continue"/>
            <w:tcBorders>
              <w:top w:val="single" w:color="auto" w:sz="4" w:space="0"/>
              <w:left w:val="single" w:color="auto" w:sz="4" w:space="0"/>
              <w:bottom w:val="single" w:color="auto" w:sz="4" w:space="0"/>
              <w:right w:val="single" w:color="auto" w:sz="4" w:space="0"/>
            </w:tcBorders>
            <w:noWrap w:val="0"/>
            <w:vAlign w:val="center"/>
            <w:tcPrChange w:id="28" w:author="南美涛" w:date="2025-07-22T22:22:53Z">
              <w:tcPr>
                <w:tcW w:w="865" w:type="dxa"/>
                <w:vMerge w:val="continue"/>
                <w:tcBorders>
                  <w:top w:val="single" w:color="auto" w:sz="4" w:space="0"/>
                  <w:left w:val="single" w:color="auto" w:sz="4" w:space="0"/>
                  <w:bottom w:val="single" w:color="auto" w:sz="4" w:space="0"/>
                  <w:right w:val="single" w:color="auto" w:sz="4" w:space="0"/>
                </w:tcBorders>
                <w:noWrap w:val="0"/>
                <w:vAlign w:val="center"/>
              </w:tcPr>
            </w:tcPrChange>
          </w:tcPr>
          <w:p w14:paraId="26BC1D3C">
            <w:pPr>
              <w:widowControl/>
              <w:spacing w:line="560" w:lineRule="exact"/>
              <w:jc w:val="left"/>
              <w:rPr>
                <w:rFonts w:hint="eastAsia" w:ascii="宋体" w:hAnsi="宋体" w:eastAsia="宋体" w:cs="宋体"/>
                <w:color w:val="auto"/>
                <w:sz w:val="22"/>
                <w:szCs w:val="22"/>
                <w:highlight w:val="none"/>
              </w:rPr>
            </w:pPr>
          </w:p>
        </w:tc>
        <w:tc>
          <w:tcPr>
            <w:tcW w:w="716" w:type="dxa"/>
            <w:vMerge w:val="continue"/>
            <w:tcBorders>
              <w:top w:val="single" w:color="auto" w:sz="4" w:space="0"/>
              <w:left w:val="single" w:color="auto" w:sz="4" w:space="0"/>
              <w:bottom w:val="single" w:color="auto" w:sz="4" w:space="0"/>
              <w:right w:val="single" w:color="auto" w:sz="4" w:space="0"/>
            </w:tcBorders>
            <w:noWrap w:val="0"/>
            <w:vAlign w:val="center"/>
            <w:tcPrChange w:id="29" w:author="南美涛" w:date="2025-07-22T22:22:53Z">
              <w:tcPr>
                <w:tcW w:w="716" w:type="dxa"/>
                <w:vMerge w:val="continue"/>
                <w:tcBorders>
                  <w:top w:val="single" w:color="auto" w:sz="4" w:space="0"/>
                  <w:left w:val="single" w:color="auto" w:sz="4" w:space="0"/>
                  <w:bottom w:val="single" w:color="auto" w:sz="4" w:space="0"/>
                  <w:right w:val="single" w:color="auto" w:sz="4" w:space="0"/>
                </w:tcBorders>
                <w:noWrap w:val="0"/>
                <w:vAlign w:val="center"/>
              </w:tcPr>
            </w:tcPrChange>
          </w:tcPr>
          <w:p w14:paraId="2FDFE4FE">
            <w:pPr>
              <w:widowControl/>
              <w:spacing w:line="560" w:lineRule="exact"/>
              <w:jc w:val="left"/>
              <w:rPr>
                <w:rFonts w:hint="eastAsia" w:ascii="宋体" w:hAnsi="宋体" w:eastAsia="宋体" w:cs="宋体"/>
                <w:color w:val="auto"/>
                <w:sz w:val="22"/>
                <w:szCs w:val="22"/>
                <w:highlight w:val="none"/>
              </w:rPr>
            </w:pPr>
          </w:p>
        </w:tc>
        <w:tc>
          <w:tcPr>
            <w:tcW w:w="534" w:type="dxa"/>
            <w:tcBorders>
              <w:top w:val="single" w:color="auto" w:sz="4" w:space="0"/>
              <w:left w:val="single" w:color="auto" w:sz="4" w:space="0"/>
              <w:bottom w:val="single" w:color="auto" w:sz="4" w:space="0"/>
              <w:right w:val="single" w:color="auto" w:sz="4" w:space="0"/>
            </w:tcBorders>
            <w:noWrap w:val="0"/>
            <w:vAlign w:val="center"/>
            <w:tcPrChange w:id="30" w:author="南美涛" w:date="2025-07-22T22:22:53Z">
              <w:tcPr>
                <w:tcW w:w="534" w:type="dxa"/>
                <w:tcBorders>
                  <w:top w:val="single" w:color="auto" w:sz="4" w:space="0"/>
                  <w:left w:val="single" w:color="auto" w:sz="4" w:space="0"/>
                  <w:bottom w:val="single" w:color="auto" w:sz="4" w:space="0"/>
                  <w:right w:val="single" w:color="auto" w:sz="4" w:space="0"/>
                </w:tcBorders>
                <w:noWrap w:val="0"/>
                <w:vAlign w:val="center"/>
              </w:tcPr>
            </w:tcPrChange>
          </w:tcPr>
          <w:p w14:paraId="4B43D3E4">
            <w:pPr>
              <w:spacing w:line="440" w:lineRule="exact"/>
              <w:jc w:val="center"/>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6</w:t>
            </w:r>
          </w:p>
        </w:tc>
        <w:tc>
          <w:tcPr>
            <w:tcW w:w="3551" w:type="dxa"/>
            <w:tcBorders>
              <w:top w:val="single" w:color="auto" w:sz="4" w:space="0"/>
              <w:left w:val="single" w:color="auto" w:sz="4" w:space="0"/>
              <w:bottom w:val="single" w:color="auto" w:sz="4" w:space="0"/>
              <w:right w:val="single" w:color="auto" w:sz="4" w:space="0"/>
            </w:tcBorders>
            <w:noWrap w:val="0"/>
            <w:vAlign w:val="center"/>
            <w:tcPrChange w:id="31" w:author="南美涛" w:date="2025-07-22T22:22:53Z">
              <w:tcPr>
                <w:tcW w:w="3551" w:type="dxa"/>
                <w:tcBorders>
                  <w:top w:val="single" w:color="auto" w:sz="4" w:space="0"/>
                  <w:left w:val="single" w:color="auto" w:sz="4" w:space="0"/>
                  <w:bottom w:val="single" w:color="auto" w:sz="4" w:space="0"/>
                  <w:right w:val="single" w:color="auto" w:sz="4" w:space="0"/>
                </w:tcBorders>
                <w:noWrap w:val="0"/>
                <w:vAlign w:val="center"/>
              </w:tcPr>
            </w:tcPrChange>
          </w:tcPr>
          <w:p w14:paraId="475A33E6">
            <w:pPr>
              <w:spacing w:line="240" w:lineRule="exact"/>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拒绝接受委托人跟踪核查的，每违反一次扣2 分</w:t>
            </w:r>
          </w:p>
        </w:tc>
        <w:tc>
          <w:tcPr>
            <w:tcW w:w="863" w:type="dxa"/>
            <w:tcBorders>
              <w:top w:val="single" w:color="auto" w:sz="4" w:space="0"/>
              <w:left w:val="single" w:color="auto" w:sz="4" w:space="0"/>
              <w:bottom w:val="single" w:color="auto" w:sz="4" w:space="0"/>
              <w:right w:val="single" w:color="auto" w:sz="4" w:space="0"/>
            </w:tcBorders>
            <w:noWrap w:val="0"/>
            <w:vAlign w:val="center"/>
            <w:tcPrChange w:id="32" w:author="南美涛" w:date="2025-07-22T22:22:53Z">
              <w:tcPr>
                <w:tcW w:w="863" w:type="dxa"/>
                <w:tcBorders>
                  <w:top w:val="single" w:color="auto" w:sz="4" w:space="0"/>
                  <w:left w:val="single" w:color="auto" w:sz="4" w:space="0"/>
                  <w:bottom w:val="single" w:color="auto" w:sz="4" w:space="0"/>
                  <w:right w:val="single" w:color="auto" w:sz="4" w:space="0"/>
                </w:tcBorders>
                <w:noWrap w:val="0"/>
                <w:vAlign w:val="center"/>
              </w:tcPr>
            </w:tcPrChange>
          </w:tcPr>
          <w:p w14:paraId="772B018A">
            <w:pPr>
              <w:spacing w:line="440" w:lineRule="exact"/>
              <w:jc w:val="center"/>
              <w:rPr>
                <w:rFonts w:hint="eastAsia" w:ascii="宋体" w:hAnsi="宋体" w:eastAsia="宋体" w:cs="宋体"/>
                <w:color w:val="auto"/>
                <w:sz w:val="22"/>
                <w:szCs w:val="22"/>
                <w:highlight w:val="none"/>
              </w:rPr>
            </w:pPr>
          </w:p>
        </w:tc>
        <w:tc>
          <w:tcPr>
            <w:tcW w:w="650" w:type="dxa"/>
            <w:tcBorders>
              <w:top w:val="single" w:color="auto" w:sz="4" w:space="0"/>
              <w:left w:val="single" w:color="auto" w:sz="4" w:space="0"/>
              <w:bottom w:val="single" w:color="auto" w:sz="4" w:space="0"/>
              <w:right w:val="single" w:color="auto" w:sz="4" w:space="0"/>
            </w:tcBorders>
            <w:noWrap w:val="0"/>
            <w:vAlign w:val="top"/>
            <w:tcPrChange w:id="33" w:author="南美涛" w:date="2025-07-22T22:22:53Z">
              <w:tcPr>
                <w:tcW w:w="650" w:type="dxa"/>
                <w:tcBorders>
                  <w:top w:val="single" w:color="auto" w:sz="4" w:space="0"/>
                  <w:left w:val="single" w:color="auto" w:sz="4" w:space="0"/>
                  <w:bottom w:val="single" w:color="auto" w:sz="4" w:space="0"/>
                  <w:right w:val="single" w:color="auto" w:sz="4" w:space="0"/>
                </w:tcBorders>
                <w:noWrap w:val="0"/>
                <w:vAlign w:val="top"/>
              </w:tcPr>
            </w:tcPrChange>
          </w:tcPr>
          <w:p w14:paraId="6CD9DC8C">
            <w:pPr>
              <w:spacing w:line="440" w:lineRule="exact"/>
              <w:jc w:val="center"/>
              <w:rPr>
                <w:rFonts w:hint="eastAsia" w:ascii="宋体" w:hAnsi="宋体" w:eastAsia="宋体" w:cs="宋体"/>
                <w:color w:val="auto"/>
                <w:sz w:val="22"/>
                <w:szCs w:val="22"/>
                <w:highlight w:val="none"/>
              </w:rPr>
            </w:pPr>
          </w:p>
        </w:tc>
        <w:tc>
          <w:tcPr>
            <w:tcW w:w="744" w:type="dxa"/>
            <w:tcBorders>
              <w:top w:val="single" w:color="auto" w:sz="4" w:space="0"/>
              <w:left w:val="single" w:color="auto" w:sz="4" w:space="0"/>
              <w:bottom w:val="single" w:color="auto" w:sz="4" w:space="0"/>
              <w:right w:val="single" w:color="auto" w:sz="4" w:space="0"/>
            </w:tcBorders>
            <w:noWrap w:val="0"/>
            <w:vAlign w:val="top"/>
            <w:tcPrChange w:id="34" w:author="南美涛" w:date="2025-07-22T22:22:53Z">
              <w:tcPr>
                <w:tcW w:w="744" w:type="dxa"/>
                <w:tcBorders>
                  <w:top w:val="single" w:color="auto" w:sz="4" w:space="0"/>
                  <w:left w:val="single" w:color="auto" w:sz="4" w:space="0"/>
                  <w:bottom w:val="single" w:color="auto" w:sz="4" w:space="0"/>
                  <w:right w:val="single" w:color="auto" w:sz="4" w:space="0"/>
                </w:tcBorders>
                <w:noWrap w:val="0"/>
                <w:vAlign w:val="top"/>
              </w:tcPr>
            </w:tcPrChange>
          </w:tcPr>
          <w:p w14:paraId="3464859A">
            <w:pPr>
              <w:spacing w:line="440" w:lineRule="exact"/>
              <w:jc w:val="center"/>
              <w:rPr>
                <w:rFonts w:hint="eastAsia" w:ascii="宋体" w:hAnsi="宋体" w:eastAsia="宋体" w:cs="宋体"/>
                <w:color w:val="auto"/>
                <w:sz w:val="22"/>
                <w:szCs w:val="22"/>
                <w:highlight w:val="none"/>
              </w:rPr>
            </w:pPr>
          </w:p>
        </w:tc>
      </w:tr>
      <w:tr w14:paraId="33A53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605" w:type="dxa"/>
            <w:vMerge w:val="continue"/>
            <w:tcBorders>
              <w:top w:val="single" w:color="auto" w:sz="4" w:space="0"/>
              <w:left w:val="single" w:color="auto" w:sz="4" w:space="0"/>
              <w:bottom w:val="single" w:color="auto" w:sz="4" w:space="0"/>
              <w:right w:val="single" w:color="auto" w:sz="4" w:space="0"/>
            </w:tcBorders>
            <w:noWrap w:val="0"/>
            <w:vAlign w:val="center"/>
          </w:tcPr>
          <w:p w14:paraId="659A4FAC">
            <w:pPr>
              <w:widowControl/>
              <w:spacing w:line="560" w:lineRule="exact"/>
              <w:jc w:val="left"/>
              <w:rPr>
                <w:rFonts w:hint="eastAsia" w:ascii="宋体" w:hAnsi="宋体" w:eastAsia="宋体" w:cs="宋体"/>
                <w:color w:val="auto"/>
                <w:sz w:val="22"/>
                <w:szCs w:val="22"/>
                <w:highlight w:val="none"/>
              </w:rPr>
            </w:pPr>
          </w:p>
        </w:tc>
        <w:tc>
          <w:tcPr>
            <w:tcW w:w="865" w:type="dxa"/>
            <w:vMerge w:val="continue"/>
            <w:tcBorders>
              <w:top w:val="single" w:color="auto" w:sz="4" w:space="0"/>
              <w:left w:val="single" w:color="auto" w:sz="4" w:space="0"/>
              <w:bottom w:val="single" w:color="auto" w:sz="4" w:space="0"/>
              <w:right w:val="single" w:color="auto" w:sz="4" w:space="0"/>
            </w:tcBorders>
            <w:noWrap w:val="0"/>
            <w:vAlign w:val="center"/>
          </w:tcPr>
          <w:p w14:paraId="3A82784C">
            <w:pPr>
              <w:widowControl/>
              <w:spacing w:line="560" w:lineRule="exact"/>
              <w:jc w:val="left"/>
              <w:rPr>
                <w:rFonts w:hint="eastAsia" w:ascii="宋体" w:hAnsi="宋体" w:eastAsia="宋体" w:cs="宋体"/>
                <w:color w:val="auto"/>
                <w:sz w:val="22"/>
                <w:szCs w:val="22"/>
                <w:highlight w:val="none"/>
              </w:rPr>
            </w:pPr>
          </w:p>
        </w:tc>
        <w:tc>
          <w:tcPr>
            <w:tcW w:w="716" w:type="dxa"/>
            <w:vMerge w:val="continue"/>
            <w:tcBorders>
              <w:top w:val="single" w:color="auto" w:sz="4" w:space="0"/>
              <w:left w:val="single" w:color="auto" w:sz="4" w:space="0"/>
              <w:bottom w:val="single" w:color="auto" w:sz="4" w:space="0"/>
              <w:right w:val="single" w:color="auto" w:sz="4" w:space="0"/>
            </w:tcBorders>
            <w:noWrap w:val="0"/>
            <w:vAlign w:val="center"/>
          </w:tcPr>
          <w:p w14:paraId="496987BF">
            <w:pPr>
              <w:widowControl/>
              <w:spacing w:line="560" w:lineRule="exact"/>
              <w:jc w:val="left"/>
              <w:rPr>
                <w:rFonts w:hint="eastAsia" w:ascii="宋体" w:hAnsi="宋体" w:eastAsia="宋体" w:cs="宋体"/>
                <w:color w:val="auto"/>
                <w:sz w:val="22"/>
                <w:szCs w:val="22"/>
                <w:highlight w:val="none"/>
              </w:rPr>
            </w:pPr>
          </w:p>
        </w:tc>
        <w:tc>
          <w:tcPr>
            <w:tcW w:w="534" w:type="dxa"/>
            <w:tcBorders>
              <w:top w:val="single" w:color="auto" w:sz="4" w:space="0"/>
              <w:left w:val="single" w:color="auto" w:sz="4" w:space="0"/>
              <w:bottom w:val="single" w:color="auto" w:sz="4" w:space="0"/>
              <w:right w:val="single" w:color="auto" w:sz="4" w:space="0"/>
            </w:tcBorders>
            <w:noWrap w:val="0"/>
            <w:vAlign w:val="center"/>
          </w:tcPr>
          <w:p w14:paraId="3333AC29">
            <w:pPr>
              <w:spacing w:line="440" w:lineRule="exact"/>
              <w:jc w:val="center"/>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7</w:t>
            </w:r>
          </w:p>
        </w:tc>
        <w:tc>
          <w:tcPr>
            <w:tcW w:w="3551" w:type="dxa"/>
            <w:tcBorders>
              <w:top w:val="single" w:color="auto" w:sz="4" w:space="0"/>
              <w:left w:val="single" w:color="auto" w:sz="4" w:space="0"/>
              <w:bottom w:val="single" w:color="auto" w:sz="4" w:space="0"/>
              <w:right w:val="single" w:color="auto" w:sz="4" w:space="0"/>
            </w:tcBorders>
            <w:noWrap w:val="0"/>
            <w:vAlign w:val="center"/>
          </w:tcPr>
          <w:p w14:paraId="15F0D6CF">
            <w:pPr>
              <w:spacing w:line="240" w:lineRule="exact"/>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未按要求保管评审资料的，造成资料缺损的，每违反一次扣2 分</w:t>
            </w:r>
          </w:p>
        </w:tc>
        <w:tc>
          <w:tcPr>
            <w:tcW w:w="863" w:type="dxa"/>
            <w:tcBorders>
              <w:top w:val="single" w:color="auto" w:sz="4" w:space="0"/>
              <w:left w:val="single" w:color="auto" w:sz="4" w:space="0"/>
              <w:bottom w:val="single" w:color="auto" w:sz="4" w:space="0"/>
              <w:right w:val="single" w:color="auto" w:sz="4" w:space="0"/>
            </w:tcBorders>
            <w:noWrap w:val="0"/>
            <w:vAlign w:val="center"/>
          </w:tcPr>
          <w:p w14:paraId="5EDE2C7C">
            <w:pPr>
              <w:spacing w:line="440" w:lineRule="exact"/>
              <w:jc w:val="center"/>
              <w:rPr>
                <w:rFonts w:hint="eastAsia" w:ascii="宋体" w:hAnsi="宋体" w:eastAsia="宋体" w:cs="宋体"/>
                <w:color w:val="auto"/>
                <w:sz w:val="22"/>
                <w:szCs w:val="22"/>
                <w:highlight w:val="none"/>
              </w:rPr>
            </w:pPr>
          </w:p>
        </w:tc>
        <w:tc>
          <w:tcPr>
            <w:tcW w:w="650" w:type="dxa"/>
            <w:tcBorders>
              <w:top w:val="single" w:color="auto" w:sz="4" w:space="0"/>
              <w:left w:val="single" w:color="auto" w:sz="4" w:space="0"/>
              <w:bottom w:val="single" w:color="auto" w:sz="4" w:space="0"/>
              <w:right w:val="single" w:color="auto" w:sz="4" w:space="0"/>
            </w:tcBorders>
            <w:noWrap w:val="0"/>
            <w:vAlign w:val="top"/>
          </w:tcPr>
          <w:p w14:paraId="166AE16C">
            <w:pPr>
              <w:spacing w:line="440" w:lineRule="exact"/>
              <w:jc w:val="center"/>
              <w:rPr>
                <w:rFonts w:hint="eastAsia" w:ascii="宋体" w:hAnsi="宋体" w:eastAsia="宋体" w:cs="宋体"/>
                <w:color w:val="auto"/>
                <w:sz w:val="22"/>
                <w:szCs w:val="22"/>
                <w:highlight w:val="none"/>
              </w:rPr>
            </w:pPr>
          </w:p>
        </w:tc>
        <w:tc>
          <w:tcPr>
            <w:tcW w:w="744" w:type="dxa"/>
            <w:tcBorders>
              <w:top w:val="single" w:color="auto" w:sz="4" w:space="0"/>
              <w:left w:val="single" w:color="auto" w:sz="4" w:space="0"/>
              <w:bottom w:val="single" w:color="auto" w:sz="4" w:space="0"/>
              <w:right w:val="single" w:color="auto" w:sz="4" w:space="0"/>
            </w:tcBorders>
            <w:noWrap w:val="0"/>
            <w:vAlign w:val="top"/>
          </w:tcPr>
          <w:p w14:paraId="6DAFEBE3">
            <w:pPr>
              <w:spacing w:line="440" w:lineRule="exact"/>
              <w:jc w:val="center"/>
              <w:rPr>
                <w:rFonts w:hint="eastAsia" w:ascii="宋体" w:hAnsi="宋体" w:eastAsia="宋体" w:cs="宋体"/>
                <w:color w:val="auto"/>
                <w:sz w:val="22"/>
                <w:szCs w:val="22"/>
                <w:highlight w:val="none"/>
              </w:rPr>
            </w:pPr>
          </w:p>
        </w:tc>
      </w:tr>
      <w:tr w14:paraId="147B6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5" w:author="南美涛" w:date="2025-07-22T22:22:4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375" w:hRule="atLeast"/>
          <w:jc w:val="center"/>
          <w:trPrChange w:id="35" w:author="南美涛" w:date="2025-07-22T22:22:47Z">
            <w:trPr>
              <w:trHeight w:val="1557" w:hRule="atLeast"/>
              <w:jc w:val="center"/>
            </w:trPr>
          </w:trPrChange>
        </w:trPr>
        <w:tc>
          <w:tcPr>
            <w:tcW w:w="605" w:type="dxa"/>
            <w:vMerge w:val="continue"/>
            <w:tcBorders>
              <w:top w:val="single" w:color="auto" w:sz="4" w:space="0"/>
              <w:left w:val="single" w:color="auto" w:sz="4" w:space="0"/>
              <w:bottom w:val="single" w:color="auto" w:sz="4" w:space="0"/>
              <w:right w:val="single" w:color="auto" w:sz="4" w:space="0"/>
            </w:tcBorders>
            <w:noWrap w:val="0"/>
            <w:vAlign w:val="center"/>
            <w:tcPrChange w:id="36" w:author="南美涛" w:date="2025-07-22T22:22:47Z">
              <w:tcPr>
                <w:tcW w:w="605" w:type="dxa"/>
                <w:vMerge w:val="continue"/>
                <w:tcBorders>
                  <w:top w:val="single" w:color="auto" w:sz="4" w:space="0"/>
                  <w:left w:val="single" w:color="auto" w:sz="4" w:space="0"/>
                  <w:bottom w:val="single" w:color="auto" w:sz="4" w:space="0"/>
                  <w:right w:val="single" w:color="auto" w:sz="4" w:space="0"/>
                </w:tcBorders>
                <w:noWrap w:val="0"/>
                <w:vAlign w:val="center"/>
              </w:tcPr>
            </w:tcPrChange>
          </w:tcPr>
          <w:p w14:paraId="400B13CD">
            <w:pPr>
              <w:widowControl/>
              <w:spacing w:line="560" w:lineRule="exact"/>
              <w:jc w:val="left"/>
              <w:rPr>
                <w:rFonts w:hint="eastAsia" w:ascii="宋体" w:hAnsi="宋体" w:eastAsia="宋体" w:cs="宋体"/>
                <w:color w:val="auto"/>
                <w:sz w:val="22"/>
                <w:szCs w:val="22"/>
                <w:highlight w:val="none"/>
              </w:rPr>
            </w:pPr>
          </w:p>
        </w:tc>
        <w:tc>
          <w:tcPr>
            <w:tcW w:w="865" w:type="dxa"/>
            <w:vMerge w:val="continue"/>
            <w:tcBorders>
              <w:top w:val="single" w:color="auto" w:sz="4" w:space="0"/>
              <w:left w:val="single" w:color="auto" w:sz="4" w:space="0"/>
              <w:bottom w:val="single" w:color="auto" w:sz="4" w:space="0"/>
              <w:right w:val="single" w:color="auto" w:sz="4" w:space="0"/>
            </w:tcBorders>
            <w:noWrap w:val="0"/>
            <w:vAlign w:val="center"/>
            <w:tcPrChange w:id="37" w:author="南美涛" w:date="2025-07-22T22:22:47Z">
              <w:tcPr>
                <w:tcW w:w="865" w:type="dxa"/>
                <w:vMerge w:val="continue"/>
                <w:tcBorders>
                  <w:top w:val="single" w:color="auto" w:sz="4" w:space="0"/>
                  <w:left w:val="single" w:color="auto" w:sz="4" w:space="0"/>
                  <w:bottom w:val="single" w:color="auto" w:sz="4" w:space="0"/>
                  <w:right w:val="single" w:color="auto" w:sz="4" w:space="0"/>
                </w:tcBorders>
                <w:noWrap w:val="0"/>
                <w:vAlign w:val="center"/>
              </w:tcPr>
            </w:tcPrChange>
          </w:tcPr>
          <w:p w14:paraId="74ABDDF1">
            <w:pPr>
              <w:widowControl/>
              <w:spacing w:line="560" w:lineRule="exact"/>
              <w:jc w:val="left"/>
              <w:rPr>
                <w:rFonts w:hint="eastAsia" w:ascii="宋体" w:hAnsi="宋体" w:eastAsia="宋体" w:cs="宋体"/>
                <w:color w:val="auto"/>
                <w:sz w:val="22"/>
                <w:szCs w:val="22"/>
                <w:highlight w:val="none"/>
              </w:rPr>
            </w:pPr>
          </w:p>
        </w:tc>
        <w:tc>
          <w:tcPr>
            <w:tcW w:w="716" w:type="dxa"/>
            <w:vMerge w:val="continue"/>
            <w:tcBorders>
              <w:top w:val="single" w:color="auto" w:sz="4" w:space="0"/>
              <w:left w:val="single" w:color="auto" w:sz="4" w:space="0"/>
              <w:bottom w:val="single" w:color="auto" w:sz="4" w:space="0"/>
              <w:right w:val="single" w:color="auto" w:sz="4" w:space="0"/>
            </w:tcBorders>
            <w:noWrap w:val="0"/>
            <w:vAlign w:val="center"/>
            <w:tcPrChange w:id="38" w:author="南美涛" w:date="2025-07-22T22:22:47Z">
              <w:tcPr>
                <w:tcW w:w="716" w:type="dxa"/>
                <w:vMerge w:val="continue"/>
                <w:tcBorders>
                  <w:top w:val="single" w:color="auto" w:sz="4" w:space="0"/>
                  <w:left w:val="single" w:color="auto" w:sz="4" w:space="0"/>
                  <w:bottom w:val="single" w:color="auto" w:sz="4" w:space="0"/>
                  <w:right w:val="single" w:color="auto" w:sz="4" w:space="0"/>
                </w:tcBorders>
                <w:noWrap w:val="0"/>
                <w:vAlign w:val="center"/>
              </w:tcPr>
            </w:tcPrChange>
          </w:tcPr>
          <w:p w14:paraId="4697FB12">
            <w:pPr>
              <w:widowControl/>
              <w:spacing w:line="560" w:lineRule="exact"/>
              <w:jc w:val="left"/>
              <w:rPr>
                <w:rFonts w:hint="eastAsia" w:ascii="宋体" w:hAnsi="宋体" w:eastAsia="宋体" w:cs="宋体"/>
                <w:color w:val="auto"/>
                <w:sz w:val="22"/>
                <w:szCs w:val="22"/>
                <w:highlight w:val="none"/>
              </w:rPr>
            </w:pPr>
          </w:p>
        </w:tc>
        <w:tc>
          <w:tcPr>
            <w:tcW w:w="534" w:type="dxa"/>
            <w:tcBorders>
              <w:top w:val="single" w:color="auto" w:sz="4" w:space="0"/>
              <w:left w:val="single" w:color="auto" w:sz="4" w:space="0"/>
              <w:bottom w:val="single" w:color="auto" w:sz="4" w:space="0"/>
              <w:right w:val="single" w:color="auto" w:sz="4" w:space="0"/>
            </w:tcBorders>
            <w:noWrap w:val="0"/>
            <w:vAlign w:val="center"/>
            <w:tcPrChange w:id="39" w:author="南美涛" w:date="2025-07-22T22:22:47Z">
              <w:tcPr>
                <w:tcW w:w="534" w:type="dxa"/>
                <w:tcBorders>
                  <w:top w:val="single" w:color="auto" w:sz="4" w:space="0"/>
                  <w:left w:val="single" w:color="auto" w:sz="4" w:space="0"/>
                  <w:bottom w:val="single" w:color="auto" w:sz="4" w:space="0"/>
                  <w:right w:val="single" w:color="auto" w:sz="4" w:space="0"/>
                </w:tcBorders>
                <w:noWrap w:val="0"/>
                <w:vAlign w:val="center"/>
              </w:tcPr>
            </w:tcPrChange>
          </w:tcPr>
          <w:p w14:paraId="52B897FC">
            <w:pPr>
              <w:spacing w:line="440" w:lineRule="exact"/>
              <w:jc w:val="center"/>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8</w:t>
            </w:r>
          </w:p>
        </w:tc>
        <w:tc>
          <w:tcPr>
            <w:tcW w:w="3551" w:type="dxa"/>
            <w:tcBorders>
              <w:top w:val="single" w:color="auto" w:sz="4" w:space="0"/>
              <w:left w:val="single" w:color="auto" w:sz="4" w:space="0"/>
              <w:bottom w:val="single" w:color="auto" w:sz="4" w:space="0"/>
              <w:right w:val="single" w:color="auto" w:sz="4" w:space="0"/>
            </w:tcBorders>
            <w:noWrap w:val="0"/>
            <w:vAlign w:val="center"/>
            <w:tcPrChange w:id="40" w:author="南美涛" w:date="2025-07-22T22:22:47Z">
              <w:tcPr>
                <w:tcW w:w="3551" w:type="dxa"/>
                <w:tcBorders>
                  <w:top w:val="single" w:color="auto" w:sz="4" w:space="0"/>
                  <w:left w:val="single" w:color="auto" w:sz="4" w:space="0"/>
                  <w:bottom w:val="single" w:color="auto" w:sz="4" w:space="0"/>
                  <w:right w:val="single" w:color="auto" w:sz="4" w:space="0"/>
                </w:tcBorders>
                <w:noWrap w:val="0"/>
                <w:vAlign w:val="center"/>
              </w:tcPr>
            </w:tcPrChange>
          </w:tcPr>
          <w:p w14:paraId="3AE6864F">
            <w:pPr>
              <w:spacing w:line="240" w:lineRule="exact"/>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在其为委托人提供服务的过程中接触到的委托人的任何文件、资料和成果，未经委托人书面同意，擅自作合同约定范围以外任何目的的使用，每违反一次扣5分</w:t>
            </w:r>
          </w:p>
        </w:tc>
        <w:tc>
          <w:tcPr>
            <w:tcW w:w="863" w:type="dxa"/>
            <w:tcBorders>
              <w:top w:val="single" w:color="auto" w:sz="4" w:space="0"/>
              <w:left w:val="single" w:color="auto" w:sz="4" w:space="0"/>
              <w:bottom w:val="single" w:color="auto" w:sz="4" w:space="0"/>
              <w:right w:val="single" w:color="auto" w:sz="4" w:space="0"/>
            </w:tcBorders>
            <w:noWrap w:val="0"/>
            <w:vAlign w:val="center"/>
            <w:tcPrChange w:id="41" w:author="南美涛" w:date="2025-07-22T22:22:47Z">
              <w:tcPr>
                <w:tcW w:w="863" w:type="dxa"/>
                <w:tcBorders>
                  <w:top w:val="single" w:color="auto" w:sz="4" w:space="0"/>
                  <w:left w:val="single" w:color="auto" w:sz="4" w:space="0"/>
                  <w:bottom w:val="single" w:color="auto" w:sz="4" w:space="0"/>
                  <w:right w:val="single" w:color="auto" w:sz="4" w:space="0"/>
                </w:tcBorders>
                <w:noWrap w:val="0"/>
                <w:vAlign w:val="center"/>
              </w:tcPr>
            </w:tcPrChange>
          </w:tcPr>
          <w:p w14:paraId="1686D047">
            <w:pPr>
              <w:spacing w:line="440" w:lineRule="exact"/>
              <w:jc w:val="center"/>
              <w:rPr>
                <w:rFonts w:hint="eastAsia" w:ascii="宋体" w:hAnsi="宋体" w:eastAsia="宋体" w:cs="宋体"/>
                <w:color w:val="auto"/>
                <w:sz w:val="22"/>
                <w:szCs w:val="22"/>
                <w:highlight w:val="none"/>
              </w:rPr>
            </w:pPr>
          </w:p>
        </w:tc>
        <w:tc>
          <w:tcPr>
            <w:tcW w:w="650" w:type="dxa"/>
            <w:tcBorders>
              <w:top w:val="single" w:color="auto" w:sz="4" w:space="0"/>
              <w:left w:val="single" w:color="auto" w:sz="4" w:space="0"/>
              <w:bottom w:val="single" w:color="auto" w:sz="4" w:space="0"/>
              <w:right w:val="single" w:color="auto" w:sz="4" w:space="0"/>
            </w:tcBorders>
            <w:noWrap w:val="0"/>
            <w:vAlign w:val="top"/>
            <w:tcPrChange w:id="42" w:author="南美涛" w:date="2025-07-22T22:22:47Z">
              <w:tcPr>
                <w:tcW w:w="650" w:type="dxa"/>
                <w:tcBorders>
                  <w:top w:val="single" w:color="auto" w:sz="4" w:space="0"/>
                  <w:left w:val="single" w:color="auto" w:sz="4" w:space="0"/>
                  <w:bottom w:val="single" w:color="auto" w:sz="4" w:space="0"/>
                  <w:right w:val="single" w:color="auto" w:sz="4" w:space="0"/>
                </w:tcBorders>
                <w:noWrap w:val="0"/>
                <w:vAlign w:val="top"/>
              </w:tcPr>
            </w:tcPrChange>
          </w:tcPr>
          <w:p w14:paraId="655BEF53">
            <w:pPr>
              <w:spacing w:line="440" w:lineRule="exact"/>
              <w:jc w:val="center"/>
              <w:rPr>
                <w:rFonts w:hint="eastAsia" w:ascii="宋体" w:hAnsi="宋体" w:eastAsia="宋体" w:cs="宋体"/>
                <w:color w:val="auto"/>
                <w:sz w:val="22"/>
                <w:szCs w:val="22"/>
                <w:highlight w:val="none"/>
              </w:rPr>
            </w:pPr>
          </w:p>
        </w:tc>
        <w:tc>
          <w:tcPr>
            <w:tcW w:w="744" w:type="dxa"/>
            <w:tcBorders>
              <w:top w:val="single" w:color="auto" w:sz="4" w:space="0"/>
              <w:left w:val="single" w:color="auto" w:sz="4" w:space="0"/>
              <w:bottom w:val="single" w:color="auto" w:sz="4" w:space="0"/>
              <w:right w:val="single" w:color="auto" w:sz="4" w:space="0"/>
            </w:tcBorders>
            <w:noWrap w:val="0"/>
            <w:vAlign w:val="top"/>
            <w:tcPrChange w:id="43" w:author="南美涛" w:date="2025-07-22T22:22:47Z">
              <w:tcPr>
                <w:tcW w:w="744" w:type="dxa"/>
                <w:tcBorders>
                  <w:top w:val="single" w:color="auto" w:sz="4" w:space="0"/>
                  <w:left w:val="single" w:color="auto" w:sz="4" w:space="0"/>
                  <w:bottom w:val="single" w:color="auto" w:sz="4" w:space="0"/>
                  <w:right w:val="single" w:color="auto" w:sz="4" w:space="0"/>
                </w:tcBorders>
                <w:noWrap w:val="0"/>
                <w:vAlign w:val="top"/>
              </w:tcPr>
            </w:tcPrChange>
          </w:tcPr>
          <w:p w14:paraId="728EEF16">
            <w:pPr>
              <w:spacing w:line="440" w:lineRule="exact"/>
              <w:jc w:val="center"/>
              <w:rPr>
                <w:rFonts w:hint="eastAsia" w:ascii="宋体" w:hAnsi="宋体" w:eastAsia="宋体" w:cs="宋体"/>
                <w:color w:val="auto"/>
                <w:sz w:val="22"/>
                <w:szCs w:val="22"/>
                <w:highlight w:val="none"/>
              </w:rPr>
            </w:pPr>
          </w:p>
        </w:tc>
      </w:tr>
      <w:tr w14:paraId="2DF34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4" w:author="南美涛" w:date="2025-07-22T22:22:44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128" w:hRule="atLeast"/>
          <w:jc w:val="center"/>
          <w:trPrChange w:id="44" w:author="南美涛" w:date="2025-07-22T22:22:44Z">
            <w:trPr>
              <w:trHeight w:val="1267" w:hRule="atLeast"/>
              <w:jc w:val="center"/>
            </w:trPr>
          </w:trPrChange>
        </w:trPr>
        <w:tc>
          <w:tcPr>
            <w:tcW w:w="605" w:type="dxa"/>
            <w:vMerge w:val="continue"/>
            <w:tcBorders>
              <w:top w:val="single" w:color="auto" w:sz="4" w:space="0"/>
              <w:left w:val="single" w:color="auto" w:sz="4" w:space="0"/>
              <w:bottom w:val="single" w:color="auto" w:sz="4" w:space="0"/>
              <w:right w:val="single" w:color="auto" w:sz="4" w:space="0"/>
            </w:tcBorders>
            <w:noWrap w:val="0"/>
            <w:vAlign w:val="center"/>
            <w:tcPrChange w:id="45" w:author="南美涛" w:date="2025-07-22T22:22:44Z">
              <w:tcPr>
                <w:tcW w:w="605" w:type="dxa"/>
                <w:vMerge w:val="continue"/>
                <w:tcBorders>
                  <w:top w:val="single" w:color="auto" w:sz="4" w:space="0"/>
                  <w:left w:val="single" w:color="auto" w:sz="4" w:space="0"/>
                  <w:bottom w:val="single" w:color="auto" w:sz="4" w:space="0"/>
                  <w:right w:val="single" w:color="auto" w:sz="4" w:space="0"/>
                </w:tcBorders>
                <w:noWrap w:val="0"/>
                <w:vAlign w:val="center"/>
              </w:tcPr>
            </w:tcPrChange>
          </w:tcPr>
          <w:p w14:paraId="121F50CA">
            <w:pPr>
              <w:widowControl/>
              <w:spacing w:line="560" w:lineRule="exact"/>
              <w:jc w:val="left"/>
              <w:rPr>
                <w:rFonts w:hint="eastAsia" w:ascii="宋体" w:hAnsi="宋体" w:eastAsia="宋体" w:cs="宋体"/>
                <w:color w:val="auto"/>
                <w:sz w:val="22"/>
                <w:szCs w:val="22"/>
                <w:highlight w:val="none"/>
              </w:rPr>
            </w:pPr>
          </w:p>
        </w:tc>
        <w:tc>
          <w:tcPr>
            <w:tcW w:w="865" w:type="dxa"/>
            <w:vMerge w:val="continue"/>
            <w:tcBorders>
              <w:top w:val="single" w:color="auto" w:sz="4" w:space="0"/>
              <w:left w:val="single" w:color="auto" w:sz="4" w:space="0"/>
              <w:bottom w:val="single" w:color="auto" w:sz="4" w:space="0"/>
              <w:right w:val="single" w:color="auto" w:sz="4" w:space="0"/>
            </w:tcBorders>
            <w:noWrap w:val="0"/>
            <w:vAlign w:val="center"/>
            <w:tcPrChange w:id="46" w:author="南美涛" w:date="2025-07-22T22:22:44Z">
              <w:tcPr>
                <w:tcW w:w="865" w:type="dxa"/>
                <w:vMerge w:val="continue"/>
                <w:tcBorders>
                  <w:top w:val="single" w:color="auto" w:sz="4" w:space="0"/>
                  <w:left w:val="single" w:color="auto" w:sz="4" w:space="0"/>
                  <w:bottom w:val="single" w:color="auto" w:sz="4" w:space="0"/>
                  <w:right w:val="single" w:color="auto" w:sz="4" w:space="0"/>
                </w:tcBorders>
                <w:noWrap w:val="0"/>
                <w:vAlign w:val="center"/>
              </w:tcPr>
            </w:tcPrChange>
          </w:tcPr>
          <w:p w14:paraId="60D14E43">
            <w:pPr>
              <w:widowControl/>
              <w:spacing w:line="560" w:lineRule="exact"/>
              <w:jc w:val="left"/>
              <w:rPr>
                <w:rFonts w:hint="eastAsia" w:ascii="宋体" w:hAnsi="宋体" w:eastAsia="宋体" w:cs="宋体"/>
                <w:color w:val="auto"/>
                <w:sz w:val="22"/>
                <w:szCs w:val="22"/>
                <w:highlight w:val="none"/>
              </w:rPr>
            </w:pPr>
          </w:p>
        </w:tc>
        <w:tc>
          <w:tcPr>
            <w:tcW w:w="716" w:type="dxa"/>
            <w:vMerge w:val="continue"/>
            <w:tcBorders>
              <w:top w:val="single" w:color="auto" w:sz="4" w:space="0"/>
              <w:left w:val="single" w:color="auto" w:sz="4" w:space="0"/>
              <w:bottom w:val="single" w:color="auto" w:sz="4" w:space="0"/>
              <w:right w:val="single" w:color="auto" w:sz="4" w:space="0"/>
            </w:tcBorders>
            <w:noWrap w:val="0"/>
            <w:vAlign w:val="center"/>
            <w:tcPrChange w:id="47" w:author="南美涛" w:date="2025-07-22T22:22:44Z">
              <w:tcPr>
                <w:tcW w:w="716" w:type="dxa"/>
                <w:vMerge w:val="continue"/>
                <w:tcBorders>
                  <w:top w:val="single" w:color="auto" w:sz="4" w:space="0"/>
                  <w:left w:val="single" w:color="auto" w:sz="4" w:space="0"/>
                  <w:bottom w:val="single" w:color="auto" w:sz="4" w:space="0"/>
                  <w:right w:val="single" w:color="auto" w:sz="4" w:space="0"/>
                </w:tcBorders>
                <w:noWrap w:val="0"/>
                <w:vAlign w:val="center"/>
              </w:tcPr>
            </w:tcPrChange>
          </w:tcPr>
          <w:p w14:paraId="0CE50AF1">
            <w:pPr>
              <w:widowControl/>
              <w:spacing w:line="560" w:lineRule="exact"/>
              <w:jc w:val="left"/>
              <w:rPr>
                <w:rFonts w:hint="eastAsia" w:ascii="宋体" w:hAnsi="宋体" w:eastAsia="宋体" w:cs="宋体"/>
                <w:color w:val="auto"/>
                <w:sz w:val="22"/>
                <w:szCs w:val="22"/>
                <w:highlight w:val="none"/>
              </w:rPr>
            </w:pPr>
          </w:p>
        </w:tc>
        <w:tc>
          <w:tcPr>
            <w:tcW w:w="534" w:type="dxa"/>
            <w:tcBorders>
              <w:top w:val="single" w:color="auto" w:sz="4" w:space="0"/>
              <w:left w:val="single" w:color="auto" w:sz="4" w:space="0"/>
              <w:bottom w:val="single" w:color="auto" w:sz="4" w:space="0"/>
              <w:right w:val="single" w:color="auto" w:sz="4" w:space="0"/>
            </w:tcBorders>
            <w:noWrap w:val="0"/>
            <w:vAlign w:val="center"/>
            <w:tcPrChange w:id="48" w:author="南美涛" w:date="2025-07-22T22:22:44Z">
              <w:tcPr>
                <w:tcW w:w="534" w:type="dxa"/>
                <w:tcBorders>
                  <w:top w:val="single" w:color="auto" w:sz="4" w:space="0"/>
                  <w:left w:val="single" w:color="auto" w:sz="4" w:space="0"/>
                  <w:bottom w:val="single" w:color="auto" w:sz="4" w:space="0"/>
                  <w:right w:val="single" w:color="auto" w:sz="4" w:space="0"/>
                </w:tcBorders>
                <w:noWrap w:val="0"/>
                <w:vAlign w:val="center"/>
              </w:tcPr>
            </w:tcPrChange>
          </w:tcPr>
          <w:p w14:paraId="59E59585">
            <w:pPr>
              <w:spacing w:line="440" w:lineRule="exact"/>
              <w:jc w:val="center"/>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9</w:t>
            </w:r>
          </w:p>
        </w:tc>
        <w:tc>
          <w:tcPr>
            <w:tcW w:w="3551" w:type="dxa"/>
            <w:tcBorders>
              <w:top w:val="single" w:color="auto" w:sz="4" w:space="0"/>
              <w:left w:val="single" w:color="auto" w:sz="4" w:space="0"/>
              <w:bottom w:val="single" w:color="auto" w:sz="4" w:space="0"/>
              <w:right w:val="single" w:color="auto" w:sz="4" w:space="0"/>
            </w:tcBorders>
            <w:noWrap w:val="0"/>
            <w:vAlign w:val="center"/>
            <w:tcPrChange w:id="49" w:author="南美涛" w:date="2025-07-22T22:22:44Z">
              <w:tcPr>
                <w:tcW w:w="3551" w:type="dxa"/>
                <w:tcBorders>
                  <w:top w:val="single" w:color="auto" w:sz="4" w:space="0"/>
                  <w:left w:val="single" w:color="auto" w:sz="4" w:space="0"/>
                  <w:bottom w:val="single" w:color="auto" w:sz="4" w:space="0"/>
                  <w:right w:val="single" w:color="auto" w:sz="4" w:space="0"/>
                </w:tcBorders>
                <w:noWrap w:val="0"/>
                <w:vAlign w:val="center"/>
              </w:tcPr>
            </w:tcPrChange>
          </w:tcPr>
          <w:p w14:paraId="0E1EC60D">
            <w:pPr>
              <w:spacing w:line="240" w:lineRule="exact"/>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在其为委托人提供服务的过程中接触到的委托人的任何文件、资料和成果，未经委托人书面同意，擅自向第三方提供，每违反一次扣5分</w:t>
            </w:r>
          </w:p>
        </w:tc>
        <w:tc>
          <w:tcPr>
            <w:tcW w:w="863" w:type="dxa"/>
            <w:tcBorders>
              <w:top w:val="single" w:color="auto" w:sz="4" w:space="0"/>
              <w:left w:val="single" w:color="auto" w:sz="4" w:space="0"/>
              <w:bottom w:val="single" w:color="auto" w:sz="4" w:space="0"/>
              <w:right w:val="single" w:color="auto" w:sz="4" w:space="0"/>
            </w:tcBorders>
            <w:noWrap w:val="0"/>
            <w:vAlign w:val="center"/>
            <w:tcPrChange w:id="50" w:author="南美涛" w:date="2025-07-22T22:22:44Z">
              <w:tcPr>
                <w:tcW w:w="863" w:type="dxa"/>
                <w:tcBorders>
                  <w:top w:val="single" w:color="auto" w:sz="4" w:space="0"/>
                  <w:left w:val="single" w:color="auto" w:sz="4" w:space="0"/>
                  <w:bottom w:val="single" w:color="auto" w:sz="4" w:space="0"/>
                  <w:right w:val="single" w:color="auto" w:sz="4" w:space="0"/>
                </w:tcBorders>
                <w:noWrap w:val="0"/>
                <w:vAlign w:val="center"/>
              </w:tcPr>
            </w:tcPrChange>
          </w:tcPr>
          <w:p w14:paraId="5148CFFD">
            <w:pPr>
              <w:spacing w:line="440" w:lineRule="exact"/>
              <w:jc w:val="center"/>
              <w:rPr>
                <w:rFonts w:hint="eastAsia" w:ascii="宋体" w:hAnsi="宋体" w:eastAsia="宋体" w:cs="宋体"/>
                <w:color w:val="auto"/>
                <w:sz w:val="22"/>
                <w:szCs w:val="22"/>
                <w:highlight w:val="none"/>
              </w:rPr>
            </w:pPr>
          </w:p>
        </w:tc>
        <w:tc>
          <w:tcPr>
            <w:tcW w:w="650" w:type="dxa"/>
            <w:tcBorders>
              <w:top w:val="single" w:color="auto" w:sz="4" w:space="0"/>
              <w:left w:val="single" w:color="auto" w:sz="4" w:space="0"/>
              <w:bottom w:val="single" w:color="auto" w:sz="4" w:space="0"/>
              <w:right w:val="single" w:color="auto" w:sz="4" w:space="0"/>
            </w:tcBorders>
            <w:noWrap w:val="0"/>
            <w:vAlign w:val="top"/>
            <w:tcPrChange w:id="51" w:author="南美涛" w:date="2025-07-22T22:22:44Z">
              <w:tcPr>
                <w:tcW w:w="650" w:type="dxa"/>
                <w:tcBorders>
                  <w:top w:val="single" w:color="auto" w:sz="4" w:space="0"/>
                  <w:left w:val="single" w:color="auto" w:sz="4" w:space="0"/>
                  <w:bottom w:val="single" w:color="auto" w:sz="4" w:space="0"/>
                  <w:right w:val="single" w:color="auto" w:sz="4" w:space="0"/>
                </w:tcBorders>
                <w:noWrap w:val="0"/>
                <w:vAlign w:val="top"/>
              </w:tcPr>
            </w:tcPrChange>
          </w:tcPr>
          <w:p w14:paraId="2C34840F">
            <w:pPr>
              <w:spacing w:line="440" w:lineRule="exact"/>
              <w:jc w:val="center"/>
              <w:rPr>
                <w:rFonts w:hint="eastAsia" w:ascii="宋体" w:hAnsi="宋体" w:eastAsia="宋体" w:cs="宋体"/>
                <w:color w:val="auto"/>
                <w:sz w:val="22"/>
                <w:szCs w:val="22"/>
                <w:highlight w:val="none"/>
              </w:rPr>
            </w:pPr>
          </w:p>
        </w:tc>
        <w:tc>
          <w:tcPr>
            <w:tcW w:w="744" w:type="dxa"/>
            <w:tcBorders>
              <w:top w:val="single" w:color="auto" w:sz="4" w:space="0"/>
              <w:left w:val="single" w:color="auto" w:sz="4" w:space="0"/>
              <w:bottom w:val="single" w:color="auto" w:sz="4" w:space="0"/>
              <w:right w:val="single" w:color="auto" w:sz="4" w:space="0"/>
            </w:tcBorders>
            <w:noWrap w:val="0"/>
            <w:vAlign w:val="top"/>
            <w:tcPrChange w:id="52" w:author="南美涛" w:date="2025-07-22T22:22:44Z">
              <w:tcPr>
                <w:tcW w:w="744" w:type="dxa"/>
                <w:tcBorders>
                  <w:top w:val="single" w:color="auto" w:sz="4" w:space="0"/>
                  <w:left w:val="single" w:color="auto" w:sz="4" w:space="0"/>
                  <w:bottom w:val="single" w:color="auto" w:sz="4" w:space="0"/>
                  <w:right w:val="single" w:color="auto" w:sz="4" w:space="0"/>
                </w:tcBorders>
                <w:noWrap w:val="0"/>
                <w:vAlign w:val="top"/>
              </w:tcPr>
            </w:tcPrChange>
          </w:tcPr>
          <w:p w14:paraId="42ADC402">
            <w:pPr>
              <w:spacing w:line="440" w:lineRule="exact"/>
              <w:jc w:val="center"/>
              <w:rPr>
                <w:rFonts w:hint="eastAsia" w:ascii="宋体" w:hAnsi="宋体" w:eastAsia="宋体" w:cs="宋体"/>
                <w:color w:val="auto"/>
                <w:sz w:val="22"/>
                <w:szCs w:val="22"/>
                <w:highlight w:val="none"/>
              </w:rPr>
            </w:pPr>
          </w:p>
        </w:tc>
      </w:tr>
      <w:tr w14:paraId="08E8D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3" w:author="南美涛" w:date="2025-07-22T22:22:4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898" w:hRule="atLeast"/>
          <w:jc w:val="center"/>
          <w:trPrChange w:id="53" w:author="南美涛" w:date="2025-07-22T22:22:42Z">
            <w:trPr>
              <w:trHeight w:val="988" w:hRule="atLeast"/>
              <w:jc w:val="center"/>
            </w:trPr>
          </w:trPrChange>
        </w:trPr>
        <w:tc>
          <w:tcPr>
            <w:tcW w:w="605" w:type="dxa"/>
            <w:vMerge w:val="continue"/>
            <w:tcBorders>
              <w:top w:val="single" w:color="auto" w:sz="4" w:space="0"/>
              <w:left w:val="single" w:color="auto" w:sz="4" w:space="0"/>
              <w:bottom w:val="single" w:color="auto" w:sz="4" w:space="0"/>
              <w:right w:val="single" w:color="auto" w:sz="4" w:space="0"/>
            </w:tcBorders>
            <w:noWrap w:val="0"/>
            <w:vAlign w:val="center"/>
            <w:tcPrChange w:id="54" w:author="南美涛" w:date="2025-07-22T22:22:42Z">
              <w:tcPr>
                <w:tcW w:w="605" w:type="dxa"/>
                <w:vMerge w:val="continue"/>
                <w:tcBorders>
                  <w:top w:val="single" w:color="auto" w:sz="4" w:space="0"/>
                  <w:left w:val="single" w:color="auto" w:sz="4" w:space="0"/>
                  <w:bottom w:val="single" w:color="auto" w:sz="4" w:space="0"/>
                  <w:right w:val="single" w:color="auto" w:sz="4" w:space="0"/>
                </w:tcBorders>
                <w:noWrap w:val="0"/>
                <w:vAlign w:val="center"/>
              </w:tcPr>
            </w:tcPrChange>
          </w:tcPr>
          <w:p w14:paraId="54858693">
            <w:pPr>
              <w:widowControl/>
              <w:spacing w:line="560" w:lineRule="exact"/>
              <w:jc w:val="left"/>
              <w:rPr>
                <w:rFonts w:hint="eastAsia" w:ascii="宋体" w:hAnsi="宋体" w:eastAsia="宋体" w:cs="宋体"/>
                <w:color w:val="auto"/>
                <w:sz w:val="22"/>
                <w:szCs w:val="22"/>
                <w:highlight w:val="none"/>
              </w:rPr>
            </w:pPr>
          </w:p>
        </w:tc>
        <w:tc>
          <w:tcPr>
            <w:tcW w:w="865" w:type="dxa"/>
            <w:vMerge w:val="continue"/>
            <w:tcBorders>
              <w:top w:val="single" w:color="auto" w:sz="4" w:space="0"/>
              <w:left w:val="single" w:color="auto" w:sz="4" w:space="0"/>
              <w:bottom w:val="single" w:color="auto" w:sz="4" w:space="0"/>
              <w:right w:val="single" w:color="auto" w:sz="4" w:space="0"/>
            </w:tcBorders>
            <w:noWrap w:val="0"/>
            <w:vAlign w:val="center"/>
            <w:tcPrChange w:id="55" w:author="南美涛" w:date="2025-07-22T22:22:42Z">
              <w:tcPr>
                <w:tcW w:w="865" w:type="dxa"/>
                <w:vMerge w:val="continue"/>
                <w:tcBorders>
                  <w:top w:val="single" w:color="auto" w:sz="4" w:space="0"/>
                  <w:left w:val="single" w:color="auto" w:sz="4" w:space="0"/>
                  <w:bottom w:val="single" w:color="auto" w:sz="4" w:space="0"/>
                  <w:right w:val="single" w:color="auto" w:sz="4" w:space="0"/>
                </w:tcBorders>
                <w:noWrap w:val="0"/>
                <w:vAlign w:val="center"/>
              </w:tcPr>
            </w:tcPrChange>
          </w:tcPr>
          <w:p w14:paraId="6D530196">
            <w:pPr>
              <w:widowControl/>
              <w:spacing w:line="560" w:lineRule="exact"/>
              <w:jc w:val="left"/>
              <w:rPr>
                <w:rFonts w:hint="eastAsia" w:ascii="宋体" w:hAnsi="宋体" w:eastAsia="宋体" w:cs="宋体"/>
                <w:color w:val="auto"/>
                <w:sz w:val="22"/>
                <w:szCs w:val="22"/>
                <w:highlight w:val="none"/>
              </w:rPr>
            </w:pPr>
          </w:p>
        </w:tc>
        <w:tc>
          <w:tcPr>
            <w:tcW w:w="716" w:type="dxa"/>
            <w:vMerge w:val="continue"/>
            <w:tcBorders>
              <w:top w:val="single" w:color="auto" w:sz="4" w:space="0"/>
              <w:left w:val="single" w:color="auto" w:sz="4" w:space="0"/>
              <w:bottom w:val="single" w:color="auto" w:sz="4" w:space="0"/>
              <w:right w:val="single" w:color="auto" w:sz="4" w:space="0"/>
            </w:tcBorders>
            <w:noWrap w:val="0"/>
            <w:vAlign w:val="center"/>
            <w:tcPrChange w:id="56" w:author="南美涛" w:date="2025-07-22T22:22:42Z">
              <w:tcPr>
                <w:tcW w:w="716" w:type="dxa"/>
                <w:vMerge w:val="continue"/>
                <w:tcBorders>
                  <w:top w:val="single" w:color="auto" w:sz="4" w:space="0"/>
                  <w:left w:val="single" w:color="auto" w:sz="4" w:space="0"/>
                  <w:bottom w:val="single" w:color="auto" w:sz="4" w:space="0"/>
                  <w:right w:val="single" w:color="auto" w:sz="4" w:space="0"/>
                </w:tcBorders>
                <w:noWrap w:val="0"/>
                <w:vAlign w:val="center"/>
              </w:tcPr>
            </w:tcPrChange>
          </w:tcPr>
          <w:p w14:paraId="28D8A5BD">
            <w:pPr>
              <w:widowControl/>
              <w:spacing w:line="560" w:lineRule="exact"/>
              <w:jc w:val="left"/>
              <w:rPr>
                <w:rFonts w:hint="eastAsia" w:ascii="宋体" w:hAnsi="宋体" w:eastAsia="宋体" w:cs="宋体"/>
                <w:color w:val="auto"/>
                <w:sz w:val="22"/>
                <w:szCs w:val="22"/>
                <w:highlight w:val="none"/>
              </w:rPr>
            </w:pPr>
          </w:p>
        </w:tc>
        <w:tc>
          <w:tcPr>
            <w:tcW w:w="534" w:type="dxa"/>
            <w:tcBorders>
              <w:top w:val="single" w:color="auto" w:sz="4" w:space="0"/>
              <w:left w:val="single" w:color="auto" w:sz="4" w:space="0"/>
              <w:bottom w:val="single" w:color="auto" w:sz="4" w:space="0"/>
              <w:right w:val="single" w:color="auto" w:sz="4" w:space="0"/>
            </w:tcBorders>
            <w:noWrap w:val="0"/>
            <w:vAlign w:val="center"/>
            <w:tcPrChange w:id="57" w:author="南美涛" w:date="2025-07-22T22:22:42Z">
              <w:tcPr>
                <w:tcW w:w="534" w:type="dxa"/>
                <w:tcBorders>
                  <w:top w:val="single" w:color="auto" w:sz="4" w:space="0"/>
                  <w:left w:val="single" w:color="auto" w:sz="4" w:space="0"/>
                  <w:bottom w:val="single" w:color="auto" w:sz="4" w:space="0"/>
                  <w:right w:val="single" w:color="auto" w:sz="4" w:space="0"/>
                </w:tcBorders>
                <w:noWrap w:val="0"/>
                <w:vAlign w:val="center"/>
              </w:tcPr>
            </w:tcPrChange>
          </w:tcPr>
          <w:p w14:paraId="4974E996">
            <w:pPr>
              <w:spacing w:line="440" w:lineRule="exact"/>
              <w:jc w:val="center"/>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10</w:t>
            </w:r>
          </w:p>
        </w:tc>
        <w:tc>
          <w:tcPr>
            <w:tcW w:w="3551" w:type="dxa"/>
            <w:tcBorders>
              <w:top w:val="single" w:color="auto" w:sz="4" w:space="0"/>
              <w:left w:val="single" w:color="auto" w:sz="4" w:space="0"/>
              <w:bottom w:val="single" w:color="auto" w:sz="4" w:space="0"/>
              <w:right w:val="single" w:color="auto" w:sz="4" w:space="0"/>
            </w:tcBorders>
            <w:noWrap w:val="0"/>
            <w:vAlign w:val="center"/>
            <w:tcPrChange w:id="58" w:author="南美涛" w:date="2025-07-22T22:22:42Z">
              <w:tcPr>
                <w:tcW w:w="3551" w:type="dxa"/>
                <w:tcBorders>
                  <w:top w:val="single" w:color="auto" w:sz="4" w:space="0"/>
                  <w:left w:val="single" w:color="auto" w:sz="4" w:space="0"/>
                  <w:bottom w:val="single" w:color="auto" w:sz="4" w:space="0"/>
                  <w:right w:val="single" w:color="auto" w:sz="4" w:space="0"/>
                </w:tcBorders>
                <w:noWrap w:val="0"/>
                <w:vAlign w:val="center"/>
              </w:tcPr>
            </w:tcPrChange>
          </w:tcPr>
          <w:p w14:paraId="710CB60A">
            <w:pPr>
              <w:spacing w:line="240" w:lineRule="exact"/>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不按规定程序评审或出具虚假、依据不足的评审报告，导致委托人工作滞后的，每违反一次扣10 分</w:t>
            </w:r>
          </w:p>
        </w:tc>
        <w:tc>
          <w:tcPr>
            <w:tcW w:w="863" w:type="dxa"/>
            <w:tcBorders>
              <w:top w:val="single" w:color="auto" w:sz="4" w:space="0"/>
              <w:left w:val="single" w:color="auto" w:sz="4" w:space="0"/>
              <w:bottom w:val="single" w:color="auto" w:sz="4" w:space="0"/>
              <w:right w:val="single" w:color="auto" w:sz="4" w:space="0"/>
            </w:tcBorders>
            <w:noWrap w:val="0"/>
            <w:vAlign w:val="center"/>
            <w:tcPrChange w:id="59" w:author="南美涛" w:date="2025-07-22T22:22:42Z">
              <w:tcPr>
                <w:tcW w:w="863" w:type="dxa"/>
                <w:tcBorders>
                  <w:top w:val="single" w:color="auto" w:sz="4" w:space="0"/>
                  <w:left w:val="single" w:color="auto" w:sz="4" w:space="0"/>
                  <w:bottom w:val="single" w:color="auto" w:sz="4" w:space="0"/>
                  <w:right w:val="single" w:color="auto" w:sz="4" w:space="0"/>
                </w:tcBorders>
                <w:noWrap w:val="0"/>
                <w:vAlign w:val="center"/>
              </w:tcPr>
            </w:tcPrChange>
          </w:tcPr>
          <w:p w14:paraId="47C489ED">
            <w:pPr>
              <w:spacing w:line="440" w:lineRule="exact"/>
              <w:jc w:val="center"/>
              <w:rPr>
                <w:rFonts w:hint="eastAsia" w:ascii="宋体" w:hAnsi="宋体" w:eastAsia="宋体" w:cs="宋体"/>
                <w:color w:val="auto"/>
                <w:sz w:val="22"/>
                <w:szCs w:val="22"/>
                <w:highlight w:val="none"/>
              </w:rPr>
            </w:pPr>
          </w:p>
        </w:tc>
        <w:tc>
          <w:tcPr>
            <w:tcW w:w="650" w:type="dxa"/>
            <w:tcBorders>
              <w:top w:val="single" w:color="auto" w:sz="4" w:space="0"/>
              <w:left w:val="single" w:color="auto" w:sz="4" w:space="0"/>
              <w:bottom w:val="single" w:color="auto" w:sz="4" w:space="0"/>
              <w:right w:val="single" w:color="auto" w:sz="4" w:space="0"/>
            </w:tcBorders>
            <w:noWrap w:val="0"/>
            <w:vAlign w:val="top"/>
            <w:tcPrChange w:id="60" w:author="南美涛" w:date="2025-07-22T22:22:42Z">
              <w:tcPr>
                <w:tcW w:w="650" w:type="dxa"/>
                <w:tcBorders>
                  <w:top w:val="single" w:color="auto" w:sz="4" w:space="0"/>
                  <w:left w:val="single" w:color="auto" w:sz="4" w:space="0"/>
                  <w:bottom w:val="single" w:color="auto" w:sz="4" w:space="0"/>
                  <w:right w:val="single" w:color="auto" w:sz="4" w:space="0"/>
                </w:tcBorders>
                <w:noWrap w:val="0"/>
                <w:vAlign w:val="top"/>
              </w:tcPr>
            </w:tcPrChange>
          </w:tcPr>
          <w:p w14:paraId="4143486F">
            <w:pPr>
              <w:spacing w:line="440" w:lineRule="exact"/>
              <w:jc w:val="center"/>
              <w:rPr>
                <w:rFonts w:hint="eastAsia" w:ascii="宋体" w:hAnsi="宋体" w:eastAsia="宋体" w:cs="宋体"/>
                <w:color w:val="auto"/>
                <w:sz w:val="22"/>
                <w:szCs w:val="22"/>
                <w:highlight w:val="none"/>
              </w:rPr>
            </w:pPr>
          </w:p>
        </w:tc>
        <w:tc>
          <w:tcPr>
            <w:tcW w:w="744" w:type="dxa"/>
            <w:tcBorders>
              <w:top w:val="single" w:color="auto" w:sz="4" w:space="0"/>
              <w:left w:val="single" w:color="auto" w:sz="4" w:space="0"/>
              <w:bottom w:val="single" w:color="auto" w:sz="4" w:space="0"/>
              <w:right w:val="single" w:color="auto" w:sz="4" w:space="0"/>
            </w:tcBorders>
            <w:noWrap w:val="0"/>
            <w:vAlign w:val="top"/>
            <w:tcPrChange w:id="61" w:author="南美涛" w:date="2025-07-22T22:22:42Z">
              <w:tcPr>
                <w:tcW w:w="744" w:type="dxa"/>
                <w:tcBorders>
                  <w:top w:val="single" w:color="auto" w:sz="4" w:space="0"/>
                  <w:left w:val="single" w:color="auto" w:sz="4" w:space="0"/>
                  <w:bottom w:val="single" w:color="auto" w:sz="4" w:space="0"/>
                  <w:right w:val="single" w:color="auto" w:sz="4" w:space="0"/>
                </w:tcBorders>
                <w:noWrap w:val="0"/>
                <w:vAlign w:val="top"/>
              </w:tcPr>
            </w:tcPrChange>
          </w:tcPr>
          <w:p w14:paraId="7733C2C7">
            <w:pPr>
              <w:spacing w:line="440" w:lineRule="exact"/>
              <w:jc w:val="center"/>
              <w:rPr>
                <w:rFonts w:hint="eastAsia" w:ascii="宋体" w:hAnsi="宋体" w:eastAsia="宋体" w:cs="宋体"/>
                <w:color w:val="auto"/>
                <w:sz w:val="22"/>
                <w:szCs w:val="22"/>
                <w:highlight w:val="none"/>
              </w:rPr>
            </w:pPr>
          </w:p>
        </w:tc>
      </w:tr>
      <w:tr w14:paraId="4E245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jc w:val="center"/>
        </w:trPr>
        <w:tc>
          <w:tcPr>
            <w:tcW w:w="605" w:type="dxa"/>
            <w:vMerge w:val="continue"/>
            <w:tcBorders>
              <w:top w:val="single" w:color="auto" w:sz="4" w:space="0"/>
              <w:left w:val="single" w:color="auto" w:sz="4" w:space="0"/>
              <w:bottom w:val="single" w:color="auto" w:sz="4" w:space="0"/>
              <w:right w:val="single" w:color="auto" w:sz="4" w:space="0"/>
            </w:tcBorders>
            <w:noWrap w:val="0"/>
            <w:vAlign w:val="center"/>
          </w:tcPr>
          <w:p w14:paraId="68CA4295">
            <w:pPr>
              <w:widowControl/>
              <w:spacing w:line="560" w:lineRule="exact"/>
              <w:jc w:val="left"/>
              <w:rPr>
                <w:rFonts w:hint="eastAsia" w:ascii="宋体" w:hAnsi="宋体" w:eastAsia="宋体" w:cs="宋体"/>
                <w:color w:val="auto"/>
                <w:sz w:val="22"/>
                <w:szCs w:val="22"/>
                <w:highlight w:val="none"/>
              </w:rPr>
            </w:pPr>
          </w:p>
        </w:tc>
        <w:tc>
          <w:tcPr>
            <w:tcW w:w="865" w:type="dxa"/>
            <w:vMerge w:val="continue"/>
            <w:tcBorders>
              <w:top w:val="single" w:color="auto" w:sz="4" w:space="0"/>
              <w:left w:val="single" w:color="auto" w:sz="4" w:space="0"/>
              <w:bottom w:val="single" w:color="auto" w:sz="4" w:space="0"/>
              <w:right w:val="single" w:color="auto" w:sz="4" w:space="0"/>
            </w:tcBorders>
            <w:noWrap w:val="0"/>
            <w:vAlign w:val="center"/>
          </w:tcPr>
          <w:p w14:paraId="46E93999">
            <w:pPr>
              <w:widowControl/>
              <w:spacing w:line="560" w:lineRule="exact"/>
              <w:jc w:val="left"/>
              <w:rPr>
                <w:rFonts w:hint="eastAsia" w:ascii="宋体" w:hAnsi="宋体" w:eastAsia="宋体" w:cs="宋体"/>
                <w:color w:val="auto"/>
                <w:sz w:val="22"/>
                <w:szCs w:val="22"/>
                <w:highlight w:val="none"/>
              </w:rPr>
            </w:pPr>
          </w:p>
        </w:tc>
        <w:tc>
          <w:tcPr>
            <w:tcW w:w="716" w:type="dxa"/>
            <w:vMerge w:val="continue"/>
            <w:tcBorders>
              <w:top w:val="single" w:color="auto" w:sz="4" w:space="0"/>
              <w:left w:val="single" w:color="auto" w:sz="4" w:space="0"/>
              <w:bottom w:val="single" w:color="auto" w:sz="4" w:space="0"/>
              <w:right w:val="single" w:color="auto" w:sz="4" w:space="0"/>
            </w:tcBorders>
            <w:noWrap w:val="0"/>
            <w:vAlign w:val="center"/>
          </w:tcPr>
          <w:p w14:paraId="45030023">
            <w:pPr>
              <w:widowControl/>
              <w:spacing w:line="560" w:lineRule="exact"/>
              <w:jc w:val="left"/>
              <w:rPr>
                <w:rFonts w:hint="eastAsia" w:ascii="宋体" w:hAnsi="宋体" w:eastAsia="宋体" w:cs="宋体"/>
                <w:color w:val="auto"/>
                <w:sz w:val="22"/>
                <w:szCs w:val="22"/>
                <w:highlight w:val="none"/>
              </w:rPr>
            </w:pPr>
          </w:p>
        </w:tc>
        <w:tc>
          <w:tcPr>
            <w:tcW w:w="534" w:type="dxa"/>
            <w:tcBorders>
              <w:top w:val="single" w:color="auto" w:sz="4" w:space="0"/>
              <w:left w:val="single" w:color="auto" w:sz="4" w:space="0"/>
              <w:bottom w:val="single" w:color="auto" w:sz="4" w:space="0"/>
              <w:right w:val="single" w:color="auto" w:sz="4" w:space="0"/>
            </w:tcBorders>
            <w:noWrap w:val="0"/>
            <w:vAlign w:val="center"/>
          </w:tcPr>
          <w:p w14:paraId="6CE405E7">
            <w:pPr>
              <w:spacing w:line="440" w:lineRule="exact"/>
              <w:jc w:val="center"/>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11</w:t>
            </w:r>
          </w:p>
        </w:tc>
        <w:tc>
          <w:tcPr>
            <w:tcW w:w="3551" w:type="dxa"/>
            <w:tcBorders>
              <w:top w:val="single" w:color="auto" w:sz="4" w:space="0"/>
              <w:left w:val="single" w:color="auto" w:sz="4" w:space="0"/>
              <w:bottom w:val="single" w:color="auto" w:sz="4" w:space="0"/>
              <w:right w:val="single" w:color="auto" w:sz="4" w:space="0"/>
            </w:tcBorders>
            <w:noWrap w:val="0"/>
            <w:vAlign w:val="center"/>
          </w:tcPr>
          <w:p w14:paraId="68929F6E">
            <w:pPr>
              <w:spacing w:line="240" w:lineRule="exact"/>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接受与本工程相关单位的宴请或礼物，每违反一次扣5分</w:t>
            </w:r>
          </w:p>
        </w:tc>
        <w:tc>
          <w:tcPr>
            <w:tcW w:w="863" w:type="dxa"/>
            <w:tcBorders>
              <w:top w:val="single" w:color="auto" w:sz="4" w:space="0"/>
              <w:left w:val="single" w:color="auto" w:sz="4" w:space="0"/>
              <w:bottom w:val="single" w:color="auto" w:sz="4" w:space="0"/>
              <w:right w:val="single" w:color="auto" w:sz="4" w:space="0"/>
            </w:tcBorders>
            <w:noWrap w:val="0"/>
            <w:vAlign w:val="center"/>
          </w:tcPr>
          <w:p w14:paraId="1BAB39DF">
            <w:pPr>
              <w:spacing w:line="440" w:lineRule="exact"/>
              <w:jc w:val="center"/>
              <w:rPr>
                <w:rFonts w:hint="eastAsia" w:ascii="宋体" w:hAnsi="宋体" w:eastAsia="宋体" w:cs="宋体"/>
                <w:color w:val="auto"/>
                <w:sz w:val="22"/>
                <w:szCs w:val="22"/>
                <w:highlight w:val="none"/>
              </w:rPr>
            </w:pPr>
          </w:p>
        </w:tc>
        <w:tc>
          <w:tcPr>
            <w:tcW w:w="650" w:type="dxa"/>
            <w:tcBorders>
              <w:top w:val="single" w:color="auto" w:sz="4" w:space="0"/>
              <w:left w:val="single" w:color="auto" w:sz="4" w:space="0"/>
              <w:bottom w:val="single" w:color="auto" w:sz="4" w:space="0"/>
              <w:right w:val="single" w:color="auto" w:sz="4" w:space="0"/>
            </w:tcBorders>
            <w:noWrap w:val="0"/>
            <w:vAlign w:val="top"/>
          </w:tcPr>
          <w:p w14:paraId="419EF8DA">
            <w:pPr>
              <w:spacing w:line="440" w:lineRule="exact"/>
              <w:jc w:val="center"/>
              <w:rPr>
                <w:rFonts w:hint="eastAsia" w:ascii="宋体" w:hAnsi="宋体" w:eastAsia="宋体" w:cs="宋体"/>
                <w:color w:val="auto"/>
                <w:sz w:val="22"/>
                <w:szCs w:val="22"/>
                <w:highlight w:val="none"/>
              </w:rPr>
            </w:pPr>
          </w:p>
        </w:tc>
        <w:tc>
          <w:tcPr>
            <w:tcW w:w="744" w:type="dxa"/>
            <w:tcBorders>
              <w:top w:val="single" w:color="auto" w:sz="4" w:space="0"/>
              <w:left w:val="single" w:color="auto" w:sz="4" w:space="0"/>
              <w:bottom w:val="single" w:color="auto" w:sz="4" w:space="0"/>
              <w:right w:val="single" w:color="auto" w:sz="4" w:space="0"/>
            </w:tcBorders>
            <w:noWrap w:val="0"/>
            <w:vAlign w:val="top"/>
          </w:tcPr>
          <w:p w14:paraId="544A1A03">
            <w:pPr>
              <w:spacing w:line="440" w:lineRule="exact"/>
              <w:jc w:val="center"/>
              <w:rPr>
                <w:rFonts w:hint="eastAsia" w:ascii="宋体" w:hAnsi="宋体" w:eastAsia="宋体" w:cs="宋体"/>
                <w:color w:val="auto"/>
                <w:sz w:val="22"/>
                <w:szCs w:val="22"/>
                <w:highlight w:val="none"/>
              </w:rPr>
            </w:pPr>
          </w:p>
        </w:tc>
      </w:tr>
      <w:tr w14:paraId="54E70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605" w:type="dxa"/>
            <w:tcBorders>
              <w:top w:val="single" w:color="auto" w:sz="4" w:space="0"/>
              <w:left w:val="single" w:color="auto" w:sz="4" w:space="0"/>
              <w:bottom w:val="single" w:color="auto" w:sz="4" w:space="0"/>
              <w:right w:val="single" w:color="auto" w:sz="4" w:space="0"/>
            </w:tcBorders>
            <w:noWrap w:val="0"/>
            <w:vAlign w:val="center"/>
          </w:tcPr>
          <w:p w14:paraId="3CF7C917">
            <w:pPr>
              <w:spacing w:line="440" w:lineRule="exact"/>
              <w:jc w:val="center"/>
              <w:rPr>
                <w:rFonts w:hint="eastAsia" w:ascii="宋体" w:hAnsi="宋体" w:eastAsia="宋体" w:cs="宋体"/>
                <w:color w:val="auto"/>
                <w:sz w:val="22"/>
                <w:szCs w:val="22"/>
                <w:highlight w:val="none"/>
              </w:rPr>
            </w:pPr>
          </w:p>
        </w:tc>
        <w:tc>
          <w:tcPr>
            <w:tcW w:w="865" w:type="dxa"/>
            <w:tcBorders>
              <w:top w:val="single" w:color="auto" w:sz="4" w:space="0"/>
              <w:left w:val="single" w:color="auto" w:sz="4" w:space="0"/>
              <w:bottom w:val="single" w:color="auto" w:sz="4" w:space="0"/>
              <w:right w:val="single" w:color="auto" w:sz="4" w:space="0"/>
            </w:tcBorders>
            <w:noWrap w:val="0"/>
            <w:vAlign w:val="center"/>
          </w:tcPr>
          <w:p w14:paraId="5D6C784A">
            <w:pPr>
              <w:spacing w:line="440" w:lineRule="exact"/>
              <w:jc w:val="center"/>
              <w:rPr>
                <w:rFonts w:hint="eastAsia" w:ascii="宋体" w:hAnsi="宋体" w:eastAsia="宋体" w:cs="宋体"/>
                <w:color w:val="auto"/>
                <w:sz w:val="22"/>
                <w:szCs w:val="22"/>
                <w:highlight w:val="none"/>
              </w:rPr>
            </w:pPr>
          </w:p>
        </w:tc>
        <w:tc>
          <w:tcPr>
            <w:tcW w:w="4801" w:type="dxa"/>
            <w:gridSpan w:val="3"/>
            <w:tcBorders>
              <w:top w:val="single" w:color="auto" w:sz="4" w:space="0"/>
              <w:left w:val="single" w:color="auto" w:sz="4" w:space="0"/>
              <w:bottom w:val="single" w:color="auto" w:sz="4" w:space="0"/>
              <w:right w:val="single" w:color="auto" w:sz="4" w:space="0"/>
            </w:tcBorders>
            <w:noWrap w:val="0"/>
            <w:vAlign w:val="center"/>
          </w:tcPr>
          <w:p w14:paraId="2998234E">
            <w:pPr>
              <w:spacing w:line="240" w:lineRule="exact"/>
              <w:jc w:val="center"/>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小计（分项基本分-扣除分数）</w:t>
            </w:r>
          </w:p>
        </w:tc>
        <w:tc>
          <w:tcPr>
            <w:tcW w:w="863" w:type="dxa"/>
            <w:tcBorders>
              <w:top w:val="single" w:color="auto" w:sz="4" w:space="0"/>
              <w:left w:val="single" w:color="auto" w:sz="4" w:space="0"/>
              <w:bottom w:val="single" w:color="auto" w:sz="4" w:space="0"/>
              <w:right w:val="single" w:color="auto" w:sz="4" w:space="0"/>
            </w:tcBorders>
            <w:noWrap w:val="0"/>
            <w:vAlign w:val="center"/>
          </w:tcPr>
          <w:p w14:paraId="1FF97276">
            <w:pPr>
              <w:spacing w:line="440" w:lineRule="exact"/>
              <w:jc w:val="center"/>
              <w:rPr>
                <w:rFonts w:hint="eastAsia" w:ascii="宋体" w:hAnsi="宋体" w:eastAsia="宋体" w:cs="宋体"/>
                <w:color w:val="auto"/>
                <w:sz w:val="22"/>
                <w:szCs w:val="22"/>
                <w:highlight w:val="none"/>
              </w:rPr>
            </w:pPr>
          </w:p>
        </w:tc>
        <w:tc>
          <w:tcPr>
            <w:tcW w:w="650" w:type="dxa"/>
            <w:tcBorders>
              <w:top w:val="single" w:color="auto" w:sz="4" w:space="0"/>
              <w:left w:val="single" w:color="auto" w:sz="4" w:space="0"/>
              <w:bottom w:val="single" w:color="auto" w:sz="4" w:space="0"/>
              <w:right w:val="single" w:color="auto" w:sz="4" w:space="0"/>
            </w:tcBorders>
            <w:noWrap w:val="0"/>
            <w:vAlign w:val="top"/>
          </w:tcPr>
          <w:p w14:paraId="4F2624CA">
            <w:pPr>
              <w:spacing w:line="440" w:lineRule="exact"/>
              <w:jc w:val="center"/>
              <w:rPr>
                <w:rFonts w:hint="eastAsia" w:ascii="宋体" w:hAnsi="宋体" w:eastAsia="宋体" w:cs="宋体"/>
                <w:color w:val="auto"/>
                <w:sz w:val="22"/>
                <w:szCs w:val="22"/>
                <w:highlight w:val="none"/>
              </w:rPr>
            </w:pPr>
          </w:p>
        </w:tc>
        <w:tc>
          <w:tcPr>
            <w:tcW w:w="744" w:type="dxa"/>
            <w:tcBorders>
              <w:top w:val="single" w:color="auto" w:sz="4" w:space="0"/>
              <w:left w:val="single" w:color="auto" w:sz="4" w:space="0"/>
              <w:bottom w:val="single" w:color="auto" w:sz="4" w:space="0"/>
              <w:right w:val="single" w:color="auto" w:sz="4" w:space="0"/>
            </w:tcBorders>
            <w:noWrap w:val="0"/>
            <w:vAlign w:val="top"/>
          </w:tcPr>
          <w:p w14:paraId="7252D40F">
            <w:pPr>
              <w:spacing w:line="440" w:lineRule="exact"/>
              <w:jc w:val="center"/>
              <w:rPr>
                <w:rFonts w:hint="eastAsia" w:ascii="宋体" w:hAnsi="宋体" w:eastAsia="宋体" w:cs="宋体"/>
                <w:color w:val="auto"/>
                <w:sz w:val="22"/>
                <w:szCs w:val="22"/>
                <w:highlight w:val="none"/>
              </w:rPr>
            </w:pPr>
          </w:p>
        </w:tc>
      </w:tr>
      <w:tr w14:paraId="73829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6271" w:type="dxa"/>
            <w:gridSpan w:val="5"/>
            <w:tcBorders>
              <w:top w:val="single" w:color="auto" w:sz="4" w:space="0"/>
              <w:left w:val="single" w:color="auto" w:sz="4" w:space="0"/>
              <w:bottom w:val="single" w:color="auto" w:sz="4" w:space="0"/>
              <w:right w:val="single" w:color="auto" w:sz="4" w:space="0"/>
            </w:tcBorders>
            <w:noWrap w:val="0"/>
            <w:vAlign w:val="center"/>
          </w:tcPr>
          <w:p w14:paraId="3425BE41">
            <w:pPr>
              <w:spacing w:line="240" w:lineRule="exact"/>
              <w:jc w:val="center"/>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合计</w:t>
            </w:r>
          </w:p>
        </w:tc>
        <w:tc>
          <w:tcPr>
            <w:tcW w:w="863" w:type="dxa"/>
            <w:tcBorders>
              <w:top w:val="single" w:color="auto" w:sz="4" w:space="0"/>
              <w:left w:val="single" w:color="auto" w:sz="4" w:space="0"/>
              <w:bottom w:val="single" w:color="auto" w:sz="4" w:space="0"/>
              <w:right w:val="single" w:color="auto" w:sz="4" w:space="0"/>
            </w:tcBorders>
            <w:noWrap w:val="0"/>
            <w:vAlign w:val="center"/>
          </w:tcPr>
          <w:p w14:paraId="294C0EFA">
            <w:pPr>
              <w:spacing w:line="440" w:lineRule="exact"/>
              <w:jc w:val="center"/>
              <w:rPr>
                <w:rFonts w:hint="eastAsia" w:ascii="宋体" w:hAnsi="宋体" w:eastAsia="宋体" w:cs="宋体"/>
                <w:color w:val="auto"/>
                <w:sz w:val="22"/>
                <w:szCs w:val="22"/>
                <w:highlight w:val="none"/>
              </w:rPr>
            </w:pPr>
          </w:p>
        </w:tc>
        <w:tc>
          <w:tcPr>
            <w:tcW w:w="650" w:type="dxa"/>
            <w:tcBorders>
              <w:top w:val="single" w:color="auto" w:sz="4" w:space="0"/>
              <w:left w:val="single" w:color="auto" w:sz="4" w:space="0"/>
              <w:bottom w:val="single" w:color="auto" w:sz="4" w:space="0"/>
              <w:right w:val="single" w:color="auto" w:sz="4" w:space="0"/>
            </w:tcBorders>
            <w:noWrap w:val="0"/>
            <w:vAlign w:val="top"/>
          </w:tcPr>
          <w:p w14:paraId="43942E5B">
            <w:pPr>
              <w:spacing w:line="440" w:lineRule="exact"/>
              <w:jc w:val="center"/>
              <w:rPr>
                <w:rFonts w:hint="eastAsia" w:ascii="宋体" w:hAnsi="宋体" w:eastAsia="宋体" w:cs="宋体"/>
                <w:color w:val="auto"/>
                <w:sz w:val="22"/>
                <w:szCs w:val="22"/>
                <w:highlight w:val="none"/>
              </w:rPr>
            </w:pPr>
          </w:p>
        </w:tc>
        <w:tc>
          <w:tcPr>
            <w:tcW w:w="744" w:type="dxa"/>
            <w:tcBorders>
              <w:top w:val="single" w:color="auto" w:sz="4" w:space="0"/>
              <w:left w:val="single" w:color="auto" w:sz="4" w:space="0"/>
              <w:bottom w:val="single" w:color="auto" w:sz="4" w:space="0"/>
              <w:right w:val="single" w:color="auto" w:sz="4" w:space="0"/>
            </w:tcBorders>
            <w:noWrap w:val="0"/>
            <w:vAlign w:val="top"/>
          </w:tcPr>
          <w:p w14:paraId="05ABDE1E">
            <w:pPr>
              <w:spacing w:line="440" w:lineRule="exact"/>
              <w:jc w:val="center"/>
              <w:rPr>
                <w:rFonts w:hint="eastAsia" w:ascii="宋体" w:hAnsi="宋体" w:eastAsia="宋体" w:cs="宋体"/>
                <w:color w:val="auto"/>
                <w:sz w:val="22"/>
                <w:szCs w:val="22"/>
                <w:highlight w:val="none"/>
              </w:rPr>
            </w:pPr>
          </w:p>
        </w:tc>
      </w:tr>
    </w:tbl>
    <w:p w14:paraId="6AF46188">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2"/>
          <w:szCs w:val="22"/>
          <w:highlight w:val="none"/>
        </w:rPr>
        <w:t>造价咨询单位评分人：      日期：             建设单位评分人：         日期：</w:t>
      </w:r>
    </w:p>
    <w:p w14:paraId="7147F127">
      <w:pPr>
        <w:pStyle w:val="13"/>
        <w:rPr>
          <w:rFonts w:hint="eastAsia" w:ascii="宋体" w:hAnsi="宋体" w:eastAsia="宋体" w:cs="宋体"/>
          <w:color w:val="auto"/>
          <w:sz w:val="24"/>
          <w:szCs w:val="24"/>
          <w:highlight w:val="none"/>
        </w:rPr>
      </w:pPr>
    </w:p>
    <w:p w14:paraId="7D1605B9">
      <w:pPr>
        <w:pStyle w:val="13"/>
        <w:ind w:left="0" w:leftChars="0" w:firstLine="0" w:firstLineChars="0"/>
        <w:rPr>
          <w:rFonts w:hint="eastAsia" w:ascii="宋体" w:hAnsi="宋体" w:eastAsia="宋体" w:cs="宋体"/>
          <w:color w:val="auto"/>
          <w:sz w:val="24"/>
          <w:szCs w:val="24"/>
          <w:highlight w:val="none"/>
        </w:rPr>
      </w:pPr>
    </w:p>
    <w:p w14:paraId="6FFB055D">
      <w:pPr>
        <w:pStyle w:val="13"/>
        <w:ind w:left="0" w:leftChars="0" w:firstLine="0" w:firstLineChars="0"/>
        <w:rPr>
          <w:rFonts w:hint="eastAsia" w:ascii="宋体" w:hAnsi="宋体" w:eastAsia="宋体" w:cs="宋体"/>
          <w:bCs/>
          <w:color w:val="auto"/>
          <w:kern w:val="0"/>
          <w:sz w:val="24"/>
          <w:szCs w:val="24"/>
          <w:highlight w:val="none"/>
        </w:rPr>
      </w:pPr>
    </w:p>
    <w:p w14:paraId="41B973CA">
      <w:pPr>
        <w:pStyle w:val="13"/>
        <w:ind w:left="0" w:leftChars="0" w:firstLine="0" w:firstLineChars="0"/>
        <w:rPr>
          <w:rFonts w:hint="eastAsia" w:ascii="宋体" w:hAnsi="宋体" w:eastAsia="宋体" w:cs="宋体"/>
          <w:bCs/>
          <w:color w:val="auto"/>
          <w:kern w:val="0"/>
          <w:sz w:val="24"/>
          <w:szCs w:val="24"/>
          <w:highlight w:val="none"/>
        </w:rPr>
      </w:pPr>
    </w:p>
    <w:p w14:paraId="688B6800">
      <w:pPr>
        <w:pStyle w:val="13"/>
        <w:ind w:left="0" w:leftChars="0" w:firstLine="0" w:firstLineChars="0"/>
        <w:rPr>
          <w:rFonts w:hint="eastAsia" w:ascii="宋体" w:hAnsi="宋体" w:eastAsia="宋体" w:cs="宋体"/>
          <w:bCs/>
          <w:color w:val="auto"/>
          <w:kern w:val="0"/>
          <w:sz w:val="24"/>
          <w:szCs w:val="24"/>
          <w:highlight w:val="none"/>
        </w:rPr>
      </w:pPr>
    </w:p>
    <w:p w14:paraId="19FFDBCD">
      <w:pPr>
        <w:pStyle w:val="13"/>
        <w:ind w:left="0" w:leftChars="0" w:firstLine="0" w:firstLineChars="0"/>
        <w:rPr>
          <w:rFonts w:hint="eastAsia" w:ascii="宋体" w:hAnsi="宋体" w:eastAsia="宋体" w:cs="宋体"/>
          <w:bCs/>
          <w:color w:val="auto"/>
          <w:kern w:val="0"/>
          <w:sz w:val="24"/>
          <w:szCs w:val="24"/>
          <w:highlight w:val="none"/>
        </w:rPr>
      </w:pPr>
    </w:p>
    <w:p w14:paraId="13E484DE">
      <w:pPr>
        <w:pStyle w:val="13"/>
        <w:ind w:left="0" w:leftChars="0" w:firstLine="0" w:firstLineChars="0"/>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附件3：项目人员组成表</w:t>
      </w:r>
    </w:p>
    <w:p w14:paraId="23B9EE7C">
      <w:pPr>
        <w:pStyle w:val="13"/>
        <w:ind w:left="0" w:leftChars="0" w:firstLine="0" w:firstLineChars="0"/>
        <w:rPr>
          <w:rFonts w:hint="eastAsia" w:ascii="宋体" w:hAnsi="宋体" w:eastAsia="宋体" w:cs="宋体"/>
          <w:bCs/>
          <w:color w:val="auto"/>
          <w:kern w:val="0"/>
          <w:sz w:val="24"/>
          <w:szCs w:val="24"/>
          <w:highlight w:val="none"/>
        </w:rPr>
      </w:pPr>
    </w:p>
    <w:p w14:paraId="64D027EE">
      <w:pPr>
        <w:pStyle w:val="13"/>
        <w:ind w:left="0" w:leftChars="0" w:firstLine="0" w:firstLineChars="0"/>
        <w:rPr>
          <w:rFonts w:hint="eastAsia" w:ascii="宋体" w:hAnsi="宋体" w:eastAsia="宋体" w:cs="宋体"/>
          <w:bCs/>
          <w:color w:val="auto"/>
          <w:kern w:val="0"/>
          <w:sz w:val="24"/>
          <w:szCs w:val="24"/>
          <w:highlight w:val="none"/>
        </w:rPr>
      </w:pPr>
    </w:p>
    <w:p w14:paraId="1381E662">
      <w:pPr>
        <w:pStyle w:val="13"/>
        <w:ind w:left="0" w:leftChars="0" w:firstLine="0" w:firstLineChars="0"/>
        <w:rPr>
          <w:rFonts w:hint="eastAsia" w:ascii="宋体" w:hAnsi="宋体" w:eastAsia="宋体" w:cs="宋体"/>
          <w:bCs/>
          <w:color w:val="auto"/>
          <w:kern w:val="0"/>
          <w:sz w:val="24"/>
          <w:szCs w:val="24"/>
          <w:highlight w:val="none"/>
        </w:rPr>
      </w:pPr>
    </w:p>
    <w:p w14:paraId="21F71DEF">
      <w:pPr>
        <w:pStyle w:val="13"/>
        <w:ind w:left="0" w:leftChars="0" w:firstLine="0" w:firstLineChars="0"/>
        <w:rPr>
          <w:rFonts w:hint="eastAsia" w:ascii="宋体" w:hAnsi="宋体" w:eastAsia="宋体" w:cs="宋体"/>
          <w:bCs/>
          <w:color w:val="auto"/>
          <w:kern w:val="0"/>
          <w:sz w:val="24"/>
          <w:szCs w:val="24"/>
          <w:highlight w:val="none"/>
        </w:rPr>
      </w:pPr>
    </w:p>
    <w:p w14:paraId="0F1CD5DE">
      <w:pPr>
        <w:pStyle w:val="13"/>
        <w:ind w:left="0" w:leftChars="0" w:firstLine="0" w:firstLineChars="0"/>
        <w:rPr>
          <w:rFonts w:hint="eastAsia" w:ascii="宋体" w:hAnsi="宋体" w:eastAsia="宋体" w:cs="宋体"/>
          <w:bCs/>
          <w:color w:val="auto"/>
          <w:kern w:val="0"/>
          <w:sz w:val="24"/>
          <w:szCs w:val="24"/>
          <w:highlight w:val="none"/>
        </w:rPr>
      </w:pPr>
    </w:p>
    <w:p w14:paraId="1F6839FB">
      <w:pPr>
        <w:pStyle w:val="13"/>
        <w:ind w:left="0" w:leftChars="0" w:firstLine="0" w:firstLineChars="0"/>
        <w:rPr>
          <w:rFonts w:hint="eastAsia" w:ascii="宋体" w:hAnsi="宋体" w:eastAsia="宋体" w:cs="宋体"/>
          <w:bCs/>
          <w:color w:val="auto"/>
          <w:kern w:val="0"/>
          <w:sz w:val="24"/>
          <w:szCs w:val="24"/>
          <w:highlight w:val="none"/>
        </w:rPr>
      </w:pPr>
    </w:p>
    <w:p w14:paraId="25F92AB4">
      <w:pPr>
        <w:pStyle w:val="13"/>
        <w:ind w:left="0" w:leftChars="0" w:firstLine="0" w:firstLineChars="0"/>
        <w:rPr>
          <w:rFonts w:hint="eastAsia" w:ascii="宋体" w:hAnsi="宋体" w:eastAsia="宋体" w:cs="宋体"/>
          <w:bCs/>
          <w:color w:val="auto"/>
          <w:kern w:val="0"/>
          <w:sz w:val="24"/>
          <w:szCs w:val="24"/>
          <w:highlight w:val="none"/>
        </w:rPr>
      </w:pPr>
    </w:p>
    <w:p w14:paraId="5E375290">
      <w:pPr>
        <w:pStyle w:val="13"/>
        <w:ind w:left="0" w:leftChars="0" w:firstLine="0" w:firstLineChars="0"/>
        <w:rPr>
          <w:rFonts w:hint="eastAsia" w:ascii="宋体" w:hAnsi="宋体" w:eastAsia="宋体" w:cs="宋体"/>
          <w:bCs/>
          <w:color w:val="auto"/>
          <w:kern w:val="0"/>
          <w:sz w:val="24"/>
          <w:szCs w:val="24"/>
          <w:highlight w:val="none"/>
        </w:rPr>
      </w:pPr>
    </w:p>
    <w:p w14:paraId="7639B3B3">
      <w:pPr>
        <w:pStyle w:val="13"/>
        <w:ind w:left="0" w:leftChars="0" w:firstLine="0" w:firstLineChars="0"/>
        <w:rPr>
          <w:rFonts w:hint="eastAsia" w:ascii="宋体" w:hAnsi="宋体" w:eastAsia="宋体" w:cs="宋体"/>
          <w:bCs/>
          <w:color w:val="auto"/>
          <w:kern w:val="0"/>
          <w:sz w:val="24"/>
          <w:szCs w:val="24"/>
          <w:highlight w:val="none"/>
        </w:rPr>
      </w:pPr>
    </w:p>
    <w:p w14:paraId="16C2864B">
      <w:pPr>
        <w:pStyle w:val="13"/>
        <w:ind w:left="0" w:leftChars="0" w:firstLine="0" w:firstLineChars="0"/>
        <w:rPr>
          <w:rFonts w:hint="eastAsia" w:ascii="宋体" w:hAnsi="宋体" w:eastAsia="宋体" w:cs="宋体"/>
          <w:bCs/>
          <w:color w:val="auto"/>
          <w:kern w:val="0"/>
          <w:sz w:val="24"/>
          <w:szCs w:val="24"/>
          <w:highlight w:val="none"/>
        </w:rPr>
      </w:pPr>
    </w:p>
    <w:p w14:paraId="26A124E7">
      <w:pPr>
        <w:pStyle w:val="13"/>
        <w:ind w:left="0" w:leftChars="0" w:firstLine="0" w:firstLineChars="0"/>
        <w:rPr>
          <w:rFonts w:hint="eastAsia" w:ascii="宋体" w:hAnsi="宋体" w:eastAsia="宋体" w:cs="宋体"/>
          <w:bCs/>
          <w:color w:val="auto"/>
          <w:kern w:val="0"/>
          <w:sz w:val="24"/>
          <w:szCs w:val="24"/>
          <w:highlight w:val="none"/>
        </w:rPr>
      </w:pPr>
    </w:p>
    <w:p w14:paraId="1E7AC65A">
      <w:pPr>
        <w:pStyle w:val="13"/>
        <w:ind w:left="0" w:leftChars="0" w:firstLine="0" w:firstLineChars="0"/>
        <w:rPr>
          <w:rFonts w:hint="eastAsia" w:ascii="宋体" w:hAnsi="宋体" w:eastAsia="宋体" w:cs="宋体"/>
          <w:bCs/>
          <w:color w:val="auto"/>
          <w:kern w:val="0"/>
          <w:sz w:val="24"/>
          <w:szCs w:val="24"/>
          <w:highlight w:val="none"/>
        </w:rPr>
      </w:pPr>
    </w:p>
    <w:p w14:paraId="75225EB4">
      <w:pPr>
        <w:pStyle w:val="13"/>
        <w:ind w:left="0" w:leftChars="0" w:firstLine="0" w:firstLineChars="0"/>
        <w:rPr>
          <w:rFonts w:hint="eastAsia" w:ascii="宋体" w:hAnsi="宋体" w:eastAsia="宋体" w:cs="宋体"/>
          <w:bCs/>
          <w:color w:val="auto"/>
          <w:kern w:val="0"/>
          <w:sz w:val="24"/>
          <w:szCs w:val="24"/>
          <w:highlight w:val="none"/>
        </w:rPr>
      </w:pPr>
    </w:p>
    <w:p w14:paraId="50EC6404">
      <w:pPr>
        <w:pStyle w:val="13"/>
        <w:ind w:left="0" w:leftChars="0" w:firstLine="0" w:firstLineChars="0"/>
        <w:rPr>
          <w:rFonts w:hint="eastAsia" w:ascii="宋体" w:hAnsi="宋体" w:eastAsia="宋体" w:cs="宋体"/>
          <w:bCs/>
          <w:color w:val="auto"/>
          <w:kern w:val="0"/>
          <w:sz w:val="24"/>
          <w:szCs w:val="24"/>
          <w:highlight w:val="none"/>
        </w:rPr>
      </w:pPr>
    </w:p>
    <w:p w14:paraId="7BA60C57">
      <w:pPr>
        <w:pStyle w:val="13"/>
        <w:ind w:left="0" w:leftChars="0" w:firstLine="0" w:firstLineChars="0"/>
        <w:rPr>
          <w:rFonts w:hint="eastAsia" w:ascii="宋体" w:hAnsi="宋体" w:eastAsia="宋体" w:cs="宋体"/>
          <w:bCs/>
          <w:color w:val="auto"/>
          <w:kern w:val="0"/>
          <w:sz w:val="24"/>
          <w:szCs w:val="24"/>
          <w:highlight w:val="none"/>
        </w:rPr>
      </w:pPr>
    </w:p>
    <w:p w14:paraId="13D5A0D7">
      <w:pPr>
        <w:pStyle w:val="13"/>
        <w:ind w:left="0" w:leftChars="0" w:firstLine="0" w:firstLineChars="0"/>
        <w:rPr>
          <w:rFonts w:hint="eastAsia" w:ascii="宋体" w:hAnsi="宋体" w:eastAsia="宋体" w:cs="宋体"/>
          <w:bCs/>
          <w:color w:val="auto"/>
          <w:kern w:val="0"/>
          <w:sz w:val="24"/>
          <w:szCs w:val="24"/>
          <w:highlight w:val="none"/>
        </w:rPr>
      </w:pPr>
    </w:p>
    <w:p w14:paraId="1BF075B5">
      <w:pPr>
        <w:pStyle w:val="13"/>
        <w:ind w:left="0" w:leftChars="0" w:firstLine="0" w:firstLineChars="0"/>
        <w:rPr>
          <w:rFonts w:hint="eastAsia" w:ascii="宋体" w:hAnsi="宋体" w:eastAsia="宋体" w:cs="宋体"/>
          <w:bCs/>
          <w:color w:val="auto"/>
          <w:kern w:val="0"/>
          <w:sz w:val="24"/>
          <w:szCs w:val="24"/>
          <w:highlight w:val="none"/>
        </w:rPr>
      </w:pPr>
    </w:p>
    <w:p w14:paraId="0BDB40FB">
      <w:pPr>
        <w:pStyle w:val="13"/>
        <w:ind w:left="0" w:leftChars="0" w:firstLine="0" w:firstLineChars="0"/>
        <w:rPr>
          <w:rFonts w:hint="eastAsia" w:ascii="宋体" w:hAnsi="宋体" w:eastAsia="宋体" w:cs="宋体"/>
          <w:bCs/>
          <w:color w:val="auto"/>
          <w:kern w:val="0"/>
          <w:sz w:val="24"/>
          <w:szCs w:val="24"/>
          <w:highlight w:val="none"/>
        </w:rPr>
      </w:pPr>
    </w:p>
    <w:p w14:paraId="1C5A6B0A">
      <w:pPr>
        <w:pStyle w:val="13"/>
        <w:ind w:left="0" w:leftChars="0" w:firstLine="0" w:firstLineChars="0"/>
        <w:rPr>
          <w:rFonts w:hint="eastAsia" w:ascii="宋体" w:hAnsi="宋体" w:eastAsia="宋体" w:cs="宋体"/>
          <w:bCs/>
          <w:color w:val="auto"/>
          <w:kern w:val="0"/>
          <w:sz w:val="24"/>
          <w:szCs w:val="24"/>
          <w:highlight w:val="none"/>
        </w:rPr>
      </w:pPr>
    </w:p>
    <w:p w14:paraId="6770184D">
      <w:pPr>
        <w:pStyle w:val="13"/>
        <w:ind w:left="0" w:leftChars="0" w:firstLine="0" w:firstLineChars="0"/>
        <w:rPr>
          <w:rFonts w:hint="eastAsia" w:ascii="宋体" w:hAnsi="宋体" w:eastAsia="宋体" w:cs="宋体"/>
          <w:bCs/>
          <w:color w:val="auto"/>
          <w:kern w:val="0"/>
          <w:sz w:val="24"/>
          <w:szCs w:val="24"/>
          <w:highlight w:val="none"/>
        </w:rPr>
      </w:pPr>
    </w:p>
    <w:p w14:paraId="1A1F0B17">
      <w:pPr>
        <w:pStyle w:val="13"/>
        <w:ind w:left="0" w:leftChars="0" w:firstLine="0" w:firstLineChars="0"/>
        <w:rPr>
          <w:rFonts w:hint="eastAsia" w:ascii="宋体" w:hAnsi="宋体" w:eastAsia="宋体" w:cs="宋体"/>
          <w:bCs/>
          <w:color w:val="auto"/>
          <w:kern w:val="0"/>
          <w:sz w:val="24"/>
          <w:szCs w:val="24"/>
          <w:highlight w:val="none"/>
        </w:rPr>
      </w:pPr>
    </w:p>
    <w:p w14:paraId="61A890B9">
      <w:pPr>
        <w:pStyle w:val="13"/>
        <w:ind w:left="0" w:leftChars="0" w:firstLine="0" w:firstLineChars="0"/>
        <w:rPr>
          <w:rFonts w:hint="eastAsia" w:ascii="宋体" w:hAnsi="宋体" w:eastAsia="宋体" w:cs="宋体"/>
          <w:bCs/>
          <w:color w:val="auto"/>
          <w:kern w:val="0"/>
          <w:sz w:val="24"/>
          <w:szCs w:val="24"/>
          <w:highlight w:val="none"/>
        </w:rPr>
      </w:pPr>
    </w:p>
    <w:p w14:paraId="14D37260">
      <w:pPr>
        <w:pStyle w:val="13"/>
        <w:ind w:left="0" w:leftChars="0" w:firstLine="0" w:firstLineChars="0"/>
        <w:rPr>
          <w:rFonts w:hint="eastAsia" w:ascii="宋体" w:hAnsi="宋体" w:eastAsia="宋体" w:cs="宋体"/>
          <w:bCs/>
          <w:color w:val="auto"/>
          <w:kern w:val="0"/>
          <w:sz w:val="24"/>
          <w:szCs w:val="24"/>
          <w:highlight w:val="none"/>
        </w:rPr>
      </w:pPr>
    </w:p>
    <w:p w14:paraId="7100CCDD">
      <w:pPr>
        <w:pStyle w:val="13"/>
        <w:ind w:left="0" w:leftChars="0" w:firstLine="0" w:firstLineChars="0"/>
        <w:rPr>
          <w:rFonts w:hint="eastAsia" w:ascii="宋体" w:hAnsi="宋体" w:eastAsia="宋体" w:cs="宋体"/>
          <w:bCs/>
          <w:color w:val="auto"/>
          <w:kern w:val="0"/>
          <w:sz w:val="24"/>
          <w:szCs w:val="24"/>
          <w:highlight w:val="none"/>
        </w:rPr>
      </w:pPr>
    </w:p>
    <w:p w14:paraId="4C70CAB4">
      <w:pPr>
        <w:pStyle w:val="13"/>
        <w:ind w:left="0" w:leftChars="0" w:firstLine="0" w:firstLineChars="0"/>
        <w:rPr>
          <w:rFonts w:hint="eastAsia" w:ascii="宋体" w:hAnsi="宋体" w:eastAsia="宋体" w:cs="宋体"/>
          <w:bCs/>
          <w:color w:val="auto"/>
          <w:kern w:val="0"/>
          <w:sz w:val="24"/>
          <w:szCs w:val="24"/>
          <w:highlight w:val="none"/>
        </w:rPr>
      </w:pPr>
    </w:p>
    <w:p w14:paraId="11A6CB7D">
      <w:pPr>
        <w:pStyle w:val="13"/>
        <w:ind w:left="0" w:leftChars="0" w:firstLine="0" w:firstLineChars="0"/>
        <w:rPr>
          <w:rFonts w:hint="eastAsia" w:ascii="宋体" w:hAnsi="宋体" w:eastAsia="宋体" w:cs="宋体"/>
          <w:bCs/>
          <w:color w:val="auto"/>
          <w:kern w:val="0"/>
          <w:sz w:val="24"/>
          <w:szCs w:val="24"/>
          <w:highlight w:val="none"/>
        </w:rPr>
      </w:pPr>
    </w:p>
    <w:p w14:paraId="7BF37942">
      <w:pPr>
        <w:pStyle w:val="13"/>
        <w:ind w:left="0" w:leftChars="0" w:firstLine="0" w:firstLineChars="0"/>
        <w:rPr>
          <w:rFonts w:hint="eastAsia" w:ascii="宋体" w:hAnsi="宋体" w:eastAsia="宋体" w:cs="宋体"/>
          <w:bCs/>
          <w:color w:val="auto"/>
          <w:kern w:val="0"/>
          <w:sz w:val="24"/>
          <w:szCs w:val="24"/>
          <w:highlight w:val="none"/>
        </w:rPr>
      </w:pPr>
    </w:p>
    <w:p w14:paraId="10F41243">
      <w:pPr>
        <w:pStyle w:val="13"/>
        <w:ind w:left="0" w:leftChars="0" w:firstLine="0" w:firstLineChars="0"/>
        <w:rPr>
          <w:rFonts w:hint="eastAsia" w:ascii="宋体" w:hAnsi="宋体" w:eastAsia="宋体" w:cs="宋体"/>
          <w:bCs/>
          <w:color w:val="auto"/>
          <w:kern w:val="0"/>
          <w:sz w:val="24"/>
          <w:szCs w:val="24"/>
          <w:highlight w:val="none"/>
        </w:rPr>
      </w:pPr>
    </w:p>
    <w:p w14:paraId="1D619846">
      <w:pPr>
        <w:pStyle w:val="13"/>
        <w:ind w:left="0" w:leftChars="0" w:firstLine="0" w:firstLineChars="0"/>
        <w:rPr>
          <w:rFonts w:hint="eastAsia" w:ascii="宋体" w:hAnsi="宋体" w:eastAsia="宋体" w:cs="宋体"/>
          <w:bCs/>
          <w:color w:val="auto"/>
          <w:kern w:val="0"/>
          <w:sz w:val="24"/>
          <w:szCs w:val="24"/>
          <w:highlight w:val="none"/>
        </w:rPr>
      </w:pPr>
    </w:p>
    <w:p w14:paraId="556477FA">
      <w:pPr>
        <w:pStyle w:val="13"/>
        <w:ind w:left="0" w:leftChars="0" w:firstLine="0" w:firstLineChars="0"/>
        <w:rPr>
          <w:rFonts w:hint="eastAsia" w:ascii="宋体" w:hAnsi="宋体" w:eastAsia="宋体" w:cs="宋体"/>
          <w:bCs/>
          <w:color w:val="auto"/>
          <w:kern w:val="0"/>
          <w:sz w:val="24"/>
          <w:szCs w:val="24"/>
          <w:highlight w:val="none"/>
        </w:rPr>
      </w:pPr>
    </w:p>
    <w:p w14:paraId="3C51744D">
      <w:pPr>
        <w:pStyle w:val="13"/>
        <w:ind w:left="0" w:leftChars="0" w:firstLine="0" w:firstLineChars="0"/>
        <w:rPr>
          <w:rFonts w:hint="eastAsia" w:ascii="宋体" w:hAnsi="宋体" w:eastAsia="宋体" w:cs="宋体"/>
          <w:bCs/>
          <w:color w:val="auto"/>
          <w:kern w:val="0"/>
          <w:sz w:val="24"/>
          <w:szCs w:val="24"/>
          <w:highlight w:val="none"/>
        </w:rPr>
      </w:pPr>
    </w:p>
    <w:p w14:paraId="1579C6E7">
      <w:pPr>
        <w:pStyle w:val="15"/>
        <w:widowControl/>
        <w:spacing w:line="360" w:lineRule="auto"/>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附件4：造价咨询任务大纲</w:t>
      </w:r>
    </w:p>
    <w:p w14:paraId="61ADCA4D">
      <w:pPr>
        <w:pStyle w:val="13"/>
        <w:rPr>
          <w:rFonts w:hint="eastAsia" w:ascii="宋体" w:hAnsi="宋体" w:eastAsia="宋体" w:cs="宋体"/>
          <w:color w:val="auto"/>
          <w:sz w:val="24"/>
          <w:szCs w:val="24"/>
          <w:highlight w:val="none"/>
        </w:rPr>
      </w:pPr>
    </w:p>
    <w:p w14:paraId="303C26E1">
      <w:pPr>
        <w:pStyle w:val="13"/>
        <w:keepNext w:val="0"/>
        <w:keepLines w:val="0"/>
        <w:pageBreakBefore w:val="0"/>
        <w:widowControl w:val="0"/>
        <w:numPr>
          <w:ilvl w:val="0"/>
          <w:numId w:val="1"/>
        </w:numPr>
        <w:kinsoku/>
        <w:wordWrap/>
        <w:overflowPunct/>
        <w:topLinePunct w:val="0"/>
        <w:autoSpaceDE/>
        <w:autoSpaceDN/>
        <w:bidi w:val="0"/>
        <w:adjustRightInd/>
        <w:snapToGrid/>
        <w:spacing w:after="0" w:afterLines="0"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项目概况</w:t>
      </w:r>
    </w:p>
    <w:p w14:paraId="216D0A52">
      <w:pPr>
        <w:pStyle w:val="13"/>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工程名称：</w:t>
      </w:r>
      <w:r>
        <w:rPr>
          <w:rFonts w:hint="eastAsia" w:ascii="宋体" w:hAnsi="宋体" w:cs="宋体"/>
          <w:color w:val="auto"/>
          <w:sz w:val="24"/>
          <w:szCs w:val="24"/>
          <w:highlight w:val="none"/>
          <w:u w:val="single"/>
          <w:lang w:eastAsia="zh-CN"/>
        </w:rPr>
        <w:t>岭头公司旧村全面改造</w:t>
      </w:r>
      <w:r>
        <w:rPr>
          <w:rFonts w:hint="eastAsia" w:ascii="宋体" w:hAnsi="宋体" w:eastAsia="宋体" w:cs="宋体"/>
          <w:color w:val="auto"/>
          <w:sz w:val="24"/>
          <w:szCs w:val="24"/>
          <w:highlight w:val="none"/>
          <w:u w:val="single"/>
        </w:rPr>
        <w:t>地块周边市政道路及配套、地质灾害配套防治工程项目全过程造价咨询服务</w:t>
      </w:r>
    </w:p>
    <w:p w14:paraId="5D5709A1">
      <w:pPr>
        <w:pStyle w:val="13"/>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工程地点：</w:t>
      </w:r>
      <w:bookmarkStart w:id="2" w:name="_Hlk95134268"/>
      <w:r>
        <w:rPr>
          <w:rFonts w:hint="eastAsia" w:ascii="宋体" w:hAnsi="宋体" w:eastAsia="宋体" w:cs="宋体"/>
          <w:color w:val="auto"/>
          <w:sz w:val="24"/>
          <w:szCs w:val="24"/>
          <w:highlight w:val="none"/>
          <w:u w:val="single"/>
        </w:rPr>
        <w:t>广州市黄埔区</w:t>
      </w:r>
      <w:bookmarkEnd w:id="2"/>
      <w:r>
        <w:rPr>
          <w:rFonts w:hint="eastAsia" w:ascii="宋体" w:hAnsi="宋体" w:cs="宋体"/>
          <w:color w:val="auto"/>
          <w:sz w:val="24"/>
          <w:szCs w:val="24"/>
          <w:highlight w:val="none"/>
          <w:u w:val="single"/>
          <w:lang w:val="en-US" w:eastAsia="zh-CN"/>
        </w:rPr>
        <w:t>长岭街道</w:t>
      </w:r>
    </w:p>
    <w:p w14:paraId="7EE48124">
      <w:pPr>
        <w:adjustRightInd w:val="0"/>
        <w:snapToGrid w:val="0"/>
        <w:spacing w:line="640" w:lineRule="exact"/>
        <w:ind w:left="479" w:leftChars="228"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工程建设规模：</w:t>
      </w:r>
    </w:p>
    <w:p w14:paraId="02FBA121">
      <w:pPr>
        <w:keepNext w:val="0"/>
        <w:keepLines w:val="0"/>
        <w:pageBreakBefore w:val="0"/>
        <w:widowControl w:val="0"/>
        <w:kinsoku/>
        <w:wordWrap/>
        <w:overflowPunct/>
        <w:topLinePunct w:val="0"/>
        <w:autoSpaceDE/>
        <w:autoSpaceDN/>
        <w:bidi w:val="0"/>
        <w:adjustRightInd w:val="0"/>
        <w:snapToGrid w:val="0"/>
        <w:spacing w:line="360" w:lineRule="auto"/>
        <w:ind w:left="479" w:leftChars="228" w:firstLine="0" w:firstLineChars="0"/>
        <w:textAlignment w:val="auto"/>
        <w:rPr>
          <w:rFonts w:hint="eastAsia"/>
          <w:highlight w:val="none"/>
          <w:lang w:val="en-US" w:eastAsia="zh-CN"/>
        </w:rPr>
      </w:pPr>
      <w:r>
        <w:rPr>
          <w:rFonts w:hint="eastAsia" w:ascii="宋体" w:hAnsi="宋体" w:eastAsia="宋体" w:cs="宋体"/>
          <w:b/>
          <w:bCs/>
          <w:color w:val="auto"/>
          <w:kern w:val="2"/>
          <w:sz w:val="24"/>
          <w:szCs w:val="24"/>
          <w:highlight w:val="none"/>
          <w:u w:val="single"/>
          <w:lang w:val="en-US" w:eastAsia="zh-CN" w:bidi="ar-SA"/>
        </w:rPr>
        <w:t>周边市政道路及配套工程：</w:t>
      </w:r>
      <w:r>
        <w:rPr>
          <w:rFonts w:hint="eastAsia" w:ascii="宋体" w:hAnsi="宋体" w:eastAsia="宋体" w:cs="宋体"/>
          <w:color w:val="auto"/>
          <w:kern w:val="2"/>
          <w:sz w:val="24"/>
          <w:szCs w:val="24"/>
          <w:highlight w:val="none"/>
          <w:u w:val="single"/>
          <w:lang w:val="en-US" w:eastAsia="zh-CN" w:bidi="ar-SA"/>
        </w:rPr>
        <w:t>本工程位于永顺大道以北、广汕公路以东、水声水库以西、岭头红茶文化中心以南，属于岭头公司旧村全面改造项目范围。本工程共包含 7 条道路，其中岭头上山1号路长约105.20米，宽约10米，规划为城市支路；岭头上山2号路长约 1643.64米，宽约26米，规划为城市次干道；岭头上山3号路长约1299.87 米，宽约 20 米，规划为城市支路；岭头村4号路长约540.27米，宽约15米、20米，规划为城市支路；斗岗5号路长约345.11米，宽约15米，规划为城市支路；场部7号路长约151.55 米，宽约15米，规划为城市支路；场部6号路长约699.57米，宽约20米，规划为城市支路。道路、桥涵、给排水、照明、交通、绿化、电力等工程。主要建设内容包括：道路、桥涵、给排水、照明、交通、绿化、电力等工程。市政道路工程总投资约4.0996亿元，其中：工程建安费约3.561亿元。</w:t>
      </w:r>
    </w:p>
    <w:p w14:paraId="5647B819">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highlight w:val="none"/>
        </w:rPr>
      </w:pPr>
      <w:r>
        <w:rPr>
          <w:rFonts w:hint="eastAsia" w:ascii="宋体" w:hAnsi="宋体" w:eastAsia="宋体" w:cs="宋体"/>
          <w:b/>
          <w:bCs/>
          <w:color w:val="000000"/>
          <w:sz w:val="24"/>
          <w:highlight w:val="none"/>
          <w:u w:val="single"/>
        </w:rPr>
        <w:t>地质灾害配套防治工程</w:t>
      </w:r>
      <w:r>
        <w:rPr>
          <w:rFonts w:hint="eastAsia" w:ascii="宋体" w:hAnsi="宋体" w:eastAsia="宋体" w:cs="宋体"/>
          <w:b/>
          <w:bCs/>
          <w:color w:val="000000"/>
          <w:sz w:val="24"/>
          <w:highlight w:val="none"/>
          <w:u w:val="single"/>
          <w:lang w:eastAsia="zh-CN"/>
        </w:rPr>
        <w:t>：</w:t>
      </w:r>
      <w:r>
        <w:rPr>
          <w:rFonts w:hint="eastAsia" w:ascii="宋体" w:hAnsi="宋体" w:eastAsia="宋体" w:cs="宋体"/>
          <w:b w:val="0"/>
          <w:bCs w:val="0"/>
          <w:color w:val="auto"/>
          <w:spacing w:val="0"/>
          <w:kern w:val="0"/>
          <w:sz w:val="24"/>
          <w:szCs w:val="24"/>
          <w:highlight w:val="none"/>
          <w:u w:val="single"/>
          <w:lang w:val="en-US" w:eastAsia="zh-CN"/>
        </w:rPr>
        <w:t>本工程位于岭头村片区、新二队片区、场部片区、斗岗片区，属于岭头公司旧村全面改造项目范围，主要包括边坡削方、护坡格构梁、锚杆、锚索等，总投资约1.9367亿元，其中工程建安费约1.6709亿元。</w:t>
      </w:r>
    </w:p>
    <w:p w14:paraId="1CAA287E">
      <w:pPr>
        <w:pStyle w:val="13"/>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资金来源：</w:t>
      </w:r>
      <w:r>
        <w:rPr>
          <w:rFonts w:hint="eastAsia" w:ascii="宋体" w:hAnsi="宋体" w:eastAsia="宋体" w:cs="宋体"/>
          <w:color w:val="auto"/>
          <w:sz w:val="24"/>
          <w:szCs w:val="24"/>
          <w:highlight w:val="none"/>
          <w:u w:val="single"/>
        </w:rPr>
        <w:t>企业自筹</w:t>
      </w:r>
    </w:p>
    <w:p w14:paraId="2BE4BF51">
      <w:pPr>
        <w:pStyle w:val="13"/>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服务期限：</w:t>
      </w:r>
      <w:r>
        <w:rPr>
          <w:rFonts w:hint="eastAsia" w:ascii="宋体" w:hAnsi="宋体" w:eastAsia="宋体" w:cs="宋体"/>
          <w:color w:val="auto"/>
          <w:sz w:val="24"/>
          <w:szCs w:val="24"/>
          <w:highlight w:val="none"/>
          <w:u w:val="single"/>
        </w:rPr>
        <w:t>自合同签订之日起至委托的工作内容全部完成为止。</w:t>
      </w:r>
    </w:p>
    <w:p w14:paraId="244CB80F">
      <w:pPr>
        <w:pStyle w:val="13"/>
        <w:keepNext w:val="0"/>
        <w:keepLines w:val="0"/>
        <w:pageBreakBefore w:val="0"/>
        <w:widowControl w:val="0"/>
        <w:numPr>
          <w:ilvl w:val="0"/>
          <w:numId w:val="2"/>
        </w:numPr>
        <w:kinsoku/>
        <w:wordWrap/>
        <w:overflowPunct/>
        <w:topLinePunct w:val="0"/>
        <w:autoSpaceDE/>
        <w:autoSpaceDN/>
        <w:bidi w:val="0"/>
        <w:adjustRightInd/>
        <w:snapToGrid/>
        <w:spacing w:after="0" w:afterLines="0"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服务内容</w:t>
      </w:r>
    </w:p>
    <w:p w14:paraId="54BAEF72">
      <w:pPr>
        <w:pStyle w:val="13"/>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本次招标的造价咨询服务内容为：（包括但不限于）：</w:t>
      </w:r>
      <w:r>
        <w:rPr>
          <w:rFonts w:hint="eastAsia" w:ascii="宋体" w:hAnsi="宋体" w:cs="宋体"/>
          <w:color w:val="auto"/>
          <w:sz w:val="24"/>
          <w:szCs w:val="24"/>
          <w:highlight w:val="none"/>
          <w:u w:val="single"/>
          <w:lang w:eastAsia="zh-CN"/>
        </w:rPr>
        <w:t>岭头公司旧村全面改造</w:t>
      </w:r>
      <w:r>
        <w:rPr>
          <w:rFonts w:hint="eastAsia" w:ascii="宋体" w:hAnsi="宋体" w:eastAsia="宋体" w:cs="宋体"/>
          <w:color w:val="auto"/>
          <w:sz w:val="24"/>
          <w:szCs w:val="24"/>
          <w:highlight w:val="none"/>
          <w:u w:val="single"/>
          <w:lang w:eastAsia="zh-CN"/>
        </w:rPr>
        <w:t>项目周边市政道路及配套、地质灾害配套防治工程</w:t>
      </w:r>
      <w:r>
        <w:rPr>
          <w:rFonts w:hint="eastAsia" w:ascii="宋体" w:hAnsi="宋体" w:eastAsia="宋体" w:cs="宋体"/>
          <w:color w:val="auto"/>
          <w:sz w:val="24"/>
          <w:szCs w:val="24"/>
          <w:highlight w:val="none"/>
          <w:u w:val="single"/>
        </w:rPr>
        <w:t>整体投资估算的调整、</w:t>
      </w:r>
      <w:r>
        <w:rPr>
          <w:rFonts w:hint="eastAsia" w:ascii="宋体" w:hAnsi="宋体" w:cs="宋体"/>
          <w:color w:val="auto"/>
          <w:sz w:val="24"/>
          <w:szCs w:val="24"/>
          <w:highlight w:val="none"/>
          <w:u w:val="single"/>
          <w:lang w:val="en-US" w:eastAsia="zh-CN"/>
        </w:rPr>
        <w:t>编审</w:t>
      </w:r>
      <w:r>
        <w:rPr>
          <w:rFonts w:hint="eastAsia" w:ascii="宋体" w:hAnsi="宋体" w:eastAsia="宋体" w:cs="宋体"/>
          <w:color w:val="auto"/>
          <w:sz w:val="24"/>
          <w:szCs w:val="24"/>
          <w:highlight w:val="none"/>
          <w:u w:val="single"/>
        </w:rPr>
        <w:t>概算、招标控制价及工程量清单、施工图预算，评标结果复核、工程结算审核，以及审核施工工程进度款，设计变更、现场签证审核等工作。</w:t>
      </w:r>
    </w:p>
    <w:p w14:paraId="0D1C04EF">
      <w:pPr>
        <w:pStyle w:val="13"/>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包括但不限于以下内容：</w:t>
      </w:r>
    </w:p>
    <w:p w14:paraId="29D5A68D">
      <w:pPr>
        <w:pStyle w:val="13"/>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1.</w:t>
      </w:r>
      <w:r>
        <w:rPr>
          <w:rFonts w:hint="eastAsia" w:ascii="宋体" w:hAnsi="宋体" w:eastAsia="宋体" w:cs="宋体"/>
          <w:color w:val="auto"/>
          <w:sz w:val="24"/>
          <w:szCs w:val="24"/>
          <w:highlight w:val="none"/>
        </w:rPr>
        <w:t>对</w:t>
      </w:r>
      <w:r>
        <w:rPr>
          <w:rFonts w:hint="eastAsia" w:ascii="宋体" w:hAnsi="宋体" w:cs="宋体"/>
          <w:color w:val="auto"/>
          <w:sz w:val="24"/>
          <w:szCs w:val="24"/>
          <w:highlight w:val="none"/>
          <w:u w:val="none"/>
          <w:lang w:eastAsia="zh-CN"/>
        </w:rPr>
        <w:t>岭头公司旧村全面改造</w:t>
      </w:r>
      <w:r>
        <w:rPr>
          <w:rFonts w:hint="eastAsia" w:ascii="宋体" w:hAnsi="宋体" w:eastAsia="宋体" w:cs="宋体"/>
          <w:color w:val="auto"/>
          <w:sz w:val="24"/>
          <w:szCs w:val="24"/>
          <w:highlight w:val="none"/>
          <w:u w:val="none"/>
          <w:lang w:eastAsia="zh-CN"/>
        </w:rPr>
        <w:t>项目周边市政道路及配套、地质灾害配套防治工程</w:t>
      </w:r>
      <w:r>
        <w:rPr>
          <w:rFonts w:hint="eastAsia" w:ascii="宋体" w:hAnsi="宋体" w:eastAsia="宋体" w:cs="宋体"/>
          <w:color w:val="auto"/>
          <w:sz w:val="24"/>
          <w:szCs w:val="24"/>
          <w:highlight w:val="none"/>
        </w:rPr>
        <w:t>的工程费估算进行编制或审核。</w:t>
      </w:r>
    </w:p>
    <w:p w14:paraId="52745EBC">
      <w:pPr>
        <w:pStyle w:val="13"/>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设计阶段：</w:t>
      </w:r>
    </w:p>
    <w:p w14:paraId="1199B157">
      <w:pPr>
        <w:pStyle w:val="13"/>
        <w:keepNext w:val="0"/>
        <w:keepLines w:val="0"/>
        <w:pageBreakBefore w:val="0"/>
        <w:widowControl w:val="0"/>
        <w:numPr>
          <w:ilvl w:val="0"/>
          <w:numId w:val="3"/>
        </w:numPr>
        <w:kinsoku/>
        <w:wordWrap/>
        <w:overflowPunct/>
        <w:topLinePunct w:val="0"/>
        <w:autoSpaceDE/>
        <w:autoSpaceDN/>
        <w:bidi w:val="0"/>
        <w:adjustRightInd/>
        <w:snapToGrid/>
        <w:spacing w:after="0" w:afterLines="0" w:line="360" w:lineRule="auto"/>
        <w:ind w:left="0" w:leftChars="0" w:firstLine="480" w:firstLineChars="200"/>
        <w:textAlignment w:val="auto"/>
        <w:rPr>
          <w:rFonts w:hint="eastAsia" w:ascii="宋体" w:hAnsi="宋体" w:eastAsia="宋体" w:cs="宋体"/>
          <w:strike w:val="0"/>
          <w:color w:val="auto"/>
          <w:sz w:val="24"/>
          <w:szCs w:val="24"/>
          <w:highlight w:val="none"/>
        </w:rPr>
      </w:pPr>
      <w:r>
        <w:rPr>
          <w:rFonts w:hint="eastAsia" w:ascii="宋体" w:hAnsi="宋体" w:cs="宋体"/>
          <w:strike w:val="0"/>
          <w:color w:val="auto"/>
          <w:sz w:val="24"/>
          <w:szCs w:val="24"/>
          <w:highlight w:val="none"/>
          <w:lang w:val="en-US" w:eastAsia="zh-CN"/>
        </w:rPr>
        <w:t>编审</w:t>
      </w:r>
      <w:r>
        <w:rPr>
          <w:rFonts w:hint="eastAsia" w:ascii="宋体" w:hAnsi="宋体" w:eastAsia="宋体" w:cs="宋体"/>
          <w:strike w:val="0"/>
          <w:color w:val="auto"/>
          <w:sz w:val="24"/>
          <w:szCs w:val="24"/>
          <w:highlight w:val="none"/>
        </w:rPr>
        <w:t>初步设计概算，按时提交</w:t>
      </w:r>
      <w:r>
        <w:rPr>
          <w:rFonts w:hint="eastAsia" w:ascii="宋体" w:hAnsi="宋体" w:cs="宋体"/>
          <w:strike w:val="0"/>
          <w:color w:val="auto"/>
          <w:sz w:val="24"/>
          <w:szCs w:val="24"/>
          <w:highlight w:val="none"/>
          <w:lang w:val="en-US" w:eastAsia="zh-CN"/>
        </w:rPr>
        <w:t>成果文件</w:t>
      </w:r>
      <w:r>
        <w:rPr>
          <w:rFonts w:hint="eastAsia" w:ascii="宋体" w:hAnsi="宋体" w:eastAsia="宋体" w:cs="宋体"/>
          <w:strike w:val="0"/>
          <w:color w:val="auto"/>
          <w:sz w:val="24"/>
          <w:szCs w:val="24"/>
          <w:highlight w:val="none"/>
        </w:rPr>
        <w:t>、调整意见及合理化建议。</w:t>
      </w:r>
    </w:p>
    <w:p w14:paraId="212D84F4">
      <w:pPr>
        <w:pStyle w:val="13"/>
        <w:keepNext w:val="0"/>
        <w:keepLines w:val="0"/>
        <w:pageBreakBefore w:val="0"/>
        <w:widowControl w:val="0"/>
        <w:numPr>
          <w:ilvl w:val="0"/>
          <w:numId w:val="4"/>
        </w:numPr>
        <w:kinsoku/>
        <w:wordWrap/>
        <w:overflowPunct/>
        <w:topLinePunct w:val="0"/>
        <w:autoSpaceDE/>
        <w:autoSpaceDN/>
        <w:bidi w:val="0"/>
        <w:adjustRightInd/>
        <w:snapToGrid/>
        <w:spacing w:after="0" w:afterLines="0"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根据委托人要求进行方案比选及测算，提交合理化建议；</w:t>
      </w:r>
    </w:p>
    <w:p w14:paraId="1E1E4E3A">
      <w:pPr>
        <w:pStyle w:val="13"/>
        <w:keepNext w:val="0"/>
        <w:keepLines w:val="0"/>
        <w:pageBreakBefore w:val="0"/>
        <w:widowControl w:val="0"/>
        <w:numPr>
          <w:ilvl w:val="0"/>
          <w:numId w:val="5"/>
        </w:numPr>
        <w:kinsoku/>
        <w:wordWrap/>
        <w:overflowPunct/>
        <w:topLinePunct w:val="0"/>
        <w:autoSpaceDE/>
        <w:autoSpaceDN/>
        <w:bidi w:val="0"/>
        <w:adjustRightInd/>
        <w:snapToGrid/>
        <w:spacing w:after="0" w:afterLines="0"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参加图纸会审，根据委托人要求提供造价方面的专业意见；</w:t>
      </w:r>
    </w:p>
    <w:p w14:paraId="6B591091">
      <w:pPr>
        <w:pStyle w:val="13"/>
        <w:keepNext w:val="0"/>
        <w:keepLines w:val="0"/>
        <w:pageBreakBefore w:val="0"/>
        <w:widowControl w:val="0"/>
        <w:numPr>
          <w:ilvl w:val="0"/>
          <w:numId w:val="6"/>
        </w:numPr>
        <w:kinsoku/>
        <w:wordWrap/>
        <w:overflowPunct/>
        <w:topLinePunct w:val="0"/>
        <w:autoSpaceDE/>
        <w:autoSpaceDN/>
        <w:bidi w:val="0"/>
        <w:adjustRightInd/>
        <w:snapToGrid/>
        <w:spacing w:after="0" w:afterLines="0"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提供建筑材料、设备造价方面的选择意见，控制投资成本；</w:t>
      </w:r>
    </w:p>
    <w:p w14:paraId="4D406BF8">
      <w:pPr>
        <w:pStyle w:val="13"/>
        <w:keepNext w:val="0"/>
        <w:keepLines w:val="0"/>
        <w:pageBreakBefore w:val="0"/>
        <w:widowControl w:val="0"/>
        <w:numPr>
          <w:ilvl w:val="0"/>
          <w:numId w:val="7"/>
        </w:numPr>
        <w:kinsoku/>
        <w:wordWrap/>
        <w:overflowPunct/>
        <w:topLinePunct w:val="0"/>
        <w:autoSpaceDE/>
        <w:autoSpaceDN/>
        <w:bidi w:val="0"/>
        <w:adjustRightInd/>
        <w:snapToGrid/>
        <w:spacing w:after="0" w:afterLines="0"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提供类似项目的建筑标准及参考造价供委托人参考，配合委托人修改、确定建筑标准；</w:t>
      </w:r>
    </w:p>
    <w:p w14:paraId="6BE99B3F">
      <w:pPr>
        <w:pStyle w:val="13"/>
        <w:keepNext w:val="0"/>
        <w:keepLines w:val="0"/>
        <w:pageBreakBefore w:val="0"/>
        <w:widowControl w:val="0"/>
        <w:numPr>
          <w:ilvl w:val="0"/>
          <w:numId w:val="8"/>
        </w:numPr>
        <w:kinsoku/>
        <w:wordWrap/>
        <w:overflowPunct/>
        <w:topLinePunct w:val="0"/>
        <w:autoSpaceDE/>
        <w:autoSpaceDN/>
        <w:bidi w:val="0"/>
        <w:adjustRightInd/>
        <w:snapToGrid/>
        <w:spacing w:after="0" w:afterLines="0"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若限额指标超限，承包方应及时分析偏差原因，提出造价节省建议；</w:t>
      </w:r>
    </w:p>
    <w:p w14:paraId="5DC8238F">
      <w:pPr>
        <w:pStyle w:val="13"/>
        <w:keepNext w:val="0"/>
        <w:keepLines w:val="0"/>
        <w:pageBreakBefore w:val="0"/>
        <w:widowControl w:val="0"/>
        <w:numPr>
          <w:ilvl w:val="0"/>
          <w:numId w:val="9"/>
        </w:numPr>
        <w:kinsoku/>
        <w:wordWrap/>
        <w:overflowPunct/>
        <w:topLinePunct w:val="0"/>
        <w:autoSpaceDE/>
        <w:autoSpaceDN/>
        <w:bidi w:val="0"/>
        <w:adjustRightInd/>
        <w:snapToGrid/>
        <w:spacing w:after="0" w:afterLines="0" w:line="360" w:lineRule="auto"/>
        <w:ind w:left="0" w:leftChars="0" w:firstLine="480" w:firstLineChars="200"/>
        <w:textAlignment w:val="auto"/>
        <w:rPr>
          <w:rFonts w:hint="eastAsia" w:ascii="宋体" w:hAnsi="宋体" w:eastAsia="宋体" w:cs="宋体"/>
          <w:strike w:val="0"/>
          <w:color w:val="auto"/>
          <w:sz w:val="24"/>
          <w:szCs w:val="24"/>
          <w:highlight w:val="none"/>
        </w:rPr>
      </w:pPr>
      <w:r>
        <w:rPr>
          <w:rFonts w:hint="eastAsia" w:ascii="宋体" w:hAnsi="宋体" w:eastAsia="宋体" w:cs="宋体"/>
          <w:strike w:val="0"/>
          <w:color w:val="auto"/>
          <w:sz w:val="24"/>
          <w:szCs w:val="24"/>
          <w:highlight w:val="none"/>
        </w:rPr>
        <w:t>若概算（建安费）超出工程费估算，承包方应及时分析偏差原因，提出造价节省建议；</w:t>
      </w:r>
    </w:p>
    <w:p w14:paraId="7F7AE42B">
      <w:pPr>
        <w:pStyle w:val="13"/>
        <w:keepNext w:val="0"/>
        <w:keepLines w:val="0"/>
        <w:pageBreakBefore w:val="0"/>
        <w:widowControl w:val="0"/>
        <w:numPr>
          <w:ilvl w:val="0"/>
          <w:numId w:val="10"/>
        </w:numPr>
        <w:kinsoku/>
        <w:wordWrap/>
        <w:overflowPunct/>
        <w:topLinePunct w:val="0"/>
        <w:autoSpaceDE/>
        <w:autoSpaceDN/>
        <w:bidi w:val="0"/>
        <w:adjustRightInd/>
        <w:snapToGrid/>
        <w:spacing w:after="0" w:afterLines="0"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根据委托人需要，提出、评估和报告不同的建筑形式、施工方法、建筑材料和设备对工程造价的影响；</w:t>
      </w:r>
    </w:p>
    <w:p w14:paraId="5360A0A9">
      <w:pPr>
        <w:pStyle w:val="13"/>
        <w:keepNext w:val="0"/>
        <w:keepLines w:val="0"/>
        <w:pageBreakBefore w:val="0"/>
        <w:widowControl w:val="0"/>
        <w:numPr>
          <w:ilvl w:val="0"/>
          <w:numId w:val="11"/>
        </w:numPr>
        <w:kinsoku/>
        <w:wordWrap/>
        <w:overflowPunct/>
        <w:topLinePunct w:val="0"/>
        <w:autoSpaceDE/>
        <w:autoSpaceDN/>
        <w:bidi w:val="0"/>
        <w:adjustRightInd/>
        <w:snapToGrid/>
        <w:spacing w:after="0" w:afterLines="0"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当设计单位更新此阶段的图纸版本后，承包方应重复上述工作，直至此阶段最终图纸之设计造价满足委托人成本控制要求；</w:t>
      </w:r>
    </w:p>
    <w:p w14:paraId="714BEFF2">
      <w:pPr>
        <w:pStyle w:val="13"/>
        <w:keepNext w:val="0"/>
        <w:keepLines w:val="0"/>
        <w:pageBreakBefore w:val="0"/>
        <w:widowControl w:val="0"/>
        <w:numPr>
          <w:ilvl w:val="0"/>
          <w:numId w:val="12"/>
        </w:numPr>
        <w:kinsoku/>
        <w:wordWrap/>
        <w:overflowPunct/>
        <w:topLinePunct w:val="0"/>
        <w:autoSpaceDE/>
        <w:autoSpaceDN/>
        <w:bidi w:val="0"/>
        <w:adjustRightInd/>
        <w:snapToGrid/>
        <w:spacing w:after="0" w:afterLines="0"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按委托人要求出席相应的设计协调会及专家论证会，就设计的经济性发表独立的专业意见。</w:t>
      </w:r>
    </w:p>
    <w:p w14:paraId="7D17025C">
      <w:pPr>
        <w:pStyle w:val="13"/>
        <w:keepNext w:val="0"/>
        <w:keepLines w:val="0"/>
        <w:pageBreakBefore w:val="0"/>
        <w:widowControl w:val="0"/>
        <w:numPr>
          <w:ilvl w:val="0"/>
          <w:numId w:val="12"/>
        </w:numPr>
        <w:kinsoku/>
        <w:wordWrap/>
        <w:overflowPunct/>
        <w:topLinePunct w:val="0"/>
        <w:autoSpaceDE/>
        <w:autoSpaceDN/>
        <w:bidi w:val="0"/>
        <w:adjustRightInd/>
        <w:snapToGrid/>
        <w:spacing w:after="0" w:afterLines="0"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根据委托人要求，提供设计阶段的其他相关服务。</w:t>
      </w:r>
    </w:p>
    <w:p w14:paraId="6BB77D1E">
      <w:pPr>
        <w:pStyle w:val="13"/>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3.</w:t>
      </w:r>
      <w:r>
        <w:rPr>
          <w:rFonts w:hint="eastAsia" w:ascii="宋体" w:hAnsi="宋体" w:eastAsia="宋体" w:cs="宋体"/>
          <w:color w:val="auto"/>
          <w:sz w:val="24"/>
          <w:szCs w:val="24"/>
          <w:highlight w:val="none"/>
        </w:rPr>
        <w:t>招标阶段：根据招标图纸、招标文件及委托人需求，按委托人要求编制招标项目各专业的工程量清单及招标控制价，如有需要，需配合委托人按广州市建设主管部门及造价管理部门的有关要求完成招标控制价网上备案手续等工作；开标后根据工程的实际需要及委托人要求，对中标单位投标报价文件进行全面复核并提供复核报告；审核招标文件，提交相关计价、计量、支付、索赔等投资控制条款，按时提交审核报告、调整意见及合理化建议。服务期开始时招标控制价已完成审批的项目除外。</w:t>
      </w:r>
    </w:p>
    <w:p w14:paraId="1BC8B94C">
      <w:pPr>
        <w:pStyle w:val="13"/>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4.</w:t>
      </w:r>
      <w:r>
        <w:rPr>
          <w:rFonts w:hint="eastAsia" w:ascii="宋体" w:hAnsi="宋体" w:eastAsia="宋体" w:cs="宋体"/>
          <w:color w:val="auto"/>
          <w:sz w:val="24"/>
          <w:szCs w:val="24"/>
          <w:highlight w:val="none"/>
        </w:rPr>
        <w:t>施工阶段：作为独立的一方，做好施工过程所产生的工程量和费用的审核工作，根据施工图及招、投标文件、施工合同审核工程进度款、计算工程实物量、参与材料设备的询价、审核工程变更及签证、与工程承包单位、材料设备供应单位洽谈索赔事项、建立管理台帐等进行动态造价控制。</w:t>
      </w:r>
    </w:p>
    <w:p w14:paraId="3F9B669C">
      <w:pPr>
        <w:pStyle w:val="13"/>
        <w:keepNext w:val="0"/>
        <w:keepLines w:val="0"/>
        <w:pageBreakBefore w:val="0"/>
        <w:widowControl w:val="0"/>
        <w:numPr>
          <w:ilvl w:val="0"/>
          <w:numId w:val="13"/>
        </w:numPr>
        <w:kinsoku/>
        <w:wordWrap/>
        <w:overflowPunct/>
        <w:topLinePunct w:val="0"/>
        <w:autoSpaceDE/>
        <w:autoSpaceDN/>
        <w:bidi w:val="0"/>
        <w:adjustRightInd/>
        <w:snapToGrid/>
        <w:spacing w:after="0" w:afterLines="0"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调整项目总体投资进度计划，根据实际进度与每月实际投资和计划投资作分析比较，分析成本超支的原因和修正项目投资进度计划；  </w:t>
      </w:r>
    </w:p>
    <w:p w14:paraId="726B23FB">
      <w:pPr>
        <w:pStyle w:val="13"/>
        <w:keepNext w:val="0"/>
        <w:keepLines w:val="0"/>
        <w:pageBreakBefore w:val="0"/>
        <w:widowControl w:val="0"/>
        <w:numPr>
          <w:ilvl w:val="0"/>
          <w:numId w:val="14"/>
        </w:numPr>
        <w:kinsoku/>
        <w:wordWrap/>
        <w:overflowPunct/>
        <w:topLinePunct w:val="0"/>
        <w:autoSpaceDE/>
        <w:autoSpaceDN/>
        <w:bidi w:val="0"/>
        <w:adjustRightInd/>
        <w:snapToGrid/>
        <w:spacing w:after="0" w:afterLines="0"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协助委托人制定工程成本控制方案，包括合同管理、工程变更程序、工程款支付程序等管理方案； </w:t>
      </w:r>
    </w:p>
    <w:p w14:paraId="046F9DF2">
      <w:pPr>
        <w:pStyle w:val="13"/>
        <w:keepNext w:val="0"/>
        <w:keepLines w:val="0"/>
        <w:pageBreakBefore w:val="0"/>
        <w:widowControl w:val="0"/>
        <w:numPr>
          <w:ilvl w:val="0"/>
          <w:numId w:val="15"/>
        </w:numPr>
        <w:kinsoku/>
        <w:wordWrap/>
        <w:overflowPunct/>
        <w:topLinePunct w:val="0"/>
        <w:autoSpaceDE/>
        <w:autoSpaceDN/>
        <w:bidi w:val="0"/>
        <w:adjustRightInd/>
        <w:snapToGrid/>
        <w:spacing w:after="0" w:afterLines="0"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协助委托人处理合同变更，包括合同变更谈判、变更的处理程序，检查变更措施的落实情况；    </w:t>
      </w:r>
    </w:p>
    <w:p w14:paraId="6576C551">
      <w:pPr>
        <w:pStyle w:val="13"/>
        <w:keepNext w:val="0"/>
        <w:keepLines w:val="0"/>
        <w:pageBreakBefore w:val="0"/>
        <w:widowControl w:val="0"/>
        <w:numPr>
          <w:ilvl w:val="0"/>
          <w:numId w:val="16"/>
        </w:numPr>
        <w:kinsoku/>
        <w:wordWrap/>
        <w:overflowPunct/>
        <w:topLinePunct w:val="0"/>
        <w:autoSpaceDE/>
        <w:autoSpaceDN/>
        <w:bidi w:val="0"/>
        <w:adjustRightInd/>
        <w:snapToGrid/>
        <w:spacing w:after="0" w:afterLines="0"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协助委托人处理合同的索赔，维护委托人的合法权益，防止索赔事件的发生。对收到的承包方的索赔报告进行审查分析，收集索赔理由和证据，复核索赔值，起草并提出反索赔报告。调解合同争端，在仲裁过程中提供合法的依据;   </w:t>
      </w:r>
    </w:p>
    <w:p w14:paraId="43290751">
      <w:pPr>
        <w:pStyle w:val="13"/>
        <w:keepNext w:val="0"/>
        <w:keepLines w:val="0"/>
        <w:pageBreakBefore w:val="0"/>
        <w:widowControl w:val="0"/>
        <w:numPr>
          <w:ilvl w:val="0"/>
          <w:numId w:val="17"/>
        </w:numPr>
        <w:kinsoku/>
        <w:wordWrap/>
        <w:overflowPunct/>
        <w:topLinePunct w:val="0"/>
        <w:autoSpaceDE/>
        <w:autoSpaceDN/>
        <w:bidi w:val="0"/>
        <w:adjustRightInd/>
        <w:snapToGrid/>
        <w:spacing w:after="0" w:afterLines="0"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负责审核施工单位的施工图预算、施工现场的工程量计量、工程变更工程量及价款、现场签证工程量及价款、工程联系单工程量及价款；搜集月度材料信息，编制/审核月度工程量及材差价款；现场签证涉及造价，就工程变更所发生的工程量及时进行签认。就提出的工程变更（包括：图纸会审、图纸修改、工程洽商等）对造价造成的影响提交较准确的计算分析。协助委托人就工程变更涉及的价款与施工方协商，确认变更价款； </w:t>
      </w:r>
    </w:p>
    <w:p w14:paraId="11F6CBF3">
      <w:pPr>
        <w:pStyle w:val="13"/>
        <w:keepNext w:val="0"/>
        <w:keepLines w:val="0"/>
        <w:pageBreakBefore w:val="0"/>
        <w:widowControl w:val="0"/>
        <w:numPr>
          <w:ilvl w:val="0"/>
          <w:numId w:val="18"/>
        </w:numPr>
        <w:kinsoku/>
        <w:wordWrap/>
        <w:overflowPunct/>
        <w:topLinePunct w:val="0"/>
        <w:autoSpaceDE/>
        <w:autoSpaceDN/>
        <w:bidi w:val="0"/>
        <w:adjustRightInd/>
        <w:snapToGrid/>
        <w:spacing w:after="0" w:afterLines="0"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负责审核施工工程进度款，对施工单位提出每期进度款进行准确的审核。做到每期的月进度款审核即为每期实际工程量的阶段性施工结算审核，为竣工结算审核提供准确的结算依据；    </w:t>
      </w:r>
    </w:p>
    <w:p w14:paraId="160E0EC6">
      <w:pPr>
        <w:pStyle w:val="13"/>
        <w:keepNext w:val="0"/>
        <w:keepLines w:val="0"/>
        <w:pageBreakBefore w:val="0"/>
        <w:widowControl w:val="0"/>
        <w:numPr>
          <w:ilvl w:val="0"/>
          <w:numId w:val="19"/>
        </w:numPr>
        <w:kinsoku/>
        <w:wordWrap/>
        <w:overflowPunct/>
        <w:topLinePunct w:val="0"/>
        <w:autoSpaceDE/>
        <w:autoSpaceDN/>
        <w:bidi w:val="0"/>
        <w:adjustRightInd/>
        <w:snapToGrid/>
        <w:spacing w:after="0" w:afterLines="0"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负责定期收集和整理有关设备材料的市场价格动态信息并提供给委托人，对施工方案、材料选用提供尽可能节省成本的建议，如发生设计变更、材料或设备价格的浮动等，及时向委托人提供书面意见；    </w:t>
      </w:r>
    </w:p>
    <w:p w14:paraId="6A4912F8">
      <w:pPr>
        <w:pStyle w:val="13"/>
        <w:keepNext w:val="0"/>
        <w:keepLines w:val="0"/>
        <w:pageBreakBefore w:val="0"/>
        <w:widowControl w:val="0"/>
        <w:numPr>
          <w:ilvl w:val="0"/>
          <w:numId w:val="20"/>
        </w:numPr>
        <w:kinsoku/>
        <w:wordWrap/>
        <w:overflowPunct/>
        <w:topLinePunct w:val="0"/>
        <w:autoSpaceDE/>
        <w:autoSpaceDN/>
        <w:bidi w:val="0"/>
        <w:adjustRightInd/>
        <w:snapToGrid/>
        <w:spacing w:after="0" w:afterLines="0"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每月提交一份工程成本控制报告。根据截止至当月所签订的施工合同、完成的工程量、确认的变更、确认的材料设备的价格及材料设备价格的走势等资料对项目的最终造价进行预测；</w:t>
      </w:r>
    </w:p>
    <w:p w14:paraId="74084257">
      <w:pPr>
        <w:pStyle w:val="13"/>
        <w:keepNext w:val="0"/>
        <w:keepLines w:val="0"/>
        <w:pageBreakBefore w:val="0"/>
        <w:widowControl w:val="0"/>
        <w:numPr>
          <w:ilvl w:val="0"/>
          <w:numId w:val="20"/>
        </w:numPr>
        <w:kinsoku/>
        <w:wordWrap/>
        <w:overflowPunct/>
        <w:topLinePunct w:val="0"/>
        <w:autoSpaceDE/>
        <w:autoSpaceDN/>
        <w:bidi w:val="0"/>
        <w:adjustRightInd/>
        <w:snapToGrid/>
        <w:spacing w:after="0" w:afterLines="0"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按委托人要求参与施工现场工程例会、图纸会审及与投资控制有关的专题会等；</w:t>
      </w:r>
    </w:p>
    <w:p w14:paraId="3C4A69C1">
      <w:pPr>
        <w:pStyle w:val="13"/>
        <w:keepNext w:val="0"/>
        <w:keepLines w:val="0"/>
        <w:pageBreakBefore w:val="0"/>
        <w:widowControl w:val="0"/>
        <w:numPr>
          <w:ilvl w:val="0"/>
          <w:numId w:val="20"/>
        </w:numPr>
        <w:kinsoku/>
        <w:wordWrap/>
        <w:overflowPunct/>
        <w:topLinePunct w:val="0"/>
        <w:autoSpaceDE/>
        <w:autoSpaceDN/>
        <w:bidi w:val="0"/>
        <w:adjustRightInd/>
        <w:snapToGrid/>
        <w:spacing w:after="0" w:afterLines="0"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审核所有涉及造价的工程技术文件并分析造价影响；</w:t>
      </w:r>
    </w:p>
    <w:p w14:paraId="17BE04E4">
      <w:pPr>
        <w:pStyle w:val="13"/>
        <w:keepNext w:val="0"/>
        <w:keepLines w:val="0"/>
        <w:pageBreakBefore w:val="0"/>
        <w:widowControl w:val="0"/>
        <w:numPr>
          <w:ilvl w:val="0"/>
          <w:numId w:val="20"/>
        </w:numPr>
        <w:kinsoku/>
        <w:wordWrap/>
        <w:overflowPunct/>
        <w:topLinePunct w:val="0"/>
        <w:autoSpaceDE/>
        <w:autoSpaceDN/>
        <w:bidi w:val="0"/>
        <w:adjustRightInd/>
        <w:snapToGrid/>
        <w:spacing w:after="0" w:afterLines="0"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项目负责人（或项目负责人委派专业负责人）须按时参加每周的监理例会；</w:t>
      </w:r>
    </w:p>
    <w:p w14:paraId="1061F188">
      <w:pPr>
        <w:pStyle w:val="13"/>
        <w:keepNext w:val="0"/>
        <w:keepLines w:val="0"/>
        <w:pageBreakBefore w:val="0"/>
        <w:widowControl w:val="0"/>
        <w:numPr>
          <w:ilvl w:val="0"/>
          <w:numId w:val="20"/>
        </w:numPr>
        <w:kinsoku/>
        <w:wordWrap/>
        <w:overflowPunct/>
        <w:topLinePunct w:val="0"/>
        <w:autoSpaceDE/>
        <w:autoSpaceDN/>
        <w:bidi w:val="0"/>
        <w:adjustRightInd/>
        <w:snapToGrid/>
        <w:spacing w:after="0" w:afterLines="0"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负责过程动态成本盘点（每月一次）。</w:t>
      </w:r>
    </w:p>
    <w:p w14:paraId="2215505A">
      <w:pPr>
        <w:pStyle w:val="13"/>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5.</w:t>
      </w:r>
      <w:r>
        <w:rPr>
          <w:rFonts w:hint="eastAsia" w:ascii="宋体" w:hAnsi="宋体" w:eastAsia="宋体" w:cs="宋体"/>
          <w:color w:val="auto"/>
          <w:sz w:val="24"/>
          <w:szCs w:val="24"/>
          <w:highlight w:val="none"/>
        </w:rPr>
        <w:t>竣工结算阶段：配合搜集和整理结算依据资料，负责各项工程竣工结算的审核工作，编制建设工程竣工结算报告、竣工项目可行性后评估分析。确保结算报告的完整性、合理性、正确性。</w:t>
      </w:r>
    </w:p>
    <w:p w14:paraId="1B080ECF">
      <w:pPr>
        <w:pStyle w:val="13"/>
        <w:keepNext w:val="0"/>
        <w:keepLines w:val="0"/>
        <w:pageBreakBefore w:val="0"/>
        <w:widowControl w:val="0"/>
        <w:numPr>
          <w:ilvl w:val="0"/>
          <w:numId w:val="21"/>
        </w:numPr>
        <w:kinsoku/>
        <w:wordWrap/>
        <w:overflowPunct/>
        <w:topLinePunct w:val="0"/>
        <w:autoSpaceDE/>
        <w:autoSpaceDN/>
        <w:bidi w:val="0"/>
        <w:adjustRightInd/>
        <w:snapToGrid/>
        <w:spacing w:after="0" w:afterLines="0"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负责各阶段已完成工程的结算审核；在收到项目承包单位提交的完整工程竣工（完工）结算资料后1个月内予以审核并提出完整的核实意见，如有必要需与项目承包单位进行对数确认。3个月内完成项目工程结算审核，如有特殊情况经委托人书面同意后可以延长审核期；</w:t>
      </w:r>
    </w:p>
    <w:p w14:paraId="51F6B06B">
      <w:pPr>
        <w:pStyle w:val="13"/>
        <w:keepNext w:val="0"/>
        <w:keepLines w:val="0"/>
        <w:pageBreakBefore w:val="0"/>
        <w:widowControl w:val="0"/>
        <w:numPr>
          <w:ilvl w:val="0"/>
          <w:numId w:val="21"/>
        </w:numPr>
        <w:kinsoku/>
        <w:wordWrap/>
        <w:overflowPunct/>
        <w:topLinePunct w:val="0"/>
        <w:autoSpaceDE/>
        <w:autoSpaceDN/>
        <w:bidi w:val="0"/>
        <w:adjustRightInd/>
        <w:snapToGrid/>
        <w:spacing w:after="0" w:afterLines="0"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结算完成15个工作日内提交工程造价后评估报告，包括对项目及实施过程的描述、概算、预算、合同价结算价进行比较，对各阶段时期的造价对比分析，按每完成一个节点出一个分析报告，对产生差异的原因及投资控制的效果进行分析。</w:t>
      </w:r>
    </w:p>
    <w:p w14:paraId="07EC46B9">
      <w:pPr>
        <w:pStyle w:val="13"/>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6.决算阶段：配合搜集和整理决算依据资料，配合完成本项目投资控制管理建档工作。</w:t>
      </w:r>
    </w:p>
    <w:p w14:paraId="77B11685">
      <w:pPr>
        <w:pStyle w:val="13"/>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7.审计阶段：配合审计部门的工程造价审计工作等相关配合服务工作，配合财务工作。</w:t>
      </w:r>
    </w:p>
    <w:p w14:paraId="3306DF30">
      <w:pPr>
        <w:pStyle w:val="13"/>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8</w:t>
      </w:r>
      <w:r>
        <w:rPr>
          <w:rFonts w:hint="eastAsia" w:ascii="宋体" w:hAnsi="宋体" w:eastAsia="宋体" w:cs="宋体"/>
          <w:color w:val="000000"/>
          <w:sz w:val="24"/>
          <w:szCs w:val="24"/>
          <w:highlight w:val="none"/>
        </w:rPr>
        <w:t>.负责在规定的服务周期内完成项目或工程的前期费用、工程相关费等费用的预算价编制、进度款审核和结算价审核工作。</w:t>
      </w:r>
    </w:p>
    <w:p w14:paraId="2D91D40C">
      <w:pPr>
        <w:pStyle w:val="13"/>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（1）前期费用包括但不限于：前期咨询费、勘察、设计费、土方地形图和控制点费用、七通一平工程费、清表费用、前期服务费、临时设施建造费（施工围墙）等；</w:t>
      </w:r>
    </w:p>
    <w:p w14:paraId="13B9B415">
      <w:pPr>
        <w:pStyle w:val="13"/>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（2）工程相关费包括但不限于监理费、专项检测费、监测费、材料检验试验费、面积测绘等。</w:t>
      </w:r>
    </w:p>
    <w:p w14:paraId="1E021E55">
      <w:pPr>
        <w:pStyle w:val="13"/>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9</w:t>
      </w:r>
      <w:r>
        <w:rPr>
          <w:rFonts w:hint="eastAsia" w:ascii="宋体" w:hAnsi="宋体" w:eastAsia="宋体" w:cs="宋体"/>
          <w:color w:val="auto"/>
          <w:sz w:val="24"/>
          <w:szCs w:val="24"/>
          <w:highlight w:val="none"/>
        </w:rPr>
        <w:t>.承包方提交的所有造价文件格式均需满足委托人的要求。</w:t>
      </w:r>
    </w:p>
    <w:p w14:paraId="5E0793DD">
      <w:pPr>
        <w:pStyle w:val="13"/>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rPr>
        <w:t>.须提供委托人交代的其他造价咨询服务及投资控制事项（含司法鉴定服务）。</w:t>
      </w:r>
    </w:p>
    <w:p w14:paraId="14628B43">
      <w:pPr>
        <w:pStyle w:val="13"/>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11</w:t>
      </w:r>
      <w:r>
        <w:rPr>
          <w:rFonts w:hint="eastAsia" w:ascii="宋体" w:hAnsi="宋体" w:eastAsia="宋体" w:cs="宋体"/>
          <w:color w:val="auto"/>
          <w:sz w:val="24"/>
          <w:szCs w:val="24"/>
          <w:highlight w:val="none"/>
        </w:rPr>
        <w:t>.承包方须按委托人要求指派项目负责人（注册造价工程师或注册一级造价工程师）定期到项目现场进行沟通对接，以一星期为一周期，每星期不少于一天(8小时)。</w:t>
      </w:r>
    </w:p>
    <w:p w14:paraId="43725AE6">
      <w:pPr>
        <w:pStyle w:val="13"/>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12</w:t>
      </w:r>
      <w:r>
        <w:rPr>
          <w:rFonts w:hint="eastAsia" w:ascii="宋体" w:hAnsi="宋体" w:eastAsia="宋体" w:cs="宋体"/>
          <w:color w:val="auto"/>
          <w:sz w:val="24"/>
          <w:szCs w:val="24"/>
          <w:highlight w:val="none"/>
        </w:rPr>
        <w:t>.负责建立合同、付款、变更签证、预结算等管理台帐。</w:t>
      </w:r>
    </w:p>
    <w:p w14:paraId="30905ED9">
      <w:pPr>
        <w:pStyle w:val="13"/>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.向委托人提出专业性建议并提供相关的服务，协助委托人解决合同纠纷。</w:t>
      </w:r>
    </w:p>
    <w:p w14:paraId="0CEDD071">
      <w:pPr>
        <w:pStyle w:val="13"/>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对于发生的变更、签证、索赔、反索赔等情况及时与监理单位、委托人进行现场核实，及时进行预估、核算、核对，做到整个过程记录清楚，依据充分，计算清晰，结果明确。因承包方对现场发生情况没有及时解决而造成工程造价不完整，结算有争议，给委托人带来损失，由承包方承担相应的违约责任及损失赔偿责任。</w:t>
      </w:r>
    </w:p>
    <w:p w14:paraId="1BB859BD">
      <w:pPr>
        <w:pStyle w:val="13"/>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.根据委托人要求，提供其他相关服务。</w:t>
      </w:r>
    </w:p>
    <w:p w14:paraId="001C3A59">
      <w:pPr>
        <w:pStyle w:val="13"/>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80" w:firstLineChars="200"/>
        <w:textAlignment w:val="auto"/>
        <w:rPr>
          <w:rFonts w:hint="eastAsia" w:ascii="宋体" w:hAnsi="宋体" w:eastAsia="宋体" w:cs="宋体"/>
          <w:color w:val="auto"/>
          <w:sz w:val="24"/>
          <w:szCs w:val="24"/>
          <w:highlight w:val="none"/>
        </w:rPr>
      </w:pPr>
      <w:bookmarkStart w:id="3" w:name="_Toc35596816"/>
      <w:bookmarkStart w:id="4" w:name="_Toc26866210"/>
      <w:bookmarkStart w:id="5" w:name="_Toc26870996"/>
      <w:r>
        <w:rPr>
          <w:rFonts w:hint="eastAsia" w:ascii="宋体" w:hAnsi="宋体" w:eastAsia="宋体" w:cs="宋体"/>
          <w:color w:val="auto"/>
          <w:sz w:val="24"/>
          <w:szCs w:val="24"/>
          <w:highlight w:val="none"/>
        </w:rPr>
        <w:t>三、承包方工作要求</w:t>
      </w:r>
      <w:bookmarkEnd w:id="3"/>
      <w:bookmarkEnd w:id="4"/>
      <w:bookmarkEnd w:id="5"/>
    </w:p>
    <w:p w14:paraId="79714646">
      <w:pPr>
        <w:pStyle w:val="13"/>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1.</w:t>
      </w:r>
      <w:r>
        <w:rPr>
          <w:rFonts w:hint="eastAsia" w:ascii="宋体" w:hAnsi="宋体" w:eastAsia="宋体" w:cs="宋体"/>
          <w:color w:val="auto"/>
          <w:sz w:val="24"/>
          <w:szCs w:val="24"/>
          <w:highlight w:val="none"/>
        </w:rPr>
        <w:t>控制目标：</w:t>
      </w:r>
    </w:p>
    <w:p w14:paraId="2F0F2D93">
      <w:pPr>
        <w:pStyle w:val="13"/>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ind w:left="0" w:lef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（1）进度目标：确保按工程进度需要及委托人要求提供造价咨询服务成果</w:t>
      </w:r>
      <w:r>
        <w:rPr>
          <w:rFonts w:hint="eastAsia" w:ascii="宋体" w:hAnsi="宋体" w:eastAsia="宋体" w:cs="宋体"/>
          <w:color w:val="auto"/>
          <w:sz w:val="24"/>
          <w:szCs w:val="24"/>
          <w:highlight w:val="none"/>
          <w:lang w:eastAsia="zh-CN"/>
        </w:rPr>
        <w:t>；</w:t>
      </w:r>
    </w:p>
    <w:p w14:paraId="668E35FC">
      <w:pPr>
        <w:pStyle w:val="13"/>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（2）质量目标：造价编制或审核准确率控制在合同约定范围内；</w:t>
      </w:r>
    </w:p>
    <w:p w14:paraId="60AF8180">
      <w:pPr>
        <w:pStyle w:val="13"/>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（3）投资目标：投资控制在工程投资概算内，工程施工费结算不得超出</w:t>
      </w:r>
      <w:r>
        <w:rPr>
          <w:rFonts w:hint="eastAsia" w:ascii="宋体" w:hAnsi="宋体" w:cs="宋体"/>
          <w:color w:val="auto"/>
          <w:sz w:val="24"/>
          <w:szCs w:val="24"/>
          <w:highlight w:val="none"/>
          <w:lang w:val="en-US" w:eastAsia="zh-CN"/>
        </w:rPr>
        <w:t>工程概算</w:t>
      </w:r>
      <w:r>
        <w:rPr>
          <w:rFonts w:hint="eastAsia" w:ascii="宋体" w:hAnsi="宋体" w:eastAsia="宋体" w:cs="宋体"/>
          <w:strike w:val="0"/>
          <w:color w:val="auto"/>
          <w:sz w:val="24"/>
          <w:szCs w:val="24"/>
          <w:highlight w:val="none"/>
        </w:rPr>
        <w:t>（建安费）</w:t>
      </w:r>
      <w:r>
        <w:rPr>
          <w:rFonts w:hint="eastAsia" w:ascii="宋体" w:hAnsi="宋体" w:eastAsia="宋体" w:cs="宋体"/>
          <w:color w:val="auto"/>
          <w:sz w:val="24"/>
          <w:szCs w:val="24"/>
          <w:highlight w:val="none"/>
        </w:rPr>
        <w:t>（除委托人增加的指令变更外）。承包方应以委托人的控制目标为基础，为项目投资控制做好咨询工作。</w:t>
      </w:r>
    </w:p>
    <w:p w14:paraId="3B7D96C5">
      <w:pPr>
        <w:pStyle w:val="13"/>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2.</w:t>
      </w:r>
      <w:r>
        <w:rPr>
          <w:rFonts w:hint="eastAsia" w:ascii="宋体" w:hAnsi="宋体" w:eastAsia="宋体" w:cs="宋体"/>
          <w:color w:val="auto"/>
          <w:sz w:val="24"/>
          <w:szCs w:val="24"/>
          <w:highlight w:val="none"/>
        </w:rPr>
        <w:t>质量标准：工程造价咨询成果文件应符合：《广东省建设工程造价管理规定》、《建筑工程施工发包与承包计价管理办法》（住房和城乡建设部令第16号）、《广州市建筑工程全过程造价技术规程》及国家现行相关法律、行政法规、部门规章、规范性文件、行业规定及广东省、广州市有关规定要求和相应的标准、规范、技术文件。</w:t>
      </w:r>
    </w:p>
    <w:p w14:paraId="38076B39">
      <w:pPr>
        <w:pStyle w:val="13"/>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3.</w:t>
      </w:r>
      <w:r>
        <w:rPr>
          <w:rFonts w:hint="eastAsia" w:ascii="宋体" w:hAnsi="宋体" w:eastAsia="宋体" w:cs="宋体"/>
          <w:color w:val="auto"/>
          <w:sz w:val="24"/>
          <w:szCs w:val="24"/>
          <w:highlight w:val="none"/>
        </w:rPr>
        <w:t>承包方每项服务工作完成后，承包方向委托人出具有关成果文件 (包括电子和文本文件)，全部服务工作完成后，承包方应向委托人出具全部工作成果总结文件，作为该工程造价咨询服务费结算依据使用。</w:t>
      </w:r>
    </w:p>
    <w:p w14:paraId="7D17EC79">
      <w:pPr>
        <w:pStyle w:val="13"/>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4.</w:t>
      </w:r>
      <w:r>
        <w:rPr>
          <w:rFonts w:hint="eastAsia" w:ascii="宋体" w:hAnsi="宋体" w:eastAsia="宋体" w:cs="宋体"/>
          <w:color w:val="auto"/>
          <w:sz w:val="24"/>
          <w:szCs w:val="24"/>
          <w:highlight w:val="none"/>
        </w:rPr>
        <w:t>在审核过程中，对于重大项目和项目工程的重要部分为便于委托人工作的跟进，承包方须向委托人汇报工作进程及遇到的问题。</w:t>
      </w:r>
    </w:p>
    <w:p w14:paraId="0E197B91">
      <w:pPr>
        <w:pStyle w:val="13"/>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5.</w:t>
      </w:r>
      <w:r>
        <w:rPr>
          <w:rFonts w:hint="eastAsia" w:ascii="宋体" w:hAnsi="宋体" w:eastAsia="宋体" w:cs="宋体"/>
          <w:color w:val="auto"/>
          <w:sz w:val="24"/>
          <w:szCs w:val="24"/>
          <w:highlight w:val="none"/>
        </w:rPr>
        <w:t>承包方将根据设计图纸、国家的有关政策、规范、标准和其它有关规定，对委托人委托的业务实施必要的工作程序，出具合法、真实、准确、公允的业务报告，提供优质专业技术服务。</w:t>
      </w:r>
    </w:p>
    <w:p w14:paraId="370C9D42">
      <w:pPr>
        <w:pStyle w:val="13"/>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6.</w:t>
      </w:r>
      <w:r>
        <w:rPr>
          <w:rFonts w:hint="eastAsia" w:ascii="宋体" w:hAnsi="宋体" w:eastAsia="宋体" w:cs="宋体"/>
          <w:color w:val="auto"/>
          <w:sz w:val="24"/>
          <w:szCs w:val="24"/>
          <w:highlight w:val="none"/>
        </w:rPr>
        <w:t>承包方编制的成果文件含软件版、EXCEL、XML、COS（确保上述文件符合广州公共资源交易中心发布标准和相关要求）等格式文件。承包方提交的任何成果文件必需是采用正版软件编制，任何时候，只要发包方需要，承包方必需提交编制的成果文件及对应的软件，以便发包方的相关专业技术人员可以打开使用及复核，直至发包方使用完成后才归还承包方，承包方不得以此为由向发提出费用补偿，相关费用包含在合同价内。</w:t>
      </w:r>
    </w:p>
    <w:p w14:paraId="3A37F600">
      <w:pPr>
        <w:pStyle w:val="13"/>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7.</w:t>
      </w:r>
      <w:r>
        <w:rPr>
          <w:rFonts w:hint="eastAsia" w:ascii="宋体" w:hAnsi="宋体" w:eastAsia="宋体" w:cs="宋体"/>
          <w:color w:val="auto"/>
          <w:sz w:val="24"/>
          <w:szCs w:val="24"/>
          <w:highlight w:val="none"/>
        </w:rPr>
        <w:t>成果文件的构成必须清晰、便于核对，对工程量较大和主要的部位要加以说明。</w:t>
      </w:r>
    </w:p>
    <w:p w14:paraId="6E4E7C6E">
      <w:pPr>
        <w:pStyle w:val="13"/>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8.</w:t>
      </w:r>
      <w:r>
        <w:rPr>
          <w:rFonts w:hint="eastAsia" w:ascii="宋体" w:hAnsi="宋体" w:eastAsia="宋体" w:cs="宋体"/>
          <w:color w:val="auto"/>
          <w:sz w:val="24"/>
          <w:szCs w:val="24"/>
          <w:highlight w:val="none"/>
        </w:rPr>
        <w:t>承包方提供的成果文件须由经办人签名，并加盖承包方法人公章，不允许使用业务章。</w:t>
      </w:r>
    </w:p>
    <w:p w14:paraId="329AD624">
      <w:pPr>
        <w:pStyle w:val="13"/>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9.</w:t>
      </w:r>
      <w:r>
        <w:rPr>
          <w:rFonts w:hint="eastAsia" w:ascii="宋体" w:hAnsi="宋体" w:eastAsia="宋体" w:cs="宋体"/>
          <w:color w:val="auto"/>
          <w:sz w:val="24"/>
          <w:szCs w:val="24"/>
          <w:highlight w:val="none"/>
        </w:rPr>
        <w:t>承包方应在收到委托人以书面形式提出的建议或者异议后及时给予书面答复。</w:t>
      </w:r>
    </w:p>
    <w:p w14:paraId="312738E9">
      <w:pPr>
        <w:pStyle w:val="13"/>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10.</w:t>
      </w:r>
      <w:r>
        <w:rPr>
          <w:rFonts w:hint="eastAsia" w:ascii="宋体" w:hAnsi="宋体" w:eastAsia="宋体" w:cs="宋体"/>
          <w:color w:val="auto"/>
          <w:sz w:val="24"/>
          <w:szCs w:val="24"/>
          <w:highlight w:val="none"/>
        </w:rPr>
        <w:t>保证咨询人员均具有较高的业务素质和职业操守，能够切实维护委托人的权益（注：造价咨询服务人员须经委托人考核同意后方能使用）。</w:t>
      </w:r>
    </w:p>
    <w:p w14:paraId="4152DC1E">
      <w:pPr>
        <w:pStyle w:val="13"/>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11.</w:t>
      </w:r>
      <w:r>
        <w:rPr>
          <w:rFonts w:hint="eastAsia" w:ascii="宋体" w:hAnsi="宋体" w:eastAsia="宋体" w:cs="宋体"/>
          <w:color w:val="auto"/>
          <w:sz w:val="24"/>
          <w:szCs w:val="24"/>
          <w:highlight w:val="none"/>
        </w:rPr>
        <w:t>承包方自备工具到项目施工现场了解情况。</w:t>
      </w:r>
    </w:p>
    <w:p w14:paraId="38EF84E8">
      <w:pPr>
        <w:pStyle w:val="13"/>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12.</w:t>
      </w:r>
      <w:r>
        <w:rPr>
          <w:rFonts w:hint="eastAsia" w:ascii="宋体" w:hAnsi="宋体" w:eastAsia="宋体" w:cs="宋体"/>
          <w:color w:val="auto"/>
          <w:sz w:val="24"/>
          <w:szCs w:val="24"/>
          <w:highlight w:val="none"/>
        </w:rPr>
        <w:t>对有争议或不明确的部位，协助委托人组织施工单位现场核实和协调解决。</w:t>
      </w:r>
    </w:p>
    <w:p w14:paraId="34E1535F">
      <w:pPr>
        <w:pStyle w:val="13"/>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13.</w:t>
      </w:r>
      <w:r>
        <w:rPr>
          <w:rFonts w:hint="eastAsia" w:ascii="宋体" w:hAnsi="宋体" w:eastAsia="宋体" w:cs="宋体"/>
          <w:color w:val="auto"/>
          <w:sz w:val="24"/>
          <w:szCs w:val="24"/>
          <w:highlight w:val="none"/>
        </w:rPr>
        <w:t>承包方需保守工作过程中知悉的委托人商业秘密。</w:t>
      </w:r>
    </w:p>
    <w:p w14:paraId="01281392">
      <w:pPr>
        <w:pStyle w:val="13"/>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14.</w:t>
      </w:r>
      <w:r>
        <w:rPr>
          <w:rFonts w:hint="eastAsia" w:ascii="宋体" w:hAnsi="宋体" w:eastAsia="宋体" w:cs="宋体"/>
          <w:color w:val="auto"/>
          <w:sz w:val="24"/>
          <w:szCs w:val="24"/>
          <w:highlight w:val="none"/>
        </w:rPr>
        <w:t xml:space="preserve">投资控制在上级主管部门批准的项目工程投资概算内。承包方的服务应按委托人要求提供建设项目的全面的造价咨询服务，不得出现决算超预算、预算超概算现象。 </w:t>
      </w:r>
    </w:p>
    <w:p w14:paraId="360ABC79">
      <w:pPr>
        <w:pStyle w:val="13"/>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15.</w:t>
      </w:r>
      <w:r>
        <w:rPr>
          <w:rFonts w:hint="eastAsia" w:ascii="宋体" w:hAnsi="宋体" w:eastAsia="宋体" w:cs="宋体"/>
          <w:color w:val="auto"/>
          <w:sz w:val="24"/>
          <w:szCs w:val="24"/>
          <w:highlight w:val="none"/>
        </w:rPr>
        <w:t>承包方责任期内，应当履行建设工程造价咨询合同中约定的义务，因承包方的单方过失造成的经济损失，应当向委托人进行赔偿。</w:t>
      </w:r>
    </w:p>
    <w:p w14:paraId="01C41A49">
      <w:pPr>
        <w:pStyle w:val="13"/>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16.</w:t>
      </w:r>
      <w:r>
        <w:rPr>
          <w:rFonts w:hint="eastAsia" w:ascii="宋体" w:hAnsi="宋体" w:eastAsia="宋体" w:cs="宋体"/>
          <w:color w:val="auto"/>
          <w:sz w:val="24"/>
          <w:szCs w:val="24"/>
          <w:highlight w:val="none"/>
        </w:rPr>
        <w:t>承包方对委托人或第三人所提出的问题不能及时核对或答复，导致合同不能全部或部分履行，承包方应承担责任。</w:t>
      </w:r>
    </w:p>
    <w:p w14:paraId="1AC82D84">
      <w:pPr>
        <w:pStyle w:val="13"/>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17.</w:t>
      </w:r>
      <w:r>
        <w:rPr>
          <w:rFonts w:hint="eastAsia" w:ascii="宋体" w:hAnsi="宋体" w:eastAsia="宋体" w:cs="宋体"/>
          <w:color w:val="auto"/>
          <w:sz w:val="24"/>
          <w:szCs w:val="24"/>
          <w:highlight w:val="none"/>
        </w:rPr>
        <w:t>造价咨询过程中，如承包方提交的成果资料不符合委托人要求，承包方应按委托人要求委派人员到指定地点现场办公且无偿予以配合，直到提交的成果资料符合委托人要求为止。</w:t>
      </w:r>
    </w:p>
    <w:p w14:paraId="16DB12D1">
      <w:pPr>
        <w:pStyle w:val="13"/>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18.</w:t>
      </w:r>
      <w:r>
        <w:rPr>
          <w:rFonts w:hint="eastAsia" w:ascii="宋体" w:hAnsi="宋体" w:eastAsia="宋体" w:cs="宋体"/>
          <w:color w:val="auto"/>
          <w:sz w:val="24"/>
          <w:szCs w:val="24"/>
          <w:highlight w:val="none"/>
        </w:rPr>
        <w:t>驻场人员服务要求（不包括项目负责人参加现场例会需要）：按照委托人现场成本管理的需要，承包人每周至少保证</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天按照甲方要求派驻专业技术人员到现场办公（具体办公时间及人员要求以委托人结合现场成本管理动态需要以书面通知为准），驻场人员主要工作是对现场过程成本资料收集、对接，复核及把关，现场成本台帐的搭建，整理及动态更新，重大隐蔽工程签证的现场见证，重大设计变更、签证现场估算、审核等必需到现场处理的成本事项，相关费用包含在合同价内。派驻到现场的办公人员必需事先经委托人面试，面试通过后才派驻到现场办公。</w:t>
      </w:r>
    </w:p>
    <w:p w14:paraId="052845F9">
      <w:pPr>
        <w:pStyle w:val="13"/>
        <w:ind w:left="0" w:leftChars="0" w:firstLine="0" w:firstLineChars="0"/>
        <w:rPr>
          <w:rFonts w:hint="eastAsia" w:ascii="宋体" w:hAnsi="宋体" w:eastAsia="宋体" w:cs="宋体"/>
          <w:bCs/>
          <w:color w:val="auto"/>
          <w:kern w:val="0"/>
          <w:sz w:val="24"/>
          <w:szCs w:val="24"/>
          <w:highlight w:val="none"/>
        </w:rPr>
      </w:pPr>
    </w:p>
    <w:p w14:paraId="087109C8">
      <w:pPr>
        <w:pStyle w:val="13"/>
        <w:ind w:left="0" w:leftChars="0" w:firstLine="0" w:firstLineChars="0"/>
        <w:rPr>
          <w:rFonts w:hint="eastAsia" w:ascii="宋体" w:hAnsi="宋体" w:eastAsia="宋体" w:cs="宋体"/>
          <w:bCs/>
          <w:color w:val="auto"/>
          <w:kern w:val="0"/>
          <w:sz w:val="24"/>
          <w:szCs w:val="24"/>
          <w:highlight w:val="none"/>
        </w:rPr>
      </w:pPr>
    </w:p>
    <w:p w14:paraId="0D001BE7">
      <w:pPr>
        <w:pStyle w:val="13"/>
        <w:ind w:left="0" w:leftChars="0" w:firstLine="0" w:firstLineChars="0"/>
        <w:rPr>
          <w:rFonts w:hint="eastAsia" w:ascii="宋体" w:hAnsi="宋体" w:eastAsia="宋体" w:cs="宋体"/>
          <w:bCs/>
          <w:color w:val="auto"/>
          <w:kern w:val="0"/>
          <w:sz w:val="24"/>
          <w:szCs w:val="24"/>
          <w:highlight w:val="none"/>
        </w:rPr>
      </w:pPr>
    </w:p>
    <w:p w14:paraId="46D5E0D3">
      <w:pPr>
        <w:pStyle w:val="13"/>
        <w:ind w:left="0" w:leftChars="0" w:firstLine="0" w:firstLineChars="0"/>
        <w:rPr>
          <w:rFonts w:hint="eastAsia" w:ascii="宋体" w:hAnsi="宋体" w:eastAsia="宋体" w:cs="宋体"/>
          <w:bCs/>
          <w:color w:val="auto"/>
          <w:kern w:val="0"/>
          <w:sz w:val="24"/>
          <w:szCs w:val="24"/>
          <w:highlight w:val="none"/>
        </w:rPr>
      </w:pPr>
    </w:p>
    <w:p w14:paraId="43BF8A3C">
      <w:pPr>
        <w:pStyle w:val="13"/>
        <w:ind w:left="0" w:leftChars="0" w:firstLine="0" w:firstLineChars="0"/>
        <w:rPr>
          <w:rFonts w:hint="eastAsia" w:ascii="宋体" w:hAnsi="宋体" w:eastAsia="宋体" w:cs="宋体"/>
          <w:bCs/>
          <w:color w:val="auto"/>
          <w:kern w:val="0"/>
          <w:sz w:val="24"/>
          <w:szCs w:val="24"/>
          <w:highlight w:val="none"/>
        </w:rPr>
      </w:pPr>
    </w:p>
    <w:p w14:paraId="3B293687">
      <w:pPr>
        <w:pStyle w:val="13"/>
        <w:ind w:left="0" w:leftChars="0" w:firstLine="0" w:firstLineChars="0"/>
        <w:rPr>
          <w:rFonts w:hint="eastAsia" w:ascii="宋体" w:hAnsi="宋体" w:eastAsia="宋体" w:cs="宋体"/>
          <w:bCs/>
          <w:color w:val="auto"/>
          <w:kern w:val="0"/>
          <w:sz w:val="24"/>
          <w:szCs w:val="24"/>
          <w:highlight w:val="none"/>
        </w:rPr>
      </w:pPr>
    </w:p>
    <w:p w14:paraId="10FFFB74">
      <w:pPr>
        <w:pStyle w:val="13"/>
        <w:ind w:left="0" w:leftChars="0" w:firstLine="0" w:firstLineChars="0"/>
        <w:rPr>
          <w:rFonts w:hint="eastAsia" w:ascii="宋体" w:hAnsi="宋体" w:eastAsia="宋体" w:cs="宋体"/>
          <w:bCs/>
          <w:color w:val="auto"/>
          <w:kern w:val="0"/>
          <w:sz w:val="24"/>
          <w:szCs w:val="24"/>
          <w:highlight w:val="none"/>
        </w:rPr>
      </w:pPr>
    </w:p>
    <w:p w14:paraId="18C15B18">
      <w:pPr>
        <w:pStyle w:val="13"/>
        <w:ind w:left="0" w:leftChars="0" w:firstLine="0" w:firstLineChars="0"/>
        <w:rPr>
          <w:rFonts w:hint="eastAsia" w:ascii="宋体" w:hAnsi="宋体" w:eastAsia="宋体" w:cs="宋体"/>
          <w:bCs/>
          <w:color w:val="auto"/>
          <w:kern w:val="0"/>
          <w:sz w:val="24"/>
          <w:szCs w:val="24"/>
          <w:highlight w:val="none"/>
        </w:rPr>
      </w:pPr>
    </w:p>
    <w:p w14:paraId="3ECE5042">
      <w:pPr>
        <w:pStyle w:val="13"/>
        <w:ind w:left="0" w:leftChars="0" w:firstLine="0" w:firstLineChars="0"/>
        <w:rPr>
          <w:rFonts w:hint="eastAsia" w:ascii="宋体" w:hAnsi="宋体" w:eastAsia="宋体" w:cs="宋体"/>
          <w:bCs/>
          <w:color w:val="auto"/>
          <w:kern w:val="0"/>
          <w:sz w:val="24"/>
          <w:szCs w:val="24"/>
          <w:highlight w:val="none"/>
        </w:rPr>
      </w:pPr>
    </w:p>
    <w:p w14:paraId="691F8D1E">
      <w:pPr>
        <w:pStyle w:val="13"/>
        <w:ind w:left="0" w:leftChars="0" w:firstLine="0" w:firstLineChars="0"/>
        <w:rPr>
          <w:rFonts w:hint="eastAsia" w:ascii="宋体" w:hAnsi="宋体" w:eastAsia="宋体" w:cs="宋体"/>
          <w:bCs/>
          <w:color w:val="auto"/>
          <w:kern w:val="0"/>
          <w:sz w:val="24"/>
          <w:szCs w:val="24"/>
          <w:highlight w:val="none"/>
        </w:rPr>
      </w:pPr>
    </w:p>
    <w:p w14:paraId="3FE89D92">
      <w:pPr>
        <w:pStyle w:val="13"/>
        <w:ind w:left="0" w:leftChars="0" w:firstLine="0" w:firstLineChars="0"/>
        <w:rPr>
          <w:rFonts w:hint="eastAsia" w:ascii="宋体" w:hAnsi="宋体" w:eastAsia="宋体" w:cs="宋体"/>
          <w:bCs/>
          <w:color w:val="auto"/>
          <w:kern w:val="0"/>
          <w:sz w:val="24"/>
          <w:szCs w:val="24"/>
          <w:highlight w:val="none"/>
        </w:rPr>
      </w:pPr>
    </w:p>
    <w:p w14:paraId="59272455">
      <w:pPr>
        <w:pStyle w:val="13"/>
        <w:ind w:left="0" w:leftChars="0" w:firstLine="0" w:firstLineChars="0"/>
        <w:rPr>
          <w:rFonts w:hint="eastAsia" w:ascii="宋体" w:hAnsi="宋体" w:eastAsia="宋体" w:cs="宋体"/>
          <w:bCs/>
          <w:color w:val="auto"/>
          <w:kern w:val="0"/>
          <w:sz w:val="24"/>
          <w:szCs w:val="24"/>
          <w:highlight w:val="none"/>
        </w:rPr>
      </w:pPr>
    </w:p>
    <w:p w14:paraId="0C8760F0">
      <w:pPr>
        <w:pStyle w:val="13"/>
        <w:ind w:left="0" w:leftChars="0" w:firstLine="0" w:firstLineChars="0"/>
        <w:rPr>
          <w:rFonts w:hint="eastAsia" w:ascii="宋体" w:hAnsi="宋体" w:eastAsia="宋体" w:cs="宋体"/>
          <w:bCs/>
          <w:color w:val="auto"/>
          <w:kern w:val="0"/>
          <w:sz w:val="24"/>
          <w:szCs w:val="24"/>
          <w:highlight w:val="none"/>
        </w:rPr>
      </w:pPr>
    </w:p>
    <w:p w14:paraId="4AD1AFDA">
      <w:pPr>
        <w:pStyle w:val="13"/>
        <w:ind w:left="0" w:leftChars="0" w:firstLine="0" w:firstLineChars="0"/>
        <w:rPr>
          <w:rFonts w:hint="eastAsia" w:ascii="宋体" w:hAnsi="宋体" w:eastAsia="宋体" w:cs="宋体"/>
          <w:bCs/>
          <w:color w:val="auto"/>
          <w:kern w:val="0"/>
          <w:sz w:val="24"/>
          <w:szCs w:val="24"/>
          <w:highlight w:val="none"/>
        </w:rPr>
      </w:pPr>
    </w:p>
    <w:p w14:paraId="533FD7D9">
      <w:pPr>
        <w:pStyle w:val="13"/>
        <w:ind w:left="0" w:leftChars="0" w:firstLine="0" w:firstLineChars="0"/>
        <w:rPr>
          <w:rFonts w:hint="eastAsia" w:ascii="宋体" w:hAnsi="宋体" w:eastAsia="宋体" w:cs="宋体"/>
          <w:bCs/>
          <w:color w:val="auto"/>
          <w:kern w:val="0"/>
          <w:sz w:val="24"/>
          <w:szCs w:val="24"/>
          <w:highlight w:val="none"/>
        </w:rPr>
      </w:pPr>
    </w:p>
    <w:p w14:paraId="79EC535F">
      <w:pPr>
        <w:pStyle w:val="13"/>
        <w:ind w:left="0" w:leftChars="0" w:firstLine="0" w:firstLineChars="0"/>
        <w:rPr>
          <w:rFonts w:hint="eastAsia" w:ascii="宋体" w:hAnsi="宋体" w:eastAsia="宋体" w:cs="宋体"/>
          <w:bCs/>
          <w:color w:val="auto"/>
          <w:kern w:val="0"/>
          <w:sz w:val="24"/>
          <w:szCs w:val="24"/>
          <w:highlight w:val="none"/>
        </w:rPr>
      </w:pPr>
    </w:p>
    <w:p w14:paraId="28660EAD">
      <w:pPr>
        <w:pStyle w:val="13"/>
        <w:ind w:left="0" w:leftChars="0" w:firstLine="0" w:firstLineChars="0"/>
        <w:rPr>
          <w:rFonts w:hint="eastAsia" w:ascii="宋体" w:hAnsi="宋体" w:eastAsia="宋体" w:cs="宋体"/>
          <w:bCs/>
          <w:color w:val="auto"/>
          <w:kern w:val="0"/>
          <w:sz w:val="24"/>
          <w:szCs w:val="24"/>
          <w:highlight w:val="none"/>
        </w:rPr>
      </w:pPr>
    </w:p>
    <w:p w14:paraId="085CD0ED">
      <w:pPr>
        <w:pStyle w:val="13"/>
        <w:ind w:left="0" w:leftChars="0" w:firstLine="0" w:firstLineChars="0"/>
        <w:rPr>
          <w:rFonts w:hint="eastAsia" w:ascii="宋体" w:hAnsi="宋体" w:eastAsia="宋体" w:cs="宋体"/>
          <w:bCs/>
          <w:color w:val="auto"/>
          <w:kern w:val="0"/>
          <w:sz w:val="24"/>
          <w:szCs w:val="24"/>
          <w:highlight w:val="none"/>
        </w:rPr>
      </w:pPr>
    </w:p>
    <w:p w14:paraId="306175D5">
      <w:pPr>
        <w:pStyle w:val="13"/>
        <w:ind w:left="0" w:leftChars="0" w:firstLine="0" w:firstLineChars="0"/>
        <w:rPr>
          <w:rFonts w:hint="eastAsia" w:ascii="宋体" w:hAnsi="宋体" w:eastAsia="宋体" w:cs="宋体"/>
          <w:bCs/>
          <w:color w:val="auto"/>
          <w:kern w:val="0"/>
          <w:sz w:val="24"/>
          <w:szCs w:val="24"/>
          <w:highlight w:val="none"/>
        </w:rPr>
      </w:pPr>
    </w:p>
    <w:p w14:paraId="713C938B">
      <w:pPr>
        <w:pStyle w:val="13"/>
        <w:ind w:left="0" w:leftChars="0" w:firstLine="0" w:firstLineChars="0"/>
        <w:rPr>
          <w:rFonts w:hint="eastAsia" w:ascii="宋体" w:hAnsi="宋体" w:eastAsia="宋体" w:cs="宋体"/>
          <w:bCs/>
          <w:color w:val="auto"/>
          <w:kern w:val="0"/>
          <w:sz w:val="24"/>
          <w:szCs w:val="24"/>
          <w:highlight w:val="none"/>
        </w:rPr>
      </w:pPr>
    </w:p>
    <w:p w14:paraId="010F40D3">
      <w:pPr>
        <w:pStyle w:val="13"/>
        <w:ind w:left="0" w:leftChars="0" w:firstLine="0" w:firstLineChars="0"/>
        <w:rPr>
          <w:rFonts w:hint="eastAsia" w:ascii="宋体" w:hAnsi="宋体" w:eastAsia="宋体" w:cs="宋体"/>
          <w:bCs/>
          <w:color w:val="auto"/>
          <w:kern w:val="0"/>
          <w:sz w:val="24"/>
          <w:szCs w:val="24"/>
          <w:highlight w:val="none"/>
        </w:rPr>
      </w:pPr>
    </w:p>
    <w:p w14:paraId="24EDFE48">
      <w:pPr>
        <w:pStyle w:val="13"/>
        <w:ind w:left="0" w:leftChars="0" w:firstLine="0" w:firstLineChars="0"/>
        <w:rPr>
          <w:rFonts w:hint="eastAsia" w:ascii="宋体" w:hAnsi="宋体" w:eastAsia="宋体" w:cs="宋体"/>
          <w:bCs/>
          <w:color w:val="auto"/>
          <w:kern w:val="0"/>
          <w:sz w:val="24"/>
          <w:szCs w:val="24"/>
          <w:highlight w:val="none"/>
        </w:rPr>
      </w:pPr>
    </w:p>
    <w:p w14:paraId="08A334CC">
      <w:pPr>
        <w:pStyle w:val="13"/>
        <w:ind w:left="0" w:leftChars="0" w:firstLine="0" w:firstLineChars="0"/>
        <w:rPr>
          <w:rFonts w:hint="eastAsia" w:ascii="宋体" w:hAnsi="宋体" w:eastAsia="宋体" w:cs="宋体"/>
          <w:bCs/>
          <w:color w:val="auto"/>
          <w:kern w:val="0"/>
          <w:sz w:val="24"/>
          <w:szCs w:val="24"/>
          <w:highlight w:val="none"/>
        </w:rPr>
      </w:pPr>
    </w:p>
    <w:p w14:paraId="60F79E6D">
      <w:pPr>
        <w:pStyle w:val="13"/>
        <w:ind w:left="0" w:leftChars="0" w:firstLine="0" w:firstLineChars="0"/>
        <w:rPr>
          <w:rFonts w:hint="eastAsia" w:ascii="宋体" w:hAnsi="宋体" w:eastAsia="宋体" w:cs="宋体"/>
          <w:bCs/>
          <w:color w:val="auto"/>
          <w:kern w:val="0"/>
          <w:sz w:val="24"/>
          <w:szCs w:val="24"/>
          <w:highlight w:val="none"/>
        </w:rPr>
      </w:pPr>
    </w:p>
    <w:p w14:paraId="20FFE9FA">
      <w:pPr>
        <w:pStyle w:val="13"/>
        <w:ind w:left="0" w:leftChars="0" w:firstLine="0" w:firstLineChars="0"/>
        <w:rPr>
          <w:rFonts w:hint="eastAsia" w:ascii="宋体" w:hAnsi="宋体" w:eastAsia="宋体" w:cs="宋体"/>
          <w:bCs/>
          <w:color w:val="auto"/>
          <w:kern w:val="0"/>
          <w:sz w:val="24"/>
          <w:szCs w:val="24"/>
          <w:highlight w:val="none"/>
        </w:rPr>
      </w:pPr>
    </w:p>
    <w:p w14:paraId="0A42B046">
      <w:pPr>
        <w:pStyle w:val="13"/>
        <w:ind w:left="0" w:leftChars="0" w:firstLine="0" w:firstLineChars="0"/>
        <w:rPr>
          <w:rFonts w:hint="eastAsia" w:ascii="宋体" w:hAnsi="宋体" w:eastAsia="宋体" w:cs="宋体"/>
          <w:bCs/>
          <w:color w:val="auto"/>
          <w:kern w:val="0"/>
          <w:sz w:val="24"/>
          <w:szCs w:val="24"/>
          <w:highlight w:val="none"/>
        </w:rPr>
      </w:pPr>
    </w:p>
    <w:p w14:paraId="48906A7B">
      <w:pPr>
        <w:pStyle w:val="13"/>
        <w:ind w:left="0" w:leftChars="0" w:firstLine="0" w:firstLineChars="0"/>
        <w:rPr>
          <w:rFonts w:hint="eastAsia" w:ascii="宋体" w:hAnsi="宋体" w:eastAsia="宋体" w:cs="宋体"/>
          <w:bCs/>
          <w:color w:val="auto"/>
          <w:kern w:val="0"/>
          <w:sz w:val="24"/>
          <w:szCs w:val="24"/>
          <w:highlight w:val="none"/>
        </w:rPr>
      </w:pPr>
    </w:p>
    <w:p w14:paraId="0B175FF6">
      <w:pPr>
        <w:pStyle w:val="13"/>
        <w:ind w:left="0" w:leftChars="0" w:firstLine="0" w:firstLineChars="0"/>
        <w:rPr>
          <w:rFonts w:hint="eastAsia" w:ascii="宋体" w:hAnsi="宋体" w:eastAsia="宋体" w:cs="宋体"/>
          <w:bCs/>
          <w:color w:val="auto"/>
          <w:kern w:val="0"/>
          <w:sz w:val="24"/>
          <w:szCs w:val="24"/>
          <w:highlight w:val="none"/>
        </w:rPr>
      </w:pPr>
    </w:p>
    <w:p w14:paraId="6DDC113F">
      <w:pPr>
        <w:pStyle w:val="13"/>
        <w:ind w:left="0" w:leftChars="0" w:firstLine="0" w:firstLineChars="0"/>
        <w:rPr>
          <w:rFonts w:hint="eastAsia" w:ascii="宋体" w:hAnsi="宋体" w:eastAsia="宋体" w:cs="宋体"/>
          <w:bCs/>
          <w:color w:val="auto"/>
          <w:kern w:val="0"/>
          <w:sz w:val="24"/>
          <w:szCs w:val="24"/>
          <w:highlight w:val="none"/>
        </w:rPr>
      </w:pPr>
    </w:p>
    <w:p w14:paraId="7FBA28D8">
      <w:pPr>
        <w:pStyle w:val="13"/>
        <w:ind w:left="0" w:leftChars="0" w:firstLine="0" w:firstLineChars="0"/>
        <w:rPr>
          <w:rFonts w:hint="eastAsia" w:ascii="宋体" w:hAnsi="宋体" w:eastAsia="宋体" w:cs="宋体"/>
          <w:bCs/>
          <w:color w:val="auto"/>
          <w:kern w:val="0"/>
          <w:sz w:val="24"/>
          <w:szCs w:val="24"/>
          <w:highlight w:val="none"/>
        </w:rPr>
      </w:pPr>
    </w:p>
    <w:p w14:paraId="7DCC583E">
      <w:pPr>
        <w:pStyle w:val="13"/>
        <w:ind w:left="0" w:leftChars="0" w:firstLine="0" w:firstLineChars="0"/>
        <w:rPr>
          <w:rFonts w:hint="eastAsia" w:ascii="宋体" w:hAnsi="宋体" w:eastAsia="宋体" w:cs="宋体"/>
          <w:bCs/>
          <w:color w:val="auto"/>
          <w:kern w:val="0"/>
          <w:sz w:val="24"/>
          <w:szCs w:val="24"/>
          <w:highlight w:val="none"/>
        </w:rPr>
      </w:pPr>
    </w:p>
    <w:p w14:paraId="6EAB71E9">
      <w:pPr>
        <w:pStyle w:val="13"/>
        <w:ind w:left="0" w:leftChars="0" w:firstLine="0" w:firstLineChars="0"/>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附件5：投标报价表</w:t>
      </w:r>
    </w:p>
    <w:p w14:paraId="0B598D4E">
      <w:pPr>
        <w:keepNext w:val="0"/>
        <w:keepLines w:val="0"/>
        <w:widowControl/>
        <w:suppressLineNumbers w:val="0"/>
        <w:jc w:val="left"/>
        <w:rPr>
          <w:rFonts w:hint="eastAsia" w:ascii="宋体" w:hAnsi="宋体" w:eastAsia="宋体" w:cs="宋体"/>
          <w:color w:val="auto"/>
          <w:sz w:val="24"/>
          <w:szCs w:val="24"/>
          <w:highlight w:val="none"/>
        </w:rPr>
      </w:pPr>
    </w:p>
    <w:p w14:paraId="1303615A">
      <w:pPr>
        <w:pStyle w:val="15"/>
        <w:widowControl/>
        <w:spacing w:line="360" w:lineRule="auto"/>
        <w:jc w:val="left"/>
        <w:rPr>
          <w:color w:val="auto"/>
          <w:highlight w:val="none"/>
        </w:rPr>
      </w:pPr>
    </w:p>
    <w:p w14:paraId="67F4CEF0">
      <w:pPr>
        <w:rPr>
          <w:color w:val="auto"/>
          <w:highlight w:val="none"/>
        </w:rPr>
      </w:pPr>
    </w:p>
    <w:sectPr>
      <w:pgSz w:w="11906" w:h="16838"/>
      <w:pgMar w:top="1440" w:right="1800" w:bottom="1440" w:left="13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MS PGothic">
    <w:panose1 w:val="020B0600070205080204"/>
    <w:charset w:val="80"/>
    <w:family w:val="auto"/>
    <w:pitch w:val="default"/>
    <w:sig w:usb0="E00002FF" w:usb1="6AC7FDFB" w:usb2="08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42AC0B"/>
    <w:multiLevelType w:val="singleLevel"/>
    <w:tmpl w:val="8F42AC0B"/>
    <w:lvl w:ilvl="0" w:tentative="0">
      <w:start w:val="2"/>
      <w:numFmt w:val="chineseCounting"/>
      <w:suff w:val="nothing"/>
      <w:lvlText w:val="%1、"/>
      <w:lvlJc w:val="left"/>
      <w:rPr>
        <w:rFonts w:hint="eastAsia"/>
      </w:rPr>
    </w:lvl>
  </w:abstractNum>
  <w:abstractNum w:abstractNumId="1">
    <w:nsid w:val="90450BC0"/>
    <w:multiLevelType w:val="singleLevel"/>
    <w:tmpl w:val="90450BC0"/>
    <w:lvl w:ilvl="0" w:tentative="0">
      <w:start w:val="8"/>
      <w:numFmt w:val="decimal"/>
      <w:suff w:val="nothing"/>
      <w:lvlText w:val="（%1）"/>
      <w:lvlJc w:val="left"/>
    </w:lvl>
  </w:abstractNum>
  <w:abstractNum w:abstractNumId="2">
    <w:nsid w:val="A4E86B50"/>
    <w:multiLevelType w:val="singleLevel"/>
    <w:tmpl w:val="A4E86B50"/>
    <w:lvl w:ilvl="0" w:tentative="0">
      <w:start w:val="8"/>
      <w:numFmt w:val="decimal"/>
      <w:suff w:val="nothing"/>
      <w:lvlText w:val="（%1）"/>
      <w:lvlJc w:val="left"/>
    </w:lvl>
  </w:abstractNum>
  <w:abstractNum w:abstractNumId="3">
    <w:nsid w:val="A5638B50"/>
    <w:multiLevelType w:val="singleLevel"/>
    <w:tmpl w:val="A5638B50"/>
    <w:lvl w:ilvl="0" w:tentative="0">
      <w:start w:val="2"/>
      <w:numFmt w:val="decimal"/>
      <w:suff w:val="nothing"/>
      <w:lvlText w:val="（%1）"/>
      <w:lvlJc w:val="left"/>
    </w:lvl>
  </w:abstractNum>
  <w:abstractNum w:abstractNumId="4">
    <w:nsid w:val="BCE7F680"/>
    <w:multiLevelType w:val="singleLevel"/>
    <w:tmpl w:val="BCE7F680"/>
    <w:lvl w:ilvl="0" w:tentative="0">
      <w:start w:val="1"/>
      <w:numFmt w:val="decimal"/>
      <w:suff w:val="nothing"/>
      <w:lvlText w:val="（%1）"/>
      <w:lvlJc w:val="left"/>
    </w:lvl>
  </w:abstractNum>
  <w:abstractNum w:abstractNumId="5">
    <w:nsid w:val="CC7DD055"/>
    <w:multiLevelType w:val="singleLevel"/>
    <w:tmpl w:val="CC7DD055"/>
    <w:lvl w:ilvl="0" w:tentative="0">
      <w:start w:val="6"/>
      <w:numFmt w:val="decimal"/>
      <w:suff w:val="nothing"/>
      <w:lvlText w:val="（%1）"/>
      <w:lvlJc w:val="left"/>
    </w:lvl>
  </w:abstractNum>
  <w:abstractNum w:abstractNumId="6">
    <w:nsid w:val="CEE70664"/>
    <w:multiLevelType w:val="singleLevel"/>
    <w:tmpl w:val="CEE70664"/>
    <w:lvl w:ilvl="0" w:tentative="0">
      <w:start w:val="5"/>
      <w:numFmt w:val="decimal"/>
      <w:suff w:val="space"/>
      <w:lvlText w:val="（%1）"/>
      <w:lvlJc w:val="left"/>
    </w:lvl>
  </w:abstractNum>
  <w:abstractNum w:abstractNumId="7">
    <w:nsid w:val="DAB6D964"/>
    <w:multiLevelType w:val="singleLevel"/>
    <w:tmpl w:val="DAB6D964"/>
    <w:lvl w:ilvl="0" w:tentative="0">
      <w:start w:val="1"/>
      <w:numFmt w:val="decimal"/>
      <w:suff w:val="nothing"/>
      <w:lvlText w:val="（%1）"/>
      <w:lvlJc w:val="left"/>
    </w:lvl>
  </w:abstractNum>
  <w:abstractNum w:abstractNumId="8">
    <w:nsid w:val="DECE3D69"/>
    <w:multiLevelType w:val="singleLevel"/>
    <w:tmpl w:val="DECE3D69"/>
    <w:lvl w:ilvl="0" w:tentative="0">
      <w:start w:val="4"/>
      <w:numFmt w:val="decimal"/>
      <w:suff w:val="nothing"/>
      <w:lvlText w:val="（%1）"/>
      <w:lvlJc w:val="left"/>
    </w:lvl>
  </w:abstractNum>
  <w:abstractNum w:abstractNumId="9">
    <w:nsid w:val="F32C468D"/>
    <w:multiLevelType w:val="singleLevel"/>
    <w:tmpl w:val="F32C468D"/>
    <w:lvl w:ilvl="0" w:tentative="0">
      <w:start w:val="7"/>
      <w:numFmt w:val="decimal"/>
      <w:suff w:val="nothing"/>
      <w:lvlText w:val="（%1）"/>
      <w:lvlJc w:val="left"/>
    </w:lvl>
  </w:abstractNum>
  <w:abstractNum w:abstractNumId="10">
    <w:nsid w:val="F67B289F"/>
    <w:multiLevelType w:val="singleLevel"/>
    <w:tmpl w:val="F67B289F"/>
    <w:lvl w:ilvl="0" w:tentative="0">
      <w:start w:val="4"/>
      <w:numFmt w:val="decimal"/>
      <w:suff w:val="nothing"/>
      <w:lvlText w:val="（%1）"/>
      <w:lvlJc w:val="left"/>
    </w:lvl>
  </w:abstractNum>
  <w:abstractNum w:abstractNumId="11">
    <w:nsid w:val="04294C97"/>
    <w:multiLevelType w:val="singleLevel"/>
    <w:tmpl w:val="04294C97"/>
    <w:lvl w:ilvl="0" w:tentative="0">
      <w:start w:val="3"/>
      <w:numFmt w:val="decimal"/>
      <w:suff w:val="nothing"/>
      <w:lvlText w:val="（%1）"/>
      <w:lvlJc w:val="left"/>
    </w:lvl>
  </w:abstractNum>
  <w:abstractNum w:abstractNumId="12">
    <w:nsid w:val="05BE129C"/>
    <w:multiLevelType w:val="singleLevel"/>
    <w:tmpl w:val="05BE129C"/>
    <w:lvl w:ilvl="0" w:tentative="0">
      <w:start w:val="2"/>
      <w:numFmt w:val="decimal"/>
      <w:suff w:val="nothing"/>
      <w:lvlText w:val="（%1）"/>
      <w:lvlJc w:val="left"/>
    </w:lvl>
  </w:abstractNum>
  <w:abstractNum w:abstractNumId="13">
    <w:nsid w:val="0E1E0ABE"/>
    <w:multiLevelType w:val="singleLevel"/>
    <w:tmpl w:val="0E1E0ABE"/>
    <w:lvl w:ilvl="0" w:tentative="0">
      <w:start w:val="1"/>
      <w:numFmt w:val="chineseCounting"/>
      <w:suff w:val="nothing"/>
      <w:lvlText w:val="%1、"/>
      <w:lvlJc w:val="left"/>
      <w:rPr>
        <w:rFonts w:hint="eastAsia"/>
      </w:rPr>
    </w:lvl>
  </w:abstractNum>
  <w:abstractNum w:abstractNumId="14">
    <w:nsid w:val="1809BB66"/>
    <w:multiLevelType w:val="singleLevel"/>
    <w:tmpl w:val="1809BB66"/>
    <w:lvl w:ilvl="0" w:tentative="0">
      <w:start w:val="3"/>
      <w:numFmt w:val="decimal"/>
      <w:suff w:val="nothing"/>
      <w:lvlText w:val="（%1）"/>
      <w:lvlJc w:val="left"/>
    </w:lvl>
  </w:abstractNum>
  <w:abstractNum w:abstractNumId="15">
    <w:nsid w:val="1ABAF5A2"/>
    <w:multiLevelType w:val="singleLevel"/>
    <w:tmpl w:val="1ABAF5A2"/>
    <w:lvl w:ilvl="0" w:tentative="0">
      <w:start w:val="1"/>
      <w:numFmt w:val="decimal"/>
      <w:suff w:val="nothing"/>
      <w:lvlText w:val="（%1）"/>
      <w:lvlJc w:val="left"/>
    </w:lvl>
  </w:abstractNum>
  <w:abstractNum w:abstractNumId="16">
    <w:nsid w:val="2393E8FC"/>
    <w:multiLevelType w:val="singleLevel"/>
    <w:tmpl w:val="2393E8FC"/>
    <w:lvl w:ilvl="0" w:tentative="0">
      <w:start w:val="9"/>
      <w:numFmt w:val="decimal"/>
      <w:suff w:val="nothing"/>
      <w:lvlText w:val="（%1）"/>
      <w:lvlJc w:val="left"/>
    </w:lvl>
  </w:abstractNum>
  <w:abstractNum w:abstractNumId="17">
    <w:nsid w:val="34D7626F"/>
    <w:multiLevelType w:val="singleLevel"/>
    <w:tmpl w:val="34D7626F"/>
    <w:lvl w:ilvl="0" w:tentative="0">
      <w:start w:val="5"/>
      <w:numFmt w:val="decimal"/>
      <w:suff w:val="nothing"/>
      <w:lvlText w:val="（%1）"/>
      <w:lvlJc w:val="left"/>
    </w:lvl>
  </w:abstractNum>
  <w:abstractNum w:abstractNumId="18">
    <w:nsid w:val="3767D918"/>
    <w:multiLevelType w:val="singleLevel"/>
    <w:tmpl w:val="3767D918"/>
    <w:lvl w:ilvl="0" w:tentative="0">
      <w:start w:val="7"/>
      <w:numFmt w:val="decimal"/>
      <w:suff w:val="nothing"/>
      <w:lvlText w:val="（%1）"/>
      <w:lvlJc w:val="left"/>
    </w:lvl>
  </w:abstractNum>
  <w:abstractNum w:abstractNumId="19">
    <w:nsid w:val="3FE7E435"/>
    <w:multiLevelType w:val="singleLevel"/>
    <w:tmpl w:val="3FE7E435"/>
    <w:lvl w:ilvl="0" w:tentative="0">
      <w:start w:val="10"/>
      <w:numFmt w:val="decimal"/>
      <w:suff w:val="nothing"/>
      <w:lvlText w:val="（%1）"/>
      <w:lvlJc w:val="left"/>
    </w:lvl>
  </w:abstractNum>
  <w:abstractNum w:abstractNumId="20">
    <w:nsid w:val="7081DB3D"/>
    <w:multiLevelType w:val="singleLevel"/>
    <w:tmpl w:val="7081DB3D"/>
    <w:lvl w:ilvl="0" w:tentative="0">
      <w:start w:val="6"/>
      <w:numFmt w:val="decimal"/>
      <w:suff w:val="nothing"/>
      <w:lvlText w:val="（%1）"/>
      <w:lvlJc w:val="left"/>
    </w:lvl>
  </w:abstractNum>
  <w:num w:numId="1">
    <w:abstractNumId w:val="13"/>
  </w:num>
  <w:num w:numId="2">
    <w:abstractNumId w:val="0"/>
  </w:num>
  <w:num w:numId="3">
    <w:abstractNumId w:val="15"/>
  </w:num>
  <w:num w:numId="4">
    <w:abstractNumId w:val="12"/>
  </w:num>
  <w:num w:numId="5">
    <w:abstractNumId w:val="11"/>
  </w:num>
  <w:num w:numId="6">
    <w:abstractNumId w:val="10"/>
  </w:num>
  <w:num w:numId="7">
    <w:abstractNumId w:val="6"/>
  </w:num>
  <w:num w:numId="8">
    <w:abstractNumId w:val="5"/>
  </w:num>
  <w:num w:numId="9">
    <w:abstractNumId w:val="18"/>
  </w:num>
  <w:num w:numId="10">
    <w:abstractNumId w:val="1"/>
  </w:num>
  <w:num w:numId="11">
    <w:abstractNumId w:val="16"/>
  </w:num>
  <w:num w:numId="12">
    <w:abstractNumId w:val="19"/>
  </w:num>
  <w:num w:numId="13">
    <w:abstractNumId w:val="7"/>
  </w:num>
  <w:num w:numId="14">
    <w:abstractNumId w:val="3"/>
  </w:num>
  <w:num w:numId="15">
    <w:abstractNumId w:val="14"/>
  </w:num>
  <w:num w:numId="16">
    <w:abstractNumId w:val="8"/>
  </w:num>
  <w:num w:numId="17">
    <w:abstractNumId w:val="17"/>
  </w:num>
  <w:num w:numId="18">
    <w:abstractNumId w:val="20"/>
  </w:num>
  <w:num w:numId="19">
    <w:abstractNumId w:val="9"/>
  </w:num>
  <w:num w:numId="20">
    <w:abstractNumId w:val="2"/>
  </w:num>
  <w:num w:numId="21">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南美涛">
    <w15:presenceInfo w15:providerId="WPS Office" w15:userId="221883813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D77BAD"/>
    <w:rsid w:val="000B44D3"/>
    <w:rsid w:val="000F4D1D"/>
    <w:rsid w:val="001A2968"/>
    <w:rsid w:val="007958E0"/>
    <w:rsid w:val="008C6C96"/>
    <w:rsid w:val="00920750"/>
    <w:rsid w:val="00936276"/>
    <w:rsid w:val="009E5347"/>
    <w:rsid w:val="00B71F65"/>
    <w:rsid w:val="010B405F"/>
    <w:rsid w:val="01282E62"/>
    <w:rsid w:val="01C506B1"/>
    <w:rsid w:val="020E02AA"/>
    <w:rsid w:val="026B3007"/>
    <w:rsid w:val="02C13975"/>
    <w:rsid w:val="036F2FCB"/>
    <w:rsid w:val="040F20B8"/>
    <w:rsid w:val="0442423B"/>
    <w:rsid w:val="049B394B"/>
    <w:rsid w:val="04BC5B34"/>
    <w:rsid w:val="054A15F9"/>
    <w:rsid w:val="05882122"/>
    <w:rsid w:val="05957B96"/>
    <w:rsid w:val="05CD5D86"/>
    <w:rsid w:val="06654211"/>
    <w:rsid w:val="06856661"/>
    <w:rsid w:val="06DC0977"/>
    <w:rsid w:val="072B0FB7"/>
    <w:rsid w:val="07603356"/>
    <w:rsid w:val="07E23C93"/>
    <w:rsid w:val="080F08D8"/>
    <w:rsid w:val="083D71F3"/>
    <w:rsid w:val="083E11BD"/>
    <w:rsid w:val="084E7652"/>
    <w:rsid w:val="087370B9"/>
    <w:rsid w:val="088F5575"/>
    <w:rsid w:val="08A74FB5"/>
    <w:rsid w:val="08CB0CA3"/>
    <w:rsid w:val="09150170"/>
    <w:rsid w:val="0A3960E0"/>
    <w:rsid w:val="0A3E5BBE"/>
    <w:rsid w:val="0AD656DD"/>
    <w:rsid w:val="0B4D3BF1"/>
    <w:rsid w:val="0B996E37"/>
    <w:rsid w:val="0BFE3961"/>
    <w:rsid w:val="0C112E71"/>
    <w:rsid w:val="0C5C1C12"/>
    <w:rsid w:val="0CC7352F"/>
    <w:rsid w:val="0CD30126"/>
    <w:rsid w:val="0CEC11E8"/>
    <w:rsid w:val="0D136775"/>
    <w:rsid w:val="0DBC505E"/>
    <w:rsid w:val="0DEB5944"/>
    <w:rsid w:val="0E012A71"/>
    <w:rsid w:val="0E8474DE"/>
    <w:rsid w:val="0ED42D25"/>
    <w:rsid w:val="0EF34AB0"/>
    <w:rsid w:val="0EFE4EFA"/>
    <w:rsid w:val="0F3C3B9B"/>
    <w:rsid w:val="0FE10DAC"/>
    <w:rsid w:val="107C6ED1"/>
    <w:rsid w:val="10991687"/>
    <w:rsid w:val="10DD77C5"/>
    <w:rsid w:val="1261180C"/>
    <w:rsid w:val="12C47E40"/>
    <w:rsid w:val="13685340"/>
    <w:rsid w:val="139525D9"/>
    <w:rsid w:val="13BA2040"/>
    <w:rsid w:val="13FF7A53"/>
    <w:rsid w:val="140E03D2"/>
    <w:rsid w:val="141C6857"/>
    <w:rsid w:val="146849E3"/>
    <w:rsid w:val="153B0F5F"/>
    <w:rsid w:val="155C2C83"/>
    <w:rsid w:val="15B66837"/>
    <w:rsid w:val="163F682C"/>
    <w:rsid w:val="16832BBD"/>
    <w:rsid w:val="16CB4564"/>
    <w:rsid w:val="171952CF"/>
    <w:rsid w:val="1722416E"/>
    <w:rsid w:val="173C0FBE"/>
    <w:rsid w:val="17795D6E"/>
    <w:rsid w:val="17A54DB5"/>
    <w:rsid w:val="17A74689"/>
    <w:rsid w:val="17AB5AC0"/>
    <w:rsid w:val="17AF353E"/>
    <w:rsid w:val="17CB4C0D"/>
    <w:rsid w:val="17E15A9E"/>
    <w:rsid w:val="181141F9"/>
    <w:rsid w:val="18420856"/>
    <w:rsid w:val="18610CDC"/>
    <w:rsid w:val="18ED44F8"/>
    <w:rsid w:val="199724DC"/>
    <w:rsid w:val="19B65058"/>
    <w:rsid w:val="19D92AF4"/>
    <w:rsid w:val="19DF6A36"/>
    <w:rsid w:val="1A3B730B"/>
    <w:rsid w:val="1A6E5932"/>
    <w:rsid w:val="1A8B64E4"/>
    <w:rsid w:val="1A9609E5"/>
    <w:rsid w:val="1AA17AB6"/>
    <w:rsid w:val="1AAC0209"/>
    <w:rsid w:val="1AB8095B"/>
    <w:rsid w:val="1AEF33E4"/>
    <w:rsid w:val="1BBC26CD"/>
    <w:rsid w:val="1BC3580A"/>
    <w:rsid w:val="1BE539D2"/>
    <w:rsid w:val="1CA67605"/>
    <w:rsid w:val="1D3D339A"/>
    <w:rsid w:val="1DDD0CC6"/>
    <w:rsid w:val="1E1E766F"/>
    <w:rsid w:val="1E2F53D8"/>
    <w:rsid w:val="1E4427E1"/>
    <w:rsid w:val="1E5D1F46"/>
    <w:rsid w:val="1E5E03FE"/>
    <w:rsid w:val="1EEB7551"/>
    <w:rsid w:val="1F0D396C"/>
    <w:rsid w:val="1F3C5FFF"/>
    <w:rsid w:val="1F3E1D77"/>
    <w:rsid w:val="1FCD30FB"/>
    <w:rsid w:val="20592BE1"/>
    <w:rsid w:val="20783067"/>
    <w:rsid w:val="20801F1B"/>
    <w:rsid w:val="218912A4"/>
    <w:rsid w:val="219E4D4F"/>
    <w:rsid w:val="21AD0AEE"/>
    <w:rsid w:val="21BE0F4D"/>
    <w:rsid w:val="21DF2C72"/>
    <w:rsid w:val="21F42BC1"/>
    <w:rsid w:val="224D7A95"/>
    <w:rsid w:val="225E003A"/>
    <w:rsid w:val="229E2B2D"/>
    <w:rsid w:val="2323196E"/>
    <w:rsid w:val="235651B5"/>
    <w:rsid w:val="23A3664D"/>
    <w:rsid w:val="23C245F9"/>
    <w:rsid w:val="24665A6C"/>
    <w:rsid w:val="24CE594B"/>
    <w:rsid w:val="24F904EE"/>
    <w:rsid w:val="25007ACF"/>
    <w:rsid w:val="25010BDC"/>
    <w:rsid w:val="257F27A2"/>
    <w:rsid w:val="25C30157"/>
    <w:rsid w:val="25FA62CC"/>
    <w:rsid w:val="262C2336"/>
    <w:rsid w:val="26527EB6"/>
    <w:rsid w:val="26961EDB"/>
    <w:rsid w:val="269640B9"/>
    <w:rsid w:val="26B35F3C"/>
    <w:rsid w:val="273628E9"/>
    <w:rsid w:val="2767173F"/>
    <w:rsid w:val="27766813"/>
    <w:rsid w:val="27840543"/>
    <w:rsid w:val="298A3E0B"/>
    <w:rsid w:val="29B570DA"/>
    <w:rsid w:val="2A5C1C13"/>
    <w:rsid w:val="2AA75275"/>
    <w:rsid w:val="2B084FE7"/>
    <w:rsid w:val="2B3B716B"/>
    <w:rsid w:val="2C071743"/>
    <w:rsid w:val="2C1A76C8"/>
    <w:rsid w:val="2C730B86"/>
    <w:rsid w:val="2D285E15"/>
    <w:rsid w:val="2D2F7952"/>
    <w:rsid w:val="2D5B3AF4"/>
    <w:rsid w:val="2E165C6D"/>
    <w:rsid w:val="2E2465DC"/>
    <w:rsid w:val="2E821554"/>
    <w:rsid w:val="2F3B1E2F"/>
    <w:rsid w:val="2FFA3A98"/>
    <w:rsid w:val="30112B90"/>
    <w:rsid w:val="30711881"/>
    <w:rsid w:val="314B20D2"/>
    <w:rsid w:val="31576CC8"/>
    <w:rsid w:val="318850D4"/>
    <w:rsid w:val="31D200FD"/>
    <w:rsid w:val="32236BAB"/>
    <w:rsid w:val="3240775C"/>
    <w:rsid w:val="324F79A0"/>
    <w:rsid w:val="32851613"/>
    <w:rsid w:val="32917FB8"/>
    <w:rsid w:val="32A01FA9"/>
    <w:rsid w:val="32C91500"/>
    <w:rsid w:val="32F02F31"/>
    <w:rsid w:val="331C5AD4"/>
    <w:rsid w:val="33C06DA7"/>
    <w:rsid w:val="340439BA"/>
    <w:rsid w:val="342A06C4"/>
    <w:rsid w:val="342E1F62"/>
    <w:rsid w:val="34713BFD"/>
    <w:rsid w:val="348E47AF"/>
    <w:rsid w:val="34B34216"/>
    <w:rsid w:val="3538296D"/>
    <w:rsid w:val="35DF103A"/>
    <w:rsid w:val="35FC7E3E"/>
    <w:rsid w:val="361138EA"/>
    <w:rsid w:val="365B4B65"/>
    <w:rsid w:val="367927B4"/>
    <w:rsid w:val="368A544A"/>
    <w:rsid w:val="3699568D"/>
    <w:rsid w:val="36A91D74"/>
    <w:rsid w:val="36BF3346"/>
    <w:rsid w:val="36F31241"/>
    <w:rsid w:val="371A67CE"/>
    <w:rsid w:val="373A0C1E"/>
    <w:rsid w:val="374750E9"/>
    <w:rsid w:val="37487C86"/>
    <w:rsid w:val="37585548"/>
    <w:rsid w:val="37FF7772"/>
    <w:rsid w:val="385201EA"/>
    <w:rsid w:val="38A547BD"/>
    <w:rsid w:val="38F44DFD"/>
    <w:rsid w:val="3942025E"/>
    <w:rsid w:val="399F2FBB"/>
    <w:rsid w:val="39BF18AF"/>
    <w:rsid w:val="39E84962"/>
    <w:rsid w:val="3A2636DC"/>
    <w:rsid w:val="3A3F2434"/>
    <w:rsid w:val="3A667F7C"/>
    <w:rsid w:val="3A824DB6"/>
    <w:rsid w:val="3A83468A"/>
    <w:rsid w:val="3AA56F5F"/>
    <w:rsid w:val="3AA840F1"/>
    <w:rsid w:val="3ABB2076"/>
    <w:rsid w:val="3AD1189A"/>
    <w:rsid w:val="3ADE3FB6"/>
    <w:rsid w:val="3B1D3EE2"/>
    <w:rsid w:val="3BA945C4"/>
    <w:rsid w:val="3BCE7B87"/>
    <w:rsid w:val="3BEC625F"/>
    <w:rsid w:val="3CAB1C76"/>
    <w:rsid w:val="3D2F28A7"/>
    <w:rsid w:val="3D5B18EE"/>
    <w:rsid w:val="3DA23079"/>
    <w:rsid w:val="3DA36F3D"/>
    <w:rsid w:val="3DD82F3F"/>
    <w:rsid w:val="3E155F41"/>
    <w:rsid w:val="3E43485C"/>
    <w:rsid w:val="3E642A25"/>
    <w:rsid w:val="3E6F5651"/>
    <w:rsid w:val="3E725142"/>
    <w:rsid w:val="3F1E3215"/>
    <w:rsid w:val="3FDB2873"/>
    <w:rsid w:val="405D597D"/>
    <w:rsid w:val="406B1E48"/>
    <w:rsid w:val="40E57E4D"/>
    <w:rsid w:val="40E83499"/>
    <w:rsid w:val="40E85247"/>
    <w:rsid w:val="40ED7F4A"/>
    <w:rsid w:val="411838B9"/>
    <w:rsid w:val="415E7BFF"/>
    <w:rsid w:val="41F30347"/>
    <w:rsid w:val="41FD2F74"/>
    <w:rsid w:val="427A45C5"/>
    <w:rsid w:val="42984A4B"/>
    <w:rsid w:val="43EC504E"/>
    <w:rsid w:val="440525B4"/>
    <w:rsid w:val="44703ED1"/>
    <w:rsid w:val="449851D6"/>
    <w:rsid w:val="44D2693A"/>
    <w:rsid w:val="44DC3315"/>
    <w:rsid w:val="44E4041B"/>
    <w:rsid w:val="45433394"/>
    <w:rsid w:val="457052F2"/>
    <w:rsid w:val="461E795D"/>
    <w:rsid w:val="462036D5"/>
    <w:rsid w:val="46845A12"/>
    <w:rsid w:val="46D83FB0"/>
    <w:rsid w:val="47024B89"/>
    <w:rsid w:val="47174AD8"/>
    <w:rsid w:val="473F7B8B"/>
    <w:rsid w:val="47AA594C"/>
    <w:rsid w:val="47F24CBD"/>
    <w:rsid w:val="481608EC"/>
    <w:rsid w:val="481E1E96"/>
    <w:rsid w:val="48623B31"/>
    <w:rsid w:val="495E1FB7"/>
    <w:rsid w:val="49D3791F"/>
    <w:rsid w:val="49FE3D2D"/>
    <w:rsid w:val="4A3E412A"/>
    <w:rsid w:val="4AB46994"/>
    <w:rsid w:val="4ACC3E2B"/>
    <w:rsid w:val="4AFB0737"/>
    <w:rsid w:val="4B0F4C66"/>
    <w:rsid w:val="4B1C090F"/>
    <w:rsid w:val="4BF54CBC"/>
    <w:rsid w:val="4C2A2BB8"/>
    <w:rsid w:val="4C3752D5"/>
    <w:rsid w:val="4C4D68A6"/>
    <w:rsid w:val="4C746529"/>
    <w:rsid w:val="4C883D82"/>
    <w:rsid w:val="4CEE1E37"/>
    <w:rsid w:val="4D2168A6"/>
    <w:rsid w:val="4D5F2D35"/>
    <w:rsid w:val="4D7E765F"/>
    <w:rsid w:val="4D830DDF"/>
    <w:rsid w:val="4DE65204"/>
    <w:rsid w:val="4E21623C"/>
    <w:rsid w:val="4E453CD9"/>
    <w:rsid w:val="4E712D20"/>
    <w:rsid w:val="4EB96475"/>
    <w:rsid w:val="4ECB7DF8"/>
    <w:rsid w:val="4EED4299"/>
    <w:rsid w:val="4F00775A"/>
    <w:rsid w:val="4F016F2F"/>
    <w:rsid w:val="4F766114"/>
    <w:rsid w:val="502142D2"/>
    <w:rsid w:val="50650662"/>
    <w:rsid w:val="50EF43D0"/>
    <w:rsid w:val="50F25C6E"/>
    <w:rsid w:val="52021EE1"/>
    <w:rsid w:val="521F0CE5"/>
    <w:rsid w:val="524D5852"/>
    <w:rsid w:val="530D4FE1"/>
    <w:rsid w:val="532F6D06"/>
    <w:rsid w:val="539F3E8B"/>
    <w:rsid w:val="53AF3ABA"/>
    <w:rsid w:val="54176117"/>
    <w:rsid w:val="54224844"/>
    <w:rsid w:val="547E6196"/>
    <w:rsid w:val="54CF3934"/>
    <w:rsid w:val="54CF69F2"/>
    <w:rsid w:val="55B1434A"/>
    <w:rsid w:val="56617B1E"/>
    <w:rsid w:val="56666EE2"/>
    <w:rsid w:val="56777341"/>
    <w:rsid w:val="56AD4B11"/>
    <w:rsid w:val="570566FB"/>
    <w:rsid w:val="571701DC"/>
    <w:rsid w:val="579932E7"/>
    <w:rsid w:val="57A04676"/>
    <w:rsid w:val="580469B3"/>
    <w:rsid w:val="5862192B"/>
    <w:rsid w:val="58B8154B"/>
    <w:rsid w:val="59480B21"/>
    <w:rsid w:val="596D67DA"/>
    <w:rsid w:val="59853B23"/>
    <w:rsid w:val="59B12B6A"/>
    <w:rsid w:val="5A4A2677"/>
    <w:rsid w:val="5A843DDB"/>
    <w:rsid w:val="5A861664"/>
    <w:rsid w:val="5ADC3C17"/>
    <w:rsid w:val="5B694D7F"/>
    <w:rsid w:val="5B8F6EDB"/>
    <w:rsid w:val="5C1949F7"/>
    <w:rsid w:val="5C25339C"/>
    <w:rsid w:val="5C311D40"/>
    <w:rsid w:val="5C537F09"/>
    <w:rsid w:val="5C62639E"/>
    <w:rsid w:val="5D296EBB"/>
    <w:rsid w:val="5D5977A1"/>
    <w:rsid w:val="5DBC1ADE"/>
    <w:rsid w:val="5E282A1A"/>
    <w:rsid w:val="5E473A9D"/>
    <w:rsid w:val="5E6235EE"/>
    <w:rsid w:val="5EF17565"/>
    <w:rsid w:val="5F345E61"/>
    <w:rsid w:val="5F8D3732"/>
    <w:rsid w:val="5F944AC0"/>
    <w:rsid w:val="5FA233E1"/>
    <w:rsid w:val="60025ECE"/>
    <w:rsid w:val="607466A0"/>
    <w:rsid w:val="60C2565D"/>
    <w:rsid w:val="60EA6962"/>
    <w:rsid w:val="6175447D"/>
    <w:rsid w:val="617C1CB0"/>
    <w:rsid w:val="61E84C4F"/>
    <w:rsid w:val="622A34BA"/>
    <w:rsid w:val="62944DD7"/>
    <w:rsid w:val="629D1EDE"/>
    <w:rsid w:val="62E62C70"/>
    <w:rsid w:val="633640E0"/>
    <w:rsid w:val="63D17EA6"/>
    <w:rsid w:val="644A6A0A"/>
    <w:rsid w:val="646F3406"/>
    <w:rsid w:val="64C179D9"/>
    <w:rsid w:val="657552D4"/>
    <w:rsid w:val="65F64108"/>
    <w:rsid w:val="6683763C"/>
    <w:rsid w:val="66BB6DD6"/>
    <w:rsid w:val="67144738"/>
    <w:rsid w:val="67495FA9"/>
    <w:rsid w:val="675C418F"/>
    <w:rsid w:val="682409AB"/>
    <w:rsid w:val="683D381B"/>
    <w:rsid w:val="685748DD"/>
    <w:rsid w:val="68EF720B"/>
    <w:rsid w:val="69A578CA"/>
    <w:rsid w:val="69AF43C9"/>
    <w:rsid w:val="69B67D29"/>
    <w:rsid w:val="69E77EE2"/>
    <w:rsid w:val="69EE301F"/>
    <w:rsid w:val="6A374FF4"/>
    <w:rsid w:val="6A3A44B6"/>
    <w:rsid w:val="6A484E25"/>
    <w:rsid w:val="6A6E23B2"/>
    <w:rsid w:val="6AC00E5F"/>
    <w:rsid w:val="6B633598"/>
    <w:rsid w:val="6BDF70C3"/>
    <w:rsid w:val="6BE40B7D"/>
    <w:rsid w:val="6C21592D"/>
    <w:rsid w:val="6C506213"/>
    <w:rsid w:val="6CD85321"/>
    <w:rsid w:val="6D1E04B5"/>
    <w:rsid w:val="6D25144D"/>
    <w:rsid w:val="6D2F407A"/>
    <w:rsid w:val="6D3E250F"/>
    <w:rsid w:val="6D505D9E"/>
    <w:rsid w:val="6DD469CF"/>
    <w:rsid w:val="6E0B0643"/>
    <w:rsid w:val="6E2E7E8E"/>
    <w:rsid w:val="6E470F4F"/>
    <w:rsid w:val="6EF65A2C"/>
    <w:rsid w:val="6F63000B"/>
    <w:rsid w:val="6FA50623"/>
    <w:rsid w:val="6FF15617"/>
    <w:rsid w:val="70441BEA"/>
    <w:rsid w:val="7060454A"/>
    <w:rsid w:val="70840239"/>
    <w:rsid w:val="70893AA1"/>
    <w:rsid w:val="70F255F9"/>
    <w:rsid w:val="71123A97"/>
    <w:rsid w:val="71630796"/>
    <w:rsid w:val="717C3606"/>
    <w:rsid w:val="71DB657E"/>
    <w:rsid w:val="71E03B95"/>
    <w:rsid w:val="71EC078C"/>
    <w:rsid w:val="72282262"/>
    <w:rsid w:val="724834E8"/>
    <w:rsid w:val="725543CA"/>
    <w:rsid w:val="725B321B"/>
    <w:rsid w:val="72655E48"/>
    <w:rsid w:val="72C214EC"/>
    <w:rsid w:val="72EB0A43"/>
    <w:rsid w:val="72F63DDA"/>
    <w:rsid w:val="730613D9"/>
    <w:rsid w:val="734819F2"/>
    <w:rsid w:val="73920EBF"/>
    <w:rsid w:val="73BE3A62"/>
    <w:rsid w:val="742D0BE7"/>
    <w:rsid w:val="74367A9C"/>
    <w:rsid w:val="745F3497"/>
    <w:rsid w:val="749E7B1F"/>
    <w:rsid w:val="74B17A6A"/>
    <w:rsid w:val="74D80B53"/>
    <w:rsid w:val="74FF07D6"/>
    <w:rsid w:val="751A5610"/>
    <w:rsid w:val="757A1C0A"/>
    <w:rsid w:val="75A1363B"/>
    <w:rsid w:val="75A153E9"/>
    <w:rsid w:val="75AD0232"/>
    <w:rsid w:val="75F06371"/>
    <w:rsid w:val="769F401E"/>
    <w:rsid w:val="76D417EE"/>
    <w:rsid w:val="76D87530"/>
    <w:rsid w:val="77F43EF6"/>
    <w:rsid w:val="78280044"/>
    <w:rsid w:val="78564BB1"/>
    <w:rsid w:val="78686692"/>
    <w:rsid w:val="78B06666"/>
    <w:rsid w:val="79AC0800"/>
    <w:rsid w:val="79C8563A"/>
    <w:rsid w:val="79D73ACF"/>
    <w:rsid w:val="79DD6C0C"/>
    <w:rsid w:val="79FF2E57"/>
    <w:rsid w:val="7AB61937"/>
    <w:rsid w:val="7AD77BAD"/>
    <w:rsid w:val="7B062394"/>
    <w:rsid w:val="7B22521E"/>
    <w:rsid w:val="7B845591"/>
    <w:rsid w:val="7BB10350"/>
    <w:rsid w:val="7BEE3352"/>
    <w:rsid w:val="7C2F35C5"/>
    <w:rsid w:val="7CB579CC"/>
    <w:rsid w:val="7D060228"/>
    <w:rsid w:val="7D54596F"/>
    <w:rsid w:val="7D935F5F"/>
    <w:rsid w:val="7DBF4A67"/>
    <w:rsid w:val="7E9C7095"/>
    <w:rsid w:val="7EC00FD6"/>
    <w:rsid w:val="7ED22AB7"/>
    <w:rsid w:val="7F5C44BA"/>
    <w:rsid w:val="7F9567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next w:val="1"/>
    <w:unhideWhenUsed/>
    <w:qFormat/>
    <w:uiPriority w:val="99"/>
    <w:pPr>
      <w:spacing w:after="120"/>
    </w:pPr>
  </w:style>
  <w:style w:type="paragraph" w:styleId="3">
    <w:name w:val="annotation text"/>
    <w:basedOn w:val="1"/>
    <w:qFormat/>
    <w:uiPriority w:val="0"/>
    <w:pPr>
      <w:jc w:val="left"/>
    </w:pPr>
  </w:style>
  <w:style w:type="paragraph" w:styleId="4">
    <w:name w:val="Body Text 3"/>
    <w:basedOn w:val="1"/>
    <w:link w:val="22"/>
    <w:qFormat/>
    <w:uiPriority w:val="0"/>
    <w:rPr>
      <w:rFonts w:ascii="宋体"/>
      <w:sz w:val="24"/>
      <w:szCs w:val="20"/>
    </w:rPr>
  </w:style>
  <w:style w:type="paragraph" w:styleId="5">
    <w:name w:val="Body Text Indent"/>
    <w:basedOn w:val="1"/>
    <w:next w:val="6"/>
    <w:qFormat/>
    <w:uiPriority w:val="99"/>
    <w:pPr>
      <w:spacing w:after="120"/>
      <w:ind w:left="420" w:leftChars="200"/>
    </w:pPr>
    <w:rPr>
      <w:szCs w:val="20"/>
    </w:rPr>
  </w:style>
  <w:style w:type="paragraph" w:styleId="6">
    <w:name w:val="envelope return"/>
    <w:basedOn w:val="1"/>
    <w:qFormat/>
    <w:uiPriority w:val="0"/>
    <w:pPr>
      <w:snapToGrid w:val="0"/>
    </w:pPr>
    <w:rPr>
      <w:rFonts w:ascii="Arial" w:hAnsi="Arial"/>
    </w:rPr>
  </w:style>
  <w:style w:type="paragraph" w:styleId="7">
    <w:name w:val="footer"/>
    <w:basedOn w:val="1"/>
    <w:next w:val="1"/>
    <w:qFormat/>
    <w:uiPriority w:val="0"/>
    <w:pPr>
      <w:tabs>
        <w:tab w:val="center" w:pos="4153"/>
        <w:tab w:val="right" w:pos="8306"/>
      </w:tabs>
      <w:snapToGrid w:val="0"/>
      <w:jc w:val="left"/>
    </w:pPr>
    <w:rPr>
      <w:kern w:val="2"/>
      <w:sz w:val="18"/>
      <w:szCs w:val="18"/>
    </w:rPr>
  </w:style>
  <w:style w:type="paragraph" w:styleId="8">
    <w:name w:val="Body Text First Indent"/>
    <w:basedOn w:val="2"/>
    <w:unhideWhenUsed/>
    <w:qFormat/>
    <w:uiPriority w:val="0"/>
    <w:pPr>
      <w:ind w:firstLine="420" w:firstLineChars="100"/>
    </w:pPr>
  </w:style>
  <w:style w:type="paragraph" w:styleId="9">
    <w:name w:val="Body Text First Indent 2"/>
    <w:basedOn w:val="5"/>
    <w:unhideWhenUsed/>
    <w:qFormat/>
    <w:uiPriority w:val="0"/>
    <w:pPr>
      <w:ind w:firstLine="420" w:firstLineChars="200"/>
    </w:pPr>
    <w:rPr>
      <w:szCs w:val="22"/>
    </w:rPr>
  </w:style>
  <w:style w:type="paragraph" w:customStyle="1" w:styleId="12">
    <w:name w:val="Default"/>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3">
    <w:name w:val="正文首行缩进 2 New"/>
    <w:basedOn w:val="14"/>
    <w:qFormat/>
    <w:uiPriority w:val="0"/>
    <w:pPr>
      <w:ind w:firstLine="420" w:firstLineChars="200"/>
    </w:pPr>
    <w:rPr>
      <w:rFonts w:eastAsia="宋体"/>
      <w:kern w:val="2"/>
      <w:sz w:val="21"/>
      <w:szCs w:val="22"/>
    </w:rPr>
  </w:style>
  <w:style w:type="paragraph" w:customStyle="1" w:styleId="14">
    <w:name w:val="正文文本缩进 New"/>
    <w:basedOn w:val="15"/>
    <w:next w:val="16"/>
    <w:qFormat/>
    <w:uiPriority w:val="0"/>
    <w:pPr>
      <w:spacing w:after="120" w:afterLines="0"/>
      <w:ind w:left="420" w:leftChars="200"/>
    </w:pPr>
    <w:rPr>
      <w:rFonts w:eastAsia="宋体"/>
      <w:kern w:val="2"/>
      <w:sz w:val="21"/>
    </w:rPr>
  </w:style>
  <w:style w:type="paragraph" w:customStyle="1" w:styleId="15">
    <w:name w:val="正文 New"/>
    <w:next w:val="1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
    <w:name w:val="寄信人地址 New"/>
    <w:basedOn w:val="15"/>
    <w:qFormat/>
    <w:uiPriority w:val="0"/>
    <w:pPr>
      <w:snapToGrid w:val="0"/>
    </w:pPr>
    <w:rPr>
      <w:rFonts w:ascii="Arial" w:hAnsi="Arial"/>
    </w:rPr>
  </w:style>
  <w:style w:type="paragraph" w:customStyle="1" w:styleId="17">
    <w:name w:val="正文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
    <w:name w:val="正文文本 New"/>
    <w:basedOn w:val="15"/>
    <w:qFormat/>
    <w:uiPriority w:val="0"/>
    <w:pPr>
      <w:jc w:val="center"/>
    </w:pPr>
    <w:rPr>
      <w:rFonts w:ascii="Times New Roman" w:hAnsi="Times New Roman"/>
      <w:b/>
      <w:bCs/>
      <w:sz w:val="36"/>
      <w:szCs w:val="20"/>
    </w:rPr>
  </w:style>
  <w:style w:type="paragraph" w:customStyle="1" w:styleId="19">
    <w:name w:val="正文文本 New New New"/>
    <w:basedOn w:val="15"/>
    <w:qFormat/>
    <w:uiPriority w:val="0"/>
    <w:pPr>
      <w:jc w:val="center"/>
    </w:pPr>
    <w:rPr>
      <w:rFonts w:ascii="Times New Roman" w:hAnsi="Times New Roman"/>
      <w:b/>
      <w:bCs/>
      <w:sz w:val="36"/>
      <w:szCs w:val="20"/>
    </w:rPr>
  </w:style>
  <w:style w:type="paragraph" w:customStyle="1" w:styleId="20">
    <w:name w:val="正文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
    <w:name w:val="正文 New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2">
    <w:name w:val="正文文本 3 字符"/>
    <w:link w:val="4"/>
    <w:qFormat/>
    <w:uiPriority w:val="99"/>
    <w:rPr>
      <w:rFonts w:ascii="宋体"/>
      <w:sz w:val="24"/>
      <w:szCs w:val="20"/>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30</Pages>
  <Words>16232</Words>
  <Characters>16634</Characters>
  <Lines>0</Lines>
  <Paragraphs>0</Paragraphs>
  <TotalTime>0</TotalTime>
  <ScaleCrop>false</ScaleCrop>
  <LinksUpToDate>false</LinksUpToDate>
  <CharactersWithSpaces>17087</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2025-07-22T00:36:00Z</dcterms:created>
  <dc:creator>南美涛</dc:creator>
  <cp:lastModifiedBy>狼覃</cp:lastModifiedBy>
  <dcterms:modified xsi:type="dcterms:W3CDTF">2025-08-12T06:21:25Z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0AF8D53A2386445BADE63421A0A9B0C2_11</vt:lpwstr>
  </property>
  <property fmtid="{D5CDD505-2E9C-101B-9397-08002B2CF9AE}" pid="4" name="KSOTemplateDocerSaveRecord">
    <vt:lpwstr>eyJoZGlkIjoiNGQ0OTEyYmY1YWY3ODQwOWUwMWUyNDExZGE1YjMyZTMiLCJ1c2VySWQiOiIxMjgxNzYxNTU2In0=</vt:lpwstr>
  </property>
</Properties>
</file>