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highlight w:val="none"/>
        </w:rPr>
      </w:pPr>
      <w:bookmarkStart w:id="0" w:name="_GoBack"/>
      <w:bookmarkEnd w:id="0"/>
      <w:r>
        <w:rPr>
          <w:rFonts w:hint="eastAsia"/>
          <w:highlight w:val="none"/>
        </w:rPr>
        <w:t>附录1   资格审查条件（资质最低条件）</w:t>
      </w:r>
    </w:p>
    <w:tbl>
      <w:tblPr>
        <w:tblStyle w:val="9"/>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740" w:type="dxa"/>
            <w:vAlign w:val="center"/>
          </w:tcPr>
          <w:p>
            <w:pPr>
              <w:ind w:firstLine="0" w:firstLineChars="0"/>
              <w:jc w:val="center"/>
              <w:rPr>
                <w:highlight w:val="none"/>
              </w:rPr>
            </w:pPr>
            <w:r>
              <w:rPr>
                <w:rFonts w:hint="eastAsia"/>
                <w:highlight w:val="none"/>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5" w:hRule="atLeast"/>
          <w:jc w:val="center"/>
        </w:trPr>
        <w:tc>
          <w:tcPr>
            <w:tcW w:w="8740" w:type="dxa"/>
          </w:tcPr>
          <w:p>
            <w:pPr>
              <w:widowControl/>
              <w:ind w:firstLine="440"/>
              <w:jc w:val="center"/>
              <w:rPr>
                <w:rFonts w:ascii="宋体" w:hAnsi="宋体" w:cs="宋体"/>
                <w:kern w:val="0"/>
                <w:sz w:val="22"/>
                <w:szCs w:val="22"/>
                <w:highlight w:val="none"/>
              </w:rPr>
            </w:pPr>
          </w:p>
          <w:p>
            <w:pPr>
              <w:numPr>
                <w:ilvl w:val="0"/>
                <w:numId w:val="1"/>
              </w:numPr>
              <w:ind w:firstLine="420"/>
              <w:rPr>
                <w:highlight w:val="none"/>
              </w:rPr>
            </w:pPr>
            <w:r>
              <w:rPr>
                <w:highlight w:val="none"/>
              </w:rPr>
              <w:t>中华人民共和国国内注册成立的独立企业法人</w:t>
            </w:r>
            <w:r>
              <w:rPr>
                <w:rFonts w:hint="eastAsia"/>
                <w:highlight w:val="none"/>
              </w:rPr>
              <w:t>。</w:t>
            </w:r>
          </w:p>
          <w:p>
            <w:pPr>
              <w:ind w:firstLine="420"/>
              <w:rPr>
                <w:highlight w:val="none"/>
              </w:rPr>
            </w:pPr>
            <w:r>
              <w:rPr>
                <w:rFonts w:hint="eastAsia"/>
                <w:highlight w:val="none"/>
              </w:rPr>
              <w:t>2、</w:t>
            </w:r>
            <w:r>
              <w:rPr>
                <w:highlight w:val="none"/>
              </w:rPr>
              <w:t>具备建设行政主管部门核发的</w:t>
            </w:r>
            <w:r>
              <w:rPr>
                <w:rFonts w:hint="eastAsia"/>
                <w:highlight w:val="none"/>
              </w:rPr>
              <w:t>公路工程施工总承包三级（或以上）及公路交通工程（公路安全设施分项）专业承包二级（或以上）资质。</w:t>
            </w:r>
          </w:p>
          <w:p>
            <w:pPr>
              <w:ind w:firstLine="420"/>
              <w:rPr>
                <w:highlight w:val="none"/>
              </w:rPr>
            </w:pPr>
            <w:r>
              <w:rPr>
                <w:rFonts w:hint="eastAsia"/>
                <w:highlight w:val="none"/>
              </w:rPr>
              <w:t>3、</w:t>
            </w:r>
            <w:r>
              <w:rPr>
                <w:highlight w:val="none"/>
              </w:rPr>
              <w:t>具有有效的安全生产许可证。</w:t>
            </w:r>
          </w:p>
          <w:p>
            <w:pPr>
              <w:ind w:firstLine="440"/>
              <w:rPr>
                <w:rFonts w:ascii="宋体" w:hAnsi="宋体" w:cs="宋体"/>
                <w:kern w:val="0"/>
                <w:sz w:val="22"/>
                <w:szCs w:val="22"/>
                <w:highlight w:val="none"/>
              </w:rPr>
            </w:pPr>
          </w:p>
        </w:tc>
      </w:tr>
    </w:tbl>
    <w:p>
      <w:pPr>
        <w:ind w:firstLine="420"/>
        <w:rPr>
          <w:highlight w:val="none"/>
        </w:rPr>
      </w:pPr>
    </w:p>
    <w:p>
      <w:pPr>
        <w:ind w:firstLine="420"/>
        <w:rPr>
          <w:highlight w:val="none"/>
        </w:rPr>
      </w:pPr>
      <w:r>
        <w:rPr>
          <w:rFonts w:hint="eastAsia"/>
          <w:highlight w:val="none"/>
        </w:rPr>
        <w:br w:type="page"/>
      </w:r>
    </w:p>
    <w:p>
      <w:pPr>
        <w:pStyle w:val="5"/>
        <w:jc w:val="center"/>
        <w:rPr>
          <w:highlight w:val="none"/>
        </w:rPr>
      </w:pPr>
      <w:r>
        <w:rPr>
          <w:rFonts w:hint="eastAsia"/>
          <w:highlight w:val="none"/>
        </w:rPr>
        <w:t>附录2   资格审查条件（财务最低要求）</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522" w:type="dxa"/>
            <w:vAlign w:val="center"/>
          </w:tcPr>
          <w:p>
            <w:pPr>
              <w:ind w:firstLine="0" w:firstLineChars="0"/>
              <w:jc w:val="center"/>
              <w:rPr>
                <w:szCs w:val="22"/>
                <w:highlight w:val="none"/>
              </w:rPr>
            </w:pPr>
            <w:r>
              <w:rPr>
                <w:rFonts w:hint="eastAsia"/>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7" w:hRule="atLeast"/>
          <w:jc w:val="center"/>
        </w:trPr>
        <w:tc>
          <w:tcPr>
            <w:tcW w:w="8522" w:type="dxa"/>
          </w:tcPr>
          <w:p>
            <w:pPr>
              <w:ind w:firstLine="399" w:firstLineChars="190"/>
              <w:rPr>
                <w:highlight w:val="none"/>
              </w:rPr>
            </w:pPr>
            <w:r>
              <w:rPr>
                <w:rFonts w:hint="eastAsia"/>
                <w:highlight w:val="none"/>
              </w:rPr>
              <w:t>1、近一年（20</w:t>
            </w:r>
            <w:r>
              <w:rPr>
                <w:rFonts w:hint="eastAsia" w:eastAsia="宋体" w:asciiTheme="minorHAnsi"/>
                <w:highlight w:val="none"/>
                <w:lang w:val="en-US" w:eastAsia="zh-CN"/>
              </w:rPr>
              <w:t>21</w:t>
            </w:r>
            <w:r>
              <w:rPr>
                <w:rFonts w:hint="eastAsia"/>
                <w:highlight w:val="none"/>
              </w:rPr>
              <w:t>年），营运资金（流动资产-流动负债）不少于</w:t>
            </w:r>
            <w:r>
              <w:rPr>
                <w:rFonts w:hint="eastAsia" w:eastAsia="宋体" w:asciiTheme="minorHAnsi"/>
                <w:highlight w:val="none"/>
                <w:lang w:val="en-US" w:eastAsia="zh-CN"/>
              </w:rPr>
              <w:t>1</w:t>
            </w:r>
            <w:r>
              <w:rPr>
                <w:rFonts w:hint="eastAsia"/>
                <w:highlight w:val="none"/>
              </w:rPr>
              <w:t>000万元人民币；</w:t>
            </w:r>
          </w:p>
          <w:p>
            <w:pPr>
              <w:ind w:firstLine="399" w:firstLineChars="190"/>
              <w:rPr>
                <w:highlight w:val="none"/>
              </w:rPr>
            </w:pPr>
            <w:r>
              <w:rPr>
                <w:rFonts w:hint="eastAsia"/>
                <w:highlight w:val="none"/>
              </w:rPr>
              <w:t>2、近一</w:t>
            </w:r>
            <w:r>
              <w:rPr>
                <w:rFonts w:hint="eastAsia" w:eastAsia="宋体" w:asciiTheme="minorHAnsi"/>
                <w:highlight w:val="none"/>
                <w:lang w:val="en-US" w:eastAsia="zh-CN"/>
              </w:rPr>
              <w:t>个</w:t>
            </w:r>
            <w:r>
              <w:rPr>
                <w:rFonts w:hint="eastAsia"/>
                <w:highlight w:val="none"/>
              </w:rPr>
              <w:t>年</w:t>
            </w:r>
            <w:r>
              <w:rPr>
                <w:rFonts w:hint="eastAsia" w:eastAsia="宋体" w:asciiTheme="minorHAnsi"/>
                <w:highlight w:val="none"/>
                <w:lang w:val="en-US" w:eastAsia="zh-CN"/>
              </w:rPr>
              <w:t>度</w:t>
            </w:r>
            <w:r>
              <w:rPr>
                <w:rFonts w:hint="eastAsia"/>
                <w:highlight w:val="none"/>
              </w:rPr>
              <w:t>（</w:t>
            </w:r>
            <w:r>
              <w:rPr>
                <w:rFonts w:hint="eastAsia" w:eastAsia="宋体" w:asciiTheme="minorHAnsi"/>
                <w:highlight w:val="none"/>
                <w:lang w:val="en-US" w:eastAsia="zh-CN"/>
              </w:rPr>
              <w:t>2021</w:t>
            </w:r>
            <w:r>
              <w:rPr>
                <w:rFonts w:hint="eastAsia"/>
                <w:highlight w:val="none"/>
              </w:rPr>
              <w:t>年）营业总收入不少于</w:t>
            </w:r>
            <w:r>
              <w:rPr>
                <w:rFonts w:hint="eastAsia" w:eastAsia="宋体" w:asciiTheme="minorHAnsi"/>
                <w:highlight w:val="none"/>
                <w:lang w:val="en-US" w:eastAsia="zh-CN"/>
              </w:rPr>
              <w:t>3</w:t>
            </w:r>
            <w:r>
              <w:rPr>
                <w:rFonts w:hint="eastAsia"/>
                <w:highlight w:val="none"/>
              </w:rPr>
              <w:t>000万元人民币；</w:t>
            </w:r>
          </w:p>
          <w:p>
            <w:pPr>
              <w:ind w:firstLine="399" w:firstLineChars="190"/>
              <w:rPr>
                <w:rFonts w:hint="eastAsia"/>
                <w:highlight w:val="none"/>
              </w:rPr>
            </w:pPr>
            <w:r>
              <w:rPr>
                <w:rFonts w:hint="eastAsia"/>
                <w:highlight w:val="none"/>
              </w:rPr>
              <w:t>3、最近一</w:t>
            </w:r>
            <w:r>
              <w:rPr>
                <w:rFonts w:hint="eastAsia" w:eastAsia="宋体" w:asciiTheme="minorHAnsi"/>
                <w:highlight w:val="none"/>
                <w:lang w:val="en-US" w:eastAsia="zh-CN"/>
              </w:rPr>
              <w:t>个</w:t>
            </w:r>
            <w:r>
              <w:rPr>
                <w:rFonts w:hint="eastAsia"/>
                <w:highlight w:val="none"/>
              </w:rPr>
              <w:t>年</w:t>
            </w:r>
            <w:r>
              <w:rPr>
                <w:rFonts w:hint="eastAsia" w:eastAsia="宋体" w:asciiTheme="minorHAnsi"/>
                <w:highlight w:val="none"/>
                <w:lang w:val="en-US" w:eastAsia="zh-CN"/>
              </w:rPr>
              <w:t>度</w:t>
            </w:r>
            <w:r>
              <w:rPr>
                <w:rFonts w:hint="eastAsia"/>
                <w:highlight w:val="none"/>
              </w:rPr>
              <w:t>（</w:t>
            </w:r>
            <w:r>
              <w:rPr>
                <w:rFonts w:hint="eastAsia" w:eastAsia="宋体" w:asciiTheme="minorHAnsi"/>
                <w:highlight w:val="none"/>
                <w:lang w:val="en-US" w:eastAsia="zh-CN"/>
              </w:rPr>
              <w:t>2021</w:t>
            </w:r>
            <w:r>
              <w:rPr>
                <w:rFonts w:hint="eastAsia"/>
                <w:highlight w:val="none"/>
              </w:rPr>
              <w:t>年）盈利。</w:t>
            </w:r>
          </w:p>
          <w:p>
            <w:pPr>
              <w:ind w:firstLine="399" w:firstLineChars="190"/>
              <w:rPr>
                <w:rFonts w:hint="eastAsia"/>
                <w:highlight w:val="none"/>
              </w:rPr>
            </w:pPr>
            <w:r>
              <w:rPr>
                <w:rFonts w:hint="eastAsia"/>
                <w:highlight w:val="none"/>
              </w:rPr>
              <w:t>4、近一年（202</w:t>
            </w:r>
            <w:r>
              <w:rPr>
                <w:rFonts w:hint="eastAsia" w:eastAsia="宋体" w:asciiTheme="minorHAnsi"/>
                <w:highlight w:val="none"/>
                <w:lang w:val="en-US" w:eastAsia="zh-CN"/>
              </w:rPr>
              <w:t>1</w:t>
            </w:r>
            <w:r>
              <w:rPr>
                <w:rFonts w:hint="eastAsia"/>
                <w:highlight w:val="none"/>
              </w:rPr>
              <w:t>年），资产负债率小于</w:t>
            </w:r>
            <w:r>
              <w:rPr>
                <w:rFonts w:hint="eastAsia" w:eastAsia="宋体" w:asciiTheme="minorHAnsi"/>
                <w:highlight w:val="none"/>
                <w:lang w:val="en-US" w:eastAsia="zh-CN"/>
              </w:rPr>
              <w:t>50</w:t>
            </w:r>
            <w:r>
              <w:rPr>
                <w:rFonts w:hint="eastAsia"/>
                <w:highlight w:val="none"/>
              </w:rPr>
              <w:t>%</w:t>
            </w:r>
            <w:r>
              <w:rPr>
                <w:rFonts w:hint="eastAsia" w:eastAsia="宋体" w:asciiTheme="minorHAnsi"/>
                <w:highlight w:val="none"/>
                <w:lang w:val="en-US" w:eastAsia="zh-CN"/>
              </w:rPr>
              <w:t xml:space="preserve"> 。</w:t>
            </w:r>
          </w:p>
          <w:p>
            <w:pPr>
              <w:pStyle w:val="4"/>
              <w:rPr>
                <w:highlight w:val="none"/>
              </w:rPr>
            </w:pPr>
          </w:p>
          <w:p>
            <w:pPr>
              <w:pStyle w:val="7"/>
              <w:rPr>
                <w:highlight w:val="none"/>
              </w:rPr>
            </w:pPr>
          </w:p>
        </w:tc>
      </w:tr>
    </w:tbl>
    <w:p>
      <w:pPr>
        <w:ind w:firstLine="0" w:firstLineChars="0"/>
        <w:rPr>
          <w:sz w:val="18"/>
          <w:szCs w:val="18"/>
          <w:highlight w:val="none"/>
        </w:rPr>
      </w:pPr>
    </w:p>
    <w:p>
      <w:pPr>
        <w:ind w:firstLine="0" w:firstLineChars="0"/>
        <w:rPr>
          <w:sz w:val="18"/>
          <w:szCs w:val="18"/>
          <w:highlight w:val="none"/>
        </w:rPr>
      </w:pPr>
      <w:r>
        <w:rPr>
          <w:rFonts w:hint="eastAsia"/>
          <w:sz w:val="18"/>
          <w:szCs w:val="18"/>
          <w:highlight w:val="none"/>
        </w:rPr>
        <w:t>注：1、企业净资产、营运资金是按交通运输部“全国公路建设市场信用信息管理系统”登记的最新年度数据计算得出。</w:t>
      </w:r>
    </w:p>
    <w:p>
      <w:pPr>
        <w:ind w:firstLine="0" w:firstLineChars="0"/>
        <w:rPr>
          <w:sz w:val="18"/>
          <w:szCs w:val="18"/>
          <w:highlight w:val="none"/>
        </w:rPr>
      </w:pPr>
      <w:r>
        <w:rPr>
          <w:rFonts w:hint="eastAsia"/>
          <w:sz w:val="18"/>
          <w:szCs w:val="18"/>
          <w:highlight w:val="none"/>
        </w:rPr>
        <w:t>2、近三个年度财务信息以投标人提供的“全国公路建设市场信用信息管理系统”企业所填的信息截图为准。</w:t>
      </w:r>
    </w:p>
    <w:p>
      <w:pPr>
        <w:keepNext/>
        <w:keepLines/>
        <w:spacing w:line="240" w:lineRule="atLeast"/>
        <w:rPr>
          <w:bCs/>
          <w:sz w:val="32"/>
          <w:szCs w:val="20"/>
          <w:highlight w:val="none"/>
        </w:rPr>
      </w:pPr>
      <w:r>
        <w:rPr>
          <w:rFonts w:hint="eastAsia"/>
          <w:bCs/>
          <w:sz w:val="32"/>
          <w:szCs w:val="20"/>
          <w:highlight w:val="none"/>
        </w:rPr>
        <w:br w:type="page"/>
      </w:r>
    </w:p>
    <w:p>
      <w:pPr>
        <w:pStyle w:val="5"/>
        <w:jc w:val="center"/>
        <w:rPr>
          <w:highlight w:val="none"/>
        </w:rPr>
      </w:pPr>
      <w:r>
        <w:rPr>
          <w:rFonts w:hint="eastAsia"/>
          <w:highlight w:val="none"/>
        </w:rPr>
        <w:t>附录3   资格审查条件（业绩最低要求）</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522" w:type="dxa"/>
            <w:vAlign w:val="center"/>
          </w:tcPr>
          <w:p>
            <w:pPr>
              <w:ind w:firstLine="0" w:firstLineChars="0"/>
              <w:jc w:val="center"/>
              <w:rPr>
                <w:highlight w:val="none"/>
              </w:rPr>
            </w:pPr>
            <w:r>
              <w:rPr>
                <w:rFonts w:hint="eastAsia"/>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1" w:hRule="atLeast"/>
          <w:jc w:val="center"/>
        </w:trPr>
        <w:tc>
          <w:tcPr>
            <w:tcW w:w="8522" w:type="dxa"/>
          </w:tcPr>
          <w:p>
            <w:pPr>
              <w:ind w:firstLine="420"/>
              <w:rPr>
                <w:highlight w:val="none"/>
              </w:rPr>
            </w:pPr>
            <w:r>
              <w:rPr>
                <w:rFonts w:hint="eastAsia"/>
                <w:highlight w:val="none"/>
              </w:rPr>
              <w:t>近五年（20</w:t>
            </w:r>
            <w:r>
              <w:rPr>
                <w:rFonts w:hint="eastAsia" w:eastAsia="宋体" w:asciiTheme="minorHAnsi"/>
                <w:highlight w:val="none"/>
                <w:lang w:val="en-US" w:eastAsia="zh-CN"/>
              </w:rPr>
              <w:t>17</w:t>
            </w:r>
            <w:r>
              <w:rPr>
                <w:rFonts w:hint="eastAsia"/>
                <w:highlight w:val="none"/>
              </w:rPr>
              <w:t>年</w:t>
            </w:r>
            <w:r>
              <w:rPr>
                <w:rFonts w:hint="eastAsia" w:eastAsia="宋体" w:asciiTheme="minorHAnsi"/>
                <w:highlight w:val="none"/>
                <w:lang w:val="en-US" w:eastAsia="zh-CN"/>
              </w:rPr>
              <w:t>12</w:t>
            </w:r>
            <w:r>
              <w:rPr>
                <w:rFonts w:hint="eastAsia"/>
                <w:highlight w:val="none"/>
              </w:rPr>
              <w:t>月1日至投标文件递交截止之日止）：</w:t>
            </w:r>
          </w:p>
          <w:p>
            <w:pPr>
              <w:ind w:firstLine="420"/>
              <w:rPr>
                <w:rFonts w:ascii="宋体" w:hAnsi="宋体" w:cs="宋体"/>
                <w:kern w:val="0"/>
                <w:szCs w:val="22"/>
                <w:highlight w:val="none"/>
              </w:rPr>
            </w:pPr>
            <w:r>
              <w:rPr>
                <w:rFonts w:hint="eastAsia"/>
                <w:highlight w:val="none"/>
              </w:rPr>
              <w:t>独立成功完成过一项</w:t>
            </w:r>
            <w:r>
              <w:rPr>
                <w:rFonts w:hint="eastAsia" w:eastAsia="宋体" w:asciiTheme="minorHAnsi"/>
                <w:highlight w:val="none"/>
                <w:lang w:val="en-US" w:eastAsia="zh-CN"/>
              </w:rPr>
              <w:t>新建、改建、扩建或路面改造的水泥混凝土</w:t>
            </w:r>
            <w:r>
              <w:rPr>
                <w:rFonts w:hint="eastAsia"/>
                <w:highlight w:val="none"/>
              </w:rPr>
              <w:t>公路路面施工业绩，施工内容须同时包含混凝土挡土墙、</w:t>
            </w:r>
            <w:r>
              <w:rPr>
                <w:rFonts w:hint="eastAsia" w:eastAsia="宋体" w:asciiTheme="minorHAnsi"/>
                <w:highlight w:val="none"/>
                <w:lang w:val="en-US" w:eastAsia="zh-CN"/>
              </w:rPr>
              <w:t>标志标线、波形护栏</w:t>
            </w:r>
            <w:r>
              <w:rPr>
                <w:rFonts w:hint="eastAsia" w:eastAsia="宋体"/>
                <w:highlight w:val="none"/>
                <w:lang w:eastAsia="zh-CN"/>
              </w:rPr>
              <w:t>、</w:t>
            </w:r>
            <w:r>
              <w:rPr>
                <w:rFonts w:hint="eastAsia"/>
                <w:highlight w:val="none"/>
              </w:rPr>
              <w:t>平面交叉工程等。</w:t>
            </w:r>
          </w:p>
        </w:tc>
      </w:tr>
    </w:tbl>
    <w:p>
      <w:pPr>
        <w:keepNext w:val="0"/>
        <w:keepLines w:val="0"/>
        <w:pageBreakBefore w:val="0"/>
        <w:widowControl w:val="0"/>
        <w:kinsoku/>
        <w:wordWrap/>
        <w:overflowPunct/>
        <w:topLinePunct w:val="0"/>
        <w:autoSpaceDE/>
        <w:autoSpaceDN/>
        <w:bidi w:val="0"/>
        <w:adjustRightInd/>
        <w:snapToGrid/>
        <w:spacing w:line="300" w:lineRule="exact"/>
        <w:ind w:firstLine="360"/>
        <w:textAlignment w:val="auto"/>
        <w:rPr>
          <w:rFonts w:hint="eastAsia"/>
          <w:sz w:val="18"/>
          <w:szCs w:val="18"/>
          <w:highlight w:val="none"/>
        </w:rPr>
      </w:pPr>
      <w:r>
        <w:rPr>
          <w:rFonts w:hint="eastAsia"/>
          <w:sz w:val="18"/>
          <w:szCs w:val="18"/>
          <w:highlight w:val="none"/>
        </w:rPr>
        <w:t>注：1、本表要求业绩指由投标人独立承接并完成的业绩（不含以联合体形式承担的工程项目）；机构总部（如总公司、集团公司、局等）与其下属机构或专业单位的施工业绩经验不予认定。业绩计算时间以此期间通过交工验收或未交工一次竣工验收的时间为准。</w:t>
      </w:r>
    </w:p>
    <w:p>
      <w:pPr>
        <w:keepNext w:val="0"/>
        <w:keepLines w:val="0"/>
        <w:pageBreakBefore w:val="0"/>
        <w:widowControl w:val="0"/>
        <w:kinsoku/>
        <w:wordWrap/>
        <w:overflowPunct/>
        <w:topLinePunct w:val="0"/>
        <w:autoSpaceDE/>
        <w:autoSpaceDN/>
        <w:bidi w:val="0"/>
        <w:adjustRightInd/>
        <w:snapToGrid/>
        <w:spacing w:line="300" w:lineRule="exact"/>
        <w:ind w:firstLine="360"/>
        <w:textAlignment w:val="auto"/>
        <w:rPr>
          <w:rFonts w:hint="eastAsia"/>
          <w:sz w:val="18"/>
          <w:szCs w:val="18"/>
          <w:highlight w:val="none"/>
        </w:rPr>
      </w:pPr>
      <w:r>
        <w:rPr>
          <w:rFonts w:hint="eastAsia"/>
          <w:sz w:val="18"/>
          <w:szCs w:val="18"/>
          <w:highlight w:val="none"/>
        </w:rPr>
        <w:t>2、“完成过”指工程完工并交工验收评定合格，或竣工验收经交通运输工程质量监督部门评定为质量合格。</w:t>
      </w:r>
    </w:p>
    <w:p>
      <w:pPr>
        <w:keepNext w:val="0"/>
        <w:keepLines w:val="0"/>
        <w:pageBreakBefore w:val="0"/>
        <w:widowControl w:val="0"/>
        <w:kinsoku/>
        <w:wordWrap/>
        <w:overflowPunct/>
        <w:topLinePunct w:val="0"/>
        <w:autoSpaceDE/>
        <w:autoSpaceDN/>
        <w:bidi w:val="0"/>
        <w:adjustRightInd/>
        <w:snapToGrid/>
        <w:spacing w:line="300" w:lineRule="exact"/>
        <w:ind w:firstLine="360"/>
        <w:textAlignment w:val="auto"/>
        <w:rPr>
          <w:rFonts w:hint="eastAsia"/>
          <w:sz w:val="18"/>
          <w:szCs w:val="18"/>
          <w:highlight w:val="none"/>
        </w:rPr>
      </w:pPr>
      <w:r>
        <w:rPr>
          <w:rFonts w:hint="eastAsia"/>
          <w:sz w:val="18"/>
          <w:szCs w:val="18"/>
          <w:highlight w:val="none"/>
        </w:rPr>
        <w:t>3、若投标人提供的业绩证明为联合体业绩，则按交通运输部“全国公路建设市场信用信息管理系统”业绩信息的网页截图）体现其完成的工作量认定，无法界定其完成的工作量，此业绩不予认定。</w:t>
      </w:r>
    </w:p>
    <w:p>
      <w:pPr>
        <w:keepNext w:val="0"/>
        <w:keepLines w:val="0"/>
        <w:pageBreakBefore w:val="0"/>
        <w:widowControl w:val="0"/>
        <w:kinsoku/>
        <w:wordWrap/>
        <w:overflowPunct/>
        <w:topLinePunct w:val="0"/>
        <w:autoSpaceDE/>
        <w:autoSpaceDN/>
        <w:bidi w:val="0"/>
        <w:adjustRightInd/>
        <w:snapToGrid/>
        <w:spacing w:line="300" w:lineRule="exact"/>
        <w:ind w:firstLine="360"/>
        <w:textAlignment w:val="auto"/>
        <w:rPr>
          <w:rFonts w:hint="eastAsia"/>
          <w:sz w:val="18"/>
          <w:szCs w:val="18"/>
          <w:highlight w:val="none"/>
        </w:rPr>
      </w:pPr>
      <w:r>
        <w:rPr>
          <w:rFonts w:hint="eastAsia" w:eastAsia="宋体" w:asciiTheme="minorHAnsi"/>
          <w:sz w:val="18"/>
          <w:szCs w:val="18"/>
          <w:highlight w:val="none"/>
          <w:lang w:val="en-US" w:eastAsia="zh-CN"/>
        </w:rPr>
        <w:t>4</w:t>
      </w:r>
      <w:r>
        <w:rPr>
          <w:rFonts w:hint="eastAsia"/>
          <w:sz w:val="18"/>
          <w:szCs w:val="18"/>
          <w:highlight w:val="none"/>
        </w:rPr>
        <w:t>、以上业绩要求为新建、改建、扩建或路面改造业绩，不包含大中小修、整治、修复、路面改善、提升、路面处治、养护、罩面、灾病害处理及单项交安工程等业绩。</w:t>
      </w:r>
    </w:p>
    <w:p>
      <w:pPr>
        <w:jc w:val="center"/>
        <w:rPr>
          <w:bCs/>
          <w:sz w:val="32"/>
          <w:szCs w:val="20"/>
          <w:highlight w:val="none"/>
        </w:rPr>
      </w:pPr>
      <w:r>
        <w:rPr>
          <w:rFonts w:hint="eastAsia"/>
          <w:bCs/>
          <w:sz w:val="32"/>
          <w:szCs w:val="20"/>
          <w:highlight w:val="none"/>
        </w:rPr>
        <w:br w:type="page"/>
      </w:r>
    </w:p>
    <w:p>
      <w:pPr>
        <w:pStyle w:val="5"/>
        <w:jc w:val="center"/>
        <w:rPr>
          <w:highlight w:val="none"/>
        </w:rPr>
      </w:pPr>
      <w:r>
        <w:rPr>
          <w:rFonts w:hint="eastAsia"/>
          <w:highlight w:val="none"/>
        </w:rPr>
        <w:t>附录4   资格审查条件（信誉最低要求）</w:t>
      </w:r>
    </w:p>
    <w:p>
      <w:pPr>
        <w:jc w:val="center"/>
        <w:rPr>
          <w:bCs/>
          <w:sz w:val="32"/>
          <w:szCs w:val="20"/>
          <w:highlight w:val="none"/>
        </w:rPr>
      </w:pP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522" w:type="dxa"/>
            <w:vAlign w:val="center"/>
          </w:tcPr>
          <w:p>
            <w:pPr>
              <w:ind w:firstLine="0" w:firstLineChars="0"/>
              <w:jc w:val="center"/>
              <w:rPr>
                <w:highlight w:val="none"/>
              </w:rPr>
            </w:pPr>
            <w:r>
              <w:rPr>
                <w:rFonts w:hint="eastAsia"/>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2" w:hRule="atLeast"/>
          <w:jc w:val="center"/>
        </w:trPr>
        <w:tc>
          <w:tcPr>
            <w:tcW w:w="8522" w:type="dxa"/>
          </w:tcPr>
          <w:p>
            <w:pPr>
              <w:ind w:firstLine="420"/>
              <w:rPr>
                <w:highlight w:val="none"/>
              </w:rPr>
            </w:pPr>
            <w:r>
              <w:rPr>
                <w:rFonts w:hint="eastAsia"/>
                <w:highlight w:val="none"/>
              </w:rPr>
              <w:t>在最新年度广东省公路工程从业单位（施工单位）信用评价（含无最新年度而上一年度有信用评价）中，信用等级未被评为D级；</w:t>
            </w:r>
          </w:p>
          <w:p>
            <w:pPr>
              <w:ind w:firstLine="420"/>
              <w:rPr>
                <w:rFonts w:ascii="宋体" w:hAnsi="宋体" w:cs="宋体"/>
                <w:kern w:val="0"/>
                <w:szCs w:val="22"/>
                <w:highlight w:val="none"/>
              </w:rPr>
            </w:pPr>
            <w:r>
              <w:rPr>
                <w:rFonts w:hint="eastAsia"/>
                <w:highlight w:val="none"/>
              </w:rPr>
              <w:t>初次进入广东省的投标人，在最新年度的全国公路从业单位（施工单位）信用评价结果中未被评为D级。</w:t>
            </w:r>
          </w:p>
        </w:tc>
      </w:tr>
    </w:tbl>
    <w:p>
      <w:pPr>
        <w:jc w:val="left"/>
        <w:rPr>
          <w:rFonts w:hint="eastAsia"/>
          <w:sz w:val="18"/>
          <w:szCs w:val="18"/>
          <w:highlight w:val="none"/>
        </w:rPr>
      </w:pPr>
      <w:r>
        <w:rPr>
          <w:rFonts w:hint="eastAsia"/>
          <w:sz w:val="18"/>
          <w:szCs w:val="18"/>
          <w:highlight w:val="none"/>
        </w:rPr>
        <w:t>注：信用等级应按照广东省交通运输厅最新公布的信用等级结果进行认定，具体信息可在广东省交通运输公众网（http:www.gdcd.gov.cn）或广东交通建设市场信用管理系统（http://121.33.200.110:8088/）查询。</w:t>
      </w:r>
    </w:p>
    <w:p>
      <w:pPr>
        <w:jc w:val="center"/>
        <w:rPr>
          <w:rFonts w:hint="eastAsia"/>
          <w:sz w:val="18"/>
          <w:szCs w:val="18"/>
          <w:highlight w:val="none"/>
        </w:rPr>
      </w:pPr>
    </w:p>
    <w:p>
      <w:pPr>
        <w:jc w:val="center"/>
        <w:rPr>
          <w:bCs/>
          <w:sz w:val="32"/>
          <w:szCs w:val="20"/>
          <w:highlight w:val="none"/>
        </w:rPr>
      </w:pPr>
    </w:p>
    <w:p>
      <w:pPr>
        <w:jc w:val="center"/>
        <w:rPr>
          <w:bCs/>
          <w:sz w:val="32"/>
          <w:szCs w:val="20"/>
          <w:highlight w:val="none"/>
        </w:rPr>
      </w:pPr>
    </w:p>
    <w:p>
      <w:pPr>
        <w:jc w:val="center"/>
        <w:rPr>
          <w:bCs/>
          <w:sz w:val="32"/>
          <w:szCs w:val="20"/>
          <w:highlight w:val="none"/>
        </w:rPr>
      </w:pPr>
    </w:p>
    <w:p>
      <w:pPr>
        <w:jc w:val="center"/>
        <w:rPr>
          <w:bCs/>
          <w:sz w:val="32"/>
          <w:szCs w:val="20"/>
          <w:highlight w:val="none"/>
        </w:rPr>
      </w:pPr>
    </w:p>
    <w:p>
      <w:pPr>
        <w:jc w:val="center"/>
        <w:rPr>
          <w:bCs/>
          <w:sz w:val="32"/>
          <w:szCs w:val="20"/>
          <w:highlight w:val="none"/>
        </w:rPr>
      </w:pPr>
    </w:p>
    <w:p>
      <w:pPr>
        <w:jc w:val="center"/>
        <w:rPr>
          <w:bCs/>
          <w:sz w:val="32"/>
          <w:szCs w:val="20"/>
          <w:highlight w:val="none"/>
        </w:rPr>
      </w:pPr>
    </w:p>
    <w:p>
      <w:pPr>
        <w:jc w:val="center"/>
        <w:rPr>
          <w:bCs/>
          <w:sz w:val="32"/>
          <w:szCs w:val="20"/>
          <w:highlight w:val="none"/>
        </w:rPr>
      </w:pPr>
    </w:p>
    <w:p>
      <w:pPr>
        <w:rPr>
          <w:bCs/>
          <w:sz w:val="32"/>
          <w:szCs w:val="20"/>
          <w:highlight w:val="none"/>
        </w:rPr>
      </w:pPr>
      <w:r>
        <w:rPr>
          <w:rFonts w:hint="eastAsia"/>
          <w:bCs/>
          <w:sz w:val="32"/>
          <w:szCs w:val="20"/>
          <w:highlight w:val="none"/>
        </w:rPr>
        <w:br w:type="page"/>
      </w:r>
    </w:p>
    <w:p>
      <w:pPr>
        <w:pStyle w:val="5"/>
        <w:jc w:val="center"/>
        <w:rPr>
          <w:highlight w:val="none"/>
        </w:rPr>
      </w:pPr>
      <w:r>
        <w:rPr>
          <w:rFonts w:hint="eastAsia"/>
          <w:highlight w:val="none"/>
        </w:rPr>
        <w:t>附录5   资格审查条件（项目经理和项目总工最低要求）</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995"/>
        <w:gridCol w:w="3491"/>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ind w:firstLine="0" w:firstLineChars="0"/>
              <w:jc w:val="center"/>
              <w:rPr>
                <w:highlight w:val="none"/>
              </w:rPr>
            </w:pPr>
            <w:r>
              <w:rPr>
                <w:rFonts w:hint="eastAsia"/>
                <w:highlight w:val="none"/>
              </w:rPr>
              <w:t>人员</w:t>
            </w:r>
          </w:p>
        </w:tc>
        <w:tc>
          <w:tcPr>
            <w:tcW w:w="995" w:type="dxa"/>
          </w:tcPr>
          <w:p>
            <w:pPr>
              <w:ind w:firstLine="0" w:firstLineChars="0"/>
              <w:jc w:val="center"/>
              <w:rPr>
                <w:highlight w:val="none"/>
              </w:rPr>
            </w:pPr>
            <w:r>
              <w:rPr>
                <w:rFonts w:hint="eastAsia"/>
                <w:highlight w:val="none"/>
              </w:rPr>
              <w:t>数量</w:t>
            </w:r>
          </w:p>
        </w:tc>
        <w:tc>
          <w:tcPr>
            <w:tcW w:w="3491" w:type="dxa"/>
          </w:tcPr>
          <w:p>
            <w:pPr>
              <w:ind w:firstLine="0" w:firstLineChars="0"/>
              <w:jc w:val="center"/>
              <w:rPr>
                <w:highlight w:val="none"/>
              </w:rPr>
            </w:pPr>
            <w:r>
              <w:rPr>
                <w:rFonts w:hint="eastAsia"/>
                <w:highlight w:val="none"/>
              </w:rPr>
              <w:t>资格要求</w:t>
            </w:r>
          </w:p>
        </w:tc>
        <w:tc>
          <w:tcPr>
            <w:tcW w:w="1906" w:type="dxa"/>
          </w:tcPr>
          <w:p>
            <w:pPr>
              <w:ind w:firstLine="0" w:firstLineChars="0"/>
              <w:jc w:val="center"/>
              <w:rPr>
                <w:highlight w:val="none"/>
              </w:rPr>
            </w:pPr>
            <w:r>
              <w:rPr>
                <w:rFonts w:hint="eastAsia"/>
                <w:highlight w:val="none"/>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2130" w:type="dxa"/>
            <w:vAlign w:val="center"/>
          </w:tcPr>
          <w:p>
            <w:pPr>
              <w:ind w:firstLine="0" w:firstLineChars="0"/>
              <w:jc w:val="center"/>
              <w:rPr>
                <w:highlight w:val="none"/>
              </w:rPr>
            </w:pPr>
            <w:r>
              <w:rPr>
                <w:rFonts w:hint="eastAsia"/>
                <w:highlight w:val="none"/>
              </w:rPr>
              <w:t>项目经理</w:t>
            </w:r>
          </w:p>
        </w:tc>
        <w:tc>
          <w:tcPr>
            <w:tcW w:w="995" w:type="dxa"/>
            <w:vAlign w:val="center"/>
          </w:tcPr>
          <w:p>
            <w:pPr>
              <w:ind w:firstLine="420"/>
              <w:jc w:val="center"/>
              <w:rPr>
                <w:highlight w:val="none"/>
              </w:rPr>
            </w:pPr>
            <w:r>
              <w:rPr>
                <w:rFonts w:hint="eastAsia"/>
                <w:highlight w:val="none"/>
              </w:rPr>
              <w:t>1</w:t>
            </w:r>
          </w:p>
        </w:tc>
        <w:tc>
          <w:tcPr>
            <w:tcW w:w="3491" w:type="dxa"/>
            <w:vMerge w:val="restart"/>
            <w:vAlign w:val="center"/>
          </w:tcPr>
          <w:p>
            <w:pPr>
              <w:topLinePunct/>
              <w:adjustRightInd w:val="0"/>
              <w:spacing w:line="460" w:lineRule="exact"/>
              <w:ind w:firstLine="420" w:firstLineChars="200"/>
              <w:rPr>
                <w:sz w:val="21"/>
                <w:szCs w:val="21"/>
                <w:highlight w:val="none"/>
              </w:rPr>
            </w:pPr>
            <w:r>
              <w:rPr>
                <w:rFonts w:hint="eastAsia" w:ascii="宋体" w:hAnsi="宋体"/>
                <w:color w:val="auto"/>
                <w:sz w:val="21"/>
                <w:szCs w:val="21"/>
                <w:highlight w:val="none"/>
                <w:u w:val="single"/>
              </w:rPr>
              <w:t>路桥相关专业工程师</w:t>
            </w:r>
            <w:r>
              <w:rPr>
                <w:rFonts w:hint="eastAsia" w:ascii="宋体" w:hAnsi="宋体"/>
                <w:color w:val="auto"/>
                <w:sz w:val="21"/>
                <w:szCs w:val="21"/>
                <w:highlight w:val="none"/>
              </w:rPr>
              <w:t>或以上职称，持有有效的</w:t>
            </w:r>
            <w:r>
              <w:rPr>
                <w:rFonts w:hint="eastAsia" w:ascii="宋体" w:hAnsi="宋体"/>
                <w:color w:val="auto"/>
                <w:sz w:val="21"/>
                <w:szCs w:val="21"/>
                <w:highlight w:val="none"/>
                <w:u w:val="single"/>
              </w:rPr>
              <w:t>公路工程专业二级（或以上）建造师注册证书</w:t>
            </w:r>
            <w:r>
              <w:rPr>
                <w:rFonts w:hint="eastAsia" w:ascii="宋体" w:hAnsi="宋体"/>
                <w:color w:val="auto"/>
                <w:sz w:val="21"/>
                <w:szCs w:val="21"/>
                <w:highlight w:val="none"/>
              </w:rPr>
              <w:t>（不含临时资格证书，广东省外的投标人拟派项目经理需持有公路工程专业一级注册建造师注册证书），担任类似工程施工项目经理</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或项目副经理或项目总工</w:t>
            </w:r>
            <w:r>
              <w:rPr>
                <w:rFonts w:hint="eastAsia" w:ascii="宋体" w:hAnsi="宋体"/>
                <w:color w:val="auto"/>
                <w:sz w:val="21"/>
                <w:szCs w:val="21"/>
                <w:highlight w:val="none"/>
                <w:lang w:eastAsia="zh-CN"/>
              </w:rPr>
              <w:t>）</w:t>
            </w:r>
            <w:r>
              <w:rPr>
                <w:rFonts w:hint="eastAsia" w:ascii="宋体" w:hAnsi="宋体"/>
                <w:color w:val="auto"/>
                <w:sz w:val="21"/>
                <w:szCs w:val="21"/>
                <w:highlight w:val="none"/>
              </w:rPr>
              <w:t>岗位累计不少于60个月，具有交通运输主管部门颁发的有效安全生产“三类人员”B 类证书，年龄不超过55岁。</w:t>
            </w:r>
          </w:p>
        </w:tc>
        <w:tc>
          <w:tcPr>
            <w:tcW w:w="1906" w:type="dxa"/>
            <w:vMerge w:val="restart"/>
          </w:tcPr>
          <w:p>
            <w:pPr>
              <w:widowControl/>
              <w:ind w:firstLine="440"/>
              <w:jc w:val="left"/>
              <w:rPr>
                <w:rFonts w:ascii="宋体" w:hAnsi="宋体" w:cs="宋体"/>
                <w:kern w:val="0"/>
                <w:sz w:val="22"/>
                <w:szCs w:val="22"/>
                <w:highlight w:val="none"/>
              </w:rPr>
            </w:pPr>
          </w:p>
          <w:p>
            <w:pPr>
              <w:ind w:firstLine="0" w:firstLineChars="0"/>
              <w:rPr>
                <w:highlight w:val="none"/>
              </w:rPr>
            </w:pPr>
            <w:r>
              <w:rPr>
                <w:highlight w:val="none"/>
              </w:rPr>
              <w:t xml:space="preserve">无在岗项目(指目前未在其他项目上任职，或虽在其他项目上任职但本项目中标后能够从该项目撤离) </w:t>
            </w:r>
          </w:p>
          <w:p>
            <w:pPr>
              <w:ind w:firstLine="440"/>
              <w:rPr>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2130" w:type="dxa"/>
            <w:vAlign w:val="center"/>
          </w:tcPr>
          <w:p>
            <w:pPr>
              <w:ind w:firstLine="0" w:firstLineChars="0"/>
              <w:jc w:val="center"/>
              <w:rPr>
                <w:highlight w:val="none"/>
              </w:rPr>
            </w:pPr>
            <w:r>
              <w:rPr>
                <w:rFonts w:hint="eastAsia"/>
                <w:highlight w:val="none"/>
              </w:rPr>
              <w:t>项目经理备选人</w:t>
            </w:r>
          </w:p>
        </w:tc>
        <w:tc>
          <w:tcPr>
            <w:tcW w:w="995" w:type="dxa"/>
            <w:vAlign w:val="center"/>
          </w:tcPr>
          <w:p>
            <w:pPr>
              <w:ind w:firstLine="0" w:firstLineChars="0"/>
              <w:jc w:val="center"/>
              <w:rPr>
                <w:highlight w:val="none"/>
              </w:rPr>
            </w:pPr>
            <w:r>
              <w:rPr>
                <w:rFonts w:hint="eastAsia"/>
                <w:highlight w:val="none"/>
              </w:rPr>
              <w:t>0~1</w:t>
            </w:r>
          </w:p>
        </w:tc>
        <w:tc>
          <w:tcPr>
            <w:tcW w:w="3491" w:type="dxa"/>
            <w:vMerge w:val="continue"/>
          </w:tcPr>
          <w:p>
            <w:pPr>
              <w:ind w:firstLine="420"/>
              <w:rPr>
                <w:sz w:val="21"/>
                <w:szCs w:val="21"/>
                <w:highlight w:val="none"/>
              </w:rPr>
            </w:pPr>
          </w:p>
        </w:tc>
        <w:tc>
          <w:tcPr>
            <w:tcW w:w="1906" w:type="dxa"/>
            <w:vMerge w:val="continue"/>
          </w:tcPr>
          <w:p>
            <w:pPr>
              <w:ind w:firstLine="440"/>
              <w:rPr>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30" w:type="dxa"/>
            <w:vAlign w:val="center"/>
          </w:tcPr>
          <w:p>
            <w:pPr>
              <w:ind w:firstLine="0" w:firstLineChars="0"/>
              <w:jc w:val="center"/>
              <w:rPr>
                <w:highlight w:val="none"/>
              </w:rPr>
            </w:pPr>
            <w:r>
              <w:rPr>
                <w:rFonts w:hint="eastAsia"/>
                <w:highlight w:val="none"/>
              </w:rPr>
              <w:t>项目总工</w:t>
            </w:r>
          </w:p>
        </w:tc>
        <w:tc>
          <w:tcPr>
            <w:tcW w:w="995" w:type="dxa"/>
            <w:vAlign w:val="center"/>
          </w:tcPr>
          <w:p>
            <w:pPr>
              <w:ind w:firstLine="0" w:firstLineChars="0"/>
              <w:jc w:val="center"/>
              <w:rPr>
                <w:highlight w:val="none"/>
              </w:rPr>
            </w:pPr>
            <w:r>
              <w:rPr>
                <w:rFonts w:hint="eastAsia"/>
                <w:highlight w:val="none"/>
              </w:rPr>
              <w:t>1</w:t>
            </w:r>
          </w:p>
        </w:tc>
        <w:tc>
          <w:tcPr>
            <w:tcW w:w="3491" w:type="dxa"/>
            <w:vMerge w:val="restart"/>
            <w:vAlign w:val="center"/>
          </w:tcPr>
          <w:p>
            <w:pPr>
              <w:topLinePunct/>
              <w:adjustRightInd w:val="0"/>
              <w:spacing w:line="460" w:lineRule="exact"/>
              <w:ind w:firstLine="420" w:firstLineChars="200"/>
              <w:rPr>
                <w:sz w:val="21"/>
                <w:szCs w:val="21"/>
                <w:highlight w:val="none"/>
              </w:rPr>
            </w:pPr>
            <w:r>
              <w:rPr>
                <w:rFonts w:hint="eastAsia" w:ascii="宋体" w:hAnsi="宋体"/>
                <w:color w:val="auto"/>
                <w:sz w:val="21"/>
                <w:szCs w:val="21"/>
                <w:highlight w:val="none"/>
                <w:lang w:eastAsia="zh-CN"/>
              </w:rPr>
              <w:t>路桥相关专业工程师或以上职称，担任类似工程施工主管技术工作岗位累计不少于60个月，具有交通运输主管部门颁发的有效安全生产“三类人员”B 类证书，年龄不超过55岁。</w:t>
            </w:r>
          </w:p>
        </w:tc>
        <w:tc>
          <w:tcPr>
            <w:tcW w:w="1906" w:type="dxa"/>
            <w:vMerge w:val="continue"/>
          </w:tcPr>
          <w:p>
            <w:pPr>
              <w:ind w:firstLine="440"/>
              <w:rPr>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130" w:type="dxa"/>
            <w:vAlign w:val="center"/>
          </w:tcPr>
          <w:p>
            <w:pPr>
              <w:ind w:firstLine="0" w:firstLineChars="0"/>
              <w:jc w:val="center"/>
              <w:rPr>
                <w:highlight w:val="none"/>
              </w:rPr>
            </w:pPr>
            <w:r>
              <w:rPr>
                <w:rFonts w:hint="eastAsia"/>
                <w:highlight w:val="none"/>
              </w:rPr>
              <w:t>项目总工备选人</w:t>
            </w:r>
          </w:p>
        </w:tc>
        <w:tc>
          <w:tcPr>
            <w:tcW w:w="995" w:type="dxa"/>
            <w:vAlign w:val="center"/>
          </w:tcPr>
          <w:p>
            <w:pPr>
              <w:ind w:firstLine="0" w:firstLineChars="0"/>
              <w:jc w:val="center"/>
              <w:rPr>
                <w:highlight w:val="none"/>
              </w:rPr>
            </w:pPr>
            <w:r>
              <w:rPr>
                <w:rFonts w:hint="eastAsia"/>
                <w:highlight w:val="none"/>
              </w:rPr>
              <w:t>0~1</w:t>
            </w:r>
          </w:p>
        </w:tc>
        <w:tc>
          <w:tcPr>
            <w:tcW w:w="3491" w:type="dxa"/>
            <w:vMerge w:val="continue"/>
          </w:tcPr>
          <w:p>
            <w:pPr>
              <w:ind w:firstLine="440"/>
              <w:rPr>
                <w:bCs/>
                <w:sz w:val="22"/>
                <w:szCs w:val="22"/>
                <w:highlight w:val="none"/>
              </w:rPr>
            </w:pPr>
          </w:p>
        </w:tc>
        <w:tc>
          <w:tcPr>
            <w:tcW w:w="1906" w:type="dxa"/>
            <w:vMerge w:val="continue"/>
          </w:tcPr>
          <w:p>
            <w:pPr>
              <w:ind w:firstLine="440"/>
              <w:rPr>
                <w:bCs/>
                <w:sz w:val="22"/>
                <w:szCs w:val="22"/>
                <w:highlight w:val="none"/>
              </w:rPr>
            </w:pPr>
          </w:p>
        </w:tc>
      </w:tr>
    </w:tbl>
    <w:p>
      <w:pPr>
        <w:ind w:left="-199" w:leftChars="-95" w:right="-512" w:rightChars="-244" w:firstLine="0" w:firstLineChars="0"/>
        <w:rPr>
          <w:rFonts w:hint="eastAsia"/>
          <w:sz w:val="18"/>
          <w:szCs w:val="18"/>
          <w:highlight w:val="none"/>
        </w:rPr>
      </w:pPr>
      <w:r>
        <w:rPr>
          <w:rFonts w:hint="eastAsia"/>
          <w:sz w:val="18"/>
          <w:szCs w:val="18"/>
          <w:highlight w:val="none"/>
        </w:rPr>
        <w:t>注：1、资格要求的人员建造师注册证书、安全生产“三类人员”B 类证书均应在投标人所在单位，否则视为无效。</w:t>
      </w:r>
    </w:p>
    <w:p>
      <w:pPr>
        <w:ind w:left="-199" w:leftChars="-95" w:right="-512" w:rightChars="-244" w:firstLine="0" w:firstLineChars="0"/>
        <w:rPr>
          <w:rFonts w:hint="eastAsia"/>
          <w:sz w:val="18"/>
          <w:szCs w:val="18"/>
          <w:highlight w:val="none"/>
        </w:rPr>
      </w:pPr>
      <w:r>
        <w:rPr>
          <w:rFonts w:hint="eastAsia"/>
          <w:sz w:val="18"/>
          <w:szCs w:val="18"/>
          <w:highlight w:val="none"/>
        </w:rPr>
        <w:t>2、主管技术工作指：担任过项目经理、项目副经理、总工程师、副总工程师、质检部门负责人、工程部门负责人。</w:t>
      </w:r>
    </w:p>
    <w:p>
      <w:pPr>
        <w:ind w:left="-199" w:leftChars="-95" w:right="-512" w:rightChars="-244" w:firstLine="0" w:firstLineChars="0"/>
        <w:rPr>
          <w:rFonts w:hint="eastAsia"/>
          <w:sz w:val="18"/>
          <w:szCs w:val="18"/>
          <w:highlight w:val="none"/>
        </w:rPr>
      </w:pPr>
      <w:r>
        <w:rPr>
          <w:rFonts w:hint="eastAsia"/>
          <w:sz w:val="18"/>
          <w:szCs w:val="18"/>
          <w:highlight w:val="none"/>
        </w:rPr>
        <w:t>3、担任类似工程项目项目经理（或项目副经理或项目总工）岗位经验累计时间、主管类似工程项目技术工作岗位经验累计时间以“全国公路建设市场信用信息管理系统”人员信息资料中的“个人业绩”所列其本人担任的工作岗位经验为准；各岗位时间以“在岗截止日期”减去“在岗起始日期”所得月数累加计算统计至月，计算时尾数如不少于15天的按1个月计，不足15天部分不计。如果存在有某人某一时间段同时担任了两个或以上符合上述岗位要求的岗位，重叠时间段部分只计算一次时间，不重复计算岗位月数。</w:t>
      </w:r>
    </w:p>
    <w:p>
      <w:pPr>
        <w:ind w:left="-199" w:leftChars="-95" w:right="-512" w:rightChars="-244" w:firstLine="0" w:firstLineChars="0"/>
        <w:rPr>
          <w:rFonts w:hint="eastAsia"/>
          <w:sz w:val="18"/>
          <w:szCs w:val="18"/>
          <w:highlight w:val="none"/>
        </w:rPr>
      </w:pPr>
      <w:r>
        <w:rPr>
          <w:rFonts w:hint="eastAsia"/>
          <w:sz w:val="18"/>
          <w:szCs w:val="18"/>
          <w:highlight w:val="none"/>
          <w:lang w:val="en-US" w:eastAsia="zh-CN"/>
        </w:rPr>
        <w:t>4</w:t>
      </w:r>
      <w:r>
        <w:rPr>
          <w:rFonts w:hint="eastAsia"/>
          <w:sz w:val="18"/>
          <w:szCs w:val="18"/>
          <w:highlight w:val="none"/>
        </w:rPr>
        <w:t>、路桥相关专业职称包括路桥相关专业包括交通行业、市政行业及铁路行业中相关的公路、桥梁、公路与桥梁、交通土建、市政道路、市政桥梁、市政道路与桥梁、市政隧道、铁路桥梁、铁路隧道、道路工程、桥梁工程、道桥工程、路桥工程、交通工程、隧道工程、市政路桥等专业。</w:t>
      </w:r>
    </w:p>
    <w:p>
      <w:pPr>
        <w:ind w:left="-199" w:leftChars="-95" w:right="-512" w:rightChars="-244" w:firstLine="0" w:firstLineChars="0"/>
        <w:rPr>
          <w:highlight w:val="none"/>
        </w:rPr>
      </w:pPr>
      <w:r>
        <w:rPr>
          <w:rFonts w:hint="eastAsia"/>
          <w:sz w:val="18"/>
          <w:szCs w:val="18"/>
          <w:highlight w:val="none"/>
          <w:lang w:val="en-US" w:eastAsia="zh-CN"/>
        </w:rPr>
        <w:t>5</w:t>
      </w:r>
      <w:r>
        <w:rPr>
          <w:rFonts w:hint="eastAsia"/>
          <w:sz w:val="18"/>
          <w:szCs w:val="18"/>
          <w:highlight w:val="none"/>
        </w:rPr>
        <w:t>、本招标文件中所有“类似工程”均指含有水泥混凝土路面工程施工的业绩。</w:t>
      </w:r>
    </w:p>
    <w:p>
      <w:pPr>
        <w:ind w:firstLine="0" w:firstLineChars="0"/>
        <w:rPr>
          <w:highlight w:val="none"/>
        </w:rPr>
      </w:pPr>
    </w:p>
    <w:p>
      <w:pPr>
        <w:pStyle w:val="5"/>
        <w:jc w:val="center"/>
        <w:rPr>
          <w:rFonts w:hint="eastAsia" w:eastAsia="宋体"/>
          <w:highlight w:val="none"/>
          <w:lang w:val="en-US" w:eastAsia="zh-CN"/>
        </w:rPr>
      </w:pPr>
      <w:r>
        <w:rPr>
          <w:rFonts w:hint="eastAsia" w:eastAsia="宋体"/>
          <w:highlight w:val="none"/>
          <w:lang w:val="en-US" w:eastAsia="zh-CN"/>
        </w:rPr>
        <w:t>附录6  资格审查条件(其他管理和技术人员最低要求）</w:t>
      </w:r>
    </w:p>
    <w:tbl>
      <w:tblPr>
        <w:tblStyle w:val="8"/>
        <w:tblW w:w="941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338"/>
        <w:gridCol w:w="958"/>
        <w:gridCol w:w="61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92" w:hRule="atLeast"/>
          <w:tblHeader/>
          <w:jc w:val="center"/>
        </w:trPr>
        <w:tc>
          <w:tcPr>
            <w:tcW w:w="2338" w:type="dxa"/>
            <w:noWrap w:val="0"/>
            <w:vAlign w:val="center"/>
          </w:tcPr>
          <w:p>
            <w:pPr>
              <w:spacing w:line="240" w:lineRule="auto"/>
              <w:ind w:firstLine="0" w:firstLineChars="0"/>
              <w:jc w:val="center"/>
              <w:rPr>
                <w:rFonts w:hint="eastAsia" w:ascii="宋体" w:hAnsi="宋体" w:eastAsia="宋体" w:cs="宋体"/>
                <w:color w:val="auto"/>
                <w:sz w:val="22"/>
                <w:szCs w:val="22"/>
                <w:highlight w:val="none"/>
              </w:rPr>
            </w:pPr>
            <w:r>
              <w:rPr>
                <w:rFonts w:hint="eastAsia" w:ascii="宋体" w:hAnsi="宋体" w:eastAsia="宋体" w:cs="Times New Roman"/>
                <w:b/>
                <w:color w:val="auto"/>
                <w:sz w:val="24"/>
                <w:szCs w:val="24"/>
                <w:highlight w:val="none"/>
              </w:rPr>
              <w:t>人  员</w:t>
            </w:r>
          </w:p>
        </w:tc>
        <w:tc>
          <w:tcPr>
            <w:tcW w:w="958" w:type="dxa"/>
            <w:noWrap w:val="0"/>
            <w:vAlign w:val="center"/>
          </w:tcPr>
          <w:p>
            <w:pPr>
              <w:spacing w:line="240" w:lineRule="auto"/>
              <w:ind w:firstLine="0" w:firstLineChars="0"/>
              <w:jc w:val="center"/>
              <w:rPr>
                <w:rFonts w:hint="eastAsia" w:ascii="宋体" w:hAnsi="宋体" w:eastAsia="宋体" w:cs="宋体"/>
                <w:color w:val="auto"/>
                <w:sz w:val="22"/>
                <w:szCs w:val="22"/>
                <w:highlight w:val="none"/>
              </w:rPr>
            </w:pPr>
            <w:r>
              <w:rPr>
                <w:rFonts w:hint="eastAsia" w:ascii="宋体" w:hAnsi="宋体" w:eastAsia="宋体" w:cs="Times New Roman"/>
                <w:b/>
                <w:color w:val="auto"/>
                <w:sz w:val="24"/>
                <w:szCs w:val="24"/>
                <w:highlight w:val="none"/>
              </w:rPr>
              <w:t>数量</w:t>
            </w:r>
          </w:p>
        </w:tc>
        <w:tc>
          <w:tcPr>
            <w:tcW w:w="6123" w:type="dxa"/>
            <w:noWrap w:val="0"/>
            <w:vAlign w:val="center"/>
          </w:tcPr>
          <w:p>
            <w:pPr>
              <w:spacing w:line="240" w:lineRule="auto"/>
              <w:ind w:firstLine="0" w:firstLineChars="0"/>
              <w:jc w:val="center"/>
              <w:rPr>
                <w:rFonts w:hint="eastAsia" w:ascii="宋体" w:hAnsi="宋体" w:eastAsia="宋体" w:cs="宋体"/>
                <w:color w:val="auto"/>
                <w:sz w:val="22"/>
                <w:szCs w:val="22"/>
                <w:highlight w:val="none"/>
              </w:rPr>
            </w:pPr>
            <w:r>
              <w:rPr>
                <w:rFonts w:hint="eastAsia" w:ascii="宋体" w:hAnsi="宋体" w:eastAsia="宋体" w:cs="Times New Roman"/>
                <w:b/>
                <w:color w:val="auto"/>
                <w:sz w:val="24"/>
                <w:szCs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022" w:hRule="atLeast"/>
          <w:jc w:val="center"/>
        </w:trPr>
        <w:tc>
          <w:tcPr>
            <w:tcW w:w="2338"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质检负责人</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p>
        </w:tc>
        <w:tc>
          <w:tcPr>
            <w:tcW w:w="612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textAlignment w:val="auto"/>
              <w:rPr>
                <w:rFonts w:hint="eastAsia" w:ascii="宋体" w:hAnsi="宋体" w:eastAsia="宋体" w:cs="宋体"/>
                <w:color w:val="auto"/>
                <w:sz w:val="24"/>
                <w:szCs w:val="24"/>
                <w:highlight w:val="none"/>
              </w:rPr>
            </w:pPr>
            <w:r>
              <w:rPr>
                <w:rFonts w:hint="eastAsia" w:ascii="Times New Roman" w:hAnsi="Times New Roman" w:eastAsia="宋体" w:cs="Times New Roman"/>
                <w:color w:val="auto"/>
                <w:sz w:val="24"/>
                <w:szCs w:val="24"/>
                <w:highlight w:val="none"/>
                <w:lang w:eastAsia="zh-CN"/>
              </w:rPr>
              <w:t>路桥</w:t>
            </w:r>
            <w:r>
              <w:rPr>
                <w:rFonts w:hint="eastAsia" w:ascii="Times New Roman" w:hAnsi="Times New Roman" w:eastAsia="宋体" w:cs="Times New Roman"/>
                <w:color w:val="auto"/>
                <w:sz w:val="24"/>
                <w:szCs w:val="24"/>
                <w:highlight w:val="none"/>
              </w:rPr>
              <w:t>相关专业</w:t>
            </w:r>
            <w:r>
              <w:rPr>
                <w:rFonts w:hint="eastAsia" w:ascii="宋体" w:hAnsi="宋体" w:eastAsia="宋体" w:cs="宋体"/>
                <w:color w:val="auto"/>
                <w:sz w:val="24"/>
                <w:szCs w:val="24"/>
                <w:highlight w:val="none"/>
              </w:rPr>
              <w:t>工程师或以上职称，</w:t>
            </w:r>
            <w:r>
              <w:rPr>
                <w:rFonts w:hint="eastAsia" w:ascii="宋体" w:hAnsi="宋体" w:eastAsia="宋体" w:cs="宋体"/>
                <w:color w:val="auto"/>
                <w:sz w:val="24"/>
                <w:szCs w:val="24"/>
                <w:highlight w:val="none"/>
                <w:lang w:eastAsia="zh-CN"/>
              </w:rPr>
              <w:t>累计从事</w:t>
            </w:r>
            <w:r>
              <w:rPr>
                <w:rFonts w:hint="eastAsia" w:ascii="宋体" w:hAnsi="宋体" w:eastAsia="宋体" w:cs="宋体"/>
                <w:color w:val="auto"/>
                <w:sz w:val="24"/>
                <w:szCs w:val="24"/>
                <w:highlight w:val="none"/>
                <w:lang w:val="en-US" w:eastAsia="zh-CN"/>
              </w:rPr>
              <w:t>不少于60个月的类似工程业绩岗位经验</w:t>
            </w:r>
            <w:r>
              <w:rPr>
                <w:rFonts w:hint="eastAsia" w:ascii="宋体" w:hAnsi="宋体" w:eastAsia="宋体" w:cs="宋体"/>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146" w:hRule="atLeast"/>
          <w:jc w:val="center"/>
        </w:trPr>
        <w:tc>
          <w:tcPr>
            <w:tcW w:w="2338"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工程部门负责人</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p>
        </w:tc>
        <w:tc>
          <w:tcPr>
            <w:tcW w:w="612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textAlignment w:val="auto"/>
              <w:rPr>
                <w:rFonts w:hint="eastAsia" w:ascii="宋体" w:hAnsi="宋体" w:eastAsia="宋体" w:cs="宋体"/>
                <w:color w:val="auto"/>
                <w:sz w:val="24"/>
                <w:szCs w:val="24"/>
                <w:highlight w:val="none"/>
              </w:rPr>
            </w:pPr>
            <w:r>
              <w:rPr>
                <w:rFonts w:hint="eastAsia" w:ascii="Times New Roman" w:hAnsi="Times New Roman" w:eastAsia="宋体" w:cs="Times New Roman"/>
                <w:color w:val="auto"/>
                <w:sz w:val="24"/>
                <w:szCs w:val="24"/>
                <w:highlight w:val="none"/>
                <w:lang w:eastAsia="zh-CN"/>
              </w:rPr>
              <w:t>路桥</w:t>
            </w:r>
            <w:r>
              <w:rPr>
                <w:rFonts w:hint="eastAsia" w:ascii="Times New Roman" w:hAnsi="Times New Roman" w:eastAsia="宋体" w:cs="Times New Roman"/>
                <w:color w:val="auto"/>
                <w:sz w:val="24"/>
                <w:szCs w:val="24"/>
                <w:highlight w:val="none"/>
              </w:rPr>
              <w:t>相关专业</w:t>
            </w:r>
            <w:r>
              <w:rPr>
                <w:rFonts w:hint="eastAsia" w:ascii="宋体" w:hAnsi="宋体" w:eastAsia="宋体" w:cs="宋体"/>
                <w:color w:val="auto"/>
                <w:sz w:val="24"/>
                <w:szCs w:val="24"/>
                <w:highlight w:val="none"/>
              </w:rPr>
              <w:t>工程师或以上职称，</w:t>
            </w:r>
            <w:r>
              <w:rPr>
                <w:rFonts w:hint="eastAsia" w:ascii="宋体" w:hAnsi="宋体" w:eastAsia="宋体" w:cs="宋体"/>
                <w:color w:val="auto"/>
                <w:sz w:val="24"/>
                <w:szCs w:val="24"/>
                <w:highlight w:val="none"/>
                <w:lang w:eastAsia="zh-CN"/>
              </w:rPr>
              <w:t>累计从事</w:t>
            </w:r>
            <w:r>
              <w:rPr>
                <w:rFonts w:hint="eastAsia" w:ascii="宋体" w:hAnsi="宋体" w:eastAsia="宋体" w:cs="宋体"/>
                <w:color w:val="auto"/>
                <w:sz w:val="24"/>
                <w:szCs w:val="24"/>
                <w:highlight w:val="none"/>
                <w:lang w:val="en-US" w:eastAsia="zh-CN"/>
              </w:rPr>
              <w:t>不少于60个月的类似工程业绩岗位经验</w:t>
            </w:r>
            <w:r>
              <w:rPr>
                <w:rFonts w:hint="eastAsia" w:ascii="宋体" w:hAnsi="宋体" w:eastAsia="宋体" w:cs="宋体"/>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091" w:hRule="atLeast"/>
          <w:jc w:val="center"/>
        </w:trPr>
        <w:tc>
          <w:tcPr>
            <w:tcW w:w="2338"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安全负责人</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12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textAlignment w:val="auto"/>
              <w:rPr>
                <w:rFonts w:hint="eastAsia" w:ascii="宋体" w:hAnsi="宋体" w:eastAsia="宋体" w:cs="宋体"/>
                <w:color w:val="auto"/>
                <w:sz w:val="24"/>
                <w:szCs w:val="24"/>
                <w:highlight w:val="none"/>
              </w:rPr>
            </w:pPr>
            <w:r>
              <w:rPr>
                <w:rFonts w:hint="eastAsia" w:ascii="Times New Roman" w:hAnsi="Times New Roman" w:eastAsia="宋体" w:cs="Times New Roman"/>
                <w:color w:val="auto"/>
                <w:sz w:val="24"/>
                <w:szCs w:val="24"/>
                <w:highlight w:val="none"/>
                <w:lang w:eastAsia="zh-CN"/>
              </w:rPr>
              <w:t>路桥</w:t>
            </w:r>
            <w:r>
              <w:rPr>
                <w:rFonts w:hint="eastAsia" w:ascii="Times New Roman" w:hAnsi="Times New Roman" w:eastAsia="宋体" w:cs="Times New Roman"/>
                <w:color w:val="auto"/>
                <w:sz w:val="24"/>
                <w:szCs w:val="24"/>
                <w:highlight w:val="none"/>
              </w:rPr>
              <w:t>相关专业</w:t>
            </w:r>
            <w:r>
              <w:rPr>
                <w:rFonts w:hint="eastAsia" w:ascii="宋体" w:hAnsi="宋体" w:eastAsia="宋体" w:cs="宋体"/>
                <w:color w:val="auto"/>
                <w:sz w:val="24"/>
                <w:szCs w:val="24"/>
                <w:highlight w:val="none"/>
              </w:rPr>
              <w:t>工程师或以上职称，具有交通运输部门颁发的有效安全生产“三类人员”C类证书</w:t>
            </w:r>
            <w:r>
              <w:rPr>
                <w:rFonts w:hint="eastAsia" w:ascii="宋体" w:hAnsi="宋体" w:eastAsia="宋体" w:cs="宋体"/>
                <w:color w:val="auto"/>
                <w:sz w:val="24"/>
                <w:szCs w:val="24"/>
                <w:highlight w:val="none"/>
                <w:lang w:eastAsia="zh-CN"/>
              </w:rPr>
              <w:t>，累计从事</w:t>
            </w:r>
            <w:r>
              <w:rPr>
                <w:rFonts w:hint="eastAsia" w:ascii="宋体" w:hAnsi="宋体" w:eastAsia="宋体" w:cs="宋体"/>
                <w:color w:val="auto"/>
                <w:sz w:val="24"/>
                <w:szCs w:val="24"/>
                <w:highlight w:val="none"/>
                <w:lang w:val="en-US" w:eastAsia="zh-CN"/>
              </w:rPr>
              <w:t>不少于60个月的类似工程业绩岗位经验</w:t>
            </w:r>
            <w:r>
              <w:rPr>
                <w:rFonts w:hint="eastAsia" w:ascii="宋体" w:hAnsi="宋体" w:eastAsia="宋体" w:cs="宋体"/>
                <w:color w:val="auto"/>
                <w:sz w:val="24"/>
                <w:szCs w:val="24"/>
                <w:highlight w:val="none"/>
              </w:rPr>
              <w:t>。</w:t>
            </w:r>
          </w:p>
        </w:tc>
      </w:tr>
    </w:tbl>
    <w:p>
      <w:pPr>
        <w:spacing w:line="360" w:lineRule="auto"/>
        <w:ind w:firstLine="0" w:firstLineChars="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注：1、投标人中标后专职安全生产管理人员的配备应按照交通部《公路水运工程安全生产监督管理办法（交通运输部令2017 年第25 号）的要求执行。</w:t>
      </w:r>
    </w:p>
    <w:p>
      <w:pPr>
        <w:widowControl/>
        <w:spacing w:line="360" w:lineRule="auto"/>
        <w:ind w:firstLine="420" w:firstLineChars="200"/>
        <w:jc w:val="left"/>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2、</w:t>
      </w:r>
      <w:r>
        <w:rPr>
          <w:rFonts w:hint="eastAsia" w:ascii="宋体" w:hAnsi="宋体" w:eastAsia="宋体" w:cs="宋体"/>
          <w:bCs/>
          <w:color w:val="auto"/>
          <w:sz w:val="21"/>
          <w:szCs w:val="21"/>
          <w:highlight w:val="none"/>
          <w:lang w:eastAsia="zh-CN"/>
        </w:rPr>
        <w:t>路桥相关专业职称包括路桥相关专业包括交通行业、市政行业及铁路行业中相关的公路、桥梁、公路与桥梁、交通土建、市政道路、市政桥梁、市政道路与桥梁、市政隧道、铁路桥梁、铁路隧道、道路工程、桥梁工程、道桥工程、路桥工程、交通工程、隧道工程、市政路桥等专业。</w:t>
      </w:r>
    </w:p>
    <w:p>
      <w:pPr>
        <w:spacing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3、“拟委任的其他管理和技术人员资历表”后应同时附①交通运输部“全国公路建设市场信用信息管理系统”中载明的、能够证明以上人员满足附录 6所提出的各项指标（即包括人员的“基本信息”、“职称信息”、“执业资格” 、“个人业绩”等栏目在内）的网页截图复印件或网页打印件、②安全生产考核合格证书在交通运输部公路水运工程施工企业安全生产管理人员信息公共查询平台上公开信息的网页截图复印件或网页打印件、③质检负责人、工程部门负责人</w:t>
      </w:r>
      <w:r>
        <w:rPr>
          <w:rFonts w:hint="eastAsia" w:ascii="宋体" w:hAnsi="宋体" w:eastAsia="宋体" w:cs="宋体"/>
          <w:bCs/>
          <w:color w:val="auto"/>
          <w:sz w:val="21"/>
          <w:szCs w:val="21"/>
          <w:highlight w:val="none"/>
          <w:lang w:eastAsia="zh-CN"/>
        </w:rPr>
        <w:t>、安全负责人</w:t>
      </w:r>
      <w:r>
        <w:rPr>
          <w:rFonts w:hint="eastAsia" w:ascii="宋体" w:hAnsi="宋体" w:eastAsia="宋体" w:cs="宋体"/>
          <w:bCs/>
          <w:color w:val="auto"/>
          <w:sz w:val="21"/>
          <w:szCs w:val="21"/>
          <w:highlight w:val="none"/>
        </w:rPr>
        <w:t>的岗位经验以“全国公路建设市场信用信息管理系统”的人员信息中的网页截图“个人业绩”相对应工作岗位时间为准，岗位经验累计时间统计至月，计算时尾数如不少于 15 天的按1个月计，不足15 天部分不计。岗位工作经历以“全国公路建设市场信用信息管理系统”中“个人业绩”的“起始日期”和“截止日期”。④投标人所属社保机构出具的其他管理和技术人员的社保缴费证明或其他能够证明其他管理和技术人员参加社保的有效证明材料复印件（社保时段为投标文件递交截止日前半年时间内连续不少于三个月）。</w:t>
      </w:r>
    </w:p>
    <w:p>
      <w:pPr>
        <w:ind w:right="-313" w:rightChars="-149"/>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0YWRmZmRkMjI1ZDdkZjU1ZTAzNTcwNDM3NmU3YzAifQ=="/>
  </w:docVars>
  <w:rsids>
    <w:rsidRoot w:val="20DD30A8"/>
    <w:rsid w:val="12B317C9"/>
    <w:rsid w:val="20DD3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640" w:firstLineChars="200"/>
      <w:jc w:val="both"/>
    </w:pPr>
    <w:rPr>
      <w:rFonts w:eastAsia="宋体" w:asciiTheme="minorHAnsi" w:hAnsiTheme="minorHAnsi" w:cstheme="minorBidi"/>
      <w:kern w:val="2"/>
      <w:sz w:val="21"/>
      <w:szCs w:val="21"/>
      <w:lang w:val="en-US" w:eastAsia="zh-CN" w:bidi="ar-SA"/>
    </w:rPr>
  </w:style>
  <w:style w:type="paragraph" w:styleId="4">
    <w:name w:val="heading 1"/>
    <w:next w:val="1"/>
    <w:qFormat/>
    <w:uiPriority w:val="0"/>
    <w:pPr>
      <w:keepNext/>
      <w:keepLines/>
      <w:widowControl w:val="0"/>
      <w:spacing w:line="480" w:lineRule="auto"/>
      <w:ind w:firstLine="640" w:firstLineChars="200"/>
      <w:jc w:val="center"/>
      <w:outlineLvl w:val="0"/>
    </w:pPr>
    <w:rPr>
      <w:rFonts w:eastAsia="黑体" w:cs="Times New Roman" w:asciiTheme="minorHAnsi" w:hAnsiTheme="minorHAnsi"/>
      <w:kern w:val="44"/>
      <w:sz w:val="84"/>
      <w:szCs w:val="84"/>
      <w:lang w:val="en-US" w:eastAsia="zh-CN" w:bidi="ar-SA"/>
    </w:rPr>
  </w:style>
  <w:style w:type="paragraph" w:styleId="5">
    <w:name w:val="heading 3"/>
    <w:next w:val="1"/>
    <w:unhideWhenUsed/>
    <w:qFormat/>
    <w:uiPriority w:val="0"/>
    <w:pPr>
      <w:keepNext/>
      <w:keepLines/>
      <w:widowControl w:val="0"/>
      <w:spacing w:line="500" w:lineRule="exact"/>
      <w:ind w:firstLine="0" w:firstLineChars="0"/>
      <w:jc w:val="both"/>
      <w:outlineLvl w:val="2"/>
    </w:pPr>
    <w:rPr>
      <w:rFonts w:eastAsia="宋体" w:asciiTheme="minorHAnsi" w:hAnsiTheme="minorHAnsi" w:cstheme="minorBidi"/>
      <w:b/>
      <w:kern w:val="2"/>
      <w:sz w:val="24"/>
      <w:szCs w:val="21"/>
      <w:lang w:val="en-US" w:eastAsia="zh-CN" w:bidi="ar-SA"/>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next w:val="3"/>
    <w:qFormat/>
    <w:uiPriority w:val="0"/>
    <w:pPr>
      <w:widowControl w:val="0"/>
      <w:spacing w:line="400" w:lineRule="exact"/>
      <w:ind w:firstLine="640" w:firstLineChars="200"/>
      <w:jc w:val="both"/>
    </w:pPr>
    <w:rPr>
      <w:rFonts w:ascii="宋体" w:hAnsi="Courier New" w:eastAsia="宋体" w:cstheme="minorBidi"/>
      <w:kern w:val="2"/>
      <w:sz w:val="21"/>
      <w:szCs w:val="21"/>
      <w:lang w:val="en-US" w:eastAsia="zh-CN" w:bidi="ar-SA"/>
    </w:rPr>
  </w:style>
  <w:style w:type="paragraph" w:customStyle="1" w:styleId="3">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styleId="6">
    <w:name w:val="Body Text Indent"/>
    <w:qFormat/>
    <w:uiPriority w:val="0"/>
    <w:pPr>
      <w:widowControl w:val="0"/>
      <w:spacing w:after="120" w:line="400" w:lineRule="exact"/>
      <w:ind w:left="420" w:leftChars="200" w:firstLine="640" w:firstLineChars="200"/>
      <w:jc w:val="both"/>
    </w:pPr>
    <w:rPr>
      <w:rFonts w:ascii="Calibri" w:hAnsi="Calibri" w:eastAsia="宋体" w:cs="Times New Roman"/>
      <w:kern w:val="2"/>
      <w:sz w:val="21"/>
      <w:szCs w:val="22"/>
      <w:lang w:val="en-US" w:eastAsia="zh-CN" w:bidi="ar-SA"/>
    </w:rPr>
  </w:style>
  <w:style w:type="paragraph" w:styleId="7">
    <w:name w:val="Body Text First Indent 2"/>
    <w:qFormat/>
    <w:uiPriority w:val="0"/>
    <w:pPr>
      <w:widowControl w:val="0"/>
      <w:tabs>
        <w:tab w:val="left" w:pos="1275"/>
      </w:tabs>
      <w:spacing w:after="120" w:line="240" w:lineRule="auto"/>
      <w:ind w:left="420" w:leftChars="200" w:firstLine="420" w:firstLineChars="200"/>
      <w:jc w:val="both"/>
    </w:pPr>
    <w:rPr>
      <w:rFonts w:ascii="Times New Roman" w:hAnsi="Times New Roman" w:eastAsia="宋体" w:cs="Times New Roman"/>
      <w:kern w:val="2"/>
      <w:sz w:val="21"/>
      <w:szCs w:val="24"/>
      <w:lang w:val="en-US" w:eastAsia="zh-CN" w:bidi="ar-SA"/>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2642</Words>
  <Characters>2730</Characters>
  <Lines>0</Lines>
  <Paragraphs>0</Paragraphs>
  <TotalTime>1</TotalTime>
  <ScaleCrop>false</ScaleCrop>
  <LinksUpToDate>false</LinksUpToDate>
  <CharactersWithSpaces>2764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2022-12-28T09:19:00Z</dcterms:created>
  <dc:creator>Administrator</dc:creator>
  <cp:lastModifiedBy>Administrator</cp:lastModifiedBy>
  <dcterms:modified xsi:type="dcterms:W3CDTF">2022-12-28T09:21:43Z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03903B37AFDB4A259EBAFF8F29018508</vt:lpwstr>
  </property>
</Properties>
</file>