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92F4A">
      <w:pPr>
        <w:pStyle w:val="7"/>
        <w:rPr>
          <w:rFonts w:hint="eastAsia" w:hAnsi="宋体" w:cs="宋体"/>
          <w:color w:val="auto"/>
          <w:sz w:val="52"/>
          <w:szCs w:val="52"/>
          <w:highlight w:val="none"/>
        </w:rPr>
      </w:pPr>
    </w:p>
    <w:p w14:paraId="24A98D7B">
      <w:pPr>
        <w:pStyle w:val="12"/>
        <w:snapToGrid w:val="0"/>
        <w:spacing w:line="360" w:lineRule="auto"/>
        <w:ind w:right="25" w:rightChars="12"/>
        <w:jc w:val="center"/>
        <w:rPr>
          <w:rFonts w:hint="eastAsia" w:cs="宋体"/>
          <w:b/>
          <w:color w:val="auto"/>
          <w:sz w:val="48"/>
          <w:szCs w:val="48"/>
          <w:highlight w:val="none"/>
          <w:u w:val="none"/>
        </w:rPr>
      </w:pPr>
      <w:r>
        <w:rPr>
          <w:rFonts w:hint="eastAsia" w:cs="宋体"/>
          <w:b/>
          <w:color w:val="auto"/>
          <w:sz w:val="48"/>
          <w:szCs w:val="48"/>
          <w:highlight w:val="none"/>
          <w:u w:val="none"/>
        </w:rPr>
        <w:t>天鹿北路至兴太路沿线环境整治工程</w:t>
      </w:r>
    </w:p>
    <w:p w14:paraId="22C89320">
      <w:pPr>
        <w:pStyle w:val="12"/>
        <w:snapToGrid w:val="0"/>
        <w:spacing w:line="360" w:lineRule="auto"/>
        <w:ind w:right="25" w:rightChars="12"/>
        <w:jc w:val="center"/>
        <w:rPr>
          <w:rFonts w:cs="宋体"/>
          <w:b/>
          <w:color w:val="auto"/>
          <w:sz w:val="48"/>
          <w:szCs w:val="48"/>
          <w:highlight w:val="none"/>
          <w:u w:val="none"/>
        </w:rPr>
      </w:pPr>
      <w:r>
        <w:rPr>
          <w:rFonts w:hint="eastAsia" w:cs="宋体"/>
          <w:b/>
          <w:color w:val="auto"/>
          <w:sz w:val="48"/>
          <w:szCs w:val="48"/>
          <w:highlight w:val="none"/>
          <w:u w:val="none"/>
        </w:rPr>
        <w:t>施工总承包</w:t>
      </w:r>
    </w:p>
    <w:p w14:paraId="74889791">
      <w:pPr>
        <w:snapToGrid w:val="0"/>
        <w:spacing w:line="360" w:lineRule="auto"/>
        <w:jc w:val="center"/>
        <w:rPr>
          <w:rFonts w:ascii="宋体" w:hAnsi="宋体" w:cs="宋体"/>
          <w:color w:val="auto"/>
          <w:sz w:val="36"/>
          <w:szCs w:val="36"/>
          <w:highlight w:val="none"/>
          <w:u w:val="single"/>
        </w:rPr>
      </w:pPr>
    </w:p>
    <w:p w14:paraId="5F7D7BE4">
      <w:pPr>
        <w:pStyle w:val="7"/>
        <w:snapToGrid w:val="0"/>
        <w:spacing w:line="360" w:lineRule="auto"/>
        <w:rPr>
          <w:rFonts w:hAnsi="宋体" w:cs="宋体"/>
          <w:color w:val="auto"/>
          <w:highlight w:val="none"/>
        </w:rPr>
      </w:pPr>
    </w:p>
    <w:p w14:paraId="750C5817">
      <w:pPr>
        <w:pStyle w:val="7"/>
        <w:snapToGrid w:val="0"/>
        <w:spacing w:line="360" w:lineRule="auto"/>
        <w:rPr>
          <w:rFonts w:hAnsi="宋体" w:cs="宋体"/>
          <w:color w:val="auto"/>
          <w:sz w:val="36"/>
          <w:szCs w:val="36"/>
          <w:highlight w:val="none"/>
          <w:u w:val="single"/>
        </w:rPr>
      </w:pPr>
    </w:p>
    <w:p w14:paraId="5A7163F1">
      <w:pPr>
        <w:pStyle w:val="7"/>
        <w:snapToGrid w:val="0"/>
        <w:spacing w:line="360" w:lineRule="auto"/>
        <w:rPr>
          <w:rFonts w:hAnsi="宋体" w:cs="宋体"/>
          <w:color w:val="auto"/>
          <w:sz w:val="36"/>
          <w:szCs w:val="36"/>
          <w:highlight w:val="none"/>
          <w:u w:val="single"/>
        </w:rPr>
      </w:pPr>
    </w:p>
    <w:p w14:paraId="48BE0635">
      <w:pPr>
        <w:spacing w:line="300" w:lineRule="auto"/>
        <w:jc w:val="center"/>
        <w:rPr>
          <w:rFonts w:ascii="宋体" w:hAnsi="宋体" w:cs="宋体"/>
          <w:b/>
          <w:bCs/>
          <w:shadow/>
          <w:color w:val="auto"/>
          <w:spacing w:val="26"/>
          <w:sz w:val="96"/>
          <w:szCs w:val="96"/>
          <w:highlight w:val="none"/>
        </w:rPr>
      </w:pPr>
      <w:r>
        <w:rPr>
          <w:rFonts w:hint="eastAsia" w:ascii="宋体" w:hAnsi="宋体" w:cs="宋体"/>
          <w:b/>
          <w:bCs/>
          <w:shadow/>
          <w:color w:val="auto"/>
          <w:spacing w:val="26"/>
          <w:sz w:val="96"/>
          <w:szCs w:val="96"/>
          <w:highlight w:val="none"/>
        </w:rPr>
        <w:t>招标公告</w:t>
      </w:r>
    </w:p>
    <w:p w14:paraId="541C328A">
      <w:pPr>
        <w:snapToGrid w:val="0"/>
        <w:spacing w:line="360" w:lineRule="auto"/>
        <w:jc w:val="center"/>
        <w:rPr>
          <w:rFonts w:ascii="宋体" w:hAnsi="宋体" w:cs="宋体"/>
          <w:color w:val="auto"/>
          <w:sz w:val="32"/>
          <w:szCs w:val="32"/>
          <w:highlight w:val="none"/>
        </w:rPr>
      </w:pPr>
    </w:p>
    <w:p w14:paraId="79C799AE">
      <w:pPr>
        <w:snapToGrid w:val="0"/>
        <w:spacing w:line="360" w:lineRule="auto"/>
        <w:ind w:firstLine="2560" w:firstLineChars="800"/>
        <w:rPr>
          <w:rFonts w:ascii="宋体" w:hAnsi="宋体" w:cs="宋体"/>
          <w:color w:val="auto"/>
          <w:sz w:val="32"/>
          <w:szCs w:val="32"/>
          <w:highlight w:val="none"/>
        </w:rPr>
      </w:pPr>
    </w:p>
    <w:p w14:paraId="4A548D17">
      <w:pPr>
        <w:snapToGrid w:val="0"/>
        <w:spacing w:line="360" w:lineRule="auto"/>
        <w:ind w:firstLine="1200" w:firstLineChars="400"/>
        <w:rPr>
          <w:rFonts w:ascii="宋体" w:hAnsi="宋体" w:cs="宋体"/>
          <w:color w:val="auto"/>
          <w:sz w:val="30"/>
          <w:szCs w:val="30"/>
          <w:highlight w:val="none"/>
        </w:rPr>
      </w:pPr>
    </w:p>
    <w:p w14:paraId="5A34C222">
      <w:pPr>
        <w:pStyle w:val="11"/>
        <w:rPr>
          <w:rFonts w:ascii="宋体" w:hAnsi="宋体" w:cs="宋体"/>
          <w:color w:val="auto"/>
          <w:sz w:val="30"/>
          <w:szCs w:val="30"/>
          <w:highlight w:val="none"/>
        </w:rPr>
      </w:pPr>
    </w:p>
    <w:p w14:paraId="65C06E7A">
      <w:pPr>
        <w:rPr>
          <w:rFonts w:ascii="宋体" w:hAnsi="宋体" w:cs="宋体"/>
          <w:color w:val="auto"/>
          <w:sz w:val="30"/>
          <w:szCs w:val="30"/>
          <w:highlight w:val="none"/>
        </w:rPr>
      </w:pPr>
    </w:p>
    <w:p w14:paraId="0CBB8D9F">
      <w:pPr>
        <w:pStyle w:val="5"/>
        <w:rPr>
          <w:color w:val="auto"/>
          <w:highlight w:val="none"/>
        </w:rPr>
      </w:pPr>
    </w:p>
    <w:p w14:paraId="2521ECA2">
      <w:pPr>
        <w:pStyle w:val="7"/>
        <w:snapToGrid w:val="0"/>
        <w:spacing w:line="360" w:lineRule="auto"/>
        <w:rPr>
          <w:rFonts w:hAnsi="宋体" w:cs="宋体"/>
          <w:color w:val="auto"/>
          <w:highlight w:val="none"/>
        </w:rPr>
      </w:pPr>
    </w:p>
    <w:p w14:paraId="5175D3CA">
      <w:pPr>
        <w:rPr>
          <w:color w:val="auto"/>
          <w:highlight w:val="none"/>
        </w:rPr>
      </w:pPr>
    </w:p>
    <w:p w14:paraId="29E3AA02">
      <w:pPr>
        <w:pStyle w:val="7"/>
        <w:rPr>
          <w:color w:val="auto"/>
          <w:highlight w:val="none"/>
        </w:rPr>
      </w:pPr>
    </w:p>
    <w:p w14:paraId="6E5B0406">
      <w:pPr>
        <w:rPr>
          <w:color w:val="auto"/>
          <w:highlight w:val="none"/>
        </w:rPr>
      </w:pPr>
    </w:p>
    <w:p w14:paraId="2AEF2001">
      <w:pPr>
        <w:snapToGrid w:val="0"/>
        <w:spacing w:line="360" w:lineRule="auto"/>
        <w:ind w:firstLine="1239" w:firstLineChars="413"/>
        <w:rPr>
          <w:rFonts w:ascii="宋体" w:hAnsi="宋体" w:cs="宋体"/>
          <w:color w:val="auto"/>
          <w:spacing w:val="-2"/>
          <w:sz w:val="30"/>
          <w:szCs w:val="30"/>
          <w:highlight w:val="none"/>
        </w:rPr>
      </w:pPr>
      <w:r>
        <w:rPr>
          <w:rFonts w:hint="eastAsia" w:ascii="宋体" w:hAnsi="宋体" w:cs="宋体"/>
          <w:color w:val="auto"/>
          <w:sz w:val="30"/>
          <w:szCs w:val="30"/>
          <w:highlight w:val="none"/>
        </w:rPr>
        <w:t>招标单位：</w:t>
      </w:r>
      <w:r>
        <w:rPr>
          <w:rFonts w:hint="eastAsia" w:ascii="宋体" w:hAnsi="宋体" w:cs="宋体"/>
          <w:color w:val="auto"/>
          <w:spacing w:val="-2"/>
          <w:sz w:val="30"/>
          <w:szCs w:val="30"/>
          <w:highlight w:val="none"/>
        </w:rPr>
        <w:t>广州开发区财政投资建设项目管理中心</w:t>
      </w:r>
    </w:p>
    <w:p w14:paraId="263E0890">
      <w:pPr>
        <w:snapToGrid w:val="0"/>
        <w:spacing w:line="360" w:lineRule="auto"/>
        <w:ind w:firstLine="1239" w:firstLineChars="41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lang w:eastAsia="zh-CN"/>
        </w:rPr>
        <w:t>广东重工建设监理有限公司</w:t>
      </w:r>
    </w:p>
    <w:p w14:paraId="430EBC87">
      <w:pPr>
        <w:snapToGrid w:val="0"/>
        <w:spacing w:line="360" w:lineRule="auto"/>
        <w:ind w:firstLine="1239" w:firstLineChars="413"/>
        <w:rPr>
          <w:rFonts w:ascii="宋体" w:hAnsi="宋体" w:cs="宋体"/>
          <w:color w:val="auto"/>
          <w:sz w:val="30"/>
          <w:szCs w:val="30"/>
          <w:highlight w:val="none"/>
          <w:u w:val="single"/>
        </w:rPr>
      </w:pPr>
      <w:r>
        <w:rPr>
          <w:rFonts w:hint="eastAsia" w:ascii="宋体" w:hAnsi="宋体" w:cs="宋体"/>
          <w:color w:val="auto"/>
          <w:sz w:val="30"/>
          <w:szCs w:val="30"/>
          <w:highlight w:val="none"/>
        </w:rPr>
        <w:t>日    期：2025年</w:t>
      </w:r>
      <w:r>
        <w:rPr>
          <w:rFonts w:hint="eastAsia" w:ascii="宋体" w:hAnsi="宋体" w:cs="宋体"/>
          <w:color w:val="auto"/>
          <w:sz w:val="30"/>
          <w:szCs w:val="30"/>
          <w:highlight w:val="none"/>
          <w:lang w:val="en-US" w:eastAsia="zh-CN"/>
        </w:rPr>
        <w:t>8</w:t>
      </w:r>
      <w:r>
        <w:rPr>
          <w:rFonts w:hint="eastAsia" w:ascii="宋体" w:hAnsi="宋体" w:cs="宋体"/>
          <w:color w:val="auto"/>
          <w:sz w:val="30"/>
          <w:szCs w:val="30"/>
          <w:highlight w:val="none"/>
        </w:rPr>
        <w:t>月</w:t>
      </w:r>
    </w:p>
    <w:p w14:paraId="483AB3B7">
      <w:pPr>
        <w:pStyle w:val="5"/>
        <w:ind w:firstLine="0"/>
        <w:rPr>
          <w:color w:val="auto"/>
          <w:sz w:val="18"/>
          <w:szCs w:val="18"/>
          <w:highlight w:val="none"/>
        </w:rPr>
      </w:pPr>
    </w:p>
    <w:p w14:paraId="13BD0355">
      <w:pPr>
        <w:pStyle w:val="12"/>
        <w:snapToGrid w:val="0"/>
        <w:rPr>
          <w:rFonts w:cs="宋体"/>
          <w:b/>
          <w:color w:val="auto"/>
          <w:sz w:val="18"/>
          <w:szCs w:val="18"/>
          <w:highlight w:val="none"/>
        </w:rPr>
        <w:sectPr>
          <w:pgSz w:w="11906" w:h="16838"/>
          <w:pgMar w:top="1440" w:right="1440" w:bottom="1440" w:left="1440" w:header="851" w:footer="992" w:gutter="0"/>
          <w:cols w:space="425" w:num="1"/>
          <w:docGrid w:type="lines" w:linePitch="312" w:charSpace="0"/>
        </w:sectPr>
      </w:pPr>
    </w:p>
    <w:p w14:paraId="61C40C72">
      <w:pPr>
        <w:pStyle w:val="12"/>
        <w:snapToGrid w:val="0"/>
        <w:spacing w:line="360" w:lineRule="auto"/>
        <w:jc w:val="center"/>
        <w:rPr>
          <w:rFonts w:hint="eastAsia" w:eastAsia="宋体" w:cs="宋体"/>
          <w:b/>
          <w:color w:val="auto"/>
          <w:sz w:val="32"/>
          <w:szCs w:val="32"/>
          <w:highlight w:val="none"/>
          <w:u w:val="none"/>
          <w:lang w:eastAsia="zh-CN"/>
        </w:rPr>
      </w:pPr>
      <w:r>
        <w:rPr>
          <w:rFonts w:hint="eastAsia" w:cs="宋体"/>
          <w:b/>
          <w:color w:val="auto"/>
          <w:sz w:val="32"/>
          <w:szCs w:val="32"/>
          <w:highlight w:val="none"/>
          <w:u w:val="none"/>
          <w:lang w:eastAsia="zh-CN"/>
        </w:rPr>
        <w:t>天鹿北路至兴太路沿线环境整治工程施工总承包</w:t>
      </w:r>
    </w:p>
    <w:p w14:paraId="0C7EEB40">
      <w:pPr>
        <w:pStyle w:val="12"/>
        <w:snapToGrid w:val="0"/>
        <w:spacing w:line="360" w:lineRule="auto"/>
        <w:jc w:val="center"/>
        <w:rPr>
          <w:rFonts w:cs="宋体"/>
          <w:b/>
          <w:color w:val="auto"/>
          <w:sz w:val="32"/>
          <w:szCs w:val="32"/>
          <w:highlight w:val="none"/>
          <w:u w:val="none"/>
        </w:rPr>
      </w:pPr>
      <w:r>
        <w:rPr>
          <w:rFonts w:hint="eastAsia" w:cs="宋体"/>
          <w:b/>
          <w:color w:val="auto"/>
          <w:sz w:val="32"/>
          <w:szCs w:val="32"/>
          <w:highlight w:val="none"/>
          <w:u w:val="none"/>
        </w:rPr>
        <w:t>招标公告</w:t>
      </w:r>
    </w:p>
    <w:p w14:paraId="1DF30B3A">
      <w:pPr>
        <w:pStyle w:val="12"/>
        <w:snapToGrid w:val="0"/>
        <w:ind w:right="25" w:rightChars="12"/>
        <w:jc w:val="center"/>
        <w:rPr>
          <w:rFonts w:cs="宋体"/>
          <w:b/>
          <w:color w:val="auto"/>
          <w:sz w:val="24"/>
          <w:highlight w:val="none"/>
          <w:u w:val="none"/>
        </w:rPr>
      </w:pPr>
    </w:p>
    <w:p w14:paraId="2EA7248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u w:val="single"/>
        </w:rPr>
        <w:t xml:space="preserve"> 穗开发改投批〔2025〕8号</w:t>
      </w:r>
      <w:r>
        <w:rPr>
          <w:rFonts w:hint="eastAsia" w:ascii="宋体" w:hAnsi="宋体" w:cs="宋体"/>
          <w:color w:val="auto"/>
          <w:sz w:val="24"/>
          <w:szCs w:val="24"/>
          <w:highlight w:val="none"/>
        </w:rPr>
        <w:t>批准，并且图纸和技术资料满足施工需要，</w:t>
      </w:r>
      <w:r>
        <w:rPr>
          <w:rFonts w:hint="eastAsia" w:ascii="宋体" w:hAnsi="宋体" w:cs="宋体"/>
          <w:color w:val="auto"/>
          <w:spacing w:val="-2"/>
          <w:sz w:val="24"/>
          <w:szCs w:val="24"/>
          <w:highlight w:val="none"/>
          <w:u w:val="single"/>
        </w:rPr>
        <w:t>广州开发区财政投资建设项目管理中心</w:t>
      </w:r>
      <w:r>
        <w:rPr>
          <w:rFonts w:hint="eastAsia" w:ascii="宋体" w:hAnsi="宋体" w:cs="宋体"/>
          <w:color w:val="auto"/>
          <w:sz w:val="24"/>
          <w:szCs w:val="24"/>
          <w:highlight w:val="none"/>
        </w:rPr>
        <w:t>现对</w:t>
      </w:r>
      <w:r>
        <w:rPr>
          <w:rFonts w:hint="eastAsia" w:ascii="宋体" w:hAnsi="宋体" w:cs="宋体"/>
          <w:color w:val="auto"/>
          <w:sz w:val="24"/>
          <w:szCs w:val="24"/>
          <w:highlight w:val="none"/>
          <w:u w:val="single"/>
          <w:lang w:eastAsia="zh-CN"/>
        </w:rPr>
        <w:t>天鹿北路至兴太路沿线环境整治工程施工总承包</w:t>
      </w:r>
      <w:r>
        <w:rPr>
          <w:rFonts w:hint="eastAsia" w:ascii="宋体" w:hAnsi="宋体" w:cs="宋体"/>
          <w:color w:val="auto"/>
          <w:sz w:val="24"/>
          <w:szCs w:val="24"/>
          <w:highlight w:val="none"/>
        </w:rPr>
        <w:t>进行公开招标，选定承包人。</w:t>
      </w:r>
    </w:p>
    <w:p w14:paraId="5E9D74CD">
      <w:pPr>
        <w:tabs>
          <w:tab w:val="center" w:pos="4415"/>
        </w:tabs>
        <w:snapToGrid w:val="0"/>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一、工程名称：</w:t>
      </w:r>
      <w:r>
        <w:rPr>
          <w:rFonts w:hint="eastAsia" w:ascii="宋体" w:hAnsi="宋体" w:cs="宋体"/>
          <w:color w:val="auto"/>
          <w:sz w:val="24"/>
          <w:szCs w:val="24"/>
          <w:highlight w:val="none"/>
          <w:u w:val="single"/>
          <w:lang w:eastAsia="zh-CN"/>
        </w:rPr>
        <w:t>天鹿北路至兴太路沿线环境整治工程施工总承包</w:t>
      </w:r>
    </w:p>
    <w:p w14:paraId="34EA4645">
      <w:pPr>
        <w:snapToGrid w:val="0"/>
        <w:spacing w:line="360" w:lineRule="auto"/>
        <w:ind w:left="420" w:leftChars="200" w:firstLine="537" w:firstLineChars="224"/>
        <w:rPr>
          <w:rFonts w:ascii="宋体" w:hAnsi="宋体" w:cs="宋体"/>
          <w:color w:val="auto"/>
          <w:sz w:val="24"/>
          <w:szCs w:val="24"/>
          <w:highlight w:val="none"/>
          <w:u w:val="single"/>
        </w:rPr>
      </w:pPr>
      <w:r>
        <w:rPr>
          <w:rFonts w:hint="eastAsia" w:ascii="宋体" w:hAnsi="宋体" w:cs="宋体"/>
          <w:color w:val="auto"/>
          <w:sz w:val="24"/>
          <w:szCs w:val="24"/>
          <w:highlight w:val="none"/>
        </w:rPr>
        <w:t>项目代码：</w:t>
      </w:r>
      <w:r>
        <w:rPr>
          <w:rFonts w:hint="eastAsia" w:ascii="宋体" w:hAnsi="宋体" w:cs="宋体"/>
          <w:color w:val="auto"/>
          <w:sz w:val="24"/>
          <w:szCs w:val="24"/>
          <w:highlight w:val="none"/>
          <w:u w:val="single"/>
        </w:rPr>
        <w:t>2502-440116-04-01-801465</w:t>
      </w:r>
    </w:p>
    <w:p w14:paraId="7D57A5E5">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二、招标单位：</w:t>
      </w:r>
      <w:r>
        <w:rPr>
          <w:rFonts w:hint="eastAsia" w:ascii="宋体" w:hAnsi="宋体" w:cs="宋体"/>
          <w:color w:val="auto"/>
          <w:spacing w:val="-2"/>
          <w:sz w:val="24"/>
          <w:szCs w:val="24"/>
          <w:highlight w:val="none"/>
          <w:u w:val="single"/>
        </w:rPr>
        <w:t>广州开发区财政投资建设项目管理中心</w:t>
      </w:r>
    </w:p>
    <w:p w14:paraId="7D4224E7">
      <w:pPr>
        <w:snapToGrid w:val="0"/>
        <w:spacing w:line="360" w:lineRule="auto"/>
        <w:ind w:left="420" w:leftChars="200"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涂工</w:t>
      </w:r>
      <w:r>
        <w:rPr>
          <w:rFonts w:hint="eastAsia" w:ascii="宋体" w:hAnsi="宋体" w:cs="宋体"/>
          <w:color w:val="auto"/>
          <w:sz w:val="24"/>
          <w:szCs w:val="24"/>
          <w:highlight w:val="none"/>
        </w:rPr>
        <w:t xml:space="preserve">     联系电话：</w:t>
      </w:r>
      <w:r>
        <w:rPr>
          <w:rFonts w:ascii="宋体" w:hAnsi="宋体" w:cs="宋体"/>
          <w:color w:val="auto"/>
          <w:sz w:val="24"/>
          <w:szCs w:val="24"/>
          <w:highlight w:val="none"/>
          <w:u w:val="single"/>
        </w:rPr>
        <w:t>020-28068836</w:t>
      </w:r>
    </w:p>
    <w:p w14:paraId="307DF24E">
      <w:pPr>
        <w:snapToGrid w:val="0"/>
        <w:spacing w:line="360" w:lineRule="auto"/>
        <w:ind w:left="420" w:leftChars="200"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lang w:val="en-US" w:eastAsia="zh-CN"/>
        </w:rPr>
        <w:t>广州市黄埔区科学大道162号</w:t>
      </w:r>
      <w:r>
        <w:rPr>
          <w:rFonts w:hint="eastAsia" w:ascii="宋体" w:hAnsi="宋体" w:cs="宋体"/>
          <w:color w:val="auto"/>
          <w:sz w:val="24"/>
          <w:szCs w:val="24"/>
          <w:highlight w:val="none"/>
          <w:u w:val="single"/>
        </w:rPr>
        <w:t>创意大厦B2主楼三楼</w:t>
      </w:r>
    </w:p>
    <w:p w14:paraId="422042B6">
      <w:pPr>
        <w:snapToGrid w:val="0"/>
        <w:spacing w:line="360" w:lineRule="auto"/>
        <w:ind w:left="420" w:leftChars="200" w:firstLine="537" w:firstLineChars="224"/>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lang w:eastAsia="zh-CN"/>
        </w:rPr>
        <w:t>广东重工建设监理有限公司</w:t>
      </w:r>
    </w:p>
    <w:p w14:paraId="29C71E68">
      <w:pPr>
        <w:snapToGrid w:val="0"/>
        <w:spacing w:line="360" w:lineRule="auto"/>
        <w:ind w:left="420" w:leftChars="200" w:firstLine="537" w:firstLineChars="224"/>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val="en-US" w:eastAsia="zh-CN"/>
        </w:rPr>
        <w:t>余</w:t>
      </w:r>
      <w:r>
        <w:rPr>
          <w:rFonts w:hint="eastAsia" w:ascii="宋体" w:hAnsi="宋体" w:cs="宋体"/>
          <w:color w:val="auto"/>
          <w:sz w:val="24"/>
          <w:szCs w:val="24"/>
          <w:highlight w:val="none"/>
          <w:u w:val="single"/>
        </w:rPr>
        <w:t>工</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rPr>
        <w:t>13</w:t>
      </w:r>
      <w:r>
        <w:rPr>
          <w:rFonts w:hint="eastAsia" w:ascii="宋体" w:hAnsi="宋体" w:cs="宋体"/>
          <w:color w:val="auto"/>
          <w:sz w:val="24"/>
          <w:szCs w:val="24"/>
          <w:highlight w:val="none"/>
          <w:u w:val="single"/>
          <w:lang w:val="en-US" w:eastAsia="zh-CN"/>
        </w:rPr>
        <w:t>392110850</w:t>
      </w:r>
    </w:p>
    <w:p w14:paraId="0D60C69D">
      <w:pPr>
        <w:snapToGrid w:val="0"/>
        <w:spacing w:line="360" w:lineRule="auto"/>
        <w:ind w:left="420" w:leftChars="200"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olor w:val="auto"/>
          <w:sz w:val="24"/>
          <w:szCs w:val="24"/>
          <w:highlight w:val="none"/>
          <w:u w:val="single"/>
        </w:rPr>
        <w:t>广州市黄埔区揽月路1</w:t>
      </w:r>
      <w:r>
        <w:rPr>
          <w:rFonts w:ascii="宋体" w:hAnsi="宋体"/>
          <w:color w:val="auto"/>
          <w:sz w:val="24"/>
          <w:szCs w:val="24"/>
          <w:highlight w:val="none"/>
          <w:u w:val="single"/>
        </w:rPr>
        <w:t>01</w:t>
      </w:r>
      <w:r>
        <w:rPr>
          <w:rFonts w:hint="eastAsia" w:ascii="宋体" w:hAnsi="宋体"/>
          <w:color w:val="auto"/>
          <w:sz w:val="24"/>
          <w:szCs w:val="24"/>
          <w:highlight w:val="none"/>
          <w:u w:val="single"/>
        </w:rPr>
        <w:t>号保利中科广场A座7层</w:t>
      </w:r>
    </w:p>
    <w:p w14:paraId="5A0C2992">
      <w:pPr>
        <w:snapToGrid w:val="0"/>
        <w:spacing w:line="360" w:lineRule="auto"/>
        <w:ind w:left="420" w:leftChars="200"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招标监督机构：</w:t>
      </w:r>
      <w:r>
        <w:rPr>
          <w:rFonts w:hint="eastAsia" w:ascii="宋体" w:hAnsi="宋体" w:cs="宋体"/>
          <w:color w:val="auto"/>
          <w:sz w:val="24"/>
          <w:szCs w:val="24"/>
          <w:highlight w:val="none"/>
          <w:u w:val="single"/>
        </w:rPr>
        <w:t>广州开发区建设工程招投标管理办公室（广州市黄埔区建设工程招投标管理办公室）</w:t>
      </w:r>
    </w:p>
    <w:p w14:paraId="66034FCF">
      <w:pPr>
        <w:snapToGrid w:val="0"/>
        <w:spacing w:line="360" w:lineRule="auto"/>
        <w:ind w:left="420" w:leftChars="200"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监督电话：</w:t>
      </w:r>
      <w:r>
        <w:rPr>
          <w:rFonts w:hint="eastAsia" w:ascii="宋体" w:hAnsi="宋体" w:cs="宋体"/>
          <w:color w:val="auto"/>
          <w:sz w:val="24"/>
          <w:szCs w:val="24"/>
          <w:highlight w:val="none"/>
          <w:u w:val="single"/>
        </w:rPr>
        <w:t>020-82112206、82116676</w:t>
      </w:r>
    </w:p>
    <w:p w14:paraId="007F2B79">
      <w:pPr>
        <w:snapToGrid w:val="0"/>
        <w:spacing w:line="360" w:lineRule="auto"/>
        <w:ind w:left="420" w:leftChars="200"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广州黄埔区科学城水西路30号汇丽写字楼4楼</w:t>
      </w:r>
    </w:p>
    <w:p w14:paraId="43AE2891">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三、建设地点：</w:t>
      </w:r>
      <w:r>
        <w:rPr>
          <w:rFonts w:hint="eastAsia" w:ascii="宋体" w:hAnsi="宋体" w:cs="宋体"/>
          <w:color w:val="auto"/>
          <w:sz w:val="24"/>
          <w:szCs w:val="24"/>
          <w:highlight w:val="none"/>
          <w:u w:val="single"/>
        </w:rPr>
        <w:t>广州市黄埔区</w:t>
      </w:r>
    </w:p>
    <w:p w14:paraId="264E9496">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四、项目概况：</w:t>
      </w:r>
      <w:bookmarkStart w:id="0" w:name="OLE_LINK1"/>
      <w:r>
        <w:rPr>
          <w:rFonts w:hint="eastAsia" w:ascii="宋体" w:hAnsi="宋体" w:cs="宋体"/>
          <w:color w:val="auto"/>
          <w:sz w:val="24"/>
          <w:szCs w:val="24"/>
          <w:highlight w:val="none"/>
          <w:u w:val="single"/>
        </w:rPr>
        <w:t>本项目改造范围约96344平方米，主要包括建筑立面改造66204平方米，环境整治30140平方米，三线整治5000米，及相关附属配套工程改造等。工程内容包括建筑外立面改造工程、环境整治工程、三线整治工程及相关配套设施工程等。概算</w:t>
      </w:r>
      <w:r>
        <w:rPr>
          <w:rFonts w:hint="eastAsia" w:ascii="宋体" w:hAnsi="宋体" w:cs="宋体"/>
          <w:color w:val="auto"/>
          <w:sz w:val="24"/>
          <w:szCs w:val="24"/>
          <w:highlight w:val="none"/>
          <w:u w:val="single"/>
          <w:lang w:val="en-US" w:eastAsia="zh-CN"/>
        </w:rPr>
        <w:t>总投资</w:t>
      </w:r>
      <w:r>
        <w:rPr>
          <w:rFonts w:hint="eastAsia" w:ascii="宋体" w:hAnsi="宋体" w:cs="宋体"/>
          <w:color w:val="auto"/>
          <w:sz w:val="24"/>
          <w:szCs w:val="24"/>
          <w:highlight w:val="none"/>
          <w:u w:val="single"/>
        </w:rPr>
        <w:t>2159.55万元，其中建安工程费1855.20万元。</w:t>
      </w:r>
    </w:p>
    <w:bookmarkEnd w:id="0"/>
    <w:p w14:paraId="5249AB9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五、标段划分及各标段招标内容、规模和最高投标限价：</w:t>
      </w:r>
    </w:p>
    <w:p w14:paraId="5999EED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1、本工程划分为</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个标段。</w:t>
      </w:r>
    </w:p>
    <w:p w14:paraId="335CFE38">
      <w:pPr>
        <w:autoSpaceDN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2、招标内容及规模：</w:t>
      </w:r>
      <w:r>
        <w:rPr>
          <w:rFonts w:hint="eastAsia" w:ascii="宋体" w:hAnsi="宋体" w:cs="宋体"/>
          <w:color w:val="auto"/>
          <w:sz w:val="24"/>
          <w:szCs w:val="24"/>
          <w:highlight w:val="none"/>
          <w:u w:val="single"/>
        </w:rPr>
        <w:t>本项目改造范围约96344平方米，主要包括建筑立面改造66204平方米，环境整治30140平方米，三线整治5000米，及相关附属配套工程改造等。工程内容包括建筑外立面改造工程、环境整治工程、三线整治工程及相关配套设施工程等。具体以工程量清单及图纸为准。</w:t>
      </w:r>
    </w:p>
    <w:p w14:paraId="3ED253EF">
      <w:pPr>
        <w:snapToGrid w:val="0"/>
        <w:spacing w:line="360" w:lineRule="auto"/>
        <w:ind w:firstLine="480" w:firstLineChars="20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rPr>
        <w:t>3、最高投标限价：</w:t>
      </w:r>
      <w:r>
        <w:rPr>
          <w:rFonts w:hint="eastAsia" w:ascii="宋体" w:hAnsi="宋体" w:cs="宋体"/>
          <w:color w:val="auto"/>
          <w:sz w:val="24"/>
          <w:szCs w:val="24"/>
          <w:highlight w:val="none"/>
          <w:u w:val="single"/>
        </w:rPr>
        <w:t>18551532.79</w:t>
      </w:r>
      <w:r>
        <w:rPr>
          <w:rFonts w:hint="eastAsia" w:ascii="宋体" w:hAnsi="宋体" w:cs="宋体"/>
          <w:b w:val="0"/>
          <w:bCs/>
          <w:color w:val="auto"/>
          <w:sz w:val="24"/>
          <w:szCs w:val="24"/>
          <w:highlight w:val="none"/>
          <w:u w:val="single"/>
        </w:rPr>
        <w:t>元</w:t>
      </w:r>
      <w:r>
        <w:rPr>
          <w:rFonts w:hint="eastAsia" w:ascii="宋体" w:hAnsi="宋体" w:cs="宋体"/>
          <w:color w:val="auto"/>
          <w:sz w:val="24"/>
          <w:szCs w:val="24"/>
          <w:highlight w:val="none"/>
          <w:u w:val="single"/>
        </w:rPr>
        <w:t>。详见招标人最终发出的《最高投标限价公布函》，投标价超过最高投标限价的投标文件将被拒绝。</w:t>
      </w:r>
    </w:p>
    <w:p w14:paraId="39F302C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六、资金来源：</w:t>
      </w:r>
      <w:r>
        <w:rPr>
          <w:rFonts w:hint="eastAsia" w:ascii="宋体" w:hAnsi="宋体" w:cs="宋体"/>
          <w:color w:val="auto"/>
          <w:sz w:val="24"/>
          <w:szCs w:val="24"/>
          <w:highlight w:val="none"/>
          <w:u w:val="single"/>
        </w:rPr>
        <w:t>区财政资金</w:t>
      </w:r>
      <w:r>
        <w:rPr>
          <w:rFonts w:hint="eastAsia" w:ascii="宋体" w:hAnsi="宋体" w:cs="宋体"/>
          <w:color w:val="auto"/>
          <w:sz w:val="24"/>
          <w:szCs w:val="24"/>
          <w:highlight w:val="none"/>
        </w:rPr>
        <w:t>。</w:t>
      </w:r>
    </w:p>
    <w:p w14:paraId="65337E5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注：政府投资项目一律不得以建筑业企业带资承包的方式进行建设。</w:t>
      </w:r>
    </w:p>
    <w:p w14:paraId="7D52743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s="宋体"/>
          <w:color w:val="auto"/>
          <w:sz w:val="24"/>
          <w:szCs w:val="24"/>
          <w:highlight w:val="none"/>
        </w:rPr>
        <w:t>公告发布日期、递交投标文件时间与开标时间：</w:t>
      </w:r>
    </w:p>
    <w:p w14:paraId="465938F6">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1、公告发布日期（含本日）：</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15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8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p w14:paraId="088847B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交易平台网站下载电子招标文件。</w:t>
      </w:r>
    </w:p>
    <w:p w14:paraId="308EAE54">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14:paraId="7D70DF1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p w14:paraId="7B9DBA40">
      <w:pPr>
        <w:snapToGrid w:val="0"/>
        <w:spacing w:line="360" w:lineRule="auto"/>
        <w:ind w:firstLine="2258" w:firstLineChars="941"/>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9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8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p w14:paraId="0119B885">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8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p w14:paraId="17712E9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2785CCD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6FDCC50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交易平台网站办理网上投标登记手续。按照交易平台关于全流程电子化项目的相关指南进行操作。详见：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广州交易集团有限公司（广州公共资源交易中心）最新指引</w:t>
      </w:r>
      <w:r>
        <w:rPr>
          <w:rFonts w:hint="eastAsia" w:ascii="宋体" w:hAnsi="宋体" w:cs="宋体"/>
          <w:color w:val="auto"/>
          <w:sz w:val="24"/>
          <w:szCs w:val="24"/>
          <w:highlight w:val="none"/>
        </w:rPr>
        <w:t>。</w:t>
      </w:r>
    </w:p>
    <w:p w14:paraId="0037D9E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u w:val="singl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r>
        <w:rPr>
          <w:rFonts w:hint="eastAsia" w:ascii="宋体" w:hAnsi="宋体" w:cs="宋体"/>
          <w:color w:val="auto"/>
          <w:sz w:val="24"/>
          <w:szCs w:val="24"/>
          <w:highlight w:val="none"/>
        </w:rPr>
        <w:t>。</w:t>
      </w:r>
    </w:p>
    <w:p w14:paraId="178F307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7、投标担保：</w:t>
      </w:r>
      <w:r>
        <w:rPr>
          <w:rFonts w:hint="eastAsia" w:ascii="宋体" w:hAnsi="宋体" w:cs="宋体"/>
          <w:color w:val="auto"/>
          <w:sz w:val="24"/>
          <w:szCs w:val="24"/>
          <w:highlight w:val="none"/>
          <w:u w:val="single"/>
        </w:rPr>
        <w:t>本项目不收投标保证金。</w:t>
      </w:r>
    </w:p>
    <w:p w14:paraId="5FA01D5E">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14:paraId="5D34E467">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交易平台网站发布。招标文件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网站下载。</w:t>
      </w:r>
    </w:p>
    <w:p w14:paraId="7928E51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九、投标人合格条件：</w:t>
      </w:r>
    </w:p>
    <w:p w14:paraId="4EECD4E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w:t>
      </w:r>
      <w:r>
        <w:rPr>
          <w:rFonts w:hint="eastAsia" w:ascii="宋体" w:hAnsi="宋体" w:cs="宋体"/>
          <w:color w:val="auto"/>
          <w:sz w:val="24"/>
          <w:szCs w:val="24"/>
          <w:highlight w:val="none"/>
          <w:u w:val="single"/>
        </w:rPr>
        <w:t>（若为联合体投标，指联合体各方）</w:t>
      </w:r>
      <w:r>
        <w:rPr>
          <w:rFonts w:hint="eastAsia" w:ascii="宋体" w:hAnsi="宋体" w:cs="宋体"/>
          <w:color w:val="auto"/>
          <w:sz w:val="24"/>
          <w:szCs w:val="24"/>
          <w:highlight w:val="none"/>
        </w:rPr>
        <w:t>参加投标的意思表达清楚，投标人代表（</w:t>
      </w:r>
      <w:r>
        <w:rPr>
          <w:rFonts w:hint="eastAsia" w:ascii="宋体" w:hAnsi="宋体" w:cs="宋体"/>
          <w:color w:val="auto"/>
          <w:sz w:val="24"/>
          <w:szCs w:val="24"/>
          <w:highlight w:val="none"/>
          <w:u w:val="single"/>
        </w:rPr>
        <w:t>若为联合体投标，由联合体主办方提供</w:t>
      </w:r>
      <w:r>
        <w:rPr>
          <w:rFonts w:hint="eastAsia" w:ascii="宋体" w:hAnsi="宋体" w:cs="宋体"/>
          <w:color w:val="auto"/>
          <w:sz w:val="24"/>
          <w:szCs w:val="24"/>
          <w:highlight w:val="none"/>
        </w:rPr>
        <w:t>）被授权有效（委托投标的还应提供授权委托人的离投标截止时间最近的至少1个月（2025年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月或</w:t>
      </w:r>
      <w:r>
        <w:rPr>
          <w:rFonts w:hint="eastAsia" w:ascii="宋体" w:hAnsi="宋体" w:cs="宋体"/>
          <w:color w:val="auto"/>
          <w:sz w:val="24"/>
          <w:szCs w:val="24"/>
          <w:highlight w:val="none"/>
          <w:lang w:val="en-US" w:eastAsia="zh-CN"/>
        </w:rPr>
        <w:t>8</w:t>
      </w:r>
      <w:bookmarkStart w:id="1" w:name="_GoBack"/>
      <w:bookmarkEnd w:id="1"/>
      <w:r>
        <w:rPr>
          <w:rFonts w:hint="eastAsia" w:ascii="宋体" w:hAnsi="宋体" w:cs="宋体"/>
          <w:color w:val="auto"/>
          <w:sz w:val="24"/>
          <w:szCs w:val="24"/>
          <w:highlight w:val="none"/>
        </w:rPr>
        <w:t>月）在本单位缴纳的社保证明文件）。</w:t>
      </w:r>
    </w:p>
    <w:p w14:paraId="43245C6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w:t>
      </w:r>
      <w:r>
        <w:rPr>
          <w:rFonts w:hint="eastAsia" w:ascii="宋体" w:hAnsi="宋体" w:cs="宋体"/>
          <w:color w:val="auto"/>
          <w:sz w:val="24"/>
          <w:szCs w:val="24"/>
          <w:highlight w:val="none"/>
          <w:u w:val="single"/>
        </w:rPr>
        <w:t>（若为联合体投标，指联合体各方）</w:t>
      </w:r>
      <w:r>
        <w:rPr>
          <w:rFonts w:hint="eastAsia" w:ascii="宋体" w:hAnsi="宋体" w:cs="宋体"/>
          <w:color w:val="auto"/>
          <w:sz w:val="24"/>
          <w:szCs w:val="24"/>
          <w:highlight w:val="none"/>
        </w:rPr>
        <w:t>具有独立法人资格，按国家法律经营。</w:t>
      </w:r>
    </w:p>
    <w:p w14:paraId="5789E3E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w:t>
      </w:r>
      <w:r>
        <w:rPr>
          <w:rFonts w:hint="eastAsia" w:ascii="宋体" w:hAnsi="宋体" w:cs="宋体"/>
          <w:color w:val="auto"/>
          <w:sz w:val="24"/>
          <w:szCs w:val="24"/>
          <w:highlight w:val="none"/>
          <w:u w:val="single"/>
        </w:rPr>
        <w:t>（若为联合体投标，指联合体各方）</w:t>
      </w:r>
      <w:r>
        <w:rPr>
          <w:rFonts w:hint="eastAsia" w:ascii="宋体" w:hAnsi="宋体" w:cs="宋体"/>
          <w:color w:val="auto"/>
          <w:sz w:val="24"/>
          <w:szCs w:val="24"/>
          <w:highlight w:val="none"/>
        </w:rPr>
        <w:t>持有建设行政主管部门颁发的</w:t>
      </w:r>
      <w:r>
        <w:rPr>
          <w:rFonts w:hint="eastAsia" w:ascii="宋体" w:hAnsi="宋体" w:cs="宋体"/>
          <w:color w:val="auto"/>
          <w:sz w:val="24"/>
          <w:szCs w:val="24"/>
          <w:highlight w:val="none"/>
          <w:u w:val="single"/>
        </w:rPr>
        <w:t>有效期内的</w:t>
      </w:r>
      <w:r>
        <w:rPr>
          <w:rFonts w:hint="eastAsia" w:ascii="宋体" w:hAnsi="宋体" w:cs="宋体"/>
          <w:color w:val="auto"/>
          <w:sz w:val="24"/>
          <w:szCs w:val="24"/>
          <w:highlight w:val="none"/>
        </w:rPr>
        <w:t>企业资质证书及安全生产许可证。</w:t>
      </w:r>
    </w:p>
    <w:p w14:paraId="0D2E9380">
      <w:pPr>
        <w:snapToGrid w:val="0"/>
        <w:spacing w:line="360" w:lineRule="auto"/>
        <w:ind w:firstLine="480" w:firstLineChars="200"/>
        <w:rPr>
          <w:rFonts w:ascii="宋体" w:hAnsi="宋体" w:cs="宋体"/>
          <w:i/>
          <w:color w:val="auto"/>
          <w:sz w:val="24"/>
          <w:szCs w:val="24"/>
          <w:highlight w:val="none"/>
        </w:rPr>
      </w:pPr>
      <w:r>
        <w:rPr>
          <w:rFonts w:hint="eastAsia" w:ascii="宋体" w:hAnsi="宋体" w:cs="宋体"/>
          <w:color w:val="auto"/>
          <w:sz w:val="24"/>
          <w:szCs w:val="24"/>
          <w:highlight w:val="none"/>
        </w:rPr>
        <w:t>4、投标人应具备以下资质：</w:t>
      </w:r>
    </w:p>
    <w:p w14:paraId="282A54E8">
      <w:pPr>
        <w:pStyle w:val="2"/>
        <w:tabs>
          <w:tab w:val="left" w:pos="7867"/>
          <w:tab w:val="left" w:pos="9071"/>
          <w:tab w:val="left" w:pos="9313"/>
        </w:tabs>
        <w:kinsoku w:val="0"/>
        <w:overflowPunct w:val="0"/>
        <w:snapToGrid w:val="0"/>
        <w:spacing w:after="0" w:line="360"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投标人</w:t>
      </w:r>
      <w:r>
        <w:rPr>
          <w:rFonts w:hint="eastAsia" w:ascii="宋体" w:hAnsi="宋体" w:cs="宋体"/>
          <w:color w:val="auto"/>
          <w:sz w:val="24"/>
          <w:szCs w:val="24"/>
          <w:highlight w:val="none"/>
          <w:u w:val="single"/>
        </w:rPr>
        <w:t>（若为联合体投标，指联合体各方）</w:t>
      </w:r>
      <w:r>
        <w:rPr>
          <w:rFonts w:hint="eastAsia" w:ascii="宋体" w:hAnsi="宋体" w:cs="宋体"/>
          <w:color w:val="auto"/>
          <w:sz w:val="24"/>
          <w:szCs w:val="24"/>
          <w:highlight w:val="none"/>
        </w:rPr>
        <w:t>具有</w:t>
      </w:r>
      <w:r>
        <w:rPr>
          <w:rFonts w:hint="eastAsia" w:ascii="宋体" w:hAnsi="宋体" w:cs="宋体"/>
          <w:color w:val="auto"/>
          <w:spacing w:val="-6"/>
          <w:sz w:val="24"/>
          <w:szCs w:val="24"/>
          <w:highlight w:val="none"/>
        </w:rPr>
        <w:t>承接本工程所需的</w:t>
      </w:r>
      <w:r>
        <w:rPr>
          <w:rFonts w:hint="eastAsia" w:ascii="宋体" w:hAnsi="宋体" w:cs="宋体"/>
          <w:b/>
          <w:bCs/>
          <w:color w:val="auto"/>
          <w:spacing w:val="-6"/>
          <w:sz w:val="24"/>
          <w:szCs w:val="24"/>
          <w:highlight w:val="none"/>
          <w:u w:val="single"/>
        </w:rPr>
        <w:t>建筑工程施工总承包三级</w:t>
      </w:r>
      <w:r>
        <w:rPr>
          <w:rFonts w:hint="eastAsia" w:ascii="宋体" w:hAnsi="宋体" w:cs="宋体"/>
          <w:color w:val="auto"/>
          <w:spacing w:val="-6"/>
          <w:sz w:val="24"/>
          <w:szCs w:val="24"/>
          <w:highlight w:val="none"/>
        </w:rPr>
        <w:t>或以上级别施工总承包资质</w:t>
      </w:r>
      <w:r>
        <w:rPr>
          <w:rFonts w:hint="eastAsia" w:ascii="宋体" w:hAnsi="宋体" w:cs="宋体"/>
          <w:color w:val="auto"/>
          <w:sz w:val="24"/>
          <w:szCs w:val="24"/>
          <w:highlight w:val="none"/>
        </w:rPr>
        <w:t>。</w:t>
      </w:r>
    </w:p>
    <w:p w14:paraId="4DD1CF40">
      <w:pPr>
        <w:pStyle w:val="2"/>
        <w:tabs>
          <w:tab w:val="left" w:pos="7867"/>
          <w:tab w:val="left" w:pos="9071"/>
          <w:tab w:val="left" w:pos="9313"/>
        </w:tabs>
        <w:kinsoku w:val="0"/>
        <w:overflowPunct w:val="0"/>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投标人拟担任本工程项目负责人</w:t>
      </w:r>
      <w:r>
        <w:rPr>
          <w:rFonts w:hint="eastAsia" w:ascii="宋体" w:hAnsi="宋体" w:cs="宋体"/>
          <w:color w:val="auto"/>
          <w:sz w:val="24"/>
          <w:szCs w:val="24"/>
          <w:highlight w:val="none"/>
          <w:u w:val="single"/>
        </w:rPr>
        <w:t>（若为联合体投标，由联合体主办方提供）</w:t>
      </w:r>
      <w:r>
        <w:rPr>
          <w:rFonts w:hint="eastAsia" w:ascii="宋体" w:hAnsi="宋体" w:cs="宋体"/>
          <w:color w:val="auto"/>
          <w:sz w:val="24"/>
          <w:szCs w:val="24"/>
          <w:highlight w:val="none"/>
        </w:rPr>
        <w:t>的人员为：</w:t>
      </w:r>
      <w:r>
        <w:rPr>
          <w:rFonts w:hint="eastAsia" w:ascii="宋体" w:hAnsi="宋体" w:cs="宋体"/>
          <w:b/>
          <w:bCs/>
          <w:color w:val="auto"/>
          <w:sz w:val="24"/>
          <w:szCs w:val="24"/>
          <w:highlight w:val="none"/>
          <w:u w:val="single"/>
        </w:rPr>
        <w:t>建筑工程专业二级</w:t>
      </w:r>
      <w:r>
        <w:rPr>
          <w:rFonts w:hint="eastAsia" w:ascii="宋体" w:hAnsi="宋体" w:cs="宋体"/>
          <w:color w:val="auto"/>
          <w:spacing w:val="-6"/>
          <w:sz w:val="24"/>
          <w:szCs w:val="24"/>
          <w:highlight w:val="none"/>
        </w:rPr>
        <w:t>或以上的</w:t>
      </w:r>
      <w:r>
        <w:rPr>
          <w:rFonts w:hint="eastAsia" w:ascii="宋体" w:hAnsi="宋体" w:cs="宋体"/>
          <w:color w:val="auto"/>
          <w:sz w:val="24"/>
          <w:szCs w:val="24"/>
          <w:highlight w:val="none"/>
        </w:rPr>
        <w:t>注册建造师。</w:t>
      </w:r>
    </w:p>
    <w:p w14:paraId="20FD213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color w:val="auto"/>
          <w:sz w:val="24"/>
          <w:szCs w:val="24"/>
          <w:highlight w:val="none"/>
        </w:rPr>
        <w:t>、《广东省住房和城乡建设厅关于做好有关建设工程企业资质证书换领工作的通知》（粤建许函〔2024〕124号）、《广东省住房和城乡建设厅关于进一步明确建筑业企业资质延续有关事项的通知》（粤建许函〔2025〕187号）</w:t>
      </w:r>
      <w:r>
        <w:rPr>
          <w:rFonts w:hint="eastAsia" w:ascii="宋体" w:hAnsi="宋体"/>
          <w:color w:val="auto"/>
          <w:sz w:val="24"/>
          <w:highlight w:val="none"/>
        </w:rPr>
        <w:t>等相关规定。根据上述文件的要求，投标人需办理企业资质有效期延续的，应当按照相关规定及时办理。</w:t>
      </w:r>
    </w:p>
    <w:p w14:paraId="04AB37A6">
      <w:pPr>
        <w:snapToGrid w:val="0"/>
        <w:spacing w:line="360" w:lineRule="auto"/>
        <w:ind w:firstLine="462" w:firstLineChars="200"/>
        <w:rPr>
          <w:rFonts w:ascii="宋体" w:hAnsi="宋体"/>
          <w:color w:val="auto"/>
          <w:sz w:val="24"/>
          <w:highlight w:val="none"/>
          <w:u w:val="single"/>
        </w:rPr>
      </w:pPr>
      <w:r>
        <w:rPr>
          <w:rFonts w:hint="eastAsia" w:ascii="宋体" w:hAnsi="宋体"/>
          <w:b/>
          <w:bCs/>
          <w:color w:val="auto"/>
          <w:spacing w:val="-5"/>
          <w:sz w:val="24"/>
          <w:szCs w:val="24"/>
          <w:highlight w:val="none"/>
          <w:u w:val="single"/>
        </w:rPr>
        <w:t>相关注意事项如下</w:t>
      </w:r>
      <w:r>
        <w:rPr>
          <w:rFonts w:hint="eastAsia" w:ascii="宋体" w:hAnsi="宋体"/>
          <w:color w:val="auto"/>
          <w:spacing w:val="-5"/>
          <w:sz w:val="24"/>
          <w:szCs w:val="24"/>
          <w:highlight w:val="none"/>
          <w:u w:val="single"/>
        </w:rPr>
        <w:t>：</w:t>
      </w:r>
      <w:r>
        <w:rPr>
          <w:rFonts w:hint="eastAsia" w:ascii="宋体" w:hAnsi="宋体"/>
          <w:color w:val="auto"/>
          <w:sz w:val="24"/>
          <w:highlight w:val="none"/>
          <w:u w:val="single"/>
        </w:rPr>
        <w:t>（一）投标人按照上述规定办理了资质延期或换领新证，在投标截止前已取得新证的，投标人须在投标文件中提供经核准延期后的新资质证书。</w:t>
      </w:r>
    </w:p>
    <w:p w14:paraId="74E12A36">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38AF1830">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59F3E115">
      <w:pPr>
        <w:snapToGrid w:val="0"/>
        <w:spacing w:line="360" w:lineRule="auto"/>
        <w:ind w:firstLine="480" w:firstLineChars="200"/>
        <w:rPr>
          <w:color w:val="auto"/>
          <w:sz w:val="24"/>
          <w:highlight w:val="none"/>
          <w:u w:val="single"/>
        </w:rPr>
      </w:pPr>
      <w:r>
        <w:rPr>
          <w:rFonts w:hint="eastAsia" w:ascii="宋体" w:hAnsi="宋体"/>
          <w:color w:val="auto"/>
          <w:sz w:val="24"/>
          <w:highlight w:val="none"/>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3A802060">
      <w:pPr>
        <w:snapToGrid w:val="0"/>
        <w:spacing w:line="360" w:lineRule="auto"/>
        <w:ind w:firstLine="480" w:firstLineChars="200"/>
        <w:rPr>
          <w:color w:val="auto"/>
          <w:sz w:val="24"/>
          <w:highlight w:val="none"/>
        </w:rPr>
      </w:pPr>
      <w:r>
        <w:rPr>
          <w:rFonts w:hint="eastAsia"/>
          <w:color w:val="auto"/>
          <w:sz w:val="24"/>
          <w:highlight w:val="none"/>
        </w:rPr>
        <w:t>②根据</w:t>
      </w:r>
      <w:r>
        <w:rPr>
          <w:rFonts w:hint="eastAsia" w:ascii="宋体" w:hAnsi="宋体"/>
          <w:color w:val="auto"/>
          <w:sz w:val="24"/>
          <w:highlight w:val="none"/>
        </w:rPr>
        <w:t>《住房和城乡建设部办公厅关于全面实行一级建造师电子注册证书的通知》（建办市〔2021〕40号），自2022年1月1日起，一级建造</w:t>
      </w:r>
      <w:r>
        <w:rPr>
          <w:rFonts w:hint="eastAsia"/>
          <w:color w:val="auto"/>
          <w:sz w:val="24"/>
          <w:highlight w:val="none"/>
        </w:rPr>
        <w:t>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39BF0C2">
      <w:pPr>
        <w:snapToGrid w:val="0"/>
        <w:spacing w:line="360" w:lineRule="auto"/>
        <w:ind w:firstLine="480" w:firstLineChars="200"/>
        <w:rPr>
          <w:color w:val="auto"/>
          <w:sz w:val="24"/>
          <w:highlight w:val="none"/>
        </w:rPr>
      </w:pPr>
      <w:r>
        <w:rPr>
          <w:rFonts w:hint="eastAsia"/>
          <w:color w:val="auto"/>
          <w:sz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55C8DEC">
      <w:pPr>
        <w:pStyle w:val="2"/>
        <w:overflowPunct w:val="0"/>
        <w:snapToGrid w:val="0"/>
        <w:spacing w:after="0" w:line="360" w:lineRule="auto"/>
        <w:ind w:firstLine="460" w:firstLineChars="200"/>
        <w:rPr>
          <w:rFonts w:ascii="宋体" w:hAnsi="宋体"/>
          <w:color w:val="auto"/>
          <w:spacing w:val="-5"/>
          <w:sz w:val="24"/>
          <w:szCs w:val="24"/>
          <w:highlight w:val="none"/>
        </w:rPr>
      </w:pPr>
      <w:r>
        <w:rPr>
          <w:rFonts w:hint="eastAsia" w:ascii="宋体" w:hAnsi="宋体"/>
          <w:color w:val="auto"/>
          <w:spacing w:val="-5"/>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3AF52E83">
      <w:pPr>
        <w:numPr>
          <w:ilvl w:val="0"/>
          <w:numId w:val="1"/>
        </w:numPr>
        <w:snapToGrid w:val="0"/>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项目负责人</w:t>
      </w:r>
      <w:r>
        <w:rPr>
          <w:rFonts w:hint="eastAsia" w:ascii="宋体" w:hAnsi="宋体" w:cs="宋体"/>
          <w:color w:val="auto"/>
          <w:sz w:val="24"/>
          <w:szCs w:val="24"/>
          <w:highlight w:val="none"/>
          <w:u w:val="single"/>
        </w:rPr>
        <w:t>（若为联合体投标，由联合体主办方提供）</w:t>
      </w:r>
      <w:r>
        <w:rPr>
          <w:rFonts w:hint="eastAsia" w:ascii="宋体" w:hAnsi="宋体"/>
          <w:color w:val="auto"/>
          <w:sz w:val="24"/>
          <w:szCs w:val="24"/>
          <w:highlight w:val="none"/>
        </w:rPr>
        <w:t>持有</w:t>
      </w:r>
      <w:r>
        <w:rPr>
          <w:rFonts w:hint="eastAsia" w:ascii="宋体" w:hAnsi="宋体"/>
          <w:color w:val="auto"/>
          <w:sz w:val="24"/>
          <w:szCs w:val="24"/>
          <w:highlight w:val="none"/>
          <w:u w:val="single"/>
        </w:rPr>
        <w:t>有效期内的</w:t>
      </w:r>
      <w:r>
        <w:rPr>
          <w:rFonts w:hint="eastAsia" w:ascii="宋体" w:hAnsi="宋体"/>
          <w:color w:val="auto"/>
          <w:sz w:val="24"/>
          <w:szCs w:val="24"/>
          <w:highlight w:val="none"/>
        </w:rPr>
        <w:t>安全生产考核合格证（B类）或建筑施工企业项目负责人安全生产考核合格证书。</w:t>
      </w:r>
    </w:p>
    <w:p w14:paraId="14B45433">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08E12ECA">
      <w:pPr>
        <w:pStyle w:val="21"/>
        <w:snapToGrid w:val="0"/>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6、投标人拟担任本工程技术负责人</w:t>
      </w:r>
      <w:r>
        <w:rPr>
          <w:rFonts w:hint="eastAsia" w:ascii="宋体" w:hAnsi="宋体" w:eastAsia="宋体" w:cs="宋体"/>
          <w:color w:val="auto"/>
          <w:sz w:val="24"/>
          <w:szCs w:val="24"/>
          <w:highlight w:val="none"/>
          <w:u w:val="single"/>
        </w:rPr>
        <w:t>（若为联合体投标，由联合体主办方提供）</w:t>
      </w:r>
      <w:r>
        <w:rPr>
          <w:rFonts w:hint="eastAsia" w:ascii="宋体" w:hAnsi="宋体" w:eastAsia="宋体" w:cs="宋体"/>
          <w:color w:val="auto"/>
          <w:sz w:val="24"/>
          <w:szCs w:val="24"/>
          <w:highlight w:val="none"/>
        </w:rPr>
        <w:t>的资格要求为：</w:t>
      </w:r>
      <w:r>
        <w:rPr>
          <w:rFonts w:hint="eastAsia" w:ascii="宋体" w:hAnsi="宋体" w:eastAsia="宋体" w:cs="宋体"/>
          <w:color w:val="auto"/>
          <w:kern w:val="2"/>
          <w:sz w:val="24"/>
          <w:szCs w:val="24"/>
          <w:highlight w:val="none"/>
          <w:u w:val="single"/>
        </w:rPr>
        <w:t>具有建筑类专业中级或以上职称</w:t>
      </w:r>
      <w:r>
        <w:rPr>
          <w:rFonts w:hint="eastAsia" w:ascii="宋体" w:hAnsi="宋体" w:eastAsia="宋体" w:cs="宋体"/>
          <w:color w:val="auto"/>
          <w:sz w:val="24"/>
          <w:szCs w:val="24"/>
          <w:highlight w:val="none"/>
          <w:u w:val="single"/>
        </w:rPr>
        <w:t>。</w:t>
      </w:r>
    </w:p>
    <w:p w14:paraId="393F561D">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olor w:val="auto"/>
          <w:sz w:val="24"/>
          <w:szCs w:val="24"/>
          <w:highlight w:val="none"/>
        </w:rPr>
        <w:t>拟配备的专职安全员</w:t>
      </w:r>
      <w:r>
        <w:rPr>
          <w:rFonts w:hint="eastAsia" w:ascii="宋体" w:hAnsi="宋体"/>
          <w:color w:val="auto"/>
          <w:sz w:val="24"/>
          <w:szCs w:val="24"/>
          <w:highlight w:val="none"/>
          <w:u w:val="single"/>
        </w:rPr>
        <w:t>（若为联合体投标，由联合体主办方提供）</w:t>
      </w:r>
      <w:r>
        <w:rPr>
          <w:rFonts w:hint="eastAsia" w:ascii="宋体" w:hAnsi="宋体"/>
          <w:color w:val="auto"/>
          <w:sz w:val="24"/>
          <w:szCs w:val="24"/>
          <w:highlight w:val="none"/>
        </w:rPr>
        <w:t>不少于1人，专职安全员</w:t>
      </w:r>
      <w:r>
        <w:rPr>
          <w:rFonts w:hint="eastAsia" w:ascii="宋体" w:hAnsi="宋体"/>
          <w:color w:val="auto"/>
          <w:sz w:val="24"/>
          <w:szCs w:val="24"/>
          <w:highlight w:val="none"/>
          <w:u w:val="single"/>
        </w:rPr>
        <w:t>（若为联合体投标，由联合体主办方提供）</w:t>
      </w:r>
      <w:r>
        <w:rPr>
          <w:rFonts w:hint="eastAsia" w:ascii="宋体" w:hAnsi="宋体"/>
          <w:color w:val="auto"/>
          <w:sz w:val="24"/>
          <w:szCs w:val="24"/>
          <w:highlight w:val="none"/>
        </w:rPr>
        <w:t>须具有有效期内的安全生产考核合格证（C类）或建筑施工企业专职安全生产管理人员安全生产考核合格证书（C3）。</w:t>
      </w:r>
    </w:p>
    <w:p w14:paraId="50ADBBB5">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14:paraId="4F766553">
      <w:pPr>
        <w:snapToGrid w:val="0"/>
        <w:spacing w:line="360" w:lineRule="auto"/>
        <w:ind w:firstLine="480" w:firstLineChars="200"/>
        <w:rPr>
          <w:rFonts w:ascii="宋体" w:hAnsi="宋体" w:cs="宋体"/>
          <w:strike/>
          <w:color w:val="auto"/>
          <w:sz w:val="24"/>
          <w:szCs w:val="24"/>
          <w:highlight w:val="none"/>
        </w:rPr>
      </w:pPr>
      <w:r>
        <w:rPr>
          <w:rFonts w:hint="eastAsia" w:ascii="宋体" w:hAnsi="宋体" w:cs="宋体"/>
          <w:color w:val="auto"/>
          <w:kern w:val="0"/>
          <w:sz w:val="24"/>
          <w:szCs w:val="24"/>
          <w:highlight w:val="none"/>
        </w:rPr>
        <w:t>8</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（若为联合体投标，指联合体各方）</w:t>
      </w:r>
      <w:r>
        <w:rPr>
          <w:rFonts w:hint="eastAsia" w:ascii="宋体" w:hAnsi="宋体" w:cs="宋体"/>
          <w:color w:val="auto"/>
          <w:sz w:val="24"/>
          <w:szCs w:val="24"/>
          <w:highlight w:val="none"/>
        </w:rPr>
        <w:t>已按照附件一的内容签署盖章的《投标人声明适用于独立投标或联合体主办方）》和《投标人声明（适用于联合体成员方）》（若为联合体投标，成员方需提供；若为独立投标人，无需提供）。</w:t>
      </w:r>
    </w:p>
    <w:p w14:paraId="62E8D7A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9、关于联合体投标：</w:t>
      </w:r>
      <w:r>
        <w:rPr>
          <w:rFonts w:hint="eastAsia" w:ascii="宋体" w:hAnsi="宋体" w:cs="宋体"/>
          <w:color w:val="auto"/>
          <w:sz w:val="24"/>
          <w:szCs w:val="24"/>
          <w:highlight w:val="none"/>
          <w:u w:val="single"/>
        </w:rPr>
        <w:t>本项目接受联合体投标</w:t>
      </w:r>
      <w:r>
        <w:rPr>
          <w:rFonts w:hint="eastAsia" w:ascii="宋体" w:hAnsi="宋体" w:cs="宋体"/>
          <w:color w:val="auto"/>
          <w:sz w:val="24"/>
          <w:szCs w:val="24"/>
          <w:highlight w:val="none"/>
        </w:rPr>
        <w:t>。</w:t>
      </w:r>
    </w:p>
    <w:p w14:paraId="5731E082">
      <w:pPr>
        <w:wordWrap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如为联合体投标的，最多由2家单位组成联合体，须明确联合体主办方，并按本公告附件二签定《联合体工作协议》。《联合体工作协议》应明确约定各方拟承担的工作和责任。拟担任本工程项目负责人、专职安全员须是联合体主办方企业信用档案中的在册人员。参加联合体投标的任何一方不得再以自己名义单独或以其他联合体成员的名义申请本项目投标，如出现此类情况将拒绝投标人参加投标。</w:t>
      </w:r>
    </w:p>
    <w:p w14:paraId="482FE477">
      <w:pPr>
        <w:wordWrap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注：①联合体投标的，在资格审查环节，其资质指标按联合体成员中最低者确定。</w:t>
      </w:r>
    </w:p>
    <w:p w14:paraId="6DC9172D">
      <w:pPr>
        <w:wordWrap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②联合体投标的，项目负责人、技术负责人、专职安全员由联合体中主办方提供。</w:t>
      </w:r>
    </w:p>
    <w:p w14:paraId="44A411A3">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olor w:val="auto"/>
          <w:sz w:val="24"/>
          <w:highlight w:val="none"/>
          <w:u w:val="single"/>
        </w:rPr>
        <w:t>资格审查前，投标人（若为联合体投标，指联合体各方）须在广州市住房和城乡建设局建立企业信用档案，拟担任本工程项目负责人、专职安全员须是联合体主办方企业信用档案中的在册人员。企业信用档案取自投标截止时间投标人（若为联合体投标，指联合体各方）在信用管理平台的信息，投标人无需提交相关资料，若招标人（若为联合体投标，指联合体各方）延长递交投标文件截止时间的，信用档案信息的评审时点也相应延长。（信用档案办理详见《广州市住建行业信用管理平台施工企业信息录入指引》，网址：http://zfcj.gz.gov.cn/zwgk/zsdwxxgkzl/gzsjzyglfwzx/bszy/content/post_8484886.html）。</w:t>
      </w:r>
    </w:p>
    <w:p w14:paraId="0B389829">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11、投标人</w:t>
      </w:r>
      <w:r>
        <w:rPr>
          <w:rFonts w:hint="eastAsia" w:ascii="宋体" w:hAnsi="宋体" w:cs="宋体"/>
          <w:color w:val="auto"/>
          <w:sz w:val="24"/>
          <w:szCs w:val="24"/>
          <w:highlight w:val="none"/>
          <w:u w:val="single"/>
        </w:rPr>
        <w:t>（若为联合体投标，指联合体各方）</w:t>
      </w:r>
      <w:r>
        <w:rPr>
          <w:rFonts w:hint="eastAsia" w:ascii="宋体" w:hAnsi="宋体" w:cs="宋体"/>
          <w:color w:val="auto"/>
          <w:sz w:val="24"/>
          <w:szCs w:val="24"/>
          <w:highlight w:val="none"/>
        </w:rPr>
        <w:t>未出现以下情形：与其他投标人的单位负责人为同一人或者存在控股、管理关系的【按《投标人声明（适用于独立投标或联合体主办方）》</w:t>
      </w:r>
      <w:r>
        <w:rPr>
          <w:rFonts w:hint="eastAsia" w:ascii="宋体" w:hAnsi="宋体" w:cs="宋体"/>
          <w:color w:val="auto"/>
          <w:sz w:val="24"/>
          <w:szCs w:val="24"/>
          <w:highlight w:val="none"/>
          <w:u w:val="single"/>
        </w:rPr>
        <w:t>第九条内容</w:t>
      </w:r>
      <w:r>
        <w:rPr>
          <w:rFonts w:hint="eastAsia" w:ascii="宋体" w:hAnsi="宋体" w:cs="宋体"/>
          <w:color w:val="auto"/>
          <w:sz w:val="24"/>
          <w:szCs w:val="24"/>
          <w:highlight w:val="none"/>
        </w:rPr>
        <w:t>和《投标人声明（适用于联合体成员方）》</w:t>
      </w:r>
      <w:r>
        <w:rPr>
          <w:rFonts w:hint="eastAsia" w:ascii="宋体" w:hAnsi="宋体" w:cs="宋体"/>
          <w:color w:val="auto"/>
          <w:sz w:val="24"/>
          <w:szCs w:val="24"/>
          <w:highlight w:val="none"/>
          <w:u w:val="single"/>
        </w:rPr>
        <w:t>第七条内容</w:t>
      </w:r>
      <w:r>
        <w:rPr>
          <w:rFonts w:hint="eastAsia" w:ascii="宋体" w:hAnsi="宋体" w:cs="宋体"/>
          <w:color w:val="auto"/>
          <w:sz w:val="24"/>
          <w:szCs w:val="24"/>
          <w:highlight w:val="none"/>
        </w:rPr>
        <w:t>（若为联合体投标，成员方需提供；若为独立投标人，无需提供）进行评审】。如不同投标申请人出现单位负责人为同一人或者存在控股、管理关系的情形，则均按不符合投标人合格条件处理。</w:t>
      </w:r>
    </w:p>
    <w:p w14:paraId="7E3881E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w:t>
      </w:r>
      <w:r>
        <w:rPr>
          <w:rFonts w:hint="eastAsia" w:ascii="宋体" w:hAnsi="宋体"/>
          <w:color w:val="auto"/>
          <w:sz w:val="24"/>
          <w:highlight w:val="none"/>
        </w:rPr>
        <w:t>投标人</w:t>
      </w:r>
      <w:r>
        <w:rPr>
          <w:rFonts w:hint="eastAsia" w:ascii="宋体" w:hAnsi="宋体" w:cs="宋体"/>
          <w:color w:val="auto"/>
          <w:sz w:val="24"/>
          <w:szCs w:val="24"/>
          <w:highlight w:val="none"/>
          <w:u w:val="single"/>
        </w:rPr>
        <w:t>（若为联合体投标，指联合体各方）</w:t>
      </w:r>
      <w:r>
        <w:rPr>
          <w:rFonts w:hint="eastAsia" w:ascii="宋体" w:hAnsi="宋体" w:cs="宋体"/>
          <w:color w:val="auto"/>
          <w:sz w:val="24"/>
          <w:szCs w:val="24"/>
          <w:highlight w:val="none"/>
        </w:rPr>
        <w:t>未被列入拖欠农民工工资失信联合惩戒对象名单和失信被执行人。</w:t>
      </w:r>
      <w:r>
        <w:rPr>
          <w:rFonts w:hint="eastAsia" w:ascii="宋体" w:hAnsi="宋体" w:cs="宋体"/>
          <w:color w:val="auto"/>
          <w:sz w:val="24"/>
          <w:szCs w:val="24"/>
          <w:highlight w:val="none"/>
          <w:u w:val="single"/>
        </w:rPr>
        <w:t>注：投标人无需提供资料，按投标截止时间广州交易集团有限公司（广州公共资源交易中心）交易系统比对的结果进行评审</w:t>
      </w:r>
      <w:r>
        <w:rPr>
          <w:rFonts w:hint="eastAsia" w:ascii="宋体" w:hAnsi="宋体" w:cs="宋体"/>
          <w:color w:val="auto"/>
          <w:sz w:val="24"/>
          <w:szCs w:val="24"/>
          <w:highlight w:val="none"/>
        </w:rPr>
        <w:t>。</w:t>
      </w:r>
    </w:p>
    <w:p w14:paraId="274E5BD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13、投标人</w:t>
      </w:r>
      <w:r>
        <w:rPr>
          <w:rFonts w:hint="eastAsia" w:ascii="宋体" w:hAnsi="宋体" w:cs="宋体"/>
          <w:color w:val="auto"/>
          <w:sz w:val="24"/>
          <w:szCs w:val="24"/>
          <w:highlight w:val="none"/>
          <w:u w:val="single"/>
        </w:rPr>
        <w:t>（若为联合体投标，指联合体各方）</w:t>
      </w:r>
      <w:r>
        <w:rPr>
          <w:rFonts w:hint="eastAsia" w:ascii="宋体" w:hAnsi="宋体" w:cs="宋体"/>
          <w:color w:val="auto"/>
          <w:sz w:val="24"/>
          <w:szCs w:val="24"/>
          <w:highlight w:val="none"/>
        </w:rPr>
        <w:t>未在以往工程中因不充分履约行为被本项目招标人书面拒绝投标的。</w:t>
      </w:r>
      <w:r>
        <w:rPr>
          <w:rFonts w:hint="eastAsia" w:ascii="宋体" w:hAnsi="宋体" w:cs="宋体"/>
          <w:color w:val="auto"/>
          <w:sz w:val="24"/>
          <w:szCs w:val="24"/>
          <w:highlight w:val="none"/>
          <w:u w:val="single"/>
        </w:rPr>
        <w:t>注：投标人无需提供资料，资格审查时，按招标公告附件三《被招标人拒绝投标的企业名单》进行评审</w:t>
      </w:r>
      <w:r>
        <w:rPr>
          <w:rFonts w:hint="eastAsia" w:ascii="宋体" w:hAnsi="宋体" w:cs="宋体"/>
          <w:color w:val="auto"/>
          <w:sz w:val="24"/>
          <w:szCs w:val="24"/>
          <w:highlight w:val="none"/>
        </w:rPr>
        <w:t>。</w:t>
      </w:r>
    </w:p>
    <w:p w14:paraId="5483C48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olor w:val="auto"/>
          <w:sz w:val="24"/>
          <w:highlight w:val="none"/>
        </w:rPr>
        <w:t>未在招标公告第九条单列的资审合格条件</w:t>
      </w:r>
      <w:r>
        <w:rPr>
          <w:rFonts w:hint="eastAsia" w:ascii="宋体" w:hAnsi="宋体"/>
          <w:color w:val="auto"/>
          <w:sz w:val="24"/>
          <w:highlight w:val="none"/>
          <w:u w:val="single"/>
        </w:rPr>
        <w:t>（投标人合格条件）</w:t>
      </w:r>
      <w:r>
        <w:rPr>
          <w:rFonts w:hint="eastAsia" w:ascii="宋体" w:hAnsi="宋体"/>
          <w:color w:val="auto"/>
          <w:sz w:val="24"/>
          <w:highlight w:val="none"/>
        </w:rPr>
        <w:t>，不作为资审不合格的依据</w:t>
      </w:r>
      <w:r>
        <w:rPr>
          <w:rFonts w:hint="eastAsia" w:ascii="宋体" w:hAnsi="宋体" w:cs="宋体"/>
          <w:color w:val="auto"/>
          <w:sz w:val="24"/>
          <w:szCs w:val="24"/>
          <w:highlight w:val="none"/>
        </w:rPr>
        <w:t>。</w:t>
      </w:r>
    </w:p>
    <w:p w14:paraId="7E2537E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十、资格审查方式：</w:t>
      </w:r>
    </w:p>
    <w:p w14:paraId="5920548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r>
        <w:rPr>
          <w:rFonts w:hint="eastAsia" w:ascii="宋体" w:hAnsi="宋体" w:cs="宋体"/>
          <w:color w:val="auto"/>
          <w:sz w:val="24"/>
          <w:szCs w:val="24"/>
          <w:highlight w:val="none"/>
          <w:u w:val="single"/>
        </w:rPr>
        <w:t>及评标工作。本工程采用评定分离方式确定中标人</w:t>
      </w:r>
      <w:r>
        <w:rPr>
          <w:rFonts w:hint="eastAsia" w:ascii="宋体" w:hAnsi="宋体" w:cs="宋体"/>
          <w:color w:val="auto"/>
          <w:sz w:val="24"/>
          <w:szCs w:val="24"/>
          <w:highlight w:val="none"/>
        </w:rPr>
        <w:t>。</w:t>
      </w:r>
    </w:p>
    <w:p w14:paraId="1AE319F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交易平台和广东省招标投标监管网公示，公示时间不得少于3日。</w:t>
      </w:r>
    </w:p>
    <w:p w14:paraId="145BF024">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十二、</w:t>
      </w:r>
      <w:r>
        <w:rPr>
          <w:rFonts w:hint="eastAsia" w:ascii="宋体" w:hAnsi="宋体"/>
          <w:color w:val="auto"/>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color w:val="auto"/>
          <w:sz w:val="24"/>
          <w:szCs w:val="24"/>
          <w:highlight w:val="none"/>
        </w:rPr>
        <w:t>。</w:t>
      </w:r>
    </w:p>
    <w:p w14:paraId="6B0A6EB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十三、</w:t>
      </w:r>
      <w:r>
        <w:rPr>
          <w:rFonts w:hint="eastAsia" w:ascii="宋体" w:hAnsi="宋体"/>
          <w:color w:val="auto"/>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cs="宋体"/>
          <w:color w:val="auto"/>
          <w:sz w:val="24"/>
          <w:szCs w:val="24"/>
          <w:highlight w:val="none"/>
        </w:rPr>
        <w:t>。</w:t>
      </w:r>
    </w:p>
    <w:p w14:paraId="62C11372">
      <w:pPr>
        <w:snapToGrid w:val="0"/>
        <w:spacing w:line="360" w:lineRule="auto"/>
        <w:ind w:firstLine="480" w:firstLineChars="200"/>
        <w:rPr>
          <w:rFonts w:ascii="宋体" w:hAnsi="宋体" w:cs="宋体"/>
          <w:strike/>
          <w:color w:val="auto"/>
          <w:sz w:val="24"/>
          <w:szCs w:val="24"/>
          <w:highlight w:val="none"/>
        </w:rPr>
      </w:pPr>
      <w:r>
        <w:rPr>
          <w:rFonts w:hint="eastAsia" w:ascii="宋体" w:hAnsi="宋体" w:cs="宋体"/>
          <w:color w:val="auto"/>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5151C28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741AD1F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十五、</w:t>
      </w:r>
      <w:r>
        <w:rPr>
          <w:rFonts w:hint="eastAsia" w:ascii="宋体" w:hAnsi="宋体"/>
          <w:color w:val="auto"/>
          <w:sz w:val="24"/>
          <w:highlight w:val="none"/>
        </w:rPr>
        <w:t>潜在投标人或利害关系人对本招标公告及招标文件有异议的，应当在投标截止时间10日前向招标人书面提出</w:t>
      </w:r>
      <w:r>
        <w:rPr>
          <w:rFonts w:hint="eastAsia" w:ascii="宋体" w:hAnsi="宋体" w:cs="宋体"/>
          <w:color w:val="auto"/>
          <w:sz w:val="24"/>
          <w:szCs w:val="24"/>
          <w:highlight w:val="none"/>
        </w:rPr>
        <w:t>。</w:t>
      </w:r>
    </w:p>
    <w:p w14:paraId="6C9FEF3C">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异议受理部门：</w:t>
      </w:r>
      <w:r>
        <w:rPr>
          <w:rFonts w:hint="eastAsia" w:ascii="宋体" w:hAnsi="宋体" w:cs="宋体"/>
          <w:bCs/>
          <w:color w:val="auto"/>
          <w:sz w:val="24"/>
          <w:szCs w:val="24"/>
          <w:highlight w:val="none"/>
          <w:u w:val="single"/>
        </w:rPr>
        <w:t>广州开发区财政投资建设项目管理中心</w:t>
      </w:r>
    </w:p>
    <w:p w14:paraId="1279BE19">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bCs/>
          <w:color w:val="auto"/>
          <w:sz w:val="24"/>
          <w:szCs w:val="24"/>
          <w:highlight w:val="none"/>
        </w:rPr>
        <w:t>异议受理电话：</w:t>
      </w:r>
      <w:r>
        <w:rPr>
          <w:rFonts w:ascii="宋体" w:hAnsi="宋体" w:cs="宋体"/>
          <w:color w:val="auto"/>
          <w:sz w:val="24"/>
          <w:szCs w:val="24"/>
          <w:highlight w:val="none"/>
          <w:u w:val="single"/>
        </w:rPr>
        <w:t>020-28068836</w:t>
      </w:r>
    </w:p>
    <w:p w14:paraId="7A7C1083">
      <w:pPr>
        <w:snapToGrid w:val="0"/>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val="en-US" w:eastAsia="zh-CN"/>
        </w:rPr>
        <w:t>涂</w:t>
      </w:r>
      <w:r>
        <w:rPr>
          <w:rFonts w:hint="eastAsia" w:ascii="宋体" w:hAnsi="宋体" w:cs="宋体"/>
          <w:color w:val="auto"/>
          <w:sz w:val="24"/>
          <w:szCs w:val="24"/>
          <w:highlight w:val="none"/>
          <w:u w:val="single"/>
        </w:rPr>
        <w:t>工</w:t>
      </w:r>
    </w:p>
    <w:p w14:paraId="11B3EF16">
      <w:pPr>
        <w:snapToGrid w:val="0"/>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地址：</w:t>
      </w:r>
      <w:r>
        <w:rPr>
          <w:rFonts w:hint="eastAsia" w:ascii="宋体" w:hAnsi="宋体"/>
          <w:color w:val="auto"/>
          <w:sz w:val="24"/>
          <w:highlight w:val="none"/>
          <w:u w:val="single"/>
        </w:rPr>
        <w:t>广州科学城科学大道162号创意大厦B2主楼三楼</w:t>
      </w:r>
    </w:p>
    <w:p w14:paraId="0B828DB8">
      <w:pPr>
        <w:snapToGrid w:val="0"/>
        <w:spacing w:line="360" w:lineRule="auto"/>
        <w:ind w:firstLine="480" w:firstLineChars="20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rPr>
        <w:t>注：潜在投标人或利害关系人可以通过线下或线上的形式提出异议。线上提出异议的，应通过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交易平台提交，招标人也应通过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交易平台答复线上提出的异议。具体按照</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交易平台相关指南进行操作。作出答复前，应当暂停招标投标活动。</w:t>
      </w:r>
    </w:p>
    <w:p w14:paraId="0579344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十六、</w:t>
      </w:r>
      <w:r>
        <w:rPr>
          <w:rFonts w:hint="eastAsia" w:ascii="宋体" w:hAnsi="宋体"/>
          <w:color w:val="auto"/>
          <w:sz w:val="24"/>
          <w:highlight w:val="none"/>
        </w:rPr>
        <w:t>本公告在广州交易集团有限公司（广州公共资源交易中心）网站（网址：http://www.gzggzy.cn）、广东省招标投标监管网（网址：</w:t>
      </w:r>
      <w:r>
        <w:rPr>
          <w:rFonts w:ascii="宋体" w:hAnsi="宋体"/>
          <w:color w:val="auto"/>
          <w:sz w:val="24"/>
          <w:highlight w:val="none"/>
        </w:rPr>
        <w:t>https://zbtb.gd.gov.cn</w:t>
      </w:r>
      <w:r>
        <w:rPr>
          <w:rFonts w:hint="eastAsia" w:ascii="宋体" w:hAnsi="宋体"/>
          <w:color w:val="auto"/>
          <w:sz w:val="24"/>
          <w:highlight w:val="none"/>
        </w:rPr>
        <w:t>/）和中国招标投标公共服务平台（网址：http://www.cebpubservice.com/）发布，本公告的修改、补充，在广州交易集团有限公司（广州公共资源交易中心）网站及广东省招标投标监管网发布</w:t>
      </w:r>
      <w:r>
        <w:rPr>
          <w:rFonts w:hint="eastAsia" w:ascii="宋体" w:hAnsi="宋体" w:cs="宋体"/>
          <w:color w:val="auto"/>
          <w:sz w:val="24"/>
          <w:szCs w:val="24"/>
          <w:highlight w:val="none"/>
        </w:rPr>
        <w:t>。</w:t>
      </w:r>
    </w:p>
    <w:p w14:paraId="47DB467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十七、</w:t>
      </w:r>
      <w:r>
        <w:rPr>
          <w:rFonts w:hint="eastAsia" w:ascii="宋体" w:hAnsi="宋体"/>
          <w:color w:val="auto"/>
          <w:sz w:val="24"/>
          <w:highlight w:val="none"/>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cs="宋体"/>
          <w:color w:val="auto"/>
          <w:sz w:val="24"/>
          <w:szCs w:val="24"/>
          <w:highlight w:val="none"/>
        </w:rPr>
        <w:t>。</w:t>
      </w:r>
    </w:p>
    <w:p w14:paraId="561E329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十八、</w:t>
      </w:r>
      <w:r>
        <w:rPr>
          <w:rFonts w:hint="eastAsia" w:ascii="宋体" w:hAnsi="宋体"/>
          <w:color w:val="auto"/>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auto"/>
          <w:sz w:val="24"/>
          <w:szCs w:val="24"/>
          <w:highlight w:val="none"/>
          <w:u w:val="single"/>
        </w:rPr>
        <w:t>如招标人需发布补充公告的，以最后发布的补充公告的时间起计算编制投标文件时间，并需在补充公告中明确说明</w:t>
      </w:r>
      <w:r>
        <w:rPr>
          <w:rFonts w:hint="eastAsia" w:ascii="宋体" w:hAnsi="宋体" w:cs="宋体"/>
          <w:color w:val="auto"/>
          <w:sz w:val="24"/>
          <w:szCs w:val="24"/>
          <w:highlight w:val="none"/>
          <w:u w:val="single"/>
        </w:rPr>
        <w:t>。</w:t>
      </w:r>
    </w:p>
    <w:p w14:paraId="0CC5A158">
      <w:pPr>
        <w:snapToGrid w:val="0"/>
        <w:spacing w:line="360" w:lineRule="auto"/>
        <w:ind w:firstLine="482" w:firstLineChars="200"/>
        <w:contextualSpacing/>
        <w:rPr>
          <w:rFonts w:ascii="宋体" w:hAnsi="宋体" w:cs="宋体"/>
          <w:color w:val="auto"/>
          <w:sz w:val="24"/>
          <w:szCs w:val="24"/>
          <w:highlight w:val="none"/>
        </w:rPr>
      </w:pPr>
      <w:r>
        <w:rPr>
          <w:rFonts w:hint="eastAsia" w:ascii="宋体" w:hAnsi="宋体" w:cs="宋体"/>
          <w:b/>
          <w:bCs/>
          <w:color w:val="auto"/>
          <w:sz w:val="24"/>
          <w:szCs w:val="24"/>
          <w:highlight w:val="none"/>
        </w:rPr>
        <w:t>特别提示：</w:t>
      </w:r>
      <w:r>
        <w:rPr>
          <w:rFonts w:hint="eastAsia" w:ascii="宋体"/>
          <w:color w:val="auto"/>
          <w:sz w:val="24"/>
          <w:highlight w:val="none"/>
        </w:rPr>
        <w:t>投标人在本项目招标人的工程项目中存在下列行为的，将被拒绝一定时期内参与招标人后续工程投标。</w:t>
      </w:r>
      <w:r>
        <w:rPr>
          <w:rFonts w:hint="eastAsia" w:ascii="宋体"/>
          <w:color w:val="auto"/>
          <w:sz w:val="24"/>
          <w:highlight w:val="none"/>
          <w:u w:val="single"/>
        </w:rPr>
        <w:t>（注：拒绝投标时限由招标人视严重程度确定，最低三个月起，最长不超过三年，自招标人发出通知之日起计）</w:t>
      </w:r>
      <w:r>
        <w:rPr>
          <w:rFonts w:hint="eastAsia" w:ascii="宋体" w:hAnsi="宋体" w:cs="宋体"/>
          <w:color w:val="auto"/>
          <w:sz w:val="24"/>
          <w:szCs w:val="24"/>
          <w:highlight w:val="none"/>
        </w:rPr>
        <w:t>：</w:t>
      </w:r>
    </w:p>
    <w:p w14:paraId="7F7C9E2E">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14:paraId="470A8BE4">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14:paraId="125161AF">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3.出让投标资格的；</w:t>
      </w:r>
    </w:p>
    <w:p w14:paraId="6FD588E5">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4.存在围标或串标情形的；</w:t>
      </w:r>
    </w:p>
    <w:p w14:paraId="6CDA8E93">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5.在投标文件中提供虚假材料的；</w:t>
      </w:r>
    </w:p>
    <w:p w14:paraId="6DCCA7BD">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6.存在少放、不放业绩、奖项等客观评审资料，减少自身竞争力情形的；</w:t>
      </w:r>
    </w:p>
    <w:p w14:paraId="4B7CEF76">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u w:val="single"/>
        </w:rPr>
        <w:t>存在行贿、受贿情形的</w:t>
      </w:r>
      <w:r>
        <w:rPr>
          <w:rFonts w:hint="eastAsia" w:ascii="宋体" w:hAnsi="宋体" w:cs="宋体"/>
          <w:color w:val="auto"/>
          <w:sz w:val="24"/>
          <w:szCs w:val="24"/>
          <w:highlight w:val="none"/>
        </w:rPr>
        <w:t>；</w:t>
      </w:r>
    </w:p>
    <w:p w14:paraId="68C36E6F">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8.拖欠农民工工资的；</w:t>
      </w:r>
    </w:p>
    <w:p w14:paraId="1831D83C">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9.未按照国家、省、市有关建筑施工实名制管理和工人工资支付分账管理的规定执行，被行政监管部门通报或处罚的；</w:t>
      </w:r>
    </w:p>
    <w:p w14:paraId="0C43F6D0">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10.中标人在项目实施过程中选取的专业分包单位或劳务企业或劳务班组长与投标时不一致的；</w:t>
      </w:r>
    </w:p>
    <w:p w14:paraId="04D20B1C">
      <w:pPr>
        <w:snapToGrid w:val="0"/>
        <w:spacing w:line="360" w:lineRule="auto"/>
        <w:ind w:firstLine="480" w:firstLineChars="20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11.中标人未按规定购买安全生产责任保险的；</w:t>
      </w:r>
    </w:p>
    <w:p w14:paraId="66B0A22F">
      <w:pPr>
        <w:snapToGrid w:val="0"/>
        <w:spacing w:line="360" w:lineRule="auto"/>
        <w:ind w:firstLine="480" w:firstLineChars="200"/>
        <w:contextualSpacing/>
        <w:rPr>
          <w:rFonts w:ascii="宋体" w:hAnsi="宋体" w:cs="宋体"/>
          <w:color w:val="auto"/>
          <w:sz w:val="24"/>
          <w:szCs w:val="24"/>
          <w:highlight w:val="none"/>
          <w:u w:val="single"/>
        </w:rPr>
      </w:pPr>
      <w:r>
        <w:rPr>
          <w:rFonts w:ascii="宋体" w:hAnsi="宋体" w:cs="宋体"/>
          <w:color w:val="auto"/>
          <w:sz w:val="24"/>
          <w:szCs w:val="24"/>
          <w:highlight w:val="none"/>
          <w:u w:val="single"/>
        </w:rPr>
        <w:t>12.</w:t>
      </w:r>
      <w:r>
        <w:rPr>
          <w:color w:val="auto"/>
          <w:highlight w:val="none"/>
          <w:u w:val="single"/>
        </w:rPr>
        <w:t xml:space="preserve"> </w:t>
      </w:r>
      <w:r>
        <w:rPr>
          <w:rFonts w:hint="eastAsia" w:ascii="宋体" w:hAnsi="宋体" w:cs="宋体"/>
          <w:color w:val="auto"/>
          <w:sz w:val="24"/>
          <w:szCs w:val="24"/>
          <w:highlight w:val="none"/>
          <w:u w:val="single"/>
        </w:rPr>
        <w:t>本项目投标时拟派的专职安全员在其他项目中有任职且在本项目开工前未完成更换确保专职安全员只在本项目上任职的。</w:t>
      </w:r>
    </w:p>
    <w:p w14:paraId="350F3F84">
      <w:pPr>
        <w:snapToGrid w:val="0"/>
        <w:spacing w:line="360" w:lineRule="auto"/>
        <w:ind w:firstLine="3120" w:firstLineChars="1300"/>
        <w:contextualSpacing/>
        <w:rPr>
          <w:rFonts w:ascii="宋体" w:hAnsi="宋体" w:cs="宋体"/>
          <w:color w:val="auto"/>
          <w:sz w:val="24"/>
          <w:szCs w:val="24"/>
          <w:highlight w:val="none"/>
        </w:rPr>
      </w:pPr>
    </w:p>
    <w:p w14:paraId="2D6CADD5">
      <w:pPr>
        <w:pStyle w:val="7"/>
        <w:rPr>
          <w:color w:val="auto"/>
          <w:highlight w:val="none"/>
        </w:rPr>
      </w:pPr>
    </w:p>
    <w:p w14:paraId="24DB8526">
      <w:pPr>
        <w:ind w:firstLine="2730"/>
        <w:rPr>
          <w:color w:val="auto"/>
          <w:highlight w:val="none"/>
        </w:rPr>
      </w:pPr>
    </w:p>
    <w:p w14:paraId="4DECAC8B">
      <w:pPr>
        <w:snapToGrid w:val="0"/>
        <w:spacing w:line="360" w:lineRule="auto"/>
        <w:ind w:firstLine="3360" w:firstLineChars="1400"/>
        <w:contextualSpacing/>
        <w:rPr>
          <w:rFonts w:ascii="宋体" w:hAnsi="宋体" w:cs="宋体"/>
          <w:color w:val="auto"/>
          <w:sz w:val="24"/>
          <w:szCs w:val="24"/>
          <w:highlight w:val="none"/>
        </w:rPr>
      </w:pPr>
      <w:r>
        <w:rPr>
          <w:rFonts w:hint="eastAsia" w:ascii="宋体" w:hAnsi="宋体" w:cs="宋体"/>
          <w:color w:val="auto"/>
          <w:sz w:val="24"/>
          <w:szCs w:val="24"/>
          <w:highlight w:val="none"/>
        </w:rPr>
        <w:t>招标单位：广州开发区财政投资建设项目管理中心</w:t>
      </w:r>
    </w:p>
    <w:p w14:paraId="648E9438">
      <w:pPr>
        <w:snapToGrid w:val="0"/>
        <w:spacing w:line="360" w:lineRule="auto"/>
        <w:ind w:firstLine="3360" w:firstLineChars="1400"/>
        <w:contextualSpacing/>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lang w:eastAsia="zh-CN"/>
        </w:rPr>
        <w:t>广东重工建设监理有限公司</w:t>
      </w:r>
    </w:p>
    <w:p w14:paraId="2B4A7954">
      <w:pPr>
        <w:snapToGrid w:val="0"/>
        <w:spacing w:line="360" w:lineRule="auto"/>
        <w:ind w:firstLine="3360" w:firstLineChars="1400"/>
        <w:contextualSpacing/>
        <w:rPr>
          <w:rFonts w:ascii="宋体" w:hAnsi="宋体" w:cs="宋体"/>
          <w:color w:val="auto"/>
          <w:sz w:val="24"/>
          <w:szCs w:val="24"/>
          <w:highlight w:val="none"/>
        </w:rPr>
      </w:pPr>
      <w:r>
        <w:rPr>
          <w:rFonts w:hint="eastAsia" w:ascii="宋体" w:hAnsi="宋体" w:cs="宋体"/>
          <w:color w:val="auto"/>
          <w:sz w:val="24"/>
          <w:szCs w:val="24"/>
          <w:highlight w:val="none"/>
        </w:rPr>
        <w:t>日期：2025年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14 </w:t>
      </w:r>
      <w:r>
        <w:rPr>
          <w:rFonts w:hint="eastAsia" w:ascii="宋体" w:hAnsi="宋体" w:cs="宋体"/>
          <w:color w:val="auto"/>
          <w:sz w:val="24"/>
          <w:szCs w:val="24"/>
          <w:highlight w:val="none"/>
        </w:rPr>
        <w:t>日</w:t>
      </w:r>
    </w:p>
    <w:p w14:paraId="03883193">
      <w:pPr>
        <w:snapToGrid w:val="0"/>
        <w:spacing w:line="360" w:lineRule="auto"/>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rPr>
        <w:t>附件一：</w:t>
      </w:r>
    </w:p>
    <w:p w14:paraId="18ABFC2E">
      <w:pP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投标人</w:t>
      </w:r>
      <w:r>
        <w:rPr>
          <w:rFonts w:hint="eastAsia" w:ascii="宋体" w:hAnsi="宋体" w:cs="宋体"/>
          <w:b/>
          <w:bCs/>
          <w:color w:val="auto"/>
          <w:sz w:val="32"/>
          <w:szCs w:val="32"/>
          <w:highlight w:val="none"/>
        </w:rPr>
        <w:t>声明</w:t>
      </w:r>
    </w:p>
    <w:p w14:paraId="0E8417C4">
      <w:pPr>
        <w:pStyle w:val="21"/>
        <w:spacing w:line="240" w:lineRule="auto"/>
        <w:ind w:firstLine="0"/>
        <w:jc w:val="center"/>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（适用于独立投标或联合体主办方）</w:t>
      </w:r>
    </w:p>
    <w:p w14:paraId="61DB49F7">
      <w:pPr>
        <w:snapToGrid w:val="0"/>
        <w:jc w:val="center"/>
        <w:rPr>
          <w:rFonts w:ascii="宋体" w:hAnsi="宋体" w:cs="宋体"/>
          <w:b/>
          <w:color w:val="auto"/>
          <w:sz w:val="24"/>
          <w:szCs w:val="24"/>
          <w:highlight w:val="none"/>
        </w:rPr>
      </w:pPr>
    </w:p>
    <w:p w14:paraId="797AF568">
      <w:pPr>
        <w:pStyle w:val="21"/>
        <w:snapToGrid w:val="0"/>
        <w:ind w:firstLine="0"/>
        <w:rPr>
          <w:rFonts w:ascii="宋体" w:hAnsi="宋体" w:eastAsia="宋体"/>
          <w:color w:val="auto"/>
          <w:sz w:val="24"/>
          <w:szCs w:val="24"/>
          <w:highlight w:val="none"/>
        </w:rPr>
      </w:pPr>
      <w:r>
        <w:rPr>
          <w:rFonts w:hint="eastAsia" w:ascii="宋体" w:hAnsi="宋体" w:eastAsia="宋体" w:cs="宋体"/>
          <w:color w:val="auto"/>
          <w:sz w:val="24"/>
          <w:szCs w:val="24"/>
          <w:highlight w:val="none"/>
          <w:u w:val="single"/>
        </w:rPr>
        <w:t>广州市黄埔区住房和城乡建设局、广州开发区建设和交通局、</w:t>
      </w:r>
      <w:r>
        <w:rPr>
          <w:rFonts w:hint="eastAsia" w:ascii="宋体" w:hAnsi="宋体" w:eastAsia="宋体" w:cs="宋体"/>
          <w:color w:val="auto"/>
          <w:spacing w:val="-2"/>
          <w:sz w:val="24"/>
          <w:szCs w:val="24"/>
          <w:highlight w:val="none"/>
          <w:u w:val="single"/>
        </w:rPr>
        <w:t>广州开发区财政投资建设项目管理中心及广</w:t>
      </w:r>
      <w:r>
        <w:rPr>
          <w:rFonts w:hint="eastAsia" w:ascii="宋体" w:hAnsi="宋体" w:eastAsia="宋体" w:cs="宋体"/>
          <w:color w:val="auto"/>
          <w:sz w:val="24"/>
          <w:szCs w:val="24"/>
          <w:highlight w:val="none"/>
          <w:u w:val="single"/>
        </w:rPr>
        <w:t>州开发区建设工程招投标管理办公室（广州市黄埔区建设工程招投标管理办公室）</w:t>
      </w:r>
      <w:r>
        <w:rPr>
          <w:rFonts w:hint="eastAsia" w:ascii="宋体" w:hAnsi="宋体" w:eastAsia="宋体"/>
          <w:color w:val="auto"/>
          <w:sz w:val="24"/>
          <w:szCs w:val="24"/>
          <w:highlight w:val="none"/>
        </w:rPr>
        <w:t>：</w:t>
      </w:r>
    </w:p>
    <w:p w14:paraId="0236AA0D">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eastAsia="zh-CN"/>
        </w:rPr>
        <w:t>天鹿北路至兴太路沿线环境整治工程施工总承包</w:t>
      </w:r>
      <w:r>
        <w:rPr>
          <w:rFonts w:hint="eastAsia" w:ascii="宋体" w:hAnsi="宋体" w:eastAsia="宋体"/>
          <w:color w:val="auto"/>
          <w:sz w:val="24"/>
          <w:szCs w:val="24"/>
          <w:highlight w:val="none"/>
        </w:rPr>
        <w:t>投标工作，作出郑重声明：</w:t>
      </w:r>
    </w:p>
    <w:p w14:paraId="6BC24AA9">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50C4538C">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A390EEE">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0E10C4D4">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2296603A">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1BA225E9">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2437DECA">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76DE1C75">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4A9D9B86">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293070D5">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656A24C5">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63679C10">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421CD0F2">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（十）与招标人存在利害关系且可能影响招标公正性；</w:t>
      </w:r>
    </w:p>
    <w:p w14:paraId="4EB3D84C">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885D4E3">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5DB21A9B">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44FEB56D">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99D1A87">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2CD0305D">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w:t>
      </w:r>
      <w:r>
        <w:rPr>
          <w:rFonts w:hint="eastAsia" w:ascii="宋体" w:hAnsi="宋体" w:eastAsia="宋体"/>
          <w:color w:val="auto"/>
          <w:sz w:val="24"/>
          <w:szCs w:val="24"/>
          <w:highlight w:val="none"/>
          <w:u w:val="single"/>
        </w:rPr>
        <w:t>在投标截止时</w:t>
      </w:r>
      <w:r>
        <w:rPr>
          <w:rFonts w:hint="eastAsia" w:ascii="宋体" w:hAnsi="宋体" w:eastAsia="宋体"/>
          <w:color w:val="auto"/>
          <w:sz w:val="24"/>
          <w:szCs w:val="24"/>
          <w:highlight w:val="none"/>
        </w:rPr>
        <w:t>没有在其他在建项目中任施工单位项目负责人。</w:t>
      </w:r>
    </w:p>
    <w:p w14:paraId="051B075A">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0F536D80">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六、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14:paraId="6642A021">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393F34F">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八、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17A5133B">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九、</w:t>
      </w:r>
      <w:r>
        <w:rPr>
          <w:rFonts w:hint="eastAsia" w:ascii="宋体" w:hAnsi="宋体" w:eastAsia="宋体"/>
          <w:b/>
          <w:bCs/>
          <w:color w:val="auto"/>
          <w:sz w:val="24"/>
          <w:szCs w:val="24"/>
          <w:highlight w:val="none"/>
        </w:rPr>
        <w:t>与本公司单位负责人为同一人或者与本公司存在控股、管理关系的其他单位包括：</w:t>
      </w:r>
      <w:r>
        <w:rPr>
          <w:rFonts w:hint="eastAsia" w:ascii="宋体" w:hAnsi="宋体" w:eastAsia="宋体"/>
          <w:b/>
          <w:bCs/>
          <w:color w:val="auto"/>
          <w:sz w:val="24"/>
          <w:szCs w:val="24"/>
          <w:highlight w:val="none"/>
          <w:u w:val="single"/>
        </w:rPr>
        <w:t xml:space="preserve">            </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olor w:val="auto"/>
          <w:sz w:val="24"/>
          <w:szCs w:val="24"/>
          <w:highlight w:val="none"/>
          <w:u w:val="single"/>
        </w:rPr>
        <w:t>若投标人未列全符合相关条件的单位，但同时未列全的相关单位未参与本项目投标的，不视为该投标人违反了招标公告第九条第11点的规定，不作为对其投标文件进行无效标处理的依据。</w:t>
      </w:r>
      <w:r>
        <w:rPr>
          <w:rFonts w:hint="eastAsia" w:ascii="宋体" w:hAnsi="宋体" w:eastAsia="宋体"/>
          <w:color w:val="auto"/>
          <w:sz w:val="24"/>
          <w:szCs w:val="24"/>
          <w:highlight w:val="none"/>
        </w:rPr>
        <w:t>）</w:t>
      </w:r>
    </w:p>
    <w:p w14:paraId="464F23A1">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十、本公司拟委派专职安全员兼任本工程的工地余泥渣土运输与排放管理员，严格遵守建设工程余泥渣土运输与排放管理制度，执行“一不准进、三不准出”规定，选择合法的余泥渣土运输单位及排放点。</w:t>
      </w:r>
    </w:p>
    <w:p w14:paraId="65BF3727">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十一、本公司承诺，中标后将按招标人要求，积极响应广州市关于投身“百千万工程”的号召，主动参与建筑业结对帮扶。</w:t>
      </w:r>
    </w:p>
    <w:p w14:paraId="41BE618A">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32500C7">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十三、本公司承诺，中标后不委托近两年因伪造检测数据、出具虚假检测报告被各级建设行政主管部门或市场监督管理部门行政处罚或通报的检测单位负责本项目的检测工作。</w:t>
      </w:r>
    </w:p>
    <w:p w14:paraId="3638BF98">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四、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7105C358">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五、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02C39CD3">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2104BDEE">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十六、本公司或拟派项目负责人、拟派专职安全员未因安全生产违法行为或失信行为被有关行政主管部门采取本行业或者职业禁入等联合惩戒措施（有效期内）。</w:t>
      </w:r>
    </w:p>
    <w:p w14:paraId="41D40A77">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七、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2DF92CFF">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八、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60DF758F">
      <w:pPr>
        <w:pStyle w:val="21"/>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九、本公司违反上述承诺，或本声明陈述与事实不符，经查实，本公司愿意接受公开年的通报，愿意按照广州市交通运输局有关信用评价管理有关规定，被记录为“不良交易行为信息”，承担由此带来的法律后果。</w:t>
      </w:r>
    </w:p>
    <w:p w14:paraId="495709C0">
      <w:pPr>
        <w:pStyle w:val="21"/>
        <w:snapToGrid w:val="0"/>
        <w:rPr>
          <w:rFonts w:ascii="宋体" w:hAnsi="宋体" w:eastAsia="宋体"/>
          <w:color w:val="auto"/>
          <w:sz w:val="24"/>
          <w:szCs w:val="24"/>
          <w:highlight w:val="none"/>
        </w:rPr>
      </w:pPr>
    </w:p>
    <w:p w14:paraId="5E042F19">
      <w:pPr>
        <w:snapToGrid w:val="0"/>
        <w:spacing w:line="360" w:lineRule="auto"/>
        <w:ind w:firstLine="480" w:firstLineChars="200"/>
        <w:rPr>
          <w:rFonts w:ascii="宋体" w:hAnsi="宋体" w:cs="宋体"/>
          <w:color w:val="auto"/>
          <w:kern w:val="0"/>
          <w:sz w:val="24"/>
          <w:szCs w:val="24"/>
          <w:highlight w:val="none"/>
        </w:rPr>
      </w:pPr>
    </w:p>
    <w:p w14:paraId="576D24B9">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485C1711">
      <w:pPr>
        <w:pStyle w:val="22"/>
        <w:snapToGrid w:val="0"/>
        <w:ind w:left="629" w:right="1449"/>
        <w:jc w:val="both"/>
        <w:rPr>
          <w:rFonts w:ascii="宋体" w:hAnsi="宋体" w:eastAsia="宋体" w:cs="宋体"/>
          <w:color w:val="auto"/>
          <w:sz w:val="24"/>
          <w:szCs w:val="24"/>
          <w:highlight w:val="none"/>
        </w:rPr>
      </w:pPr>
    </w:p>
    <w:p w14:paraId="751CE83E">
      <w:pPr>
        <w:pStyle w:val="21"/>
        <w:snapToGrid w:val="0"/>
        <w:ind w:right="1179" w:firstLine="4560" w:firstLineChars="19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声明企业（公章）：</w:t>
      </w:r>
    </w:p>
    <w:p w14:paraId="2EFDE165">
      <w:pPr>
        <w:pStyle w:val="21"/>
        <w:snapToGrid w:val="0"/>
        <w:ind w:right="1179" w:firstLine="4560" w:firstLineChars="19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项目负责人签字：</w:t>
      </w:r>
    </w:p>
    <w:p w14:paraId="24ADABF5">
      <w:pPr>
        <w:pStyle w:val="21"/>
        <w:snapToGrid w:val="0"/>
        <w:ind w:right="879" w:firstLine="4560" w:firstLineChars="19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技术负责人签字：</w:t>
      </w:r>
    </w:p>
    <w:p w14:paraId="4A029647">
      <w:pPr>
        <w:pStyle w:val="21"/>
        <w:snapToGrid w:val="0"/>
        <w:ind w:right="879" w:firstLine="2160" w:firstLineChars="9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93D2B6D">
      <w:pPr>
        <w:widowControl/>
        <w:snapToGrid w:val="0"/>
        <w:spacing w:line="360" w:lineRule="auto"/>
        <w:jc w:val="lef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注：招标人应当要求投标人的项目负责人和技术负责人签字。</w:t>
      </w:r>
    </w:p>
    <w:p w14:paraId="5A975B32">
      <w:pPr>
        <w:pStyle w:val="7"/>
        <w:rPr>
          <w:color w:val="auto"/>
          <w:highlight w:val="none"/>
        </w:rPr>
        <w:sectPr>
          <w:footerReference r:id="rId3" w:type="default"/>
          <w:pgSz w:w="11906" w:h="16838"/>
          <w:pgMar w:top="1304" w:right="1474" w:bottom="1247" w:left="1474" w:header="851" w:footer="936" w:gutter="0"/>
          <w:pgNumType w:start="1"/>
          <w:cols w:space="0" w:num="1"/>
          <w:docGrid w:type="lines" w:linePitch="312" w:charSpace="0"/>
        </w:sectPr>
      </w:pPr>
    </w:p>
    <w:p w14:paraId="7BA11438">
      <w:pP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投标人</w:t>
      </w:r>
      <w:r>
        <w:rPr>
          <w:rFonts w:hint="eastAsia" w:ascii="宋体" w:hAnsi="宋体" w:cs="宋体"/>
          <w:b/>
          <w:bCs/>
          <w:color w:val="auto"/>
          <w:sz w:val="32"/>
          <w:szCs w:val="32"/>
          <w:highlight w:val="none"/>
        </w:rPr>
        <w:t>声明</w:t>
      </w:r>
    </w:p>
    <w:p w14:paraId="7983365B">
      <w:pPr>
        <w:spacing w:line="360" w:lineRule="auto"/>
        <w:jc w:val="center"/>
        <w:rPr>
          <w:rFonts w:ascii="宋体" w:hAnsi="宋体" w:cs="宋体"/>
          <w:b/>
          <w:bCs/>
          <w:color w:val="auto"/>
          <w:sz w:val="32"/>
          <w:szCs w:val="32"/>
          <w:highlight w:val="none"/>
        </w:rPr>
      </w:pPr>
      <w:r>
        <w:rPr>
          <w:rFonts w:hint="eastAsia" w:ascii="宋体" w:hAnsi="宋体" w:cs="宋体"/>
          <w:b/>
          <w:color w:val="auto"/>
          <w:sz w:val="28"/>
          <w:szCs w:val="28"/>
          <w:highlight w:val="none"/>
        </w:rPr>
        <w:t>（适用于联合体成员方）</w:t>
      </w:r>
    </w:p>
    <w:p w14:paraId="0E7A1EEB">
      <w:pPr>
        <w:snapToGrid w:val="0"/>
        <w:spacing w:line="360" w:lineRule="auto"/>
        <w:jc w:val="center"/>
        <w:rPr>
          <w:rFonts w:ascii="宋体" w:hAnsi="宋体" w:cs="宋体"/>
          <w:b/>
          <w:color w:val="auto"/>
          <w:sz w:val="24"/>
          <w:szCs w:val="24"/>
          <w:highlight w:val="none"/>
        </w:rPr>
      </w:pPr>
    </w:p>
    <w:p w14:paraId="4C6F20E4">
      <w:pPr>
        <w:pStyle w:val="21"/>
        <w:snapToGrid w:val="0"/>
        <w:ind w:firstLine="0"/>
        <w:rPr>
          <w:rFonts w:ascii="宋体" w:hAnsi="宋体" w:eastAsia="宋体"/>
          <w:color w:val="auto"/>
          <w:sz w:val="24"/>
          <w:szCs w:val="24"/>
          <w:highlight w:val="none"/>
        </w:rPr>
      </w:pPr>
      <w:r>
        <w:rPr>
          <w:rFonts w:hint="eastAsia" w:ascii="宋体" w:hAnsi="宋体" w:eastAsia="宋体"/>
          <w:color w:val="auto"/>
          <w:sz w:val="24"/>
          <w:szCs w:val="24"/>
          <w:highlight w:val="none"/>
          <w:u w:val="single"/>
        </w:rPr>
        <w:t>广州市黄埔区住房和城乡建设局、广州开发区建设和交通局、广州开发区财政投资建设项目管理中心及广州开发区建设工程招投标管理办公室（广州市黄埔区建设工程招投标管理办公室）</w:t>
      </w:r>
      <w:r>
        <w:rPr>
          <w:rFonts w:hint="eastAsia" w:ascii="宋体" w:hAnsi="宋体" w:eastAsia="宋体"/>
          <w:color w:val="auto"/>
          <w:sz w:val="24"/>
          <w:szCs w:val="24"/>
          <w:highlight w:val="none"/>
        </w:rPr>
        <w:t>：</w:t>
      </w:r>
    </w:p>
    <w:p w14:paraId="27DE4C1A">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eastAsia="zh-CN"/>
        </w:rPr>
        <w:t>天鹿北路至兴太路沿线环境整治工程施工总承包</w:t>
      </w:r>
      <w:r>
        <w:rPr>
          <w:rFonts w:hint="eastAsia" w:ascii="宋体" w:hAnsi="宋体" w:eastAsia="宋体"/>
          <w:color w:val="auto"/>
          <w:sz w:val="24"/>
          <w:szCs w:val="24"/>
          <w:highlight w:val="none"/>
        </w:rPr>
        <w:t>投标工作，作出郑重声明：</w:t>
      </w:r>
    </w:p>
    <w:p w14:paraId="05424827">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43351578">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8D3C313">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3EF6A5F4">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1B17CD47">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71667F36">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0320CC70">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4B0F32EA">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44631FC8">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365BD4C0">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773DA765">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7505ECAE">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5D479E53">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（十）与招标人存在利害关系且可能影响招标公正性；</w:t>
      </w:r>
    </w:p>
    <w:p w14:paraId="5D724ECE">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327AC43">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22E6BAC5">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1746E224">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C6AD186">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4D5E2E92">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14:paraId="110E6D2A">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8EC9F65">
      <w:pPr>
        <w:pStyle w:val="21"/>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B5466A7">
      <w:pPr>
        <w:pStyle w:val="21"/>
        <w:snapToGrid w:val="0"/>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Cs/>
          <w:color w:val="auto"/>
          <w:sz w:val="24"/>
          <w:szCs w:val="24"/>
          <w:highlight w:val="none"/>
        </w:rPr>
        <w:t>与本公司单位负责人为同一人或者与本公司存在控股、管理关系的其他单位包括：</w:t>
      </w:r>
      <w:r>
        <w:rPr>
          <w:rFonts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。（注：本条由投标人如实填写，如有，应列出全部满足招标公告资质要求的相关单位的名称；如无，则填写“无”。</w:t>
      </w:r>
      <w:r>
        <w:rPr>
          <w:rFonts w:hint="eastAsia" w:ascii="宋体" w:hAnsi="宋体" w:eastAsia="宋体" w:cs="宋体"/>
          <w:bCs/>
          <w:color w:val="auto"/>
          <w:sz w:val="24"/>
          <w:szCs w:val="24"/>
          <w:highlight w:val="none"/>
          <w:u w:val="single"/>
        </w:rPr>
        <w:t>若投标人未列全符合相关条件的单位，但同时未列全的相关单位未参与本项目投标的，不视为该投标人违反了招标公告第九条第</w:t>
      </w:r>
      <w:r>
        <w:rPr>
          <w:rFonts w:ascii="宋体" w:hAnsi="宋体" w:eastAsia="宋体" w:cs="宋体"/>
          <w:bCs/>
          <w:color w:val="auto"/>
          <w:sz w:val="24"/>
          <w:szCs w:val="24"/>
          <w:highlight w:val="none"/>
          <w:u w:val="single"/>
        </w:rPr>
        <w:t>11点的规定，不作为对其投标文件进行无效标处理的依据。</w:t>
      </w:r>
      <w:r>
        <w:rPr>
          <w:rFonts w:hint="eastAsia" w:ascii="宋体" w:hAnsi="宋体" w:eastAsia="宋体" w:cs="宋体"/>
          <w:bCs/>
          <w:color w:val="auto"/>
          <w:sz w:val="24"/>
          <w:szCs w:val="24"/>
          <w:highlight w:val="none"/>
        </w:rPr>
        <w:t>）</w:t>
      </w:r>
    </w:p>
    <w:p w14:paraId="2256CB59">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八、本公司拟委派专职安全员兼任本工程的工地余泥渣土运输与排放管理员，严格遵守建设工程余泥渣土运输与排放管理制度，执行“一不准进、三不准出”规定，选择合法的余泥渣土运输单位及排放点。</w:t>
      </w:r>
    </w:p>
    <w:p w14:paraId="2E22B439">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B7D8135">
      <w:pPr>
        <w:pStyle w:val="21"/>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p>
    <w:p w14:paraId="6608773A">
      <w:pPr>
        <w:pStyle w:val="21"/>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D57EF5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十二、本公司承诺，中标后不委托近两年因伪造检测数据、出具虚假检测报告被各级建设行政主管部门或市场监督管理部门行政处罚或通报的检测单位负责本项目的检测工作。</w:t>
      </w:r>
    </w:p>
    <w:p w14:paraId="2457E33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三、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176CA9AD">
      <w:pPr>
        <w:pStyle w:val="21"/>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四、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2BF0CA5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5016C54A">
      <w:pPr>
        <w:pStyle w:val="21"/>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十五、本公司未因安全生产违法行为或失信行为被有关行政主管部门采取本行业或者职业禁入等联合惩戒措施（有效期内）。</w:t>
      </w:r>
    </w:p>
    <w:p w14:paraId="2F3574AC">
      <w:pPr>
        <w:pStyle w:val="21"/>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六、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70369A1D">
      <w:pPr>
        <w:pStyle w:val="21"/>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七、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288F71C2">
      <w:pPr>
        <w:pStyle w:val="21"/>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八、本公司违反上述承诺，或本声明陈述与事实不符，经查实，本公司愿意接受公开年的通报，愿意按照广州市交通运输局有关信用评价管理有关规定，被记录为“不良交易行为信息”，承担由此带来的法律后果。</w:t>
      </w:r>
    </w:p>
    <w:p w14:paraId="3C01FB9C">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0E544404">
      <w:pPr>
        <w:pStyle w:val="22"/>
        <w:snapToGrid w:val="0"/>
        <w:ind w:left="629" w:right="1449"/>
        <w:jc w:val="both"/>
        <w:rPr>
          <w:rFonts w:ascii="宋体" w:hAnsi="宋体" w:eastAsia="宋体" w:cs="宋体"/>
          <w:color w:val="auto"/>
          <w:sz w:val="24"/>
          <w:szCs w:val="24"/>
          <w:highlight w:val="none"/>
        </w:rPr>
      </w:pPr>
    </w:p>
    <w:p w14:paraId="7732C464">
      <w:pPr>
        <w:pStyle w:val="21"/>
        <w:snapToGrid w:val="0"/>
        <w:ind w:right="1179" w:firstLine="3600" w:firstLineChars="1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声明企业（公章）：</w:t>
      </w:r>
    </w:p>
    <w:p w14:paraId="7434B3F1">
      <w:pPr>
        <w:pStyle w:val="21"/>
        <w:snapToGrid w:val="0"/>
        <w:ind w:right="1179" w:firstLine="0"/>
        <w:rPr>
          <w:rFonts w:ascii="宋体" w:hAnsi="宋体" w:eastAsia="宋体" w:cs="宋体"/>
          <w:color w:val="auto"/>
          <w:sz w:val="24"/>
          <w:szCs w:val="24"/>
          <w:highlight w:val="none"/>
        </w:rPr>
      </w:pPr>
    </w:p>
    <w:p w14:paraId="5BACC256">
      <w:pPr>
        <w:pStyle w:val="21"/>
        <w:snapToGrid w:val="0"/>
        <w:ind w:right="879" w:firstLine="2160" w:firstLineChars="9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C480AB4">
      <w:pPr>
        <w:pStyle w:val="7"/>
        <w:rPr>
          <w:rFonts w:hAnsi="宋体" w:cs="宋体"/>
          <w:b/>
          <w:color w:val="auto"/>
          <w:sz w:val="21"/>
          <w:szCs w:val="21"/>
          <w:highlight w:val="none"/>
        </w:rPr>
      </w:pPr>
    </w:p>
    <w:p w14:paraId="782B43CD">
      <w:pPr>
        <w:pStyle w:val="7"/>
        <w:rPr>
          <w:color w:val="auto"/>
          <w:sz w:val="21"/>
          <w:szCs w:val="21"/>
          <w:highlight w:val="none"/>
        </w:rPr>
      </w:pPr>
      <w:r>
        <w:rPr>
          <w:rFonts w:hint="eastAsia" w:hAnsi="宋体" w:cs="宋体"/>
          <w:b/>
          <w:color w:val="auto"/>
          <w:sz w:val="21"/>
          <w:szCs w:val="21"/>
          <w:highlight w:val="none"/>
        </w:rPr>
        <w:t>注：本格式适用于联合体投标的成员方；“声明企业”填写成员方单位全称。</w:t>
      </w:r>
    </w:p>
    <w:p w14:paraId="1348AF10">
      <w:pPr>
        <w:rPr>
          <w:color w:val="auto"/>
          <w:szCs w:val="21"/>
          <w:highlight w:val="none"/>
        </w:rPr>
        <w:sectPr>
          <w:pgSz w:w="11906" w:h="16838"/>
          <w:pgMar w:top="1213" w:right="1440" w:bottom="1270" w:left="1440" w:header="851" w:footer="935" w:gutter="0"/>
          <w:cols w:space="0" w:num="1"/>
          <w:docGrid w:type="lines" w:linePitch="312" w:charSpace="0"/>
        </w:sectPr>
      </w:pPr>
    </w:p>
    <w:p w14:paraId="46CED2E4">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附件二：</w:t>
      </w:r>
    </w:p>
    <w:p w14:paraId="61839093">
      <w:pPr>
        <w:pStyle w:val="7"/>
        <w:rPr>
          <w:color w:val="auto"/>
          <w:highlight w:val="none"/>
        </w:rPr>
      </w:pPr>
    </w:p>
    <w:p w14:paraId="59F32CED">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联合体工作协议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4CE3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3" w:hRule="atLeast"/>
          <w:jc w:val="center"/>
        </w:trPr>
        <w:tc>
          <w:tcPr>
            <w:tcW w:w="9243" w:type="dxa"/>
          </w:tcPr>
          <w:p w14:paraId="13C4F5DF">
            <w:pPr>
              <w:spacing w:line="360" w:lineRule="auto"/>
              <w:ind w:firstLine="598" w:firstLineChars="285"/>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(承担主要施工任务的单位名称)、</w:t>
            </w:r>
            <w:r>
              <w:rPr>
                <w:rFonts w:ascii="宋体" w:hAnsi="宋体"/>
                <w:color w:val="auto"/>
                <w:highlight w:val="none"/>
                <w:u w:val="single"/>
              </w:rPr>
              <w:t xml:space="preserve">               </w:t>
            </w:r>
            <w:r>
              <w:rPr>
                <w:rFonts w:ascii="宋体" w:hAnsi="宋体"/>
                <w:color w:val="auto"/>
                <w:highlight w:val="none"/>
              </w:rPr>
              <w:t>(承担其他施工任务的单位名称)自愿组成联合体，共同参加</w:t>
            </w:r>
            <w:r>
              <w:rPr>
                <w:rFonts w:ascii="宋体" w:hAnsi="宋体"/>
                <w:color w:val="auto"/>
                <w:highlight w:val="none"/>
                <w:u w:val="single"/>
              </w:rPr>
              <w:t xml:space="preserve">               </w:t>
            </w:r>
            <w:r>
              <w:rPr>
                <w:rFonts w:hint="eastAsia" w:ascii="宋体" w:hAnsi="宋体"/>
                <w:color w:val="auto"/>
                <w:highlight w:val="none"/>
              </w:rPr>
              <w:t>投标。现就联合体投标事宜订立如下协议。</w:t>
            </w:r>
          </w:p>
          <w:p w14:paraId="17534F15">
            <w:pPr>
              <w:spacing w:line="360" w:lineRule="auto"/>
              <w:ind w:firstLine="598" w:firstLineChars="285"/>
              <w:rPr>
                <w:rFonts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rPr>
              <w:t>为联合体主办方。</w:t>
            </w:r>
            <w:r>
              <w:rPr>
                <w:rFonts w:hint="eastAsia" w:ascii="宋体" w:hAnsi="宋体"/>
                <w:color w:val="auto"/>
                <w:highlight w:val="none"/>
                <w:u w:val="single"/>
              </w:rPr>
              <w:t>（联合体主办方只允许填</w:t>
            </w:r>
            <w:r>
              <w:rPr>
                <w:rFonts w:ascii="宋体" w:hAnsi="宋体"/>
                <w:color w:val="auto"/>
                <w:highlight w:val="none"/>
                <w:u w:val="single"/>
              </w:rPr>
              <w:t>1家单位</w:t>
            </w:r>
            <w:r>
              <w:rPr>
                <w:rFonts w:hint="eastAsia" w:ascii="宋体" w:hAnsi="宋体"/>
                <w:color w:val="auto"/>
                <w:highlight w:val="none"/>
                <w:u w:val="single"/>
              </w:rPr>
              <w:t>）</w:t>
            </w:r>
          </w:p>
          <w:p w14:paraId="1980C83B">
            <w:pPr>
              <w:spacing w:line="360" w:lineRule="auto"/>
              <w:ind w:firstLine="598" w:firstLineChars="285"/>
              <w:rPr>
                <w:rFonts w:ascii="宋体" w:hAnsi="宋体"/>
                <w:color w:val="auto"/>
                <w:highlight w:val="none"/>
              </w:rPr>
            </w:pPr>
            <w:r>
              <w:rPr>
                <w:rFonts w:ascii="宋体" w:hAnsi="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347F93DD">
            <w:pPr>
              <w:spacing w:line="360" w:lineRule="auto"/>
              <w:ind w:firstLine="598" w:firstLineChars="285"/>
              <w:rPr>
                <w:rFonts w:ascii="宋体" w:hAnsi="宋体"/>
                <w:color w:val="auto"/>
                <w:highlight w:val="none"/>
              </w:rPr>
            </w:pPr>
            <w:r>
              <w:rPr>
                <w:rFonts w:ascii="宋体" w:hAnsi="宋体"/>
                <w:color w:val="auto"/>
                <w:highlight w:val="none"/>
              </w:rPr>
              <w:t>3、联合体将严格按照招标文件的各项要求，递交投标文件，履行合同，并对外承担连带责任。</w:t>
            </w:r>
          </w:p>
          <w:p w14:paraId="2DF43C8A">
            <w:pPr>
              <w:spacing w:line="360" w:lineRule="auto"/>
              <w:ind w:firstLine="598" w:firstLineChars="285"/>
              <w:rPr>
                <w:rFonts w:ascii="宋体" w:hAnsi="宋体"/>
                <w:color w:val="auto"/>
                <w:highlight w:val="none"/>
              </w:rPr>
            </w:pPr>
            <w:r>
              <w:rPr>
                <w:rFonts w:ascii="宋体" w:hAnsi="宋体"/>
                <w:color w:val="auto"/>
                <w:highlight w:val="none"/>
              </w:rPr>
              <w:t>4、联合体各成员单位内部的职责分工如下：</w:t>
            </w:r>
          </w:p>
          <w:p w14:paraId="58533EEC">
            <w:pPr>
              <w:spacing w:line="360" w:lineRule="auto"/>
              <w:ind w:firstLine="598" w:firstLineChars="285"/>
              <w:rPr>
                <w:rFonts w:ascii="宋体" w:hAnsi="宋体"/>
                <w:color w:val="auto"/>
                <w:highlight w:val="none"/>
              </w:rPr>
            </w:pPr>
            <w:r>
              <w:rPr>
                <w:rFonts w:hint="eastAsia" w:ascii="宋体" w:hAnsi="宋体"/>
                <w:color w:val="auto"/>
                <w:highlight w:val="none"/>
              </w:rPr>
              <w:t>①</w:t>
            </w:r>
            <w:r>
              <w:rPr>
                <w:rFonts w:ascii="宋体" w:hAnsi="宋体"/>
                <w:color w:val="auto"/>
                <w:highlight w:val="none"/>
                <w:u w:val="single"/>
              </w:rPr>
              <w:t xml:space="preserve">                  </w:t>
            </w:r>
            <w:r>
              <w:rPr>
                <w:rFonts w:hint="eastAsia" w:ascii="宋体" w:hAnsi="宋体"/>
                <w:color w:val="auto"/>
                <w:highlight w:val="none"/>
              </w:rPr>
              <w:t>（承担主要施工任务的单位名称）：</w:t>
            </w:r>
            <w:r>
              <w:rPr>
                <w:rFonts w:hint="eastAsia" w:ascii="宋体" w:hAnsi="宋体"/>
                <w:color w:val="auto"/>
                <w:highlight w:val="none"/>
                <w:u w:val="single"/>
              </w:rPr>
              <w:t>作为本项目总负责单位，除承担本项目的主要施工任务外，还对本招标项目的进度、质量、安全、投资控制、管理、协调等负全责，具体按合同要求</w:t>
            </w:r>
            <w:r>
              <w:rPr>
                <w:rFonts w:hint="eastAsia" w:ascii="宋体" w:hAnsi="宋体"/>
                <w:color w:val="auto"/>
                <w:highlight w:val="none"/>
              </w:rPr>
              <w:t>。</w:t>
            </w:r>
          </w:p>
          <w:p w14:paraId="5635136C">
            <w:pPr>
              <w:spacing w:line="360" w:lineRule="auto"/>
              <w:ind w:firstLine="598" w:firstLineChars="285"/>
              <w:rPr>
                <w:rFonts w:ascii="宋体" w:hAnsi="宋体"/>
                <w:color w:val="auto"/>
                <w:highlight w:val="none"/>
              </w:rPr>
            </w:pPr>
            <w:r>
              <w:rPr>
                <w:rFonts w:hint="eastAsia" w:ascii="宋体" w:hAnsi="宋体"/>
                <w:color w:val="auto"/>
                <w:highlight w:val="none"/>
              </w:rPr>
              <w:t>②</w:t>
            </w:r>
            <w:r>
              <w:rPr>
                <w:rFonts w:ascii="宋体" w:hAnsi="宋体"/>
                <w:color w:val="auto"/>
                <w:highlight w:val="none"/>
                <w:u w:val="single"/>
              </w:rPr>
              <w:t xml:space="preserve">                   </w:t>
            </w:r>
            <w:r>
              <w:rPr>
                <w:rFonts w:hint="eastAsia" w:ascii="宋体" w:hAnsi="宋体"/>
                <w:color w:val="auto"/>
                <w:highlight w:val="none"/>
              </w:rPr>
              <w:t>（承担其他施工任务的单位名称）：</w:t>
            </w:r>
            <w:r>
              <w:rPr>
                <w:rFonts w:hint="eastAsia" w:ascii="宋体" w:hAnsi="宋体"/>
                <w:color w:val="auto"/>
                <w:highlight w:val="none"/>
                <w:u w:val="single"/>
              </w:rPr>
              <w:t>主要承担本项目的其他施工任务，具体按合同要求</w:t>
            </w:r>
            <w:r>
              <w:rPr>
                <w:rFonts w:hint="eastAsia" w:ascii="宋体" w:hAnsi="宋体"/>
                <w:color w:val="auto"/>
                <w:highlight w:val="none"/>
              </w:rPr>
              <w:t>。</w:t>
            </w:r>
          </w:p>
          <w:p w14:paraId="7139C56A">
            <w:pPr>
              <w:spacing w:line="360" w:lineRule="auto"/>
              <w:ind w:firstLine="598" w:firstLineChars="285"/>
              <w:rPr>
                <w:color w:val="auto"/>
                <w:highlight w:val="none"/>
              </w:rPr>
            </w:pPr>
            <w:r>
              <w:rPr>
                <w:rFonts w:ascii="宋体" w:hAnsi="宋体"/>
                <w:color w:val="auto"/>
                <w:highlight w:val="none"/>
              </w:rPr>
              <w:t>5</w:t>
            </w:r>
            <w:r>
              <w:rPr>
                <w:rFonts w:hint="eastAsia" w:ascii="宋体" w:hAnsi="宋体"/>
                <w:color w:val="auto"/>
                <w:highlight w:val="none"/>
              </w:rPr>
              <w:t>、本协议书自签署之日起生效，合同履行完毕后自动失效。</w:t>
            </w:r>
            <w:r>
              <w:rPr>
                <w:rFonts w:ascii="宋体" w:hAnsi="宋体"/>
                <w:color w:val="auto"/>
                <w:highlight w:val="none"/>
              </w:rPr>
              <w:t xml:space="preserve"> </w:t>
            </w:r>
          </w:p>
          <w:p w14:paraId="427754D4">
            <w:pPr>
              <w:topLinePunct/>
              <w:spacing w:line="440" w:lineRule="exact"/>
              <w:rPr>
                <w:rFonts w:ascii="宋体" w:hAnsi="宋体"/>
                <w:color w:val="auto"/>
                <w:highlight w:val="none"/>
              </w:rPr>
            </w:pPr>
          </w:p>
          <w:p w14:paraId="34882ECD">
            <w:pPr>
              <w:topLinePunct/>
              <w:spacing w:line="440" w:lineRule="exact"/>
              <w:rPr>
                <w:rFonts w:ascii="宋体" w:hAnsi="宋体"/>
                <w:color w:val="auto"/>
                <w:highlight w:val="none"/>
              </w:rPr>
            </w:pPr>
            <w:r>
              <w:rPr>
                <w:rFonts w:hint="eastAsia" w:ascii="宋体" w:hAnsi="宋体"/>
                <w:color w:val="auto"/>
                <w:highlight w:val="none"/>
              </w:rPr>
              <w:t>联合体</w:t>
            </w:r>
            <w:r>
              <w:rPr>
                <w:rFonts w:ascii="宋体" w:hAnsi="宋体"/>
                <w:color w:val="auto"/>
                <w:highlight w:val="none"/>
              </w:rPr>
              <w:t>主办方名称：</w:t>
            </w:r>
            <w:r>
              <w:rPr>
                <w:rFonts w:ascii="宋体" w:hAnsi="宋体"/>
                <w:color w:val="auto"/>
                <w:highlight w:val="none"/>
                <w:u w:val="single"/>
              </w:rPr>
              <w:t xml:space="preserve">                           </w:t>
            </w:r>
            <w:r>
              <w:rPr>
                <w:rFonts w:ascii="宋体" w:hAnsi="宋体"/>
                <w:color w:val="auto"/>
                <w:highlight w:val="none"/>
              </w:rPr>
              <w:t>（盖单位章）</w:t>
            </w:r>
          </w:p>
          <w:p w14:paraId="5D1DF299">
            <w:pPr>
              <w:topLinePunct/>
              <w:spacing w:line="440" w:lineRule="exact"/>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p>
          <w:p w14:paraId="34F273F3">
            <w:pPr>
              <w:topLinePunct/>
              <w:spacing w:line="440" w:lineRule="exact"/>
              <w:rPr>
                <w:rFonts w:ascii="宋体" w:hAnsi="宋体"/>
                <w:color w:val="auto"/>
                <w:highlight w:val="none"/>
              </w:rPr>
            </w:pPr>
          </w:p>
          <w:p w14:paraId="33577513">
            <w:pPr>
              <w:topLinePunct/>
              <w:spacing w:line="440" w:lineRule="exact"/>
              <w:rPr>
                <w:rFonts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ascii="宋体" w:hAnsi="宋体"/>
                <w:color w:val="auto"/>
                <w:szCs w:val="21"/>
                <w:highlight w:val="none"/>
              </w:rPr>
              <w:t>（盖单位章）</w:t>
            </w:r>
          </w:p>
          <w:p w14:paraId="25F2C165">
            <w:pPr>
              <w:topLinePunct/>
              <w:spacing w:line="440" w:lineRule="exact"/>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14:paraId="54106316">
            <w:pPr>
              <w:rPr>
                <w:rFonts w:ascii="等线" w:hAnsi="Courier New" w:eastAsia="等线" w:cs="Courier New"/>
                <w:color w:val="auto"/>
                <w:highlight w:val="none"/>
              </w:rPr>
            </w:pPr>
          </w:p>
          <w:p w14:paraId="4B846345">
            <w:pPr>
              <w:autoSpaceDE w:val="0"/>
              <w:autoSpaceDN w:val="0"/>
              <w:adjustRightInd w:val="0"/>
              <w:spacing w:line="360" w:lineRule="auto"/>
              <w:jc w:val="right"/>
              <w:rPr>
                <w:rFonts w:ascii="宋体" w:hAnsi="宋体" w:cs="宋体"/>
                <w:color w:val="auto"/>
                <w:highlight w:val="none"/>
              </w:rPr>
            </w:pP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s="宋体"/>
                <w:color w:val="auto"/>
                <w:highlight w:val="none"/>
              </w:rPr>
              <w:t>年</w:t>
            </w:r>
            <w:r>
              <w:rPr>
                <w:rFonts w:ascii="宋体" w:hAnsi="宋体"/>
                <w:color w:val="auto"/>
                <w:highlight w:val="none"/>
                <w:u w:val="single"/>
              </w:rPr>
              <w:t xml:space="preserve">       </w:t>
            </w:r>
            <w:r>
              <w:rPr>
                <w:rFonts w:hint="eastAsia" w:ascii="宋体" w:hAnsi="宋体" w:cs="宋体"/>
                <w:color w:val="auto"/>
                <w:highlight w:val="none"/>
              </w:rPr>
              <w:t>月</w:t>
            </w:r>
            <w:r>
              <w:rPr>
                <w:rFonts w:ascii="宋体" w:hAnsi="宋体"/>
                <w:color w:val="auto"/>
                <w:highlight w:val="none"/>
                <w:u w:val="single"/>
              </w:rPr>
              <w:t xml:space="preserve">       </w:t>
            </w:r>
            <w:r>
              <w:rPr>
                <w:rFonts w:hint="eastAsia" w:ascii="宋体" w:hAnsi="宋体" w:cs="宋体"/>
                <w:color w:val="auto"/>
                <w:highlight w:val="none"/>
              </w:rPr>
              <w:t>日</w:t>
            </w:r>
          </w:p>
          <w:p w14:paraId="13550BD1">
            <w:pPr>
              <w:autoSpaceDE w:val="0"/>
              <w:autoSpaceDN w:val="0"/>
              <w:adjustRightInd w:val="0"/>
              <w:spacing w:line="360" w:lineRule="auto"/>
              <w:jc w:val="left"/>
              <w:rPr>
                <w:rFonts w:ascii="宋体" w:hAnsi="宋体" w:cs="宋体"/>
                <w:bCs/>
                <w:color w:val="auto"/>
                <w:sz w:val="24"/>
                <w:highlight w:val="none"/>
              </w:rPr>
            </w:pPr>
            <w:r>
              <w:rPr>
                <w:rFonts w:hint="eastAsia" w:ascii="宋体" w:hAnsi="宋体" w:cs="宋体"/>
                <w:color w:val="auto"/>
                <w:highlight w:val="none"/>
              </w:rPr>
              <w:t>注：单独投标的，无需提交本协议。</w:t>
            </w:r>
          </w:p>
        </w:tc>
      </w:tr>
    </w:tbl>
    <w:p w14:paraId="5CC95A82">
      <w:pPr>
        <w:pStyle w:val="7"/>
        <w:rPr>
          <w:color w:val="auto"/>
          <w:highlight w:val="none"/>
        </w:rPr>
      </w:pPr>
    </w:p>
    <w:p w14:paraId="37BF775D">
      <w:pPr>
        <w:rPr>
          <w:color w:val="auto"/>
          <w:highlight w:val="none"/>
        </w:rPr>
      </w:pPr>
      <w:r>
        <w:rPr>
          <w:color w:val="auto"/>
          <w:highlight w:val="none"/>
        </w:rPr>
        <w:br w:type="page"/>
      </w:r>
    </w:p>
    <w:p w14:paraId="4034D922">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附件三：</w:t>
      </w:r>
    </w:p>
    <w:p w14:paraId="51AA9EF0">
      <w:pPr>
        <w:pStyle w:val="2"/>
        <w:rPr>
          <w:rFonts w:ascii="宋体" w:hAnsi="宋体" w:cs="宋体"/>
          <w:b/>
          <w:bCs/>
          <w:color w:val="auto"/>
          <w:sz w:val="24"/>
          <w:szCs w:val="24"/>
          <w:highlight w:val="none"/>
        </w:rPr>
      </w:pPr>
    </w:p>
    <w:p w14:paraId="4BC8CEC6">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被招标人拒绝投标的企业名单</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714"/>
        <w:gridCol w:w="4761"/>
      </w:tblGrid>
      <w:tr w14:paraId="7C6A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11" w:type="dxa"/>
            <w:vAlign w:val="center"/>
          </w:tcPr>
          <w:p w14:paraId="3C4198F5">
            <w:pPr>
              <w:adjustRightInd w:val="0"/>
              <w:snapToGrid w:val="0"/>
              <w:spacing w:line="276"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714" w:type="dxa"/>
            <w:vAlign w:val="center"/>
          </w:tcPr>
          <w:p w14:paraId="0861F159">
            <w:pPr>
              <w:adjustRightInd w:val="0"/>
              <w:snapToGrid w:val="0"/>
              <w:spacing w:line="276"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企业名称</w:t>
            </w:r>
          </w:p>
        </w:tc>
        <w:tc>
          <w:tcPr>
            <w:tcW w:w="4761" w:type="dxa"/>
            <w:vAlign w:val="center"/>
          </w:tcPr>
          <w:p w14:paraId="6D566743">
            <w:pPr>
              <w:adjustRightInd w:val="0"/>
              <w:snapToGrid w:val="0"/>
              <w:spacing w:line="276"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限制投标期限</w:t>
            </w:r>
          </w:p>
        </w:tc>
      </w:tr>
      <w:tr w14:paraId="7C54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11" w:type="dxa"/>
            <w:vAlign w:val="center"/>
          </w:tcPr>
          <w:p w14:paraId="3EE8AEA3">
            <w:pPr>
              <w:adjustRightInd w:val="0"/>
              <w:snapToGrid w:val="0"/>
              <w:spacing w:line="276"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714" w:type="dxa"/>
            <w:vAlign w:val="center"/>
          </w:tcPr>
          <w:p w14:paraId="3054E6E2">
            <w:pPr>
              <w:adjustRightInd w:val="0"/>
              <w:snapToGrid w:val="0"/>
              <w:spacing w:line="276"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广东华隧建设集团股份有限公司</w:t>
            </w:r>
          </w:p>
        </w:tc>
        <w:tc>
          <w:tcPr>
            <w:tcW w:w="4761" w:type="dxa"/>
            <w:vAlign w:val="center"/>
          </w:tcPr>
          <w:p w14:paraId="7E2A45FF">
            <w:pPr>
              <w:adjustRightInd w:val="0"/>
              <w:snapToGrid w:val="0"/>
              <w:spacing w:line="276"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自2025年7月2日起至2025年10月1日</w:t>
            </w:r>
          </w:p>
        </w:tc>
      </w:tr>
    </w:tbl>
    <w:p w14:paraId="26642C6F">
      <w:pPr>
        <w:rPr>
          <w:color w:val="auto"/>
          <w:highlight w:val="none"/>
        </w:rPr>
      </w:pPr>
      <w:r>
        <w:rPr>
          <w:rFonts w:hint="eastAsia" w:ascii="宋体" w:hAnsi="宋体"/>
          <w:color w:val="auto"/>
          <w:sz w:val="24"/>
          <w:szCs w:val="24"/>
          <w:highlight w:val="none"/>
        </w:rPr>
        <w:t>注：以上限制投标时间期限以截标时间为准。</w:t>
      </w:r>
    </w:p>
    <w:p w14:paraId="47431000">
      <w:pPr>
        <w:topLinePunct/>
        <w:spacing w:line="360" w:lineRule="auto"/>
        <w:ind w:right="240"/>
        <w:jc w:val="left"/>
        <w:rPr>
          <w:color w:val="auto"/>
          <w:highlight w:val="none"/>
        </w:rPr>
      </w:pPr>
    </w:p>
    <w:sectPr>
      <w:pgSz w:w="11906" w:h="16838"/>
      <w:pgMar w:top="1213" w:right="1440" w:bottom="1270" w:left="1440" w:header="851" w:footer="935"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CEF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0F301E">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80F301E">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30B25"/>
    <w:multiLevelType w:val="singleLevel"/>
    <w:tmpl w:val="B5F30B2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mUwMzExYmYzZWYwMjBlZGI1YzE0MmEzYzBmNjcifQ=="/>
  </w:docVars>
  <w:rsids>
    <w:rsidRoot w:val="00172A27"/>
    <w:rsid w:val="00012940"/>
    <w:rsid w:val="00014131"/>
    <w:rsid w:val="000207E8"/>
    <w:rsid w:val="00030A29"/>
    <w:rsid w:val="000A6C9D"/>
    <w:rsid w:val="000A7DB5"/>
    <w:rsid w:val="000B2AD0"/>
    <w:rsid w:val="000D1DC6"/>
    <w:rsid w:val="000D471A"/>
    <w:rsid w:val="000E5D3A"/>
    <w:rsid w:val="00104AA4"/>
    <w:rsid w:val="00120D91"/>
    <w:rsid w:val="00172A27"/>
    <w:rsid w:val="00177821"/>
    <w:rsid w:val="001A7F0F"/>
    <w:rsid w:val="001D7E1B"/>
    <w:rsid w:val="001F0922"/>
    <w:rsid w:val="001F214B"/>
    <w:rsid w:val="00216526"/>
    <w:rsid w:val="0026162D"/>
    <w:rsid w:val="002903B6"/>
    <w:rsid w:val="002E0D3C"/>
    <w:rsid w:val="002E4C68"/>
    <w:rsid w:val="002F7368"/>
    <w:rsid w:val="003131F3"/>
    <w:rsid w:val="00314104"/>
    <w:rsid w:val="003658DC"/>
    <w:rsid w:val="00373A61"/>
    <w:rsid w:val="003A4365"/>
    <w:rsid w:val="003C62ED"/>
    <w:rsid w:val="003D5956"/>
    <w:rsid w:val="00453365"/>
    <w:rsid w:val="00472DE1"/>
    <w:rsid w:val="004E52C5"/>
    <w:rsid w:val="00520D85"/>
    <w:rsid w:val="00556D33"/>
    <w:rsid w:val="00562057"/>
    <w:rsid w:val="005A5C87"/>
    <w:rsid w:val="005D15A8"/>
    <w:rsid w:val="005E6000"/>
    <w:rsid w:val="005E7B8A"/>
    <w:rsid w:val="0062060A"/>
    <w:rsid w:val="006635BA"/>
    <w:rsid w:val="00764DEA"/>
    <w:rsid w:val="00786B13"/>
    <w:rsid w:val="007D323E"/>
    <w:rsid w:val="007F0512"/>
    <w:rsid w:val="00863EBB"/>
    <w:rsid w:val="00884F8E"/>
    <w:rsid w:val="008C68FC"/>
    <w:rsid w:val="00900179"/>
    <w:rsid w:val="00904DF4"/>
    <w:rsid w:val="00915D89"/>
    <w:rsid w:val="009269F5"/>
    <w:rsid w:val="00931140"/>
    <w:rsid w:val="00960B01"/>
    <w:rsid w:val="00975C15"/>
    <w:rsid w:val="009776E0"/>
    <w:rsid w:val="009A3ED8"/>
    <w:rsid w:val="009B196D"/>
    <w:rsid w:val="009E44A6"/>
    <w:rsid w:val="009F2CCB"/>
    <w:rsid w:val="00A45F91"/>
    <w:rsid w:val="00A735CA"/>
    <w:rsid w:val="00AD5964"/>
    <w:rsid w:val="00B1480C"/>
    <w:rsid w:val="00B7726C"/>
    <w:rsid w:val="00B8290A"/>
    <w:rsid w:val="00BA3EE0"/>
    <w:rsid w:val="00BB4D08"/>
    <w:rsid w:val="00BE1550"/>
    <w:rsid w:val="00BE5873"/>
    <w:rsid w:val="00C245AF"/>
    <w:rsid w:val="00C402D2"/>
    <w:rsid w:val="00C61558"/>
    <w:rsid w:val="00C72660"/>
    <w:rsid w:val="00CA7C86"/>
    <w:rsid w:val="00CC37DF"/>
    <w:rsid w:val="00CC7120"/>
    <w:rsid w:val="00CF021A"/>
    <w:rsid w:val="00D143C8"/>
    <w:rsid w:val="00D5026B"/>
    <w:rsid w:val="00D80CC6"/>
    <w:rsid w:val="00D949F0"/>
    <w:rsid w:val="00E43046"/>
    <w:rsid w:val="00E76EE0"/>
    <w:rsid w:val="00EC3870"/>
    <w:rsid w:val="00F11456"/>
    <w:rsid w:val="00F1344C"/>
    <w:rsid w:val="00F17EE0"/>
    <w:rsid w:val="00F24EA1"/>
    <w:rsid w:val="00F6402F"/>
    <w:rsid w:val="00FC300D"/>
    <w:rsid w:val="00FD39EB"/>
    <w:rsid w:val="00FE2474"/>
    <w:rsid w:val="00FE546A"/>
    <w:rsid w:val="014632E9"/>
    <w:rsid w:val="015669F9"/>
    <w:rsid w:val="019B3634"/>
    <w:rsid w:val="02B5507D"/>
    <w:rsid w:val="02D273D5"/>
    <w:rsid w:val="03072618"/>
    <w:rsid w:val="030744A0"/>
    <w:rsid w:val="037C7140"/>
    <w:rsid w:val="039025E0"/>
    <w:rsid w:val="045521C0"/>
    <w:rsid w:val="047F34B4"/>
    <w:rsid w:val="05551D4C"/>
    <w:rsid w:val="057B6D61"/>
    <w:rsid w:val="06336531"/>
    <w:rsid w:val="06B56999"/>
    <w:rsid w:val="06F51BFA"/>
    <w:rsid w:val="074E2EF7"/>
    <w:rsid w:val="07966D78"/>
    <w:rsid w:val="07A61789"/>
    <w:rsid w:val="088F05FC"/>
    <w:rsid w:val="08926A11"/>
    <w:rsid w:val="08C14694"/>
    <w:rsid w:val="0906356C"/>
    <w:rsid w:val="091F0ABB"/>
    <w:rsid w:val="09A531CF"/>
    <w:rsid w:val="0A236287"/>
    <w:rsid w:val="0A8C26DA"/>
    <w:rsid w:val="0ADD11E0"/>
    <w:rsid w:val="0BDB0BEB"/>
    <w:rsid w:val="0C5576E9"/>
    <w:rsid w:val="0C567B21"/>
    <w:rsid w:val="0C850F7F"/>
    <w:rsid w:val="0CBA2865"/>
    <w:rsid w:val="0CD8573D"/>
    <w:rsid w:val="0D07521B"/>
    <w:rsid w:val="0DA46170"/>
    <w:rsid w:val="0E263246"/>
    <w:rsid w:val="0E990EFC"/>
    <w:rsid w:val="0EC94C3A"/>
    <w:rsid w:val="0EDD6F33"/>
    <w:rsid w:val="0EF238CB"/>
    <w:rsid w:val="0F1D38DB"/>
    <w:rsid w:val="0F527FC6"/>
    <w:rsid w:val="0F595B86"/>
    <w:rsid w:val="0FC20254"/>
    <w:rsid w:val="0FF35D4F"/>
    <w:rsid w:val="10591BDA"/>
    <w:rsid w:val="10A76924"/>
    <w:rsid w:val="10DC4F71"/>
    <w:rsid w:val="110E6EE5"/>
    <w:rsid w:val="11FF1F94"/>
    <w:rsid w:val="12123119"/>
    <w:rsid w:val="12371157"/>
    <w:rsid w:val="1240015F"/>
    <w:rsid w:val="12D1335A"/>
    <w:rsid w:val="12E5107C"/>
    <w:rsid w:val="12EC3B91"/>
    <w:rsid w:val="131466C1"/>
    <w:rsid w:val="14D709D0"/>
    <w:rsid w:val="151D4008"/>
    <w:rsid w:val="15360DFF"/>
    <w:rsid w:val="154F0566"/>
    <w:rsid w:val="15AE7982"/>
    <w:rsid w:val="15B63FD5"/>
    <w:rsid w:val="1651030E"/>
    <w:rsid w:val="1661290A"/>
    <w:rsid w:val="16C776C0"/>
    <w:rsid w:val="16ED44DA"/>
    <w:rsid w:val="1768419F"/>
    <w:rsid w:val="178570A5"/>
    <w:rsid w:val="17A27073"/>
    <w:rsid w:val="17C85590"/>
    <w:rsid w:val="180E4708"/>
    <w:rsid w:val="183F73EA"/>
    <w:rsid w:val="18DF2ED5"/>
    <w:rsid w:val="19007908"/>
    <w:rsid w:val="19070B6D"/>
    <w:rsid w:val="19A87AF2"/>
    <w:rsid w:val="1A4C1518"/>
    <w:rsid w:val="1B2A4E1E"/>
    <w:rsid w:val="1B2D065E"/>
    <w:rsid w:val="1BF779D6"/>
    <w:rsid w:val="1C7D60A5"/>
    <w:rsid w:val="1CA4388D"/>
    <w:rsid w:val="1D175E0D"/>
    <w:rsid w:val="1D583586"/>
    <w:rsid w:val="1D7C488C"/>
    <w:rsid w:val="1D904318"/>
    <w:rsid w:val="1E761259"/>
    <w:rsid w:val="1E9F5110"/>
    <w:rsid w:val="1F15637C"/>
    <w:rsid w:val="1F875694"/>
    <w:rsid w:val="1F912978"/>
    <w:rsid w:val="1F9D4088"/>
    <w:rsid w:val="20251AEC"/>
    <w:rsid w:val="207E61A3"/>
    <w:rsid w:val="20DB7AF0"/>
    <w:rsid w:val="21206326"/>
    <w:rsid w:val="21304210"/>
    <w:rsid w:val="214F0EF5"/>
    <w:rsid w:val="218C4F9A"/>
    <w:rsid w:val="22287B3C"/>
    <w:rsid w:val="230A028E"/>
    <w:rsid w:val="23A928A1"/>
    <w:rsid w:val="23D5390C"/>
    <w:rsid w:val="249146F7"/>
    <w:rsid w:val="24A509CC"/>
    <w:rsid w:val="25110665"/>
    <w:rsid w:val="252C0894"/>
    <w:rsid w:val="253B28B5"/>
    <w:rsid w:val="2596506B"/>
    <w:rsid w:val="25B72A81"/>
    <w:rsid w:val="25BB7E40"/>
    <w:rsid w:val="266F6CBA"/>
    <w:rsid w:val="26EF3957"/>
    <w:rsid w:val="26F15921"/>
    <w:rsid w:val="271779E7"/>
    <w:rsid w:val="27642191"/>
    <w:rsid w:val="27E2170E"/>
    <w:rsid w:val="28126853"/>
    <w:rsid w:val="28FB4835"/>
    <w:rsid w:val="294F4B81"/>
    <w:rsid w:val="2A10072A"/>
    <w:rsid w:val="2A152FFA"/>
    <w:rsid w:val="2A6A7752"/>
    <w:rsid w:val="2AD67248"/>
    <w:rsid w:val="2AFE794D"/>
    <w:rsid w:val="2B824FB1"/>
    <w:rsid w:val="2C25463E"/>
    <w:rsid w:val="2C2A3701"/>
    <w:rsid w:val="2C3F3DE5"/>
    <w:rsid w:val="2C757CC8"/>
    <w:rsid w:val="2C7843EE"/>
    <w:rsid w:val="2CD1422D"/>
    <w:rsid w:val="2CFE13AF"/>
    <w:rsid w:val="2D80355B"/>
    <w:rsid w:val="2DEA32EF"/>
    <w:rsid w:val="2E4F6532"/>
    <w:rsid w:val="2ED004DD"/>
    <w:rsid w:val="2EF62000"/>
    <w:rsid w:val="2F4B7B98"/>
    <w:rsid w:val="2F593771"/>
    <w:rsid w:val="2FC4115A"/>
    <w:rsid w:val="2FE938EA"/>
    <w:rsid w:val="30384C7D"/>
    <w:rsid w:val="303A3A36"/>
    <w:rsid w:val="309C0F61"/>
    <w:rsid w:val="30CB7FA5"/>
    <w:rsid w:val="30DB3A35"/>
    <w:rsid w:val="30E7694C"/>
    <w:rsid w:val="314E7000"/>
    <w:rsid w:val="31C0752B"/>
    <w:rsid w:val="31C14142"/>
    <w:rsid w:val="32186458"/>
    <w:rsid w:val="325E612F"/>
    <w:rsid w:val="32927F63"/>
    <w:rsid w:val="32E97DF4"/>
    <w:rsid w:val="33CB12A8"/>
    <w:rsid w:val="33F14D68"/>
    <w:rsid w:val="34F63F68"/>
    <w:rsid w:val="35926521"/>
    <w:rsid w:val="366C6D72"/>
    <w:rsid w:val="366C746F"/>
    <w:rsid w:val="36AC0FA1"/>
    <w:rsid w:val="37955E55"/>
    <w:rsid w:val="37A60062"/>
    <w:rsid w:val="37F70D96"/>
    <w:rsid w:val="38190834"/>
    <w:rsid w:val="385C275B"/>
    <w:rsid w:val="38FD240B"/>
    <w:rsid w:val="392A6A70"/>
    <w:rsid w:val="3942025E"/>
    <w:rsid w:val="39551D3F"/>
    <w:rsid w:val="3995038E"/>
    <w:rsid w:val="39FC665F"/>
    <w:rsid w:val="3A2A4F01"/>
    <w:rsid w:val="3AA727E5"/>
    <w:rsid w:val="3AB807D8"/>
    <w:rsid w:val="3AD16E8E"/>
    <w:rsid w:val="3ADB0E49"/>
    <w:rsid w:val="3ADE7B13"/>
    <w:rsid w:val="3B0635EE"/>
    <w:rsid w:val="3B2B597A"/>
    <w:rsid w:val="3BF14242"/>
    <w:rsid w:val="3C041E53"/>
    <w:rsid w:val="3C196A4C"/>
    <w:rsid w:val="3C4254E7"/>
    <w:rsid w:val="3D2D6B2F"/>
    <w:rsid w:val="3D903D0A"/>
    <w:rsid w:val="3DB64D77"/>
    <w:rsid w:val="3E541FD6"/>
    <w:rsid w:val="3ECD2378"/>
    <w:rsid w:val="3F2C52F0"/>
    <w:rsid w:val="40E63D94"/>
    <w:rsid w:val="41E26541"/>
    <w:rsid w:val="420D0511"/>
    <w:rsid w:val="42616650"/>
    <w:rsid w:val="4263727A"/>
    <w:rsid w:val="42731488"/>
    <w:rsid w:val="42F31B82"/>
    <w:rsid w:val="43054151"/>
    <w:rsid w:val="433E1A96"/>
    <w:rsid w:val="438F40A0"/>
    <w:rsid w:val="43D45F57"/>
    <w:rsid w:val="43F959BD"/>
    <w:rsid w:val="44865F34"/>
    <w:rsid w:val="44E62139"/>
    <w:rsid w:val="44EA2F34"/>
    <w:rsid w:val="4542717D"/>
    <w:rsid w:val="45611A6C"/>
    <w:rsid w:val="457060A1"/>
    <w:rsid w:val="457C4AF8"/>
    <w:rsid w:val="45A34316"/>
    <w:rsid w:val="45E72A99"/>
    <w:rsid w:val="45EF76DE"/>
    <w:rsid w:val="47236543"/>
    <w:rsid w:val="472D66A6"/>
    <w:rsid w:val="47664271"/>
    <w:rsid w:val="48207CAC"/>
    <w:rsid w:val="484F02A2"/>
    <w:rsid w:val="497E544C"/>
    <w:rsid w:val="49B1480E"/>
    <w:rsid w:val="4A3F0305"/>
    <w:rsid w:val="4B496972"/>
    <w:rsid w:val="4B723E37"/>
    <w:rsid w:val="4BD737A1"/>
    <w:rsid w:val="4CFC5002"/>
    <w:rsid w:val="4D2871CF"/>
    <w:rsid w:val="4D470CD7"/>
    <w:rsid w:val="4DBD0916"/>
    <w:rsid w:val="4DC332C4"/>
    <w:rsid w:val="4E00747B"/>
    <w:rsid w:val="4E2875CB"/>
    <w:rsid w:val="4E3A42BE"/>
    <w:rsid w:val="4E960D21"/>
    <w:rsid w:val="4E9E459F"/>
    <w:rsid w:val="4EFB2ED9"/>
    <w:rsid w:val="4F406A00"/>
    <w:rsid w:val="4F9273F2"/>
    <w:rsid w:val="4FE45CB9"/>
    <w:rsid w:val="50686404"/>
    <w:rsid w:val="5136702D"/>
    <w:rsid w:val="51CC19FD"/>
    <w:rsid w:val="51D06774"/>
    <w:rsid w:val="51FE1C24"/>
    <w:rsid w:val="523C08E8"/>
    <w:rsid w:val="53081779"/>
    <w:rsid w:val="534F55FA"/>
    <w:rsid w:val="552D196B"/>
    <w:rsid w:val="55F65DB3"/>
    <w:rsid w:val="565076BF"/>
    <w:rsid w:val="566A2B12"/>
    <w:rsid w:val="566F6BDB"/>
    <w:rsid w:val="573E3070"/>
    <w:rsid w:val="58086A58"/>
    <w:rsid w:val="5830622B"/>
    <w:rsid w:val="58DB7EEE"/>
    <w:rsid w:val="58E442E2"/>
    <w:rsid w:val="59253FEA"/>
    <w:rsid w:val="59257BDF"/>
    <w:rsid w:val="59AA292D"/>
    <w:rsid w:val="59E22D24"/>
    <w:rsid w:val="59E74508"/>
    <w:rsid w:val="5A9B1234"/>
    <w:rsid w:val="5AC94305"/>
    <w:rsid w:val="5B0311A3"/>
    <w:rsid w:val="5B2B4256"/>
    <w:rsid w:val="5B5639C9"/>
    <w:rsid w:val="5B7C4881"/>
    <w:rsid w:val="5C147E8B"/>
    <w:rsid w:val="5C6F4632"/>
    <w:rsid w:val="5D785E49"/>
    <w:rsid w:val="5DDD2180"/>
    <w:rsid w:val="5E074193"/>
    <w:rsid w:val="5E4C500D"/>
    <w:rsid w:val="5EDF0B31"/>
    <w:rsid w:val="602F37F0"/>
    <w:rsid w:val="60386A8A"/>
    <w:rsid w:val="60B46A9C"/>
    <w:rsid w:val="61155B0D"/>
    <w:rsid w:val="612C0F72"/>
    <w:rsid w:val="6166423A"/>
    <w:rsid w:val="61932B55"/>
    <w:rsid w:val="61EA27BB"/>
    <w:rsid w:val="61F45CEA"/>
    <w:rsid w:val="6210774E"/>
    <w:rsid w:val="62630D14"/>
    <w:rsid w:val="629C40D8"/>
    <w:rsid w:val="62A768B8"/>
    <w:rsid w:val="632E0677"/>
    <w:rsid w:val="633B6B34"/>
    <w:rsid w:val="6420218A"/>
    <w:rsid w:val="64232087"/>
    <w:rsid w:val="642B10E5"/>
    <w:rsid w:val="65137FE1"/>
    <w:rsid w:val="656E5DB3"/>
    <w:rsid w:val="664722A7"/>
    <w:rsid w:val="667E3DD4"/>
    <w:rsid w:val="66906C82"/>
    <w:rsid w:val="66EF455E"/>
    <w:rsid w:val="675E48ED"/>
    <w:rsid w:val="67977322"/>
    <w:rsid w:val="67C04438"/>
    <w:rsid w:val="683C3F28"/>
    <w:rsid w:val="6851485F"/>
    <w:rsid w:val="68754037"/>
    <w:rsid w:val="6884152A"/>
    <w:rsid w:val="68F82C78"/>
    <w:rsid w:val="69564B94"/>
    <w:rsid w:val="69BC0A87"/>
    <w:rsid w:val="69D05266"/>
    <w:rsid w:val="69EE301F"/>
    <w:rsid w:val="6A0C16F7"/>
    <w:rsid w:val="6A322BEB"/>
    <w:rsid w:val="6A97198A"/>
    <w:rsid w:val="6AAD4C88"/>
    <w:rsid w:val="6ABA6A70"/>
    <w:rsid w:val="6B202584"/>
    <w:rsid w:val="6B9A0849"/>
    <w:rsid w:val="6C1874CD"/>
    <w:rsid w:val="6C1F3963"/>
    <w:rsid w:val="6C75608F"/>
    <w:rsid w:val="6C8845F7"/>
    <w:rsid w:val="6D200282"/>
    <w:rsid w:val="6D3C22F3"/>
    <w:rsid w:val="6E2666A4"/>
    <w:rsid w:val="6EC72090"/>
    <w:rsid w:val="6F437969"/>
    <w:rsid w:val="6F8306AD"/>
    <w:rsid w:val="6FE96E37"/>
    <w:rsid w:val="70F13BF7"/>
    <w:rsid w:val="7122661A"/>
    <w:rsid w:val="71267CAF"/>
    <w:rsid w:val="718D0958"/>
    <w:rsid w:val="727E6F0A"/>
    <w:rsid w:val="733C794D"/>
    <w:rsid w:val="734070EE"/>
    <w:rsid w:val="738F2EB8"/>
    <w:rsid w:val="739B4217"/>
    <w:rsid w:val="73EC333A"/>
    <w:rsid w:val="73EF2989"/>
    <w:rsid w:val="743C59D7"/>
    <w:rsid w:val="745A2C6C"/>
    <w:rsid w:val="74AA44AE"/>
    <w:rsid w:val="75894C92"/>
    <w:rsid w:val="766765CC"/>
    <w:rsid w:val="76797F74"/>
    <w:rsid w:val="76C01EBB"/>
    <w:rsid w:val="76E557A9"/>
    <w:rsid w:val="77D0645A"/>
    <w:rsid w:val="77EC7614"/>
    <w:rsid w:val="77F47BCD"/>
    <w:rsid w:val="78512658"/>
    <w:rsid w:val="786C0708"/>
    <w:rsid w:val="789C633C"/>
    <w:rsid w:val="78A30A89"/>
    <w:rsid w:val="78D047C3"/>
    <w:rsid w:val="79F503F9"/>
    <w:rsid w:val="7ABC5200"/>
    <w:rsid w:val="7B5D3A39"/>
    <w:rsid w:val="7C3E4EBC"/>
    <w:rsid w:val="7D362912"/>
    <w:rsid w:val="7DBB5BA6"/>
    <w:rsid w:val="7ED00CCE"/>
    <w:rsid w:val="7F0A2251"/>
    <w:rsid w:val="7FCE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szCs w:val="20"/>
    </w:rPr>
  </w:style>
  <w:style w:type="paragraph" w:styleId="3">
    <w:name w:val="toc 5"/>
    <w:basedOn w:val="1"/>
    <w:next w:val="1"/>
    <w:unhideWhenUsed/>
    <w:qFormat/>
    <w:uiPriority w:val="39"/>
    <w:pPr>
      <w:ind w:left="1680" w:leftChars="800"/>
    </w:pPr>
    <w:rPr>
      <w:szCs w:val="24"/>
    </w:rPr>
  </w:style>
  <w:style w:type="paragraph" w:styleId="5">
    <w:name w:val="Normal Indent"/>
    <w:basedOn w:val="1"/>
    <w:next w:val="1"/>
    <w:qFormat/>
    <w:uiPriority w:val="0"/>
    <w:pPr>
      <w:ind w:firstLine="420"/>
    </w:pPr>
    <w:rPr>
      <w:rFonts w:eastAsia="等线"/>
      <w:szCs w:val="20"/>
    </w:rPr>
  </w:style>
  <w:style w:type="paragraph" w:styleId="6">
    <w:name w:val="annotation text"/>
    <w:basedOn w:val="1"/>
    <w:link w:val="25"/>
    <w:qFormat/>
    <w:uiPriority w:val="0"/>
    <w:pPr>
      <w:jc w:val="left"/>
    </w:pPr>
  </w:style>
  <w:style w:type="paragraph" w:styleId="7">
    <w:name w:val="Plain Text"/>
    <w:basedOn w:val="1"/>
    <w:next w:val="1"/>
    <w:qFormat/>
    <w:uiPriority w:val="0"/>
    <w:rPr>
      <w:rFonts w:ascii="宋体" w:hAnsi="Courier New"/>
      <w:kern w:val="0"/>
      <w:sz w:val="20"/>
      <w:szCs w:val="20"/>
    </w:r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2"/>
    <w:basedOn w:val="1"/>
    <w:qFormat/>
    <w:uiPriority w:val="0"/>
    <w:rPr>
      <w:rFonts w:ascii="宋体" w:hAnsi="宋体"/>
      <w:kern w:val="0"/>
      <w:sz w:val="20"/>
      <w:szCs w:val="24"/>
      <w:u w:val="single"/>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6"/>
    <w:next w:val="6"/>
    <w:link w:val="26"/>
    <w:qFormat/>
    <w:uiPriority w:val="0"/>
    <w:rPr>
      <w:b/>
      <w:bCs/>
    </w:rPr>
  </w:style>
  <w:style w:type="character" w:styleId="17">
    <w:name w:val="Strong"/>
    <w:basedOn w:val="16"/>
    <w:qFormat/>
    <w:uiPriority w:val="0"/>
    <w:rPr>
      <w:b/>
    </w:rPr>
  </w:style>
  <w:style w:type="character" w:styleId="18">
    <w:name w:val="page number"/>
    <w:qFormat/>
    <w:uiPriority w:val="0"/>
    <w:rPr>
      <w:rFonts w:ascii="等线" w:hAnsi="等线" w:eastAsia="等线" w:cs="Times New Roman"/>
    </w:rPr>
  </w:style>
  <w:style w:type="character" w:styleId="19">
    <w:name w:val="Hyperlink"/>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批注框文本 Char"/>
    <w:basedOn w:val="16"/>
    <w:link w:val="8"/>
    <w:qFormat/>
    <w:uiPriority w:val="0"/>
    <w:rPr>
      <w:kern w:val="2"/>
      <w:sz w:val="18"/>
      <w:szCs w:val="18"/>
    </w:rPr>
  </w:style>
  <w:style w:type="paragraph" w:customStyle="1" w:styleId="24">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5">
    <w:name w:val="批注文字 Char"/>
    <w:basedOn w:val="16"/>
    <w:link w:val="6"/>
    <w:qFormat/>
    <w:uiPriority w:val="0"/>
    <w:rPr>
      <w:kern w:val="2"/>
      <w:sz w:val="21"/>
      <w:szCs w:val="22"/>
    </w:rPr>
  </w:style>
  <w:style w:type="character" w:customStyle="1" w:styleId="26">
    <w:name w:val="批注主题 Char"/>
    <w:basedOn w:val="25"/>
    <w:link w:val="14"/>
    <w:qFormat/>
    <w:uiPriority w:val="0"/>
    <w:rPr>
      <w:kern w:val="2"/>
      <w:sz w:val="21"/>
      <w:szCs w:val="22"/>
    </w:rPr>
  </w:style>
  <w:style w:type="paragraph" w:customStyle="1" w:styleId="27">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28">
    <w:name w:val="修订3"/>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15251</Words>
  <Characters>15810</Characters>
  <Lines>117</Lines>
  <Paragraphs>33</Paragraphs>
  <TotalTime>1</TotalTime>
  <ScaleCrop>false</ScaleCrop>
  <LinksUpToDate>false</LinksUpToDate>
  <CharactersWithSpaces>16159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2025-06-16T06:27:00Z</dcterms:created>
  <dc:creator>Administrator</dc:creator>
  <cp:lastModifiedBy>Ryan小余哥</cp:lastModifiedBy>
  <cp:lastPrinted>2024-12-23T02:48:00Z</cp:lastPrinted>
  <dcterms:modified xsi:type="dcterms:W3CDTF">2025-08-14T09:10:20Z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03C2B49987824CA4B69F50FC0A637453_13</vt:lpwstr>
  </property>
  <property fmtid="{D5CDD505-2E9C-101B-9397-08002B2CF9AE}" pid="4" name="KSOTemplateDocerSaveRecord">
    <vt:lpwstr>eyJoZGlkIjoiMGU0NTQxYTNlZDU2MWE4MjM4ZWZkMzAzZDAyZGU1NzgiLCJ1c2VySWQiOiIzOTE3MDA3NDIifQ==</vt:lpwstr>
  </property>
</Properties>
</file>