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1EE2">
      <w:pPr>
        <w:pStyle w:val="2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0" w:name="_Toc300835220"/>
      <w:bookmarkStart w:id="1" w:name="_Toc885"/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附件一：</w:t>
      </w:r>
    </w:p>
    <w:p w14:paraId="6D6BDA0E">
      <w:pPr>
        <w:pStyle w:val="2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（二）价格清单</w:t>
      </w:r>
      <w:bookmarkEnd w:id="0"/>
      <w:bookmarkEnd w:id="1"/>
    </w:p>
    <w:p w14:paraId="15C8D159">
      <w:pPr>
        <w:spacing w:line="44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.1 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设计费清单</w:t>
      </w:r>
    </w:p>
    <w:p w14:paraId="3674241D">
      <w:pPr>
        <w:spacing w:line="360" w:lineRule="auto"/>
        <w:contextualSpacing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狮岭镇配水管道及附属设施建设工程施工图设计施工总承包设计费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报价表</w:t>
      </w:r>
    </w:p>
    <w:p w14:paraId="18895519">
      <w:pPr>
        <w:spacing w:line="44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</w:pPr>
    </w:p>
    <w:tbl>
      <w:tblPr>
        <w:tblStyle w:val="3"/>
        <w:tblW w:w="458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28"/>
        <w:gridCol w:w="1314"/>
        <w:gridCol w:w="1422"/>
        <w:gridCol w:w="1247"/>
      </w:tblGrid>
      <w:tr w14:paraId="17D4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63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8D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设计费最高投标限价（元）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</w:rPr>
              <w:t>报价（元）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设计费投标下浮率（%）</w:t>
            </w:r>
          </w:p>
        </w:tc>
      </w:tr>
      <w:tr w14:paraId="75B5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4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  <w:p w14:paraId="777E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highlight w:val="none"/>
                <w:lang w:bidi="ar"/>
              </w:rPr>
              <w:t>狮岭镇配水管道及附属设施建设工程施工图设计施工总承包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设计费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  <w:t>667624.68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51F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CF78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40DE87E1">
      <w:pPr>
        <w:spacing w:line="44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注：1.设计费投标下浮率=1-设计费报价/设计费最高投标限价，保留至小数点后2位。</w:t>
      </w:r>
    </w:p>
    <w:p w14:paraId="0D3C4933">
      <w:pPr>
        <w:spacing w:line="440" w:lineRule="exact"/>
        <w:ind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2.工程设计费参照国家发展计划委员会、建设部发布的《工程勘察设计收费管理规定》（计价格【2002】10号）规定的工程设计收费标准计算，在初步设计审批后，按审核的初步设计概算中的建筑安装工程费、设备与工器具购置费和联合试运转费之和、各系数以及设计费投标下浮率计算，其中，专业调整系数为1，复杂程度系数为1，附加调整系数为1，结算时，设计费调整系数不作调整。结算方式：设计费=工程设计收费基准价*专业调整系数*工程复杂程度调整系数*附加调整系数*0.6*（1-设计费投标下浮率）。</w:t>
      </w:r>
    </w:p>
    <w:p w14:paraId="073334A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2025-08-14T02:21:17Z</dcterms:created>
  <dc:creator>Administrator</dc:creator>
  <cp:lastModifiedBy>。。小棠</cp:lastModifiedBy>
  <dcterms:modified xsi:type="dcterms:W3CDTF">2025-08-14T02:21:20Z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eyJoZGlkIjoiNzE0YzU0NjZiOWU0NGJmYzcyOGZmODBlYmFhMDFjMWQiLCJ1c2VySWQiOiI5NDg2NzY5ODQifQ==</vt:lpwstr>
  </property>
  <property fmtid="{D5CDD505-2E9C-101B-9397-08002B2CF9AE}" pid="4" name="ICV">
    <vt:lpwstr>16B4C8CDD36C4DB489542580BD3C1E4B_12</vt:lpwstr>
  </property>
</Properties>
</file>