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DFFE3">
      <w:pPr>
        <w:snapToGrid w:val="0"/>
        <w:spacing w:line="360" w:lineRule="auto"/>
        <w:jc w:val="center"/>
        <w:outlineLvl w:val="1"/>
        <w:rPr>
          <w:rFonts w:ascii="黑体" w:hAnsi="Courier New"/>
          <w:b/>
          <w:sz w:val="48"/>
          <w:szCs w:val="48"/>
          <w:highlight w:val="none"/>
        </w:rPr>
      </w:pPr>
    </w:p>
    <w:p w14:paraId="0D2A3FB8">
      <w:pPr>
        <w:pStyle w:val="17"/>
        <w:snapToGrid w:val="0"/>
        <w:spacing w:line="360" w:lineRule="auto"/>
        <w:ind w:firstLineChars="0"/>
        <w:jc w:val="center"/>
        <w:rPr>
          <w:rFonts w:ascii="黑体" w:hAnsi="Courier New" w:eastAsia="宋体"/>
          <w:b/>
          <w:color w:val="auto"/>
          <w:sz w:val="48"/>
          <w:szCs w:val="48"/>
          <w:highlight w:val="none"/>
        </w:rPr>
      </w:pPr>
    </w:p>
    <w:p w14:paraId="2CDE3438">
      <w:pPr>
        <w:pStyle w:val="17"/>
        <w:snapToGrid w:val="0"/>
        <w:spacing w:line="360" w:lineRule="auto"/>
        <w:ind w:firstLineChars="0"/>
        <w:jc w:val="center"/>
        <w:rPr>
          <w:rFonts w:ascii="黑体" w:hAnsi="Courier New" w:eastAsia="宋体"/>
          <w:b/>
          <w:color w:val="auto"/>
          <w:sz w:val="48"/>
          <w:szCs w:val="48"/>
          <w:highlight w:val="none"/>
        </w:rPr>
      </w:pPr>
    </w:p>
    <w:p w14:paraId="14C8427D">
      <w:pPr>
        <w:snapToGrid w:val="0"/>
        <w:spacing w:line="360" w:lineRule="auto"/>
        <w:jc w:val="center"/>
        <w:outlineLvl w:val="1"/>
        <w:rPr>
          <w:rFonts w:eastAsia="黑体"/>
          <w:b/>
          <w:sz w:val="48"/>
          <w:szCs w:val="48"/>
          <w:highlight w:val="none"/>
        </w:rPr>
      </w:pPr>
      <w:r>
        <w:rPr>
          <w:rFonts w:hint="eastAsia" w:ascii="黑体" w:hAnsi="Courier New"/>
          <w:b/>
          <w:sz w:val="48"/>
          <w:szCs w:val="48"/>
          <w:highlight w:val="none"/>
        </w:rPr>
        <w:t>广州市白云区三元里村城中村改造项目启动区安置地块建设管理服务合同</w:t>
      </w:r>
    </w:p>
    <w:p w14:paraId="0E64CDCE">
      <w:pPr>
        <w:pStyle w:val="8"/>
        <w:tabs>
          <w:tab w:val="left" w:pos="2268"/>
        </w:tabs>
        <w:spacing w:before="312" w:beforeLines="100"/>
        <w:ind w:left="424" w:leftChars="202" w:firstLine="361"/>
        <w:jc w:val="center"/>
        <w:rPr>
          <w:rFonts w:hAnsi="宋体"/>
          <w:b/>
          <w:sz w:val="18"/>
          <w:szCs w:val="18"/>
          <w:highlight w:val="none"/>
        </w:rPr>
      </w:pPr>
    </w:p>
    <w:p w14:paraId="3F225FED">
      <w:pPr>
        <w:pStyle w:val="8"/>
        <w:tabs>
          <w:tab w:val="left" w:pos="2268"/>
        </w:tabs>
        <w:spacing w:before="312" w:beforeLines="100"/>
        <w:ind w:left="424" w:leftChars="202" w:firstLine="402"/>
        <w:jc w:val="left"/>
        <w:rPr>
          <w:rFonts w:hAnsi="宋体"/>
          <w:b/>
          <w:highlight w:val="none"/>
        </w:rPr>
      </w:pPr>
    </w:p>
    <w:p w14:paraId="6DCD0D1F">
      <w:pPr>
        <w:pStyle w:val="8"/>
        <w:snapToGrid w:val="0"/>
        <w:spacing w:line="360" w:lineRule="auto"/>
        <w:ind w:right="0" w:firstLine="161" w:firstLineChars="80"/>
        <w:rPr>
          <w:rFonts w:hAnsi="宋体"/>
          <w:b/>
          <w:sz w:val="28"/>
          <w:szCs w:val="28"/>
          <w:highlight w:val="none"/>
        </w:rPr>
      </w:pPr>
      <w:r>
        <w:rPr>
          <w:rFonts w:hint="eastAsia" w:hAnsi="宋体"/>
          <w:b/>
          <w:highlight w:val="none"/>
        </w:rPr>
        <w:t xml:space="preserve">  </w:t>
      </w:r>
    </w:p>
    <w:p w14:paraId="4152CF34">
      <w:pPr>
        <w:pStyle w:val="8"/>
        <w:snapToGrid w:val="0"/>
        <w:spacing w:line="360" w:lineRule="auto"/>
        <w:ind w:right="0"/>
        <w:rPr>
          <w:rFonts w:hAnsi="宋体"/>
          <w:sz w:val="28"/>
          <w:szCs w:val="28"/>
          <w:highlight w:val="none"/>
          <w:u w:val="single"/>
        </w:rPr>
      </w:pPr>
      <w:r>
        <w:rPr>
          <w:rFonts w:hint="eastAsia" w:hAnsi="宋体"/>
          <w:b/>
          <w:sz w:val="28"/>
          <w:szCs w:val="28"/>
          <w:highlight w:val="none"/>
        </w:rPr>
        <w:t>项目名称</w:t>
      </w:r>
      <w:r>
        <w:rPr>
          <w:rFonts w:hint="eastAsia" w:hAnsi="宋体"/>
          <w:sz w:val="28"/>
          <w:szCs w:val="28"/>
          <w:highlight w:val="none"/>
        </w:rPr>
        <w:t>：</w:t>
      </w:r>
      <w:r>
        <w:rPr>
          <w:rFonts w:hint="eastAsia"/>
          <w:sz w:val="28"/>
          <w:szCs w:val="28"/>
          <w:highlight w:val="none"/>
          <w:u w:val="single"/>
        </w:rPr>
        <w:t>广州市白云区三元里村城中村改造项目启动区安置地块</w:t>
      </w:r>
      <w:r>
        <w:rPr>
          <w:rFonts w:hint="eastAsia"/>
          <w:sz w:val="28"/>
          <w:szCs w:val="28"/>
          <w:highlight w:val="none"/>
          <w:u w:val="single"/>
          <w:lang w:val="en-US" w:eastAsia="zh-CN"/>
        </w:rPr>
        <w:t xml:space="preserve">    </w:t>
      </w:r>
      <w:r>
        <w:rPr>
          <w:rFonts w:hint="eastAsia" w:hAnsi="宋体"/>
          <w:sz w:val="28"/>
          <w:szCs w:val="28"/>
          <w:highlight w:val="none"/>
          <w:u w:val="single"/>
        </w:rPr>
        <w:t xml:space="preserve">                               </w:t>
      </w:r>
      <w:r>
        <w:rPr>
          <w:rFonts w:hAnsi="宋体"/>
          <w:sz w:val="28"/>
          <w:szCs w:val="28"/>
          <w:highlight w:val="none"/>
          <w:u w:val="single"/>
        </w:rPr>
        <w:t xml:space="preserve"> </w:t>
      </w:r>
      <w:r>
        <w:rPr>
          <w:rFonts w:hint="eastAsia" w:hAnsi="宋体"/>
          <w:sz w:val="28"/>
          <w:szCs w:val="28"/>
          <w:highlight w:val="none"/>
          <w:u w:val="single"/>
        </w:rPr>
        <w:t xml:space="preserve">                   </w:t>
      </w:r>
    </w:p>
    <w:p w14:paraId="4C983B81">
      <w:pPr>
        <w:pStyle w:val="8"/>
        <w:tabs>
          <w:tab w:val="left" w:pos="2268"/>
        </w:tabs>
        <w:ind w:firstLine="551" w:firstLineChars="196"/>
        <w:rPr>
          <w:rFonts w:hAnsi="宋体"/>
          <w:sz w:val="28"/>
          <w:szCs w:val="28"/>
          <w:highlight w:val="none"/>
        </w:rPr>
      </w:pPr>
      <w:r>
        <w:rPr>
          <w:rFonts w:hint="eastAsia" w:hAnsi="宋体"/>
          <w:b/>
          <w:sz w:val="28"/>
          <w:szCs w:val="28"/>
          <w:highlight w:val="none"/>
        </w:rPr>
        <w:t>项目地点</w:t>
      </w:r>
      <w:r>
        <w:rPr>
          <w:rFonts w:hint="eastAsia" w:hAnsi="宋体"/>
          <w:sz w:val="28"/>
          <w:szCs w:val="28"/>
          <w:highlight w:val="none"/>
        </w:rPr>
        <w:t>：</w:t>
      </w:r>
      <w:r>
        <w:rPr>
          <w:rFonts w:hint="eastAsia"/>
          <w:sz w:val="28"/>
          <w:szCs w:val="28"/>
          <w:highlight w:val="none"/>
          <w:u w:val="single"/>
        </w:rPr>
        <w:t xml:space="preserve">广州市白云区                                       </w:t>
      </w:r>
      <w:r>
        <w:rPr>
          <w:rFonts w:hint="eastAsia" w:hAnsi="宋体"/>
          <w:sz w:val="28"/>
          <w:szCs w:val="28"/>
          <w:highlight w:val="none"/>
          <w:u w:val="single"/>
        </w:rPr>
        <w:t xml:space="preserve">         </w:t>
      </w:r>
    </w:p>
    <w:p w14:paraId="2137F504">
      <w:pPr>
        <w:pStyle w:val="8"/>
        <w:tabs>
          <w:tab w:val="left" w:pos="2268"/>
        </w:tabs>
        <w:spacing w:before="312" w:beforeLines="100"/>
        <w:ind w:left="424" w:leftChars="202" w:firstLine="138" w:firstLineChars="49"/>
        <w:jc w:val="left"/>
        <w:rPr>
          <w:rFonts w:hAnsi="宋体"/>
          <w:sz w:val="28"/>
          <w:szCs w:val="28"/>
          <w:highlight w:val="none"/>
          <w:u w:val="single"/>
        </w:rPr>
      </w:pPr>
      <w:r>
        <w:rPr>
          <w:rFonts w:hint="eastAsia" w:hAnsi="宋体"/>
          <w:b/>
          <w:sz w:val="28"/>
          <w:szCs w:val="28"/>
          <w:highlight w:val="none"/>
        </w:rPr>
        <w:t>建设单位</w:t>
      </w:r>
      <w:r>
        <w:rPr>
          <w:rFonts w:hint="eastAsia" w:hAnsi="宋体"/>
          <w:sz w:val="28"/>
          <w:szCs w:val="28"/>
          <w:highlight w:val="none"/>
        </w:rPr>
        <w:t>：</w:t>
      </w:r>
      <w:r>
        <w:rPr>
          <w:rFonts w:hint="eastAsia" w:hAnsi="宋体"/>
          <w:sz w:val="28"/>
          <w:szCs w:val="28"/>
          <w:highlight w:val="none"/>
          <w:u w:val="single"/>
          <w:lang w:eastAsia="zh-CN"/>
        </w:rPr>
        <w:t>广州三元里片区改造投资有限公司</w:t>
      </w:r>
      <w:r>
        <w:rPr>
          <w:rFonts w:hint="eastAsia" w:hAnsi="宋体"/>
          <w:sz w:val="28"/>
          <w:szCs w:val="28"/>
          <w:highlight w:val="none"/>
          <w:u w:val="single"/>
        </w:rPr>
        <w:t xml:space="preserve">                         </w:t>
      </w:r>
      <w:r>
        <w:rPr>
          <w:rFonts w:hint="eastAsia" w:hAnsi="宋体"/>
          <w:b/>
          <w:sz w:val="28"/>
          <w:szCs w:val="28"/>
          <w:highlight w:val="none"/>
        </w:rPr>
        <w:t xml:space="preserve">           </w:t>
      </w:r>
    </w:p>
    <w:p w14:paraId="757CC356">
      <w:pPr>
        <w:pStyle w:val="8"/>
        <w:tabs>
          <w:tab w:val="left" w:pos="2268"/>
        </w:tabs>
        <w:ind w:firstLine="551" w:firstLineChars="196"/>
        <w:jc w:val="left"/>
        <w:rPr>
          <w:rFonts w:hAnsi="宋体"/>
          <w:sz w:val="28"/>
          <w:szCs w:val="28"/>
          <w:highlight w:val="none"/>
          <w:u w:val="single"/>
        </w:rPr>
      </w:pPr>
      <w:r>
        <w:rPr>
          <w:rFonts w:hint="eastAsia" w:hAnsi="宋体"/>
          <w:b/>
          <w:sz w:val="28"/>
          <w:szCs w:val="28"/>
          <w:highlight w:val="none"/>
        </w:rPr>
        <w:t>建设单位合同编号：</w:t>
      </w:r>
      <w:r>
        <w:rPr>
          <w:rFonts w:hint="eastAsia" w:hAnsi="宋体" w:cs="仿宋_GB2312"/>
          <w:sz w:val="28"/>
          <w:szCs w:val="28"/>
          <w:highlight w:val="none"/>
          <w:u w:val="single"/>
        </w:rPr>
        <w:t xml:space="preserve"> </w:t>
      </w:r>
      <w:r>
        <w:rPr>
          <w:rFonts w:hint="eastAsia" w:hAnsi="宋体"/>
          <w:b/>
          <w:sz w:val="28"/>
          <w:szCs w:val="28"/>
          <w:highlight w:val="none"/>
          <w:u w:val="single"/>
        </w:rPr>
        <w:t xml:space="preserve">                                          </w:t>
      </w:r>
    </w:p>
    <w:p w14:paraId="5CE2A3F0">
      <w:pPr>
        <w:pStyle w:val="8"/>
        <w:tabs>
          <w:tab w:val="left" w:pos="2268"/>
        </w:tabs>
        <w:spacing w:before="312" w:beforeLines="100"/>
        <w:ind w:firstLine="559" w:firstLineChars="199"/>
        <w:jc w:val="left"/>
        <w:rPr>
          <w:rFonts w:hAnsi="宋体"/>
          <w:sz w:val="28"/>
          <w:szCs w:val="28"/>
          <w:highlight w:val="none"/>
        </w:rPr>
      </w:pPr>
      <w:r>
        <w:rPr>
          <w:rFonts w:hint="eastAsia" w:hAnsi="宋体"/>
          <w:b/>
          <w:sz w:val="28"/>
          <w:szCs w:val="28"/>
          <w:highlight w:val="none"/>
        </w:rPr>
        <w:t>建设管理单位</w:t>
      </w:r>
      <w:r>
        <w:rPr>
          <w:rFonts w:hint="eastAsia" w:hAnsi="宋体"/>
          <w:sz w:val="28"/>
          <w:szCs w:val="28"/>
          <w:highlight w:val="none"/>
        </w:rPr>
        <w:t>：</w:t>
      </w:r>
      <w:r>
        <w:rPr>
          <w:rFonts w:hint="eastAsia" w:hAnsi="宋体"/>
          <w:sz w:val="28"/>
          <w:szCs w:val="28"/>
          <w:highlight w:val="none"/>
          <w:u w:val="single"/>
        </w:rPr>
        <w:t xml:space="preserve">          </w:t>
      </w:r>
      <w:r>
        <w:rPr>
          <w:rFonts w:hAnsi="宋体"/>
          <w:sz w:val="28"/>
          <w:szCs w:val="28"/>
          <w:highlight w:val="none"/>
          <w:u w:val="single"/>
        </w:rPr>
        <w:t xml:space="preserve">                                </w:t>
      </w:r>
      <w:r>
        <w:rPr>
          <w:rFonts w:hint="eastAsia" w:hAnsi="宋体"/>
          <w:sz w:val="28"/>
          <w:szCs w:val="28"/>
          <w:highlight w:val="none"/>
          <w:u w:val="single"/>
        </w:rPr>
        <w:t xml:space="preserve">     </w:t>
      </w:r>
    </w:p>
    <w:p w14:paraId="51F92F16">
      <w:pPr>
        <w:pStyle w:val="8"/>
        <w:tabs>
          <w:tab w:val="left" w:pos="2268"/>
        </w:tabs>
        <w:ind w:firstLine="559" w:firstLineChars="199"/>
        <w:jc w:val="left"/>
        <w:rPr>
          <w:rFonts w:hAnsi="宋体"/>
          <w:sz w:val="28"/>
          <w:szCs w:val="28"/>
          <w:highlight w:val="none"/>
        </w:rPr>
      </w:pPr>
      <w:r>
        <w:rPr>
          <w:rFonts w:hint="eastAsia" w:hAnsi="宋体"/>
          <w:b/>
          <w:sz w:val="28"/>
          <w:szCs w:val="28"/>
          <w:highlight w:val="none"/>
        </w:rPr>
        <w:t>建设管理单位合同编号</w:t>
      </w:r>
      <w:r>
        <w:rPr>
          <w:rFonts w:hint="eastAsia" w:hAnsi="宋体"/>
          <w:sz w:val="28"/>
          <w:szCs w:val="28"/>
          <w:highlight w:val="none"/>
        </w:rPr>
        <w:t>：</w:t>
      </w:r>
      <w:r>
        <w:rPr>
          <w:rFonts w:hint="eastAsia" w:hAnsi="宋体"/>
          <w:sz w:val="28"/>
          <w:szCs w:val="28"/>
          <w:highlight w:val="none"/>
          <w:u w:val="single"/>
        </w:rPr>
        <w:t xml:space="preserve">                                      </w:t>
      </w:r>
    </w:p>
    <w:p w14:paraId="382C8186">
      <w:pPr>
        <w:pStyle w:val="8"/>
        <w:tabs>
          <w:tab w:val="left" w:pos="2268"/>
        </w:tabs>
        <w:spacing w:before="312" w:beforeLines="100"/>
        <w:ind w:left="424" w:leftChars="202" w:firstLine="138" w:firstLineChars="49"/>
        <w:jc w:val="left"/>
        <w:rPr>
          <w:rFonts w:hAnsi="宋体"/>
          <w:sz w:val="28"/>
          <w:szCs w:val="28"/>
          <w:highlight w:val="none"/>
        </w:rPr>
      </w:pPr>
      <w:r>
        <w:rPr>
          <w:rFonts w:hint="eastAsia" w:hAnsi="宋体"/>
          <w:b/>
          <w:sz w:val="28"/>
          <w:szCs w:val="28"/>
          <w:highlight w:val="none"/>
        </w:rPr>
        <w:t>签订地点</w:t>
      </w:r>
      <w:r>
        <w:rPr>
          <w:rFonts w:hint="eastAsia" w:hAnsi="宋体"/>
          <w:sz w:val="28"/>
          <w:szCs w:val="28"/>
          <w:highlight w:val="none"/>
        </w:rPr>
        <w:t>：</w:t>
      </w:r>
      <w:r>
        <w:rPr>
          <w:rFonts w:hint="eastAsia" w:hAnsi="宋体"/>
          <w:sz w:val="28"/>
          <w:szCs w:val="28"/>
          <w:highlight w:val="none"/>
          <w:u w:val="single"/>
        </w:rPr>
        <w:t xml:space="preserve">广州市白云区                                 </w:t>
      </w:r>
    </w:p>
    <w:p w14:paraId="2399F44D">
      <w:pPr>
        <w:pStyle w:val="8"/>
        <w:tabs>
          <w:tab w:val="left" w:pos="2268"/>
        </w:tabs>
        <w:ind w:left="424" w:leftChars="202" w:firstLine="138" w:firstLineChars="49"/>
        <w:jc w:val="left"/>
        <w:rPr>
          <w:sz w:val="28"/>
          <w:szCs w:val="28"/>
          <w:highlight w:val="none"/>
        </w:rPr>
      </w:pPr>
      <w:r>
        <w:rPr>
          <w:rFonts w:hint="eastAsia" w:hAnsi="宋体"/>
          <w:b/>
          <w:sz w:val="28"/>
          <w:szCs w:val="28"/>
          <w:highlight w:val="none"/>
        </w:rPr>
        <w:t>签订日期</w:t>
      </w:r>
      <w:r>
        <w:rPr>
          <w:rFonts w:hint="eastAsia" w:hAnsi="宋体"/>
          <w:sz w:val="28"/>
          <w:szCs w:val="28"/>
          <w:highlight w:val="none"/>
        </w:rPr>
        <w:t>：</w:t>
      </w:r>
      <w:r>
        <w:rPr>
          <w:rFonts w:hint="eastAsia" w:hAnsi="宋体"/>
          <w:sz w:val="28"/>
          <w:szCs w:val="28"/>
          <w:highlight w:val="none"/>
          <w:u w:val="single"/>
        </w:rPr>
        <w:t xml:space="preserve">         年      月      日                      </w:t>
      </w:r>
    </w:p>
    <w:p w14:paraId="1EEF6ADB">
      <w:pPr>
        <w:pStyle w:val="8"/>
        <w:snapToGrid w:val="0"/>
        <w:spacing w:line="360" w:lineRule="auto"/>
        <w:ind w:right="84" w:rightChars="40" w:firstLine="386" w:firstLineChars="80"/>
        <w:jc w:val="center"/>
        <w:rPr>
          <w:rFonts w:hAnsi="宋体"/>
          <w:b/>
          <w:bCs/>
          <w:sz w:val="48"/>
          <w:szCs w:val="48"/>
          <w:highlight w:val="none"/>
        </w:rPr>
      </w:pPr>
    </w:p>
    <w:p w14:paraId="7F2A1E27">
      <w:pPr>
        <w:pStyle w:val="8"/>
        <w:tabs>
          <w:tab w:val="left" w:pos="0"/>
          <w:tab w:val="left" w:pos="6300"/>
        </w:tabs>
        <w:spacing w:line="360" w:lineRule="auto"/>
        <w:ind w:left="800" w:right="84" w:rightChars="40" w:firstLine="562" w:firstLineChars="281"/>
        <w:rPr>
          <w:rFonts w:ascii="仿宋_GB2312" w:eastAsia="仿宋_GB2312"/>
          <w:highlight w:val="none"/>
          <w:u w:val="single"/>
        </w:rPr>
        <w:sectPr>
          <w:footerReference r:id="rId5" w:type="first"/>
          <w:headerReference r:id="rId3" w:type="default"/>
          <w:footerReference r:id="rId4" w:type="default"/>
          <w:pgSz w:w="11906" w:h="16838"/>
          <w:pgMar w:top="1440" w:right="1417" w:bottom="1440" w:left="1417" w:header="851" w:footer="992" w:gutter="0"/>
          <w:pgNumType w:start="0"/>
          <w:cols w:space="720" w:num="1"/>
          <w:titlePg/>
          <w:docGrid w:type="lines" w:linePitch="312" w:charSpace="0"/>
        </w:sectPr>
      </w:pPr>
    </w:p>
    <w:p w14:paraId="647C3B94">
      <w:pPr>
        <w:pStyle w:val="14"/>
        <w:adjustRightInd w:val="0"/>
        <w:snapToGrid w:val="0"/>
        <w:spacing w:line="360" w:lineRule="auto"/>
        <w:jc w:val="center"/>
        <w:rPr>
          <w:rFonts w:ascii="宋体" w:hAnsi="宋体" w:cs="宋体"/>
          <w:b/>
          <w:sz w:val="28"/>
          <w:szCs w:val="28"/>
          <w:highlight w:val="none"/>
        </w:rPr>
      </w:pPr>
      <w:bookmarkStart w:id="0" w:name="_Toc489236592"/>
      <w:bookmarkStart w:id="1" w:name="_Toc489865840"/>
      <w:r>
        <w:rPr>
          <w:rFonts w:hint="eastAsia" w:ascii="宋体" w:hAnsi="宋体" w:cs="宋体"/>
          <w:b/>
          <w:sz w:val="28"/>
          <w:szCs w:val="28"/>
          <w:highlight w:val="none"/>
        </w:rPr>
        <w:t>第一部分 协 议 书</w:t>
      </w:r>
      <w:bookmarkEnd w:id="0"/>
      <w:bookmarkEnd w:id="1"/>
    </w:p>
    <w:p w14:paraId="52DE785F">
      <w:pPr>
        <w:adjustRightInd w:val="0"/>
        <w:snapToGrid w:val="0"/>
        <w:spacing w:line="360" w:lineRule="auto"/>
        <w:ind w:firstLine="482" w:firstLineChars="200"/>
        <w:rPr>
          <w:rFonts w:ascii="宋体" w:hAnsi="宋体" w:cs="仿宋_GB2312"/>
          <w:b/>
          <w:sz w:val="24"/>
          <w:szCs w:val="24"/>
          <w:highlight w:val="none"/>
        </w:rPr>
      </w:pPr>
    </w:p>
    <w:p w14:paraId="30640EDF">
      <w:pPr>
        <w:adjustRightInd w:val="0"/>
        <w:snapToGrid w:val="0"/>
        <w:spacing w:line="360" w:lineRule="auto"/>
        <w:ind w:firstLine="482" w:firstLineChars="200"/>
        <w:rPr>
          <w:rFonts w:ascii="宋体" w:hAnsi="宋体"/>
          <w:b/>
          <w:sz w:val="24"/>
          <w:szCs w:val="24"/>
          <w:highlight w:val="none"/>
          <w:u w:val="single"/>
        </w:rPr>
      </w:pPr>
      <w:r>
        <w:rPr>
          <w:rFonts w:hint="eastAsia" w:ascii="宋体" w:hAnsi="宋体" w:cs="仿宋_GB2312"/>
          <w:b/>
          <w:sz w:val="24"/>
          <w:szCs w:val="24"/>
          <w:highlight w:val="none"/>
        </w:rPr>
        <w:t>建设单位（甲方）：</w:t>
      </w:r>
      <w:r>
        <w:rPr>
          <w:rFonts w:hint="eastAsia" w:ascii="宋体" w:hAnsi="宋体" w:cs="仿宋_GB2312"/>
          <w:b/>
          <w:sz w:val="24"/>
          <w:szCs w:val="24"/>
          <w:highlight w:val="none"/>
          <w:u w:val="single"/>
          <w:lang w:eastAsia="zh-CN"/>
        </w:rPr>
        <w:t>广州三元里片区改造投资有限公司</w:t>
      </w:r>
      <w:r>
        <w:rPr>
          <w:rFonts w:hint="eastAsia" w:ascii="宋体" w:hAnsi="宋体" w:cs="仿宋_GB2312"/>
          <w:b/>
          <w:sz w:val="24"/>
          <w:szCs w:val="24"/>
          <w:highlight w:val="none"/>
          <w:u w:val="single"/>
        </w:rPr>
        <w:t xml:space="preserve">                  </w:t>
      </w:r>
    </w:p>
    <w:p w14:paraId="62062667">
      <w:pPr>
        <w:adjustRightInd w:val="0"/>
        <w:snapToGrid w:val="0"/>
        <w:spacing w:line="360" w:lineRule="auto"/>
        <w:ind w:firstLine="482" w:firstLineChars="200"/>
        <w:rPr>
          <w:rFonts w:ascii="宋体" w:hAnsi="宋体" w:cs="仿宋_GB2312"/>
          <w:b/>
          <w:sz w:val="24"/>
          <w:szCs w:val="24"/>
          <w:highlight w:val="none"/>
          <w:u w:val="single"/>
        </w:rPr>
      </w:pPr>
      <w:r>
        <w:rPr>
          <w:rFonts w:hint="eastAsia" w:ascii="宋体" w:hAnsi="宋体" w:cs="仿宋_GB2312"/>
          <w:b/>
          <w:sz w:val="24"/>
          <w:szCs w:val="24"/>
          <w:highlight w:val="none"/>
        </w:rPr>
        <w:t>地址：</w:t>
      </w:r>
      <w:r>
        <w:rPr>
          <w:rFonts w:hint="eastAsia" w:ascii="宋体" w:hAnsi="宋体" w:cs="仿宋_GB2312"/>
          <w:b/>
          <w:sz w:val="24"/>
          <w:szCs w:val="24"/>
          <w:highlight w:val="none"/>
          <w:u w:val="single"/>
        </w:rPr>
        <w:t xml:space="preserve">  </w:t>
      </w:r>
      <w:r>
        <w:rPr>
          <w:rFonts w:ascii="宋体" w:hAnsi="宋体" w:cs="仿宋_GB2312"/>
          <w:b/>
          <w:sz w:val="24"/>
          <w:szCs w:val="24"/>
          <w:highlight w:val="none"/>
          <w:u w:val="single"/>
        </w:rPr>
        <w:t xml:space="preserve">                </w:t>
      </w:r>
      <w:r>
        <w:rPr>
          <w:rFonts w:hint="eastAsia" w:ascii="宋体" w:hAnsi="宋体" w:cs="仿宋_GB2312"/>
          <w:b/>
          <w:sz w:val="24"/>
          <w:szCs w:val="24"/>
          <w:highlight w:val="none"/>
          <w:u w:val="single"/>
        </w:rPr>
        <w:t xml:space="preserve">  </w:t>
      </w:r>
      <w:r>
        <w:rPr>
          <w:rFonts w:ascii="宋体" w:hAnsi="宋体" w:cs="仿宋_GB2312"/>
          <w:b/>
          <w:sz w:val="24"/>
          <w:szCs w:val="24"/>
          <w:highlight w:val="none"/>
          <w:u w:val="single"/>
        </w:rPr>
        <w:t xml:space="preserve">                             </w:t>
      </w:r>
      <w:r>
        <w:rPr>
          <w:rFonts w:hint="eastAsia" w:ascii="宋体" w:hAnsi="宋体" w:cs="仿宋_GB2312"/>
          <w:b/>
          <w:sz w:val="24"/>
          <w:szCs w:val="24"/>
          <w:highlight w:val="none"/>
          <w:u w:val="single"/>
        </w:rPr>
        <w:t xml:space="preserve">     </w:t>
      </w:r>
      <w:r>
        <w:rPr>
          <w:rFonts w:ascii="宋体" w:hAnsi="宋体" w:cs="仿宋_GB2312"/>
          <w:b/>
          <w:sz w:val="24"/>
          <w:szCs w:val="24"/>
          <w:highlight w:val="none"/>
          <w:u w:val="single"/>
        </w:rPr>
        <w:t xml:space="preserve"> </w:t>
      </w:r>
      <w:r>
        <w:rPr>
          <w:rFonts w:hint="eastAsia" w:ascii="宋体" w:hAnsi="宋体" w:cs="仿宋_GB2312"/>
          <w:b/>
          <w:sz w:val="24"/>
          <w:szCs w:val="24"/>
          <w:highlight w:val="none"/>
          <w:u w:val="single"/>
        </w:rPr>
        <w:t xml:space="preserve"> </w:t>
      </w:r>
    </w:p>
    <w:p w14:paraId="5ED02108">
      <w:pPr>
        <w:adjustRightInd w:val="0"/>
        <w:snapToGrid w:val="0"/>
        <w:spacing w:before="156" w:beforeLines="50" w:line="360" w:lineRule="auto"/>
        <w:ind w:firstLine="482" w:firstLineChars="200"/>
        <w:rPr>
          <w:rFonts w:ascii="宋体" w:hAnsi="宋体"/>
          <w:b/>
          <w:sz w:val="24"/>
          <w:szCs w:val="24"/>
          <w:highlight w:val="none"/>
        </w:rPr>
      </w:pPr>
      <w:r>
        <w:rPr>
          <w:rFonts w:hint="eastAsia" w:ascii="宋体" w:hAnsi="宋体" w:cs="仿宋_GB2312"/>
          <w:b/>
          <w:sz w:val="24"/>
          <w:szCs w:val="24"/>
          <w:highlight w:val="none"/>
        </w:rPr>
        <w:t>建设管理单位（乙方）：</w:t>
      </w:r>
      <w:r>
        <w:rPr>
          <w:rFonts w:hint="eastAsia" w:ascii="宋体" w:hAnsi="宋体" w:cs="仿宋_GB2312"/>
          <w:b/>
          <w:sz w:val="24"/>
          <w:szCs w:val="24"/>
          <w:highlight w:val="none"/>
          <w:u w:val="single"/>
        </w:rPr>
        <w:t xml:space="preserve">                </w:t>
      </w:r>
      <w:r>
        <w:rPr>
          <w:rFonts w:ascii="宋体" w:hAnsi="宋体" w:cs="仿宋_GB2312"/>
          <w:b/>
          <w:sz w:val="24"/>
          <w:szCs w:val="24"/>
          <w:highlight w:val="none"/>
          <w:u w:val="single"/>
        </w:rPr>
        <w:t xml:space="preserve">                     </w:t>
      </w:r>
      <w:r>
        <w:rPr>
          <w:rFonts w:hint="eastAsia" w:ascii="宋体" w:hAnsi="宋体" w:cs="仿宋_GB2312"/>
          <w:b/>
          <w:sz w:val="24"/>
          <w:szCs w:val="24"/>
          <w:highlight w:val="none"/>
          <w:u w:val="single"/>
        </w:rPr>
        <w:t xml:space="preserve">           </w:t>
      </w:r>
    </w:p>
    <w:p w14:paraId="23EA348E">
      <w:pPr>
        <w:adjustRightInd w:val="0"/>
        <w:snapToGrid w:val="0"/>
        <w:spacing w:after="156" w:afterLines="50" w:line="360" w:lineRule="auto"/>
        <w:ind w:firstLine="482" w:firstLineChars="200"/>
        <w:rPr>
          <w:rFonts w:ascii="宋体" w:hAnsi="宋体"/>
          <w:b/>
          <w:sz w:val="24"/>
          <w:szCs w:val="24"/>
          <w:highlight w:val="none"/>
        </w:rPr>
      </w:pPr>
      <w:r>
        <w:rPr>
          <w:rFonts w:hint="eastAsia" w:ascii="宋体" w:hAnsi="宋体" w:cs="仿宋_GB2312"/>
          <w:b/>
          <w:sz w:val="24"/>
          <w:szCs w:val="24"/>
          <w:highlight w:val="none"/>
        </w:rPr>
        <w:t>地址：</w:t>
      </w:r>
      <w:r>
        <w:rPr>
          <w:rFonts w:ascii="宋体" w:hAnsi="宋体" w:cs="仿宋_GB2312"/>
          <w:b/>
          <w:sz w:val="24"/>
          <w:szCs w:val="24"/>
          <w:highlight w:val="none"/>
          <w:u w:val="single"/>
        </w:rPr>
        <w:t xml:space="preserve">                       </w:t>
      </w:r>
      <w:r>
        <w:rPr>
          <w:rFonts w:hint="eastAsia" w:ascii="宋体" w:hAnsi="宋体" w:cs="仿宋_GB2312"/>
          <w:b/>
          <w:sz w:val="24"/>
          <w:szCs w:val="24"/>
          <w:highlight w:val="none"/>
          <w:u w:val="single"/>
        </w:rPr>
        <w:t xml:space="preserve">                                         </w:t>
      </w:r>
    </w:p>
    <w:p w14:paraId="122E9F0B">
      <w:pPr>
        <w:widowControl/>
        <w:spacing w:before="100" w:beforeAutospacing="1" w:after="100" w:afterAutospacing="1" w:line="360" w:lineRule="auto"/>
        <w:ind w:firstLine="480" w:firstLineChars="200"/>
        <w:rPr>
          <w:rFonts w:ascii="宋体" w:hAnsi="宋体" w:cs="仿宋_GB2312"/>
          <w:bCs/>
          <w:sz w:val="24"/>
          <w:szCs w:val="24"/>
          <w:highlight w:val="none"/>
        </w:rPr>
      </w:pPr>
      <w:r>
        <w:rPr>
          <w:rFonts w:hint="eastAsia" w:ascii="宋体" w:hAnsi="宋体" w:cs="仿宋_GB2312"/>
          <w:bCs/>
          <w:sz w:val="24"/>
          <w:szCs w:val="24"/>
          <w:highlight w:val="none"/>
        </w:rPr>
        <w:t>根据《中华人民共和国民法典》、广东省人民政府关于印发《广东省政府投资省属非经营性项目建设管理办法》的通知（粤府〔2022〕12号）、财政部关于印发《基本建设项目建设成本管理规定》的通知（财建〔2016〕504号）及其它有关法律法规和规范性文件，为明确双方的权利和义务，保证项目建设顺利实施，经双方协商一致同意，签订本建设管理合同，共同遵守。</w:t>
      </w:r>
    </w:p>
    <w:p w14:paraId="12CE9AA0">
      <w:pPr>
        <w:numPr>
          <w:ilvl w:val="0"/>
          <w:numId w:val="2"/>
        </w:numPr>
        <w:tabs>
          <w:tab w:val="left" w:pos="0"/>
        </w:tabs>
        <w:adjustRightInd w:val="0"/>
        <w:snapToGrid w:val="0"/>
        <w:spacing w:line="360" w:lineRule="auto"/>
        <w:ind w:left="3960" w:hanging="3960"/>
        <w:jc w:val="center"/>
        <w:rPr>
          <w:rFonts w:ascii="宋体" w:hAnsi="宋体"/>
          <w:b/>
          <w:bCs/>
          <w:sz w:val="24"/>
          <w:szCs w:val="24"/>
          <w:highlight w:val="none"/>
        </w:rPr>
      </w:pPr>
      <w:r>
        <w:rPr>
          <w:rFonts w:hint="eastAsia" w:ascii="宋体" w:hAnsi="宋体" w:cs="仿宋_GB2312"/>
          <w:b/>
          <w:bCs/>
          <w:sz w:val="24"/>
          <w:szCs w:val="24"/>
          <w:highlight w:val="none"/>
        </w:rPr>
        <w:t>工作内容</w:t>
      </w:r>
    </w:p>
    <w:p w14:paraId="627B4AB6">
      <w:pPr>
        <w:pStyle w:val="8"/>
        <w:snapToGrid w:val="0"/>
        <w:spacing w:line="360" w:lineRule="auto"/>
        <w:ind w:left="2159" w:leftChars="228" w:right="-198" w:hanging="1680" w:hangingChars="700"/>
        <w:jc w:val="left"/>
        <w:rPr>
          <w:rFonts w:hint="eastAsia" w:ascii="宋体" w:hAnsi="宋体" w:eastAsia="宋体" w:cs="仿宋_GB2312"/>
          <w:bCs/>
          <w:sz w:val="24"/>
          <w:szCs w:val="24"/>
          <w:highlight w:val="none"/>
          <w:u w:val="single"/>
          <w:lang w:eastAsia="zh-CN"/>
        </w:rPr>
      </w:pPr>
      <w:r>
        <w:rPr>
          <w:rFonts w:hint="eastAsia" w:ascii="宋体" w:hAnsi="宋体" w:cs="仿宋_GB2312"/>
          <w:bCs/>
          <w:sz w:val="24"/>
          <w:szCs w:val="24"/>
          <w:highlight w:val="none"/>
        </w:rPr>
        <w:t>1.1</w:t>
      </w:r>
      <w:r>
        <w:rPr>
          <w:rFonts w:hint="eastAsia" w:ascii="宋体" w:hAnsi="宋体" w:eastAsia="宋体" w:cs="仿宋_GB2312"/>
          <w:bCs/>
          <w:sz w:val="24"/>
          <w:szCs w:val="24"/>
          <w:highlight w:val="none"/>
        </w:rPr>
        <w:t>.项目名称</w:t>
      </w:r>
      <w:r>
        <w:rPr>
          <w:rFonts w:hint="eastAsia" w:ascii="宋体" w:hAnsi="宋体" w:cs="仿宋_GB2312"/>
          <w:bCs/>
          <w:sz w:val="24"/>
          <w:szCs w:val="24"/>
          <w:highlight w:val="none"/>
        </w:rPr>
        <w:t>：</w:t>
      </w:r>
      <w:r>
        <w:rPr>
          <w:rFonts w:hint="eastAsia" w:ascii="宋体" w:hAnsi="宋体" w:eastAsia="宋体" w:cs="仿宋_GB2312"/>
          <w:bCs/>
          <w:sz w:val="24"/>
          <w:szCs w:val="24"/>
          <w:highlight w:val="none"/>
          <w:u w:val="single"/>
        </w:rPr>
        <w:t>广州市白云区三元里村城中村改造项目启动区安置地块建设管理服务</w:t>
      </w:r>
      <w:r>
        <w:rPr>
          <w:rFonts w:hint="eastAsia" w:ascii="宋体" w:hAnsi="宋体" w:eastAsia="宋体" w:cs="仿宋_GB2312"/>
          <w:bCs/>
          <w:sz w:val="24"/>
          <w:szCs w:val="24"/>
          <w:highlight w:val="none"/>
          <w:u w:val="single"/>
          <w:lang w:val="en-US" w:eastAsia="zh-CN"/>
        </w:rPr>
        <w:t xml:space="preserve"> </w:t>
      </w:r>
    </w:p>
    <w:p w14:paraId="1ACBF1B2">
      <w:pPr>
        <w:widowControl/>
        <w:spacing w:line="360" w:lineRule="auto"/>
        <w:ind w:firstLine="480" w:firstLineChars="200"/>
        <w:jc w:val="left"/>
        <w:rPr>
          <w:rFonts w:ascii="宋体" w:hAnsi="宋体" w:cs="仿宋_GB2312"/>
          <w:bCs/>
          <w:kern w:val="0"/>
          <w:sz w:val="24"/>
          <w:szCs w:val="24"/>
          <w:highlight w:val="none"/>
        </w:rPr>
      </w:pPr>
      <w:r>
        <w:rPr>
          <w:rFonts w:hint="eastAsia" w:ascii="宋体" w:hAnsi="宋体" w:cs="仿宋_GB2312"/>
          <w:bCs/>
          <w:kern w:val="0"/>
          <w:sz w:val="24"/>
          <w:szCs w:val="24"/>
          <w:highlight w:val="none"/>
        </w:rPr>
        <w:t>1.2.项目地点：</w:t>
      </w:r>
      <w:r>
        <w:rPr>
          <w:rFonts w:hint="eastAsia" w:ascii="宋体" w:hAnsi="宋体" w:cs="仿宋_GB2312"/>
          <w:bCs/>
          <w:kern w:val="0"/>
          <w:sz w:val="24"/>
          <w:szCs w:val="24"/>
          <w:highlight w:val="none"/>
          <w:u w:val="single"/>
        </w:rPr>
        <w:t>广州市白云区。</w:t>
      </w:r>
    </w:p>
    <w:p w14:paraId="6AA9E969">
      <w:pPr>
        <w:widowControl/>
        <w:spacing w:line="360" w:lineRule="auto"/>
        <w:ind w:firstLine="480" w:firstLineChars="200"/>
        <w:jc w:val="left"/>
        <w:rPr>
          <w:rFonts w:hint="eastAsia" w:ascii="宋体" w:hAnsi="宋体" w:cs="仿宋_GB2312"/>
          <w:bCs/>
          <w:kern w:val="0"/>
          <w:sz w:val="24"/>
          <w:szCs w:val="24"/>
          <w:highlight w:val="none"/>
        </w:rPr>
      </w:pPr>
      <w:r>
        <w:rPr>
          <w:rFonts w:hint="eastAsia" w:ascii="宋体" w:hAnsi="宋体" w:cs="仿宋_GB2312"/>
          <w:bCs/>
          <w:kern w:val="0"/>
          <w:sz w:val="24"/>
          <w:szCs w:val="24"/>
          <w:highlight w:val="none"/>
        </w:rPr>
        <w:t>1.3.项目规模及建设内容：</w:t>
      </w:r>
    </w:p>
    <w:p w14:paraId="2E99ADFD">
      <w:pPr>
        <w:widowControl/>
        <w:spacing w:line="360" w:lineRule="auto"/>
        <w:ind w:firstLine="480" w:firstLineChars="200"/>
        <w:jc w:val="left"/>
        <w:rPr>
          <w:rFonts w:hint="eastAsia" w:ascii="宋体" w:hAnsi="宋体" w:cs="仿宋_GB2312"/>
          <w:bCs/>
          <w:kern w:val="0"/>
          <w:sz w:val="24"/>
          <w:szCs w:val="24"/>
          <w:highlight w:val="none"/>
          <w:u w:val="single"/>
        </w:rPr>
      </w:pPr>
      <w:r>
        <w:rPr>
          <w:rFonts w:hint="eastAsia" w:ascii="宋体" w:hAnsi="宋体" w:cs="仿宋_GB2312"/>
          <w:bCs/>
          <w:kern w:val="0"/>
          <w:sz w:val="24"/>
          <w:szCs w:val="24"/>
          <w:highlight w:val="none"/>
          <w:u w:val="single"/>
        </w:rPr>
        <w:t>(一)安置房方面：三元里AB2912067、AB2912076地块 (兴发三、四期地块), 用地面积约 31282平方米， 其中可建设用地 面积约21849平方米， 建设总建 筑面积约116348.21平方米，其中住宅约38209.26平方米，商业约38698.75平方米，配套公共服务设施约4593平方米，地上不计容面积约3800平方米，地下不计容面积约 31047.2 平方米</w:t>
      </w:r>
    </w:p>
    <w:p w14:paraId="09C31D57">
      <w:pPr>
        <w:widowControl/>
        <w:spacing w:line="360" w:lineRule="auto"/>
        <w:ind w:firstLine="480" w:firstLineChars="200"/>
        <w:jc w:val="left"/>
        <w:rPr>
          <w:rFonts w:hint="eastAsia" w:ascii="宋体" w:hAnsi="宋体" w:cs="仿宋_GB2312"/>
          <w:bCs/>
          <w:kern w:val="0"/>
          <w:sz w:val="24"/>
          <w:szCs w:val="24"/>
          <w:highlight w:val="none"/>
          <w:u w:val="single"/>
        </w:rPr>
      </w:pPr>
      <w:r>
        <w:rPr>
          <w:rFonts w:hint="eastAsia" w:ascii="宋体" w:hAnsi="宋体" w:cs="仿宋_GB2312"/>
          <w:bCs/>
          <w:kern w:val="0"/>
          <w:sz w:val="24"/>
          <w:szCs w:val="24"/>
          <w:highlight w:val="none"/>
          <w:u w:val="single"/>
        </w:rPr>
        <w:t>(二) 市政道路方面：包括新建兴发西路，长约197.32米，红线宽度20 米； 扩建红线范围内机场路，长约132米，宽约8.5米；改造扩宽兴泰路，长约206.63米，红线宽度26米，并建设景泰涌西南市政绿地等。</w:t>
      </w:r>
    </w:p>
    <w:p w14:paraId="68C4C9A1">
      <w:pPr>
        <w:widowControl/>
        <w:spacing w:line="360" w:lineRule="auto"/>
        <w:ind w:firstLine="480" w:firstLineChars="200"/>
        <w:jc w:val="left"/>
        <w:rPr>
          <w:rFonts w:hint="eastAsia" w:ascii="宋体" w:hAnsi="宋体" w:cs="仿宋_GB2312"/>
          <w:bCs/>
          <w:kern w:val="0"/>
          <w:sz w:val="24"/>
          <w:szCs w:val="24"/>
          <w:highlight w:val="none"/>
          <w:u w:val="single"/>
        </w:rPr>
      </w:pPr>
      <w:r>
        <w:rPr>
          <w:rFonts w:hint="eastAsia" w:ascii="宋体" w:hAnsi="宋体" w:cs="仿宋_GB2312"/>
          <w:bCs/>
          <w:kern w:val="0"/>
          <w:sz w:val="24"/>
          <w:szCs w:val="24"/>
          <w:highlight w:val="none"/>
          <w:u w:val="single"/>
        </w:rPr>
        <w:t>(三 )水利工程方面：改造景泰涌河涌长约245米。（最终建设规模以相关批复文件为准）</w:t>
      </w:r>
    </w:p>
    <w:p w14:paraId="3D3076C5">
      <w:pPr>
        <w:pStyle w:val="25"/>
        <w:ind w:firstLine="480"/>
        <w:rPr>
          <w:rFonts w:hint="eastAsia" w:ascii="宋体" w:hAnsi="宋体" w:eastAsia="宋体" w:cs="仿宋_GB2312"/>
          <w:bCs/>
          <w:sz w:val="24"/>
          <w:szCs w:val="24"/>
          <w:highlight w:val="none"/>
          <w:u w:val="single"/>
        </w:rPr>
      </w:pPr>
      <w:r>
        <w:rPr>
          <w:rFonts w:hint="eastAsia" w:ascii="宋体" w:hAnsi="宋体" w:eastAsia="宋体" w:cs="仿宋_GB2312"/>
          <w:bCs/>
          <w:sz w:val="24"/>
          <w:szCs w:val="24"/>
          <w:highlight w:val="none"/>
        </w:rPr>
        <w:t>1</w:t>
      </w:r>
      <w:r>
        <w:rPr>
          <w:rFonts w:ascii="宋体" w:hAnsi="宋体" w:eastAsia="宋体" w:cs="仿宋_GB2312"/>
          <w:bCs/>
          <w:sz w:val="24"/>
          <w:szCs w:val="24"/>
          <w:highlight w:val="none"/>
        </w:rPr>
        <w:t>.4.</w:t>
      </w:r>
      <w:r>
        <w:rPr>
          <w:rFonts w:hint="eastAsia" w:ascii="宋体" w:hAnsi="宋体" w:eastAsia="宋体" w:cs="仿宋_GB2312"/>
          <w:bCs/>
          <w:sz w:val="24"/>
          <w:szCs w:val="24"/>
          <w:highlight w:val="none"/>
        </w:rPr>
        <w:t>项目总投资（估算投资）：</w:t>
      </w:r>
      <w:r>
        <w:rPr>
          <w:rFonts w:hint="eastAsia" w:ascii="宋体" w:hAnsi="宋体" w:eastAsia="宋体" w:cs="仿宋_GB2312"/>
          <w:bCs/>
          <w:sz w:val="24"/>
          <w:szCs w:val="24"/>
          <w:highlight w:val="none"/>
          <w:u w:val="single"/>
        </w:rPr>
        <w:t>本项目总投资为 127853.32万元，其中工程费用63385.46万元。</w:t>
      </w:r>
    </w:p>
    <w:p w14:paraId="4F1FB379">
      <w:pPr>
        <w:pStyle w:val="25"/>
        <w:ind w:firstLine="480"/>
        <w:rPr>
          <w:rFonts w:ascii="宋体" w:hAnsi="宋体" w:eastAsia="宋体" w:cs="仿宋_GB2312"/>
          <w:bCs/>
          <w:sz w:val="24"/>
          <w:szCs w:val="24"/>
          <w:highlight w:val="none"/>
        </w:rPr>
      </w:pPr>
      <w:r>
        <w:rPr>
          <w:rFonts w:hint="eastAsia" w:ascii="宋体" w:hAnsi="宋体" w:eastAsia="宋体" w:cs="仿宋_GB2312"/>
          <w:bCs/>
          <w:sz w:val="24"/>
          <w:szCs w:val="24"/>
          <w:highlight w:val="none"/>
        </w:rPr>
        <w:t>1</w:t>
      </w:r>
      <w:r>
        <w:rPr>
          <w:rFonts w:ascii="宋体" w:hAnsi="宋体" w:eastAsia="宋体" w:cs="仿宋_GB2312"/>
          <w:bCs/>
          <w:sz w:val="24"/>
          <w:szCs w:val="24"/>
          <w:highlight w:val="none"/>
        </w:rPr>
        <w:t>.5.</w:t>
      </w:r>
      <w:r>
        <w:rPr>
          <w:rFonts w:hint="eastAsia" w:ascii="宋体" w:hAnsi="宋体" w:eastAsia="宋体" w:cs="仿宋_GB2312"/>
          <w:bCs/>
          <w:sz w:val="24"/>
          <w:szCs w:val="24"/>
          <w:highlight w:val="none"/>
        </w:rPr>
        <w:t>资金来源：</w:t>
      </w:r>
      <w:r>
        <w:rPr>
          <w:rFonts w:hint="eastAsia" w:ascii="宋体" w:hAnsi="宋体" w:eastAsia="宋体" w:cs="仿宋_GB2312"/>
          <w:bCs/>
          <w:sz w:val="24"/>
          <w:szCs w:val="24"/>
          <w:highlight w:val="none"/>
          <w:u w:val="single"/>
        </w:rPr>
        <w:t>本项目资金来源于专项债资金(不高于总投资的20%)、专项借款、企业自有资金。</w:t>
      </w:r>
    </w:p>
    <w:p w14:paraId="1ED18864">
      <w:pPr>
        <w:spacing w:line="360" w:lineRule="auto"/>
        <w:ind w:firstLine="480" w:firstLineChars="200"/>
        <w:rPr>
          <w:rFonts w:hint="default" w:ascii="宋体" w:hAnsi="宋体" w:eastAsia="宋体" w:cs="仿宋_GB2312"/>
          <w:bCs/>
          <w:kern w:val="0"/>
          <w:sz w:val="24"/>
          <w:szCs w:val="24"/>
          <w:highlight w:val="none"/>
          <w:lang w:val="en-US" w:eastAsia="zh-CN"/>
        </w:rPr>
      </w:pPr>
      <w:r>
        <w:rPr>
          <w:rFonts w:hint="eastAsia" w:ascii="宋体" w:hAnsi="宋体" w:cs="仿宋_GB2312"/>
          <w:bCs/>
          <w:kern w:val="0"/>
          <w:sz w:val="24"/>
          <w:szCs w:val="24"/>
          <w:highlight w:val="none"/>
        </w:rPr>
        <w:t>1.6.项目建设工期：</w:t>
      </w:r>
      <w:r>
        <w:rPr>
          <w:rFonts w:hint="eastAsia" w:ascii="宋体" w:hAnsi="宋体" w:cs="仿宋_GB2312"/>
          <w:bCs/>
          <w:kern w:val="0"/>
          <w:sz w:val="24"/>
          <w:szCs w:val="24"/>
          <w:highlight w:val="none"/>
          <w:lang w:val="en-US" w:eastAsia="zh-CN"/>
        </w:rPr>
        <w:t>房建工程</w:t>
      </w:r>
      <w:r>
        <w:rPr>
          <w:rFonts w:hint="eastAsia" w:ascii="宋体" w:hAnsi="宋体" w:cs="仿宋_GB2312"/>
          <w:sz w:val="24"/>
          <w:szCs w:val="24"/>
          <w:highlight w:val="none"/>
          <w:u w:val="single"/>
          <w:lang w:val="en-US" w:eastAsia="zh-CN"/>
        </w:rPr>
        <w:t>600</w:t>
      </w:r>
      <w:r>
        <w:rPr>
          <w:rFonts w:hint="eastAsia" w:ascii="宋体" w:hAnsi="宋体" w:cs="仿宋_GB2312"/>
          <w:sz w:val="24"/>
          <w:szCs w:val="24"/>
          <w:highlight w:val="none"/>
          <w:u w:val="single"/>
        </w:rPr>
        <w:t xml:space="preserve"> 个日历天，具体以实际开工日期为准。</w:t>
      </w:r>
      <w:r>
        <w:rPr>
          <w:rFonts w:hint="eastAsia" w:ascii="宋体" w:hAnsi="宋体" w:cs="仿宋_GB2312"/>
          <w:sz w:val="24"/>
          <w:szCs w:val="24"/>
          <w:highlight w:val="none"/>
          <w:u w:val="single"/>
          <w:lang w:val="en-US" w:eastAsia="zh-CN"/>
        </w:rPr>
        <w:t>市政工程和水利工程的建设工期另行约定。</w:t>
      </w:r>
    </w:p>
    <w:p w14:paraId="3DE7AAF4">
      <w:pPr>
        <w:kinsoku w:val="0"/>
        <w:wordWrap w:val="0"/>
        <w:spacing w:line="360" w:lineRule="auto"/>
        <w:ind w:firstLine="480" w:firstLineChars="200"/>
        <w:rPr>
          <w:rFonts w:ascii="宋体" w:hAnsi="宋体"/>
          <w:sz w:val="24"/>
          <w:szCs w:val="24"/>
          <w:highlight w:val="none"/>
        </w:rPr>
      </w:pPr>
      <w:r>
        <w:rPr>
          <w:rFonts w:hint="eastAsia" w:ascii="宋体" w:hAnsi="宋体" w:cs="仿宋_GB2312"/>
          <w:bCs/>
          <w:sz w:val="24"/>
          <w:szCs w:val="24"/>
          <w:highlight w:val="none"/>
        </w:rPr>
        <w:t>1</w:t>
      </w:r>
      <w:r>
        <w:rPr>
          <w:rFonts w:ascii="宋体" w:hAnsi="宋体" w:cs="仿宋_GB2312"/>
          <w:bCs/>
          <w:sz w:val="24"/>
          <w:szCs w:val="24"/>
          <w:highlight w:val="none"/>
        </w:rPr>
        <w:t>.7.</w:t>
      </w:r>
      <w:r>
        <w:rPr>
          <w:rFonts w:hint="eastAsia" w:ascii="宋体" w:hAnsi="宋体" w:cs="仿宋_GB2312"/>
          <w:bCs/>
          <w:sz w:val="24"/>
          <w:szCs w:val="24"/>
          <w:highlight w:val="none"/>
        </w:rPr>
        <w:t>工程质量标准：</w:t>
      </w:r>
      <w:r>
        <w:rPr>
          <w:rFonts w:hint="eastAsia" w:ascii="宋体" w:hAnsi="宋体" w:cs="仿宋_GB2312"/>
          <w:sz w:val="24"/>
          <w:szCs w:val="24"/>
          <w:highlight w:val="none"/>
        </w:rPr>
        <w:t>在满足相关技术标准规定合格的基础上，经过对工程结构安全、使用功能、建筑节能、观感质量以及工程资料的综合评价，达到《建筑工程施工质量评价标准》（GBT 50375-2016）</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《建筑与市政工程施工质量控制通用规范》</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GB 55032-2022</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水利水电工程施工质量检验与评定规程</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规定的优良标准。并且需按照广州市城中村改造建设指挥部办公室关于印发《广州市城中村改造项目改造主体工作评估实施细则（试行）》的通知中关于“四好”建设、“平急两用”、新型建筑工业化、绿色建筑（含光伏）、建筑废弃物再利用、市政管线同步建设（含综合管廊建设）、城中村改造与保障性住房建设相结合等相关工作内容，监督落实各项内容均应达到“优秀”标准</w:t>
      </w:r>
      <w:r>
        <w:rPr>
          <w:rFonts w:hint="eastAsia" w:ascii="宋体" w:hAnsi="宋体" w:cs="仿宋_GB2312"/>
          <w:sz w:val="24"/>
          <w:szCs w:val="24"/>
          <w:highlight w:val="none"/>
          <w:lang w:eastAsia="zh-CN"/>
        </w:rPr>
        <w:t>。</w:t>
      </w:r>
      <w:r>
        <w:rPr>
          <w:rFonts w:hint="eastAsia" w:ascii="宋体" w:hAnsi="宋体" w:cs="仿宋_GB2312"/>
          <w:sz w:val="24"/>
          <w:szCs w:val="24"/>
          <w:highlight w:val="none"/>
          <w:lang w:eastAsia="zh"/>
          <w:woUserID w:val="1"/>
        </w:rPr>
        <w:t>因政策及技术等因素，造成项目实际已无法达到优秀的评估标准，经</w:t>
      </w:r>
      <w:r>
        <w:rPr>
          <w:rFonts w:hint="eastAsia" w:ascii="宋体" w:hAnsi="宋体" w:cs="仿宋_GB2312"/>
          <w:sz w:val="24"/>
          <w:szCs w:val="24"/>
          <w:highlight w:val="none"/>
          <w:lang w:val="en-US" w:eastAsia="zh-CN"/>
          <w:woUserID w:val="1"/>
        </w:rPr>
        <w:t>乙方充分</w:t>
      </w:r>
      <w:r>
        <w:rPr>
          <w:rFonts w:hint="eastAsia" w:ascii="宋体" w:hAnsi="宋体" w:cs="仿宋_GB2312"/>
          <w:sz w:val="24"/>
          <w:szCs w:val="24"/>
          <w:highlight w:val="none"/>
          <w:lang w:eastAsia="zh"/>
          <w:woUserID w:val="1"/>
        </w:rPr>
        <w:t>论证，并报甲方及行业专家研判确认后可免除乙方相关责任。</w:t>
      </w:r>
      <w:r>
        <w:rPr>
          <w:rFonts w:hint="eastAsia" w:ascii="宋体" w:hAnsi="宋体" w:cs="仿宋_GB2312"/>
          <w:sz w:val="24"/>
          <w:szCs w:val="24"/>
          <w:highlight w:val="none"/>
        </w:rPr>
        <w:t>水、电、燃气、通信及其他专业工程等通过专业部门验收，达到正常使用为质量合格标准。（若有新规范标准按新的执行）。</w:t>
      </w:r>
    </w:p>
    <w:p w14:paraId="7A27B91E">
      <w:pPr>
        <w:tabs>
          <w:tab w:val="left" w:pos="1080"/>
          <w:tab w:val="left" w:pos="1418"/>
        </w:tabs>
        <w:adjustRightInd w:val="0"/>
        <w:snapToGrid w:val="0"/>
        <w:spacing w:line="360" w:lineRule="auto"/>
        <w:ind w:firstLine="480" w:firstLineChars="200"/>
        <w:rPr>
          <w:rFonts w:ascii="宋体" w:hAnsi="宋体" w:cs="仿宋_GB2312"/>
          <w:sz w:val="24"/>
          <w:szCs w:val="24"/>
          <w:highlight w:val="none"/>
        </w:rPr>
      </w:pPr>
      <w:r>
        <w:rPr>
          <w:rFonts w:hint="eastAsia" w:ascii="宋体" w:hAnsi="宋体" w:cs="仿宋_GB2312"/>
          <w:bCs/>
          <w:sz w:val="24"/>
          <w:szCs w:val="24"/>
          <w:highlight w:val="none"/>
        </w:rPr>
        <w:t>1</w:t>
      </w:r>
      <w:r>
        <w:rPr>
          <w:rFonts w:ascii="宋体" w:hAnsi="宋体" w:cs="仿宋_GB2312"/>
          <w:bCs/>
          <w:sz w:val="24"/>
          <w:szCs w:val="24"/>
          <w:highlight w:val="none"/>
        </w:rPr>
        <w:t>.8.</w:t>
      </w:r>
      <w:r>
        <w:rPr>
          <w:rFonts w:hint="eastAsia" w:ascii="宋体" w:hAnsi="宋体" w:cs="仿宋_GB2312"/>
          <w:bCs/>
          <w:sz w:val="24"/>
          <w:szCs w:val="24"/>
          <w:highlight w:val="none"/>
        </w:rPr>
        <w:t>投资目标：</w:t>
      </w:r>
      <w:r>
        <w:rPr>
          <w:rFonts w:hint="eastAsia" w:ascii="宋体" w:hAnsi="宋体" w:cs="仿宋_GB2312"/>
          <w:sz w:val="24"/>
          <w:szCs w:val="24"/>
          <w:highlight w:val="none"/>
        </w:rPr>
        <w:t>根据批准的初步设计，组织编制项目工程投资概算，并报行业主管部门批复，经行业主管部门批复及甲方认可的投资概算作为该项目投资控制的目标。</w:t>
      </w:r>
    </w:p>
    <w:p w14:paraId="00103876">
      <w:pPr>
        <w:spacing w:line="360" w:lineRule="auto"/>
        <w:ind w:firstLine="480" w:firstLineChars="200"/>
        <w:rPr>
          <w:rFonts w:ascii="宋体" w:hAnsi="宋体"/>
          <w:sz w:val="24"/>
          <w:szCs w:val="24"/>
          <w:highlight w:val="none"/>
        </w:rPr>
      </w:pPr>
      <w:r>
        <w:rPr>
          <w:rFonts w:hint="eastAsia" w:ascii="宋体" w:hAnsi="宋体" w:cs="仿宋_GB2312"/>
          <w:bCs/>
          <w:sz w:val="24"/>
          <w:szCs w:val="24"/>
          <w:highlight w:val="none"/>
        </w:rPr>
        <w:t>1</w:t>
      </w:r>
      <w:r>
        <w:rPr>
          <w:rFonts w:ascii="宋体" w:hAnsi="宋体" w:cs="仿宋_GB2312"/>
          <w:bCs/>
          <w:sz w:val="24"/>
          <w:szCs w:val="24"/>
          <w:highlight w:val="none"/>
        </w:rPr>
        <w:t>.9.</w:t>
      </w:r>
      <w:r>
        <w:rPr>
          <w:rFonts w:hint="eastAsia" w:ascii="宋体" w:hAnsi="宋体" w:cs="仿宋_GB2312"/>
          <w:bCs/>
          <w:sz w:val="24"/>
          <w:szCs w:val="24"/>
          <w:highlight w:val="none"/>
        </w:rPr>
        <w:t>安全文明目标：</w:t>
      </w:r>
      <w:r>
        <w:rPr>
          <w:rFonts w:hint="eastAsia" w:ascii="宋体" w:hAnsi="宋体"/>
          <w:sz w:val="24"/>
          <w:szCs w:val="24"/>
          <w:highlight w:val="none"/>
        </w:rPr>
        <w:t>严格执行有关安全的法律法规和规章制度，合格且无安全责任事故</w:t>
      </w:r>
      <w:r>
        <w:rPr>
          <w:rFonts w:hint="eastAsia" w:ascii="宋体" w:hAnsi="宋体" w:cs="仿宋_GB2312"/>
          <w:sz w:val="24"/>
          <w:szCs w:val="24"/>
          <w:highlight w:val="none"/>
        </w:rPr>
        <w:t>且工伤责任事故死亡人数为零，确保现场符合安全文明施工要求。定时每月对各参建单位的安全管理情况、安全管理台账进行检查，对存在安全管理人员不到位、安全责任未落实、安全防护措施不完善等违规行为签发整改通知书，并整改回复后交建设单位审核。确保取得市级安全文明绿色施工样板工地，争创省级安全文明示范工地或国家级施工安全生产标准化工地。</w:t>
      </w:r>
    </w:p>
    <w:p w14:paraId="261F8373">
      <w:pPr>
        <w:tabs>
          <w:tab w:val="left" w:pos="1080"/>
          <w:tab w:val="left" w:pos="1134"/>
        </w:tabs>
        <w:adjustRightInd w:val="0"/>
        <w:snapToGrid w:val="0"/>
        <w:spacing w:line="360" w:lineRule="auto"/>
        <w:ind w:firstLine="480" w:firstLineChars="200"/>
        <w:rPr>
          <w:rFonts w:ascii="宋体" w:hAnsi="宋体"/>
          <w:bCs/>
          <w:sz w:val="24"/>
          <w:szCs w:val="24"/>
          <w:highlight w:val="none"/>
        </w:rPr>
      </w:pPr>
      <w:r>
        <w:rPr>
          <w:rFonts w:ascii="宋体" w:hAnsi="宋体" w:cs="仿宋_GB2312"/>
          <w:bCs/>
          <w:sz w:val="24"/>
          <w:szCs w:val="24"/>
          <w:highlight w:val="none"/>
        </w:rPr>
        <w:t>1.10.</w:t>
      </w:r>
      <w:r>
        <w:rPr>
          <w:rFonts w:hint="eastAsia" w:ascii="宋体" w:hAnsi="宋体" w:cs="仿宋_GB2312"/>
          <w:bCs/>
          <w:sz w:val="24"/>
          <w:szCs w:val="24"/>
          <w:highlight w:val="none"/>
        </w:rPr>
        <w:t>建设管理模式</w:t>
      </w:r>
    </w:p>
    <w:p w14:paraId="511245EC">
      <w:pPr>
        <w:adjustRightInd w:val="0"/>
        <w:snapToGrid w:val="0"/>
        <w:spacing w:line="360" w:lineRule="auto"/>
        <w:ind w:firstLine="480" w:firstLineChars="200"/>
        <w:rPr>
          <w:rFonts w:ascii="宋体" w:hAnsi="宋体"/>
          <w:sz w:val="24"/>
          <w:szCs w:val="24"/>
          <w:highlight w:val="none"/>
        </w:rPr>
      </w:pPr>
      <w:r>
        <w:rPr>
          <w:rFonts w:ascii="宋体" w:hAnsi="宋体" w:cs="仿宋_GB2312"/>
          <w:sz w:val="24"/>
          <w:szCs w:val="24"/>
          <w:highlight w:val="none"/>
        </w:rPr>
        <w:t>1.10.1.</w:t>
      </w:r>
      <w:r>
        <w:rPr>
          <w:rFonts w:hint="eastAsia" w:ascii="宋体" w:hAnsi="宋体" w:cs="仿宋_GB2312"/>
          <w:sz w:val="24"/>
          <w:szCs w:val="24"/>
          <w:highlight w:val="none"/>
        </w:rPr>
        <w:t xml:space="preserve"> 合同生效后，建设管理单位作为本</w:t>
      </w:r>
      <w:r>
        <w:rPr>
          <w:rFonts w:hint="eastAsia" w:ascii="宋体" w:hAnsi="宋体" w:cs="仿宋_GB2312"/>
          <w:sz w:val="24"/>
          <w:szCs w:val="24"/>
          <w:highlight w:val="none"/>
          <w:lang w:val="en-US" w:eastAsia="zh-CN"/>
        </w:rPr>
        <w:t>合同</w:t>
      </w:r>
      <w:r>
        <w:rPr>
          <w:rFonts w:hint="eastAsia" w:ascii="宋体" w:hAnsi="宋体" w:cs="仿宋_GB2312"/>
          <w:sz w:val="24"/>
          <w:szCs w:val="24"/>
          <w:highlight w:val="none"/>
        </w:rPr>
        <w:t>的乙方，履行本合同约定的相关权利和义务，并承担相应的责任。</w:t>
      </w:r>
    </w:p>
    <w:p w14:paraId="4B9FB923">
      <w:pPr>
        <w:pStyle w:val="2"/>
        <w:numPr>
          <w:ilvl w:val="1"/>
          <w:numId w:val="0"/>
        </w:numPr>
        <w:spacing w:before="0" w:line="360" w:lineRule="auto"/>
        <w:ind w:firstLine="496" w:firstLineChars="207"/>
        <w:rPr>
          <w:rFonts w:hAnsi="宋体" w:cs="仿宋_GB2312"/>
          <w:kern w:val="2"/>
          <w:sz w:val="24"/>
          <w:szCs w:val="24"/>
          <w:highlight w:val="none"/>
        </w:rPr>
      </w:pPr>
      <w:r>
        <w:rPr>
          <w:rFonts w:hAnsi="宋体" w:cs="仿宋_GB2312"/>
          <w:sz w:val="24"/>
          <w:szCs w:val="24"/>
          <w:highlight w:val="none"/>
        </w:rPr>
        <w:t>1.10.2</w:t>
      </w:r>
      <w:r>
        <w:rPr>
          <w:rFonts w:hint="eastAsia" w:hAnsi="宋体" w:cs="仿宋_GB2312"/>
          <w:sz w:val="24"/>
          <w:szCs w:val="24"/>
          <w:highlight w:val="none"/>
        </w:rPr>
        <w:t>. 建设管理期限：自</w:t>
      </w:r>
      <w:r>
        <w:rPr>
          <w:rFonts w:hint="eastAsia" w:hAnsi="宋体" w:cs="仿宋_GB2312"/>
          <w:kern w:val="2"/>
          <w:sz w:val="24"/>
          <w:szCs w:val="24"/>
          <w:highlight w:val="none"/>
        </w:rPr>
        <w:t>合同签订之日起至项目通过工程竣工验收及保修期结束止</w:t>
      </w:r>
      <w:bookmarkStart w:id="2" w:name="_Toc209925176"/>
      <w:bookmarkStart w:id="3" w:name="_Toc268175284"/>
      <w:r>
        <w:rPr>
          <w:rFonts w:hint="eastAsia" w:hAnsi="宋体" w:cs="仿宋_GB2312"/>
          <w:kern w:val="2"/>
          <w:sz w:val="24"/>
          <w:szCs w:val="24"/>
          <w:highlight w:val="none"/>
        </w:rPr>
        <w:t>。</w:t>
      </w:r>
    </w:p>
    <w:p w14:paraId="0C0B687F">
      <w:pPr>
        <w:tabs>
          <w:tab w:val="left" w:pos="1080"/>
          <w:tab w:val="left" w:pos="1418"/>
        </w:tabs>
        <w:spacing w:line="360" w:lineRule="auto"/>
        <w:ind w:firstLine="480" w:firstLineChars="200"/>
        <w:rPr>
          <w:rFonts w:ascii="宋体" w:hAnsi="宋体" w:cs="仿宋_GB2312"/>
          <w:sz w:val="24"/>
          <w:szCs w:val="24"/>
          <w:highlight w:val="none"/>
        </w:rPr>
      </w:pPr>
      <w:r>
        <w:rPr>
          <w:rFonts w:ascii="宋体" w:hAnsi="宋体" w:cs="仿宋_GB2312"/>
          <w:sz w:val="24"/>
          <w:szCs w:val="24"/>
          <w:highlight w:val="none"/>
        </w:rPr>
        <w:t xml:space="preserve">1.11 </w:t>
      </w:r>
      <w:r>
        <w:rPr>
          <w:rFonts w:hint="eastAsia" w:ascii="宋体" w:hAnsi="宋体" w:cs="仿宋_GB2312"/>
          <w:sz w:val="24"/>
          <w:szCs w:val="24"/>
          <w:highlight w:val="none"/>
        </w:rPr>
        <w:t>建设管理服务范围、内容</w:t>
      </w:r>
    </w:p>
    <w:p w14:paraId="663F689A">
      <w:pPr>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对项目建设进行项目建设管理服务，内容包括但不限于以下内容：为建设单位提供前期报建、设计管理、监理管理等工作的协调和管理、招标管理、施工项目管理、档案管理、结算管理等服务，代表建设单位对工程项目进行质量、进度、投资控制和安全、合同、信息等管理工作，包括但不限于以下几点：</w:t>
      </w:r>
    </w:p>
    <w:p w14:paraId="749B991F">
      <w:pPr>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1.11.1.负责组织建设过程中的设计施工交底和技术协调；</w:t>
      </w:r>
    </w:p>
    <w:p w14:paraId="5A141E6A">
      <w:pPr>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1.11.2.负责组织项目</w:t>
      </w:r>
      <w:r>
        <w:rPr>
          <w:rFonts w:hint="eastAsia" w:ascii="宋体" w:hAnsi="宋体" w:cs="仿宋_GB2312"/>
          <w:sz w:val="24"/>
          <w:szCs w:val="24"/>
          <w:highlight w:val="none"/>
          <w:lang w:eastAsia="zh"/>
          <w:woUserID w:val="2"/>
        </w:rPr>
        <w:t>实施</w:t>
      </w:r>
      <w:r>
        <w:rPr>
          <w:rFonts w:hint="eastAsia" w:ascii="宋体" w:hAnsi="宋体" w:cs="仿宋_GB2312"/>
          <w:sz w:val="24"/>
          <w:szCs w:val="24"/>
          <w:highlight w:val="none"/>
        </w:rPr>
        <w:t>过程中</w:t>
      </w:r>
      <w:r>
        <w:rPr>
          <w:rFonts w:hint="eastAsia" w:ascii="宋体" w:hAnsi="宋体" w:cs="仿宋_GB2312"/>
          <w:sz w:val="24"/>
          <w:szCs w:val="24"/>
          <w:highlight w:val="none"/>
          <w:lang w:eastAsia="zh"/>
          <w:woUserID w:val="2"/>
        </w:rPr>
        <w:t>招标</w:t>
      </w:r>
      <w:r>
        <w:rPr>
          <w:rFonts w:hint="eastAsia" w:ascii="宋体" w:hAnsi="宋体" w:cs="仿宋_GB2312"/>
          <w:sz w:val="24"/>
          <w:szCs w:val="24"/>
          <w:highlight w:val="none"/>
        </w:rPr>
        <w:t>限价、工程概算、施工图预算、签证变更、结算等有关的造价审核及控制工作。</w:t>
      </w:r>
    </w:p>
    <w:p w14:paraId="27A1923C">
      <w:pPr>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1.11.3.负责项目建设全过程的质量管理、投资管理、</w:t>
      </w:r>
      <w:r>
        <w:rPr>
          <w:rFonts w:hint="eastAsia" w:ascii="宋体" w:hAnsi="宋体" w:cs="仿宋_GB2312"/>
          <w:sz w:val="24"/>
          <w:szCs w:val="24"/>
          <w:highlight w:val="none"/>
          <w:lang w:eastAsia="zh"/>
          <w:woUserID w:val="1"/>
        </w:rPr>
        <w:t>进度管理、</w:t>
      </w:r>
      <w:r>
        <w:rPr>
          <w:rFonts w:hint="eastAsia" w:ascii="宋体" w:hAnsi="宋体" w:cs="仿宋_GB2312"/>
          <w:sz w:val="24"/>
          <w:szCs w:val="24"/>
          <w:highlight w:val="none"/>
        </w:rPr>
        <w:t>安全管理和文明施工管理、协调各方关系、建设档案和信息管理等。</w:t>
      </w:r>
    </w:p>
    <w:p w14:paraId="27B4DBFD">
      <w:pPr>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1.11.4.负责组织竣工验收工作，组织编制建设工程竣工结（决）算书，收集编制考核验收资料，协助编制财务结（决）算报告；配合审计，向招标人和城建档案部门移交竣工档案资料；</w:t>
      </w:r>
    </w:p>
    <w:p w14:paraId="1CD95AE1">
      <w:pPr>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1.11.5.负责办理项目总体竣工验收及移交手续。</w:t>
      </w:r>
    </w:p>
    <w:p w14:paraId="7EF43F2C">
      <w:pPr>
        <w:pStyle w:val="17"/>
        <w:adjustRightInd w:val="0"/>
        <w:snapToGrid w:val="0"/>
        <w:spacing w:line="360" w:lineRule="auto"/>
        <w:ind w:firstLine="508"/>
        <w:rPr>
          <w:rFonts w:ascii="宋体" w:hAnsi="宋体" w:eastAsia="宋体" w:cs="仿宋_GB2312"/>
          <w:bCs/>
          <w:color w:val="auto"/>
          <w:sz w:val="24"/>
          <w:highlight w:val="none"/>
          <w:lang w:eastAsia="zh-CN"/>
        </w:rPr>
      </w:pPr>
    </w:p>
    <w:bookmarkEnd w:id="2"/>
    <w:bookmarkEnd w:id="3"/>
    <w:p w14:paraId="69E6B4D6">
      <w:pPr>
        <w:numPr>
          <w:ilvl w:val="0"/>
          <w:numId w:val="2"/>
        </w:numPr>
        <w:adjustRightInd w:val="0"/>
        <w:snapToGrid w:val="0"/>
        <w:spacing w:line="360" w:lineRule="auto"/>
        <w:jc w:val="center"/>
        <w:rPr>
          <w:rFonts w:ascii="宋体" w:hAnsi="宋体"/>
          <w:b/>
          <w:bCs/>
          <w:sz w:val="24"/>
          <w:szCs w:val="24"/>
          <w:highlight w:val="none"/>
        </w:rPr>
      </w:pPr>
      <w:r>
        <w:rPr>
          <w:rFonts w:hint="eastAsia" w:ascii="宋体" w:hAnsi="宋体" w:cs="仿宋_GB2312"/>
          <w:b/>
          <w:bCs/>
          <w:sz w:val="24"/>
          <w:szCs w:val="24"/>
          <w:highlight w:val="none"/>
        </w:rPr>
        <w:t>双方的职责</w:t>
      </w:r>
    </w:p>
    <w:p w14:paraId="23DD5799">
      <w:pPr>
        <w:numPr>
          <w:ilvl w:val="1"/>
          <w:numId w:val="0"/>
        </w:numPr>
        <w:tabs>
          <w:tab w:val="left" w:pos="480"/>
          <w:tab w:val="left" w:pos="1134"/>
          <w:tab w:val="left" w:pos="8820"/>
        </w:tabs>
        <w:adjustRightInd w:val="0"/>
        <w:snapToGrid w:val="0"/>
        <w:spacing w:line="360" w:lineRule="auto"/>
        <w:ind w:firstLine="482" w:firstLineChars="200"/>
        <w:rPr>
          <w:rFonts w:ascii="宋体" w:hAnsi="宋体"/>
          <w:bCs/>
          <w:sz w:val="24"/>
          <w:szCs w:val="24"/>
          <w:highlight w:val="none"/>
        </w:rPr>
      </w:pPr>
      <w:r>
        <w:rPr>
          <w:rFonts w:hint="eastAsia" w:ascii="宋体" w:hAnsi="宋体" w:cs="仿宋_GB2312"/>
          <w:b/>
          <w:bCs/>
          <w:sz w:val="24"/>
          <w:szCs w:val="24"/>
          <w:highlight w:val="none"/>
        </w:rPr>
        <w:t xml:space="preserve">2.1. </w:t>
      </w:r>
      <w:r>
        <w:rPr>
          <w:rFonts w:hint="eastAsia" w:ascii="宋体" w:hAnsi="宋体" w:cs="仿宋_GB2312"/>
          <w:bCs/>
          <w:sz w:val="24"/>
          <w:szCs w:val="24"/>
          <w:highlight w:val="none"/>
        </w:rPr>
        <w:t>甲方职责：</w:t>
      </w:r>
    </w:p>
    <w:p w14:paraId="75E9D803">
      <w:pPr>
        <w:numPr>
          <w:ilvl w:val="2"/>
          <w:numId w:val="3"/>
        </w:numPr>
        <w:tabs>
          <w:tab w:val="left" w:pos="720"/>
          <w:tab w:val="left" w:pos="1276"/>
          <w:tab w:val="left" w:pos="1418"/>
        </w:tabs>
        <w:spacing w:line="360" w:lineRule="auto"/>
        <w:ind w:left="0" w:firstLine="480" w:firstLineChars="200"/>
        <w:rPr>
          <w:rFonts w:ascii="宋体" w:hAnsi="宋体" w:cs="仿宋_GB2312"/>
          <w:sz w:val="24"/>
          <w:szCs w:val="24"/>
          <w:highlight w:val="none"/>
        </w:rPr>
      </w:pPr>
      <w:r>
        <w:rPr>
          <w:rFonts w:hint="eastAsia" w:ascii="宋体" w:hAnsi="宋体" w:cs="仿宋_GB2312"/>
          <w:sz w:val="24"/>
          <w:szCs w:val="24"/>
          <w:highlight w:val="none"/>
        </w:rPr>
        <w:t>甲方应当在建设管理合同签订后，向乙方移交本项目前期工作的所有资料。</w:t>
      </w:r>
    </w:p>
    <w:p w14:paraId="600A3F3A">
      <w:pPr>
        <w:tabs>
          <w:tab w:val="left" w:pos="720"/>
          <w:tab w:val="left" w:pos="1276"/>
          <w:tab w:val="left" w:pos="1418"/>
        </w:tabs>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2.1.2. 工程开工前，甲方应</w:t>
      </w:r>
      <w:r>
        <w:rPr>
          <w:rFonts w:ascii="宋体" w:hAnsi="宋体" w:cs="仿宋_GB2312"/>
          <w:sz w:val="24"/>
          <w:szCs w:val="24"/>
          <w:highlight w:val="none"/>
        </w:rPr>
        <w:t>配合</w:t>
      </w:r>
      <w:r>
        <w:rPr>
          <w:rFonts w:hint="eastAsia" w:ascii="宋体" w:hAnsi="宋体" w:cs="仿宋_GB2312"/>
          <w:sz w:val="24"/>
          <w:szCs w:val="24"/>
          <w:highlight w:val="none"/>
        </w:rPr>
        <w:t>征地方确认已完成征地拆迁工作，并书面移交建设场地给乙方。</w:t>
      </w:r>
    </w:p>
    <w:p w14:paraId="00A8704D">
      <w:pPr>
        <w:numPr>
          <w:ilvl w:val="2"/>
          <w:numId w:val="3"/>
        </w:numPr>
        <w:tabs>
          <w:tab w:val="left" w:pos="720"/>
          <w:tab w:val="left" w:pos="1276"/>
          <w:tab w:val="left" w:pos="1418"/>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在工程建设过程中确保各年度计划资金到位，</w:t>
      </w:r>
      <w:r>
        <w:rPr>
          <w:rFonts w:hint="eastAsia" w:ascii="宋体" w:hAnsi="宋体" w:cs="仿宋_GB2312"/>
          <w:sz w:val="24"/>
          <w:szCs w:val="24"/>
          <w:highlight w:val="none"/>
          <w:lang w:val="en-US" w:eastAsia="zh-CN"/>
        </w:rPr>
        <w:t>资金到位时</w:t>
      </w:r>
      <w:r>
        <w:rPr>
          <w:rFonts w:hint="eastAsia" w:ascii="宋体" w:hAnsi="宋体" w:cs="仿宋_GB2312"/>
          <w:sz w:val="24"/>
          <w:szCs w:val="24"/>
          <w:highlight w:val="none"/>
        </w:rPr>
        <w:t>按各合同约定的时间及时支付已审批的</w:t>
      </w:r>
      <w:r>
        <w:rPr>
          <w:rFonts w:hint="eastAsia" w:ascii="宋体" w:hAnsi="宋体" w:cs="仿宋_GB2312"/>
          <w:sz w:val="24"/>
          <w:szCs w:val="24"/>
          <w:highlight w:val="none"/>
          <w:lang w:val="en-US" w:eastAsia="zh-CN"/>
        </w:rPr>
        <w:t>各类</w:t>
      </w:r>
      <w:r>
        <w:rPr>
          <w:rFonts w:hint="eastAsia" w:ascii="宋体" w:hAnsi="宋体" w:cs="仿宋_GB2312"/>
          <w:sz w:val="24"/>
          <w:szCs w:val="24"/>
          <w:highlight w:val="none"/>
        </w:rPr>
        <w:t>建设</w:t>
      </w:r>
      <w:r>
        <w:rPr>
          <w:rFonts w:hint="eastAsia" w:ascii="宋体" w:hAnsi="宋体" w:cs="仿宋_GB2312"/>
          <w:sz w:val="24"/>
          <w:szCs w:val="24"/>
          <w:highlight w:val="none"/>
          <w:lang w:val="en-US" w:eastAsia="zh-CN"/>
        </w:rPr>
        <w:t>合同</w:t>
      </w:r>
      <w:r>
        <w:rPr>
          <w:rFonts w:hint="eastAsia" w:ascii="宋体" w:hAnsi="宋体" w:cs="仿宋_GB2312"/>
          <w:sz w:val="24"/>
          <w:szCs w:val="24"/>
          <w:highlight w:val="none"/>
        </w:rPr>
        <w:t>款项。非因甲方原因，资金不能到位时应及时与乙方沟通。</w:t>
      </w:r>
    </w:p>
    <w:p w14:paraId="027BD4AF">
      <w:pPr>
        <w:numPr>
          <w:ilvl w:val="2"/>
          <w:numId w:val="3"/>
        </w:numPr>
        <w:tabs>
          <w:tab w:val="left" w:pos="720"/>
          <w:tab w:val="left" w:pos="1276"/>
          <w:tab w:val="left" w:pos="1418"/>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甲方应提请政府相关部门尽量为建设管理工作提供外部条件，协调工程建设的相关外部关系，积极配合乙方办理相关建设手续。</w:t>
      </w:r>
    </w:p>
    <w:p w14:paraId="585359B8">
      <w:pPr>
        <w:numPr>
          <w:ilvl w:val="2"/>
          <w:numId w:val="3"/>
        </w:numPr>
        <w:tabs>
          <w:tab w:val="left" w:pos="720"/>
          <w:tab w:val="left" w:pos="1276"/>
          <w:tab w:val="left" w:pos="1418"/>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甲方应当会同乙方确定各项功能需求和相关的建设标准，参与和审批各项技术、设计和建设方案，并批准确认。</w:t>
      </w:r>
    </w:p>
    <w:p w14:paraId="48FD3AA1">
      <w:pPr>
        <w:numPr>
          <w:ilvl w:val="2"/>
          <w:numId w:val="3"/>
        </w:numPr>
        <w:tabs>
          <w:tab w:val="left" w:pos="720"/>
          <w:tab w:val="left" w:pos="1276"/>
          <w:tab w:val="left" w:pos="1418"/>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甲方对于乙方在建设管理期间提出的书面意见，甲方应当在收到书面意见后及时给予答复。</w:t>
      </w:r>
    </w:p>
    <w:p w14:paraId="6102AD7C">
      <w:pPr>
        <w:numPr>
          <w:ilvl w:val="2"/>
          <w:numId w:val="3"/>
        </w:numPr>
        <w:tabs>
          <w:tab w:val="left" w:pos="720"/>
          <w:tab w:val="left" w:pos="1276"/>
          <w:tab w:val="left" w:pos="1418"/>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甲方提出的变更，应在变更文件清楚列明变更的项目、部位、材料、设备等内容。乙方应在收到变更通知后</w:t>
      </w:r>
      <w:r>
        <w:rPr>
          <w:rFonts w:hint="eastAsia" w:ascii="宋体" w:hAnsi="宋体" w:cs="仿宋_GB2312"/>
          <w:sz w:val="24"/>
          <w:szCs w:val="24"/>
          <w:highlight w:val="none"/>
          <w:lang w:eastAsia="zh"/>
          <w:woUserID w:val="1"/>
        </w:rPr>
        <w:t>7</w:t>
      </w:r>
      <w:r>
        <w:rPr>
          <w:rFonts w:hint="eastAsia" w:ascii="宋体" w:hAnsi="宋体" w:cs="仿宋_GB2312"/>
          <w:sz w:val="24"/>
          <w:szCs w:val="24"/>
          <w:highlight w:val="none"/>
        </w:rPr>
        <w:t>个工作日内将变更实施方案及所形成的后果（如投资增减、工期影响等）报送甲方，按程序审批后及时组织施工。</w:t>
      </w:r>
    </w:p>
    <w:p w14:paraId="137200E8">
      <w:pPr>
        <w:numPr>
          <w:ilvl w:val="2"/>
          <w:numId w:val="3"/>
        </w:numPr>
        <w:tabs>
          <w:tab w:val="left" w:pos="720"/>
          <w:tab w:val="left" w:pos="1276"/>
          <w:tab w:val="left" w:pos="1418"/>
        </w:tabs>
        <w:spacing w:line="360" w:lineRule="auto"/>
        <w:ind w:left="0" w:firstLine="480" w:firstLineChars="200"/>
        <w:rPr>
          <w:rFonts w:ascii="宋体" w:hAnsi="宋体"/>
          <w:sz w:val="24"/>
          <w:szCs w:val="24"/>
          <w:highlight w:val="none"/>
        </w:rPr>
      </w:pPr>
      <w:r>
        <w:rPr>
          <w:rFonts w:hint="eastAsia" w:ascii="宋体" w:hAnsi="宋体"/>
          <w:sz w:val="24"/>
          <w:szCs w:val="24"/>
          <w:highlight w:val="none"/>
        </w:rPr>
        <w:t>甲方协助乙方本项目</w:t>
      </w:r>
      <w:r>
        <w:rPr>
          <w:rFonts w:hint="eastAsia" w:ascii="宋体" w:hAnsi="宋体" w:cs="仿宋_GB2312"/>
          <w:sz w:val="24"/>
          <w:szCs w:val="24"/>
          <w:highlight w:val="none"/>
        </w:rPr>
        <w:t>设备的采购和安装，具体设备项目以甲乙双方确认并报行业主管部门批复，经行业主管部门批复的项目概算为准。</w:t>
      </w:r>
    </w:p>
    <w:p w14:paraId="1D29F97A">
      <w:pPr>
        <w:numPr>
          <w:ilvl w:val="2"/>
          <w:numId w:val="3"/>
        </w:numPr>
        <w:tabs>
          <w:tab w:val="left" w:pos="720"/>
          <w:tab w:val="left" w:pos="1276"/>
          <w:tab w:val="left" w:pos="1418"/>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因甲方原因而造成了项目建设规模、建设内容、建设标准发生变化，致使工期延长、投资增加或其它经济损失的，甲方承担相应的责任。</w:t>
      </w:r>
    </w:p>
    <w:p w14:paraId="428EC766">
      <w:pPr>
        <w:numPr>
          <w:ilvl w:val="1"/>
          <w:numId w:val="3"/>
        </w:numPr>
        <w:tabs>
          <w:tab w:val="left" w:pos="1134"/>
          <w:tab w:val="left" w:pos="8820"/>
        </w:tabs>
        <w:adjustRightInd w:val="0"/>
        <w:spacing w:line="360" w:lineRule="auto"/>
        <w:ind w:left="0" w:firstLine="480" w:firstLineChars="200"/>
        <w:jc w:val="left"/>
        <w:rPr>
          <w:rFonts w:ascii="宋体" w:hAnsi="宋体"/>
          <w:bCs/>
          <w:sz w:val="24"/>
          <w:szCs w:val="24"/>
          <w:highlight w:val="none"/>
        </w:rPr>
      </w:pPr>
      <w:r>
        <w:rPr>
          <w:rFonts w:hint="eastAsia" w:ascii="宋体" w:hAnsi="宋体" w:cs="仿宋_GB2312"/>
          <w:bCs/>
          <w:sz w:val="24"/>
          <w:szCs w:val="24"/>
          <w:highlight w:val="none"/>
        </w:rPr>
        <w:t>乙方职责：</w:t>
      </w:r>
    </w:p>
    <w:p w14:paraId="13B4144E">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主要职责和工作内容包括：在项目决策阶段，与</w:t>
      </w:r>
      <w:r>
        <w:rPr>
          <w:rFonts w:hint="eastAsia" w:ascii="宋体" w:hAnsi="宋体" w:cs="仿宋_GB2312"/>
          <w:sz w:val="24"/>
          <w:szCs w:val="24"/>
          <w:highlight w:val="none"/>
          <w:lang w:eastAsia="zh"/>
          <w:woUserID w:val="1"/>
        </w:rPr>
        <w:t>甲方</w:t>
      </w:r>
      <w:r>
        <w:rPr>
          <w:rFonts w:hint="eastAsia" w:ascii="宋体" w:hAnsi="宋体" w:cs="仿宋_GB2312"/>
          <w:sz w:val="24"/>
          <w:szCs w:val="24"/>
          <w:highlight w:val="none"/>
        </w:rPr>
        <w:t>共同组织设计优化工作，进行可行性研究和项目建设策划；在项目实施阶段，代表</w:t>
      </w:r>
      <w:r>
        <w:rPr>
          <w:rFonts w:hint="eastAsia" w:ascii="宋体" w:hAnsi="宋体" w:cs="仿宋_GB2312"/>
          <w:sz w:val="24"/>
          <w:szCs w:val="24"/>
          <w:highlight w:val="none"/>
          <w:lang w:eastAsia="zh"/>
          <w:woUserID w:val="1"/>
        </w:rPr>
        <w:t>甲方</w:t>
      </w:r>
      <w:r>
        <w:rPr>
          <w:rFonts w:hint="eastAsia" w:ascii="宋体" w:hAnsi="宋体" w:cs="仿宋_GB2312"/>
          <w:sz w:val="24"/>
          <w:szCs w:val="24"/>
          <w:highlight w:val="none"/>
        </w:rPr>
        <w:t>进行设计管理、招标管理、采购管理、施工管理和竣工验收等，并对工程项目进行质量、安全、进度、费用、合同、信息等管理和控制。</w:t>
      </w:r>
    </w:p>
    <w:p w14:paraId="023D4691">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sz w:val="24"/>
          <w:szCs w:val="24"/>
          <w:highlight w:val="none"/>
        </w:rPr>
        <w:t>负责办理本项目立项和前期报建报批等相关手续。</w:t>
      </w:r>
    </w:p>
    <w:p w14:paraId="256A4482">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lang w:eastAsia="zh"/>
          <w:woUserID w:val="1"/>
        </w:rPr>
        <w:t>负责项目设计管理工作；</w:t>
      </w:r>
      <w:r>
        <w:rPr>
          <w:rFonts w:hint="eastAsia" w:ascii="宋体" w:hAnsi="宋体" w:cs="仿宋_GB2312"/>
          <w:sz w:val="24"/>
          <w:szCs w:val="24"/>
          <w:highlight w:val="none"/>
        </w:rPr>
        <w:t>负责工程初步设计、施工图设计各阶段与设计单位的联络和协调工作，组织设计优化和批报工作，确保项目设计按批准的建设规模、功能、标准和工期顺利实施；负责组织建设过程中的设计施工交底和技术协调；</w:t>
      </w:r>
      <w:r>
        <w:rPr>
          <w:rFonts w:hint="eastAsia" w:ascii="宋体" w:hAnsi="宋体" w:cs="仿宋_GB2312"/>
          <w:sz w:val="24"/>
          <w:szCs w:val="24"/>
          <w:highlight w:val="none"/>
          <w:woUserID w:val="1"/>
        </w:rPr>
        <w:t>负责</w:t>
      </w:r>
      <w:r>
        <w:rPr>
          <w:rFonts w:hint="eastAsia" w:ascii="宋体" w:hAnsi="宋体" w:cs="仿宋_GB2312"/>
          <w:sz w:val="24"/>
          <w:szCs w:val="24"/>
          <w:highlight w:val="none"/>
          <w:lang w:eastAsia="zh"/>
          <w:woUserID w:val="1"/>
        </w:rPr>
        <w:t>组织编制及审核</w:t>
      </w:r>
      <w:r>
        <w:rPr>
          <w:rFonts w:hint="eastAsia" w:ascii="宋体" w:hAnsi="宋体" w:cs="仿宋_GB2312"/>
          <w:sz w:val="24"/>
          <w:szCs w:val="24"/>
          <w:highlight w:val="none"/>
          <w:woUserID w:val="1"/>
        </w:rPr>
        <w:t>工程</w:t>
      </w:r>
      <w:r>
        <w:rPr>
          <w:rFonts w:hint="eastAsia" w:ascii="宋体" w:hAnsi="宋体" w:cs="仿宋_GB2312"/>
          <w:sz w:val="24"/>
          <w:szCs w:val="24"/>
          <w:highlight w:val="none"/>
          <w:lang w:eastAsia="zh"/>
          <w:woUserID w:val="1"/>
        </w:rPr>
        <w:t>概</w:t>
      </w:r>
      <w:r>
        <w:rPr>
          <w:rFonts w:hint="eastAsia" w:ascii="宋体" w:hAnsi="宋体" w:cs="仿宋_GB2312"/>
          <w:sz w:val="24"/>
          <w:szCs w:val="24"/>
          <w:highlight w:val="none"/>
          <w:woUserID w:val="1"/>
        </w:rPr>
        <w:t>算</w:t>
      </w:r>
      <w:r>
        <w:rPr>
          <w:rFonts w:hint="eastAsia" w:ascii="宋体" w:hAnsi="宋体" w:cs="仿宋_GB2312"/>
          <w:sz w:val="24"/>
          <w:szCs w:val="24"/>
          <w:highlight w:val="none"/>
          <w:lang w:eastAsia="zh"/>
          <w:woUserID w:val="1"/>
        </w:rPr>
        <w:t>；</w:t>
      </w:r>
      <w:r>
        <w:rPr>
          <w:rFonts w:hint="eastAsia" w:ascii="宋体" w:hAnsi="宋体" w:cs="仿宋_GB2312"/>
          <w:sz w:val="24"/>
          <w:szCs w:val="24"/>
          <w:highlight w:val="none"/>
        </w:rPr>
        <w:t>其他设计管理工作。</w:t>
      </w:r>
    </w:p>
    <w:p w14:paraId="6611834D">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负责严格按照国家、省市有关招标投标法律法规，组织工程监理、施工和材料设备采购等的招标工作。</w:t>
      </w:r>
    </w:p>
    <w:p w14:paraId="3079B763">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负责项目各类施工</w:t>
      </w:r>
      <w:r>
        <w:rPr>
          <w:rFonts w:hint="eastAsia" w:ascii="宋体" w:hAnsi="宋体" w:cs="仿宋_GB2312"/>
          <w:sz w:val="24"/>
          <w:szCs w:val="24"/>
          <w:highlight w:val="none"/>
          <w:lang w:val="en-US" w:eastAsia="zh-CN"/>
        </w:rPr>
        <w:t>管理</w:t>
      </w:r>
      <w:r>
        <w:rPr>
          <w:rFonts w:hint="eastAsia" w:ascii="宋体" w:hAnsi="宋体" w:cs="仿宋_GB2312"/>
          <w:sz w:val="24"/>
          <w:szCs w:val="24"/>
          <w:highlight w:val="none"/>
        </w:rPr>
        <w:t>。</w:t>
      </w:r>
    </w:p>
    <w:p w14:paraId="2B05A12F">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负责工程进度的管理</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负责按照工期要求，</w:t>
      </w:r>
      <w:r>
        <w:rPr>
          <w:rFonts w:hint="eastAsia" w:ascii="宋体" w:hAnsi="宋体" w:cs="仿宋_GB2312"/>
          <w:sz w:val="24"/>
          <w:szCs w:val="24"/>
          <w:highlight w:val="none"/>
          <w:lang w:eastAsia="zh"/>
          <w:woUserID w:val="1"/>
        </w:rPr>
        <w:t>组织</w:t>
      </w:r>
      <w:r>
        <w:rPr>
          <w:rFonts w:hint="eastAsia" w:ascii="宋体" w:hAnsi="宋体" w:cs="仿宋_GB2312"/>
          <w:sz w:val="24"/>
          <w:szCs w:val="24"/>
          <w:highlight w:val="none"/>
        </w:rPr>
        <w:t>编制工程进度总体计划，并报</w:t>
      </w:r>
      <w:r>
        <w:rPr>
          <w:rFonts w:hint="eastAsia" w:ascii="宋体" w:hAnsi="宋体" w:cs="仿宋_GB2312"/>
          <w:sz w:val="24"/>
          <w:szCs w:val="24"/>
          <w:highlight w:val="none"/>
          <w:lang w:eastAsia="zh"/>
          <w:woUserID w:val="1"/>
        </w:rPr>
        <w:t>甲方</w:t>
      </w:r>
      <w:r>
        <w:rPr>
          <w:rFonts w:hint="eastAsia" w:ascii="宋体" w:hAnsi="宋体" w:cs="仿宋_GB2312"/>
          <w:sz w:val="24"/>
          <w:szCs w:val="24"/>
          <w:highlight w:val="none"/>
        </w:rPr>
        <w:t>审定；按批准的进度计划实施项目建设工作，确保项目如期建成；</w:t>
      </w:r>
      <w:r>
        <w:rPr>
          <w:rFonts w:hint="eastAsia" w:ascii="宋体" w:hAnsi="宋体" w:cs="仿宋_GB2312"/>
          <w:sz w:val="24"/>
          <w:szCs w:val="24"/>
          <w:highlight w:val="none"/>
          <w:lang w:eastAsia="zh"/>
          <w:woUserID w:val="2"/>
        </w:rPr>
        <w:t>每周</w:t>
      </w:r>
      <w:r>
        <w:rPr>
          <w:rFonts w:hint="eastAsia" w:ascii="宋体" w:hAnsi="宋体" w:cs="仿宋_GB2312"/>
          <w:sz w:val="24"/>
          <w:szCs w:val="24"/>
          <w:highlight w:val="none"/>
        </w:rPr>
        <w:t>组织召开工程例会，及时分析、协调、平衡和调整工程进度，每月5日前向</w:t>
      </w:r>
      <w:r>
        <w:rPr>
          <w:rFonts w:hint="eastAsia" w:ascii="宋体" w:hAnsi="宋体" w:cs="仿宋_GB2312"/>
          <w:sz w:val="24"/>
          <w:szCs w:val="24"/>
          <w:highlight w:val="none"/>
          <w:lang w:eastAsia="zh"/>
          <w:woUserID w:val="1"/>
        </w:rPr>
        <w:t>甲方</w:t>
      </w:r>
      <w:r>
        <w:rPr>
          <w:rFonts w:hint="eastAsia" w:ascii="宋体" w:hAnsi="宋体" w:cs="仿宋_GB2312"/>
          <w:sz w:val="24"/>
          <w:szCs w:val="24"/>
          <w:highlight w:val="none"/>
        </w:rPr>
        <w:t>上报上月有关进度的信息、报表和存在的问题；其他工程进度管理工作。</w:t>
      </w:r>
    </w:p>
    <w:p w14:paraId="09E5C890">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负责工程的质量管理</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按照国家和省市颁布的建筑管理条例和施工规范,以及对项目建设标准、技术规范的要求，建立质量保证体系，严格管理，确保工程质量达到预定目标；对工程质量负</w:t>
      </w:r>
      <w:r>
        <w:rPr>
          <w:rFonts w:hint="eastAsia" w:ascii="宋体" w:hAnsi="宋体" w:cs="仿宋_GB2312"/>
          <w:sz w:val="24"/>
          <w:szCs w:val="24"/>
          <w:highlight w:val="none"/>
          <w:lang w:eastAsia="zh"/>
          <w:woUserID w:val="1"/>
        </w:rPr>
        <w:t>建设管理责任</w:t>
      </w:r>
      <w:r>
        <w:rPr>
          <w:rFonts w:hint="eastAsia" w:ascii="宋体" w:hAnsi="宋体" w:cs="仿宋_GB2312"/>
          <w:sz w:val="24"/>
          <w:szCs w:val="24"/>
          <w:highlight w:val="none"/>
        </w:rPr>
        <w:t>，发生质量事故时应及时查明原因和具体责任，并及时组织事故处理方案的实施；负责组织工程实施过程中分项分部工程的验收，包括隐蔽工程和各类材料、设备的验收；其他工程质量管理工作。</w:t>
      </w:r>
    </w:p>
    <w:p w14:paraId="0E01E6A3">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负责工程投资管理工作</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负责编报年度投资计划和季度、月度资金使用计划，并依据工程</w:t>
      </w:r>
      <w:r>
        <w:rPr>
          <w:rFonts w:hint="eastAsia" w:ascii="宋体" w:hAnsi="宋体" w:cs="仿宋_GB2312"/>
          <w:sz w:val="24"/>
          <w:szCs w:val="24"/>
          <w:highlight w:val="none"/>
          <w:lang w:eastAsia="zh"/>
          <w:woUserID w:val="1"/>
        </w:rPr>
        <w:t>相关</w:t>
      </w:r>
      <w:r>
        <w:rPr>
          <w:rFonts w:hint="eastAsia" w:ascii="宋体" w:hAnsi="宋体" w:cs="仿宋_GB2312"/>
          <w:sz w:val="24"/>
          <w:szCs w:val="24"/>
          <w:highlight w:val="none"/>
        </w:rPr>
        <w:t>合同和工程进度</w:t>
      </w:r>
      <w:r>
        <w:rPr>
          <w:rFonts w:hint="eastAsia" w:ascii="宋体" w:hAnsi="宋体" w:cs="仿宋_GB2312"/>
          <w:sz w:val="24"/>
          <w:szCs w:val="24"/>
          <w:highlight w:val="none"/>
          <w:lang w:eastAsia="zh"/>
          <w:woUserID w:val="1"/>
        </w:rPr>
        <w:t>对工程进度款进行审核，</w:t>
      </w:r>
      <w:r>
        <w:rPr>
          <w:rFonts w:hint="eastAsia" w:ascii="宋体" w:hAnsi="宋体" w:cs="仿宋_GB2312"/>
          <w:sz w:val="24"/>
          <w:szCs w:val="24"/>
          <w:highlight w:val="none"/>
          <w:lang w:eastAsia="zh"/>
          <w:woUserID w:val="2"/>
        </w:rPr>
        <w:t>审核相关单位的</w:t>
      </w:r>
      <w:r>
        <w:rPr>
          <w:rFonts w:hint="eastAsia" w:ascii="宋体" w:hAnsi="宋体" w:cs="仿宋_GB2312"/>
          <w:sz w:val="22"/>
          <w:szCs w:val="22"/>
          <w:highlight w:val="none"/>
        </w:rPr>
        <w:t>资金拨付申请</w:t>
      </w:r>
      <w:r>
        <w:rPr>
          <w:rFonts w:hint="eastAsia" w:ascii="宋体" w:hAnsi="宋体" w:cs="仿宋_GB2312"/>
          <w:sz w:val="24"/>
          <w:szCs w:val="24"/>
          <w:highlight w:val="none"/>
        </w:rPr>
        <w:t>，报</w:t>
      </w:r>
      <w:r>
        <w:rPr>
          <w:rFonts w:hint="eastAsia" w:ascii="宋体" w:hAnsi="宋体" w:cs="仿宋_GB2312"/>
          <w:sz w:val="24"/>
          <w:szCs w:val="24"/>
          <w:highlight w:val="none"/>
          <w:lang w:eastAsia="zh"/>
          <w:woUserID w:val="1"/>
        </w:rPr>
        <w:t>甲方</w:t>
      </w:r>
      <w:r>
        <w:rPr>
          <w:rFonts w:hint="eastAsia" w:ascii="宋体" w:hAnsi="宋体" w:cs="仿宋_GB2312"/>
          <w:sz w:val="24"/>
          <w:szCs w:val="24"/>
          <w:highlight w:val="none"/>
        </w:rPr>
        <w:t>办理资金支付；项目建成后，负责</w:t>
      </w:r>
      <w:r>
        <w:rPr>
          <w:rFonts w:hint="eastAsia" w:ascii="宋体" w:hAnsi="宋体" w:cs="仿宋_GB2312"/>
          <w:sz w:val="24"/>
          <w:szCs w:val="24"/>
          <w:highlight w:val="none"/>
          <w:lang w:eastAsia="zh"/>
          <w:woUserID w:val="1"/>
        </w:rPr>
        <w:t>组织编制及审核</w:t>
      </w:r>
      <w:r>
        <w:rPr>
          <w:rFonts w:hint="eastAsia" w:ascii="宋体" w:hAnsi="宋体" w:cs="仿宋_GB2312"/>
          <w:sz w:val="24"/>
          <w:szCs w:val="24"/>
          <w:highlight w:val="none"/>
        </w:rPr>
        <w:t>工程结算</w:t>
      </w:r>
      <w:r>
        <w:rPr>
          <w:rFonts w:hint="eastAsia" w:ascii="宋体" w:hAnsi="宋体" w:cs="仿宋_GB2312"/>
          <w:sz w:val="24"/>
          <w:szCs w:val="24"/>
          <w:highlight w:val="none"/>
          <w:lang w:eastAsia="zh"/>
          <w:woUserID w:val="1"/>
        </w:rPr>
        <w:t>，配合甲方</w:t>
      </w:r>
      <w:r>
        <w:rPr>
          <w:rFonts w:hint="eastAsia" w:ascii="宋体" w:hAnsi="宋体" w:cs="仿宋_GB2312"/>
          <w:sz w:val="24"/>
          <w:szCs w:val="24"/>
          <w:highlight w:val="none"/>
        </w:rPr>
        <w:t>编制工程竣工财务决算</w:t>
      </w:r>
      <w:r>
        <w:rPr>
          <w:rFonts w:hint="eastAsia" w:ascii="宋体" w:hAnsi="宋体" w:cs="仿宋_GB2312"/>
          <w:sz w:val="24"/>
          <w:szCs w:val="24"/>
          <w:highlight w:val="none"/>
          <w:lang w:eastAsia="zh"/>
          <w:woUserID w:val="1"/>
        </w:rPr>
        <w:t>、配合甲方</w:t>
      </w:r>
      <w:r>
        <w:rPr>
          <w:rFonts w:hint="eastAsia" w:ascii="宋体" w:hAnsi="宋体" w:cs="仿宋_GB2312"/>
          <w:sz w:val="24"/>
          <w:szCs w:val="24"/>
          <w:highlight w:val="none"/>
        </w:rPr>
        <w:t>申请决算审查和项目审计，</w:t>
      </w:r>
      <w:r>
        <w:rPr>
          <w:rFonts w:hint="eastAsia" w:ascii="宋体" w:hAnsi="宋体" w:cs="仿宋_GB2312"/>
          <w:sz w:val="24"/>
          <w:szCs w:val="24"/>
          <w:highlight w:val="none"/>
          <w:lang w:eastAsia="zh"/>
          <w:woUserID w:val="1"/>
        </w:rPr>
        <w:t>配合甲方</w:t>
      </w:r>
      <w:r>
        <w:rPr>
          <w:rFonts w:hint="eastAsia" w:ascii="宋体" w:hAnsi="宋体" w:cs="仿宋_GB2312"/>
          <w:sz w:val="24"/>
          <w:szCs w:val="24"/>
          <w:highlight w:val="none"/>
        </w:rPr>
        <w:t>办理各专业工程工程尾款的支付；严格按照批准的建设规模、功能、标准和概算组织建设，如有改变工程投资</w:t>
      </w:r>
      <w:r>
        <w:rPr>
          <w:rFonts w:hint="eastAsia" w:ascii="宋体" w:hAnsi="宋体" w:cs="仿宋_GB2312"/>
          <w:sz w:val="24"/>
          <w:szCs w:val="24"/>
          <w:highlight w:val="none"/>
          <w:lang w:eastAsia="zh"/>
          <w:woUserID w:val="1"/>
        </w:rPr>
        <w:t>的</w:t>
      </w:r>
      <w:r>
        <w:rPr>
          <w:rFonts w:hint="eastAsia" w:ascii="宋体" w:hAnsi="宋体" w:cs="仿宋_GB2312"/>
          <w:sz w:val="24"/>
          <w:szCs w:val="24"/>
          <w:highlight w:val="none"/>
        </w:rPr>
        <w:t>调整意见和设计变更，应提供投资增减情况分析报</w:t>
      </w:r>
      <w:r>
        <w:rPr>
          <w:rFonts w:hint="eastAsia" w:ascii="宋体" w:hAnsi="宋体" w:cs="仿宋_GB2312"/>
          <w:sz w:val="24"/>
          <w:szCs w:val="24"/>
          <w:highlight w:val="none"/>
          <w:lang w:eastAsia="zh"/>
          <w:woUserID w:val="1"/>
        </w:rPr>
        <w:t>甲方</w:t>
      </w:r>
      <w:r>
        <w:rPr>
          <w:rFonts w:hint="eastAsia" w:ascii="宋体" w:hAnsi="宋体" w:cs="仿宋_GB2312"/>
          <w:sz w:val="24"/>
          <w:szCs w:val="24"/>
          <w:highlight w:val="none"/>
        </w:rPr>
        <w:t>审批后才能组织实施，并根据经审批的投资增减情况</w:t>
      </w:r>
      <w:r>
        <w:rPr>
          <w:rFonts w:hint="eastAsia" w:ascii="宋体" w:hAnsi="宋体" w:cs="仿宋_GB2312"/>
          <w:sz w:val="24"/>
          <w:szCs w:val="24"/>
          <w:highlight w:val="none"/>
          <w:lang w:eastAsia="zh"/>
          <w:woUserID w:val="1"/>
        </w:rPr>
        <w:t>协助甲方</w:t>
      </w:r>
      <w:r>
        <w:rPr>
          <w:rFonts w:hint="eastAsia" w:ascii="宋体" w:hAnsi="宋体" w:cs="仿宋_GB2312"/>
          <w:sz w:val="24"/>
          <w:szCs w:val="24"/>
          <w:highlight w:val="none"/>
        </w:rPr>
        <w:t>按程序申报调整项目概算；</w:t>
      </w:r>
      <w:r>
        <w:rPr>
          <w:rFonts w:hint="eastAsia" w:ascii="宋体" w:hAnsi="宋体" w:cs="仿宋_GB2312"/>
          <w:sz w:val="24"/>
          <w:szCs w:val="24"/>
          <w:highlight w:val="none"/>
          <w:lang w:eastAsia="zh"/>
          <w:woUserID w:val="1"/>
        </w:rPr>
        <w:t>负责协调解决项目实施过程中的造价相关争议；</w:t>
      </w:r>
      <w:r>
        <w:rPr>
          <w:rFonts w:hint="eastAsia" w:ascii="宋体" w:hAnsi="宋体" w:cs="仿宋_GB2312"/>
          <w:sz w:val="24"/>
          <w:szCs w:val="24"/>
          <w:highlight w:val="none"/>
        </w:rPr>
        <w:t>其他工程投资管理工作。</w:t>
      </w:r>
    </w:p>
    <w:p w14:paraId="359605B9">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负责按有关规定进行安全管理和文明施工管理。</w:t>
      </w:r>
    </w:p>
    <w:p w14:paraId="4B610E90">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负责项目的建设档案和信息管理。</w:t>
      </w:r>
    </w:p>
    <w:p w14:paraId="12EFF449">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负责</w:t>
      </w:r>
      <w:r>
        <w:rPr>
          <w:rFonts w:hint="eastAsia" w:ascii="宋体" w:hAnsi="宋体" w:cs="仿宋_GB2312"/>
          <w:sz w:val="24"/>
          <w:szCs w:val="24"/>
          <w:highlight w:val="none"/>
          <w:lang w:eastAsia="zh"/>
          <w:woUserID w:val="1"/>
        </w:rPr>
        <w:t>协助</w:t>
      </w:r>
      <w:r>
        <w:rPr>
          <w:rFonts w:hint="eastAsia" w:ascii="宋体" w:hAnsi="宋体" w:cs="仿宋_GB2312"/>
          <w:sz w:val="24"/>
          <w:szCs w:val="24"/>
          <w:highlight w:val="none"/>
        </w:rPr>
        <w:t>办理项目</w:t>
      </w:r>
      <w:r>
        <w:rPr>
          <w:rFonts w:hint="eastAsia" w:ascii="宋体" w:hAnsi="宋体" w:cs="仿宋_GB2312"/>
          <w:sz w:val="24"/>
          <w:szCs w:val="24"/>
          <w:highlight w:val="none"/>
          <w:lang w:eastAsia="zh"/>
          <w:woUserID w:val="1"/>
        </w:rPr>
        <w:t>竣工联合验收</w:t>
      </w:r>
      <w:r>
        <w:rPr>
          <w:rFonts w:hint="eastAsia" w:ascii="宋体" w:hAnsi="宋体" w:cs="仿宋_GB2312"/>
          <w:sz w:val="24"/>
          <w:szCs w:val="24"/>
          <w:highlight w:val="none"/>
        </w:rPr>
        <w:t>及移交手续。负责组织</w:t>
      </w:r>
      <w:r>
        <w:rPr>
          <w:rFonts w:hint="eastAsia" w:ascii="宋体" w:hAnsi="宋体" w:cs="仿宋_GB2312"/>
          <w:sz w:val="24"/>
          <w:szCs w:val="24"/>
          <w:highlight w:val="none"/>
          <w:lang w:eastAsia="zh"/>
          <w:woUserID w:val="1"/>
        </w:rPr>
        <w:t>甲方</w:t>
      </w:r>
      <w:r>
        <w:rPr>
          <w:rFonts w:hint="eastAsia" w:ascii="宋体" w:hAnsi="宋体" w:cs="仿宋_GB2312"/>
          <w:sz w:val="24"/>
          <w:szCs w:val="24"/>
          <w:highlight w:val="none"/>
        </w:rPr>
        <w:t>、设计单位、施工单位和监理单位等，按照国家现行验收规范</w:t>
      </w:r>
      <w:r>
        <w:rPr>
          <w:rFonts w:hint="eastAsia" w:ascii="宋体" w:hAnsi="宋体" w:cs="仿宋_GB2312"/>
          <w:sz w:val="24"/>
          <w:szCs w:val="24"/>
          <w:highlight w:val="none"/>
          <w:lang w:eastAsia="zh"/>
          <w:woUserID w:val="1"/>
        </w:rPr>
        <w:t>协助</w:t>
      </w:r>
      <w:r>
        <w:rPr>
          <w:rFonts w:hint="eastAsia" w:ascii="宋体" w:hAnsi="宋体" w:cs="仿宋_GB2312"/>
          <w:sz w:val="24"/>
          <w:szCs w:val="24"/>
          <w:highlight w:val="none"/>
          <w:lang w:eastAsia="zh"/>
          <w:woUserID w:val="2"/>
        </w:rPr>
        <w:t>甲方</w:t>
      </w:r>
      <w:r>
        <w:rPr>
          <w:rFonts w:hint="eastAsia" w:ascii="宋体" w:hAnsi="宋体" w:cs="仿宋_GB2312"/>
          <w:sz w:val="24"/>
          <w:szCs w:val="24"/>
          <w:highlight w:val="none"/>
        </w:rPr>
        <w:t>办理项目</w:t>
      </w:r>
      <w:r>
        <w:rPr>
          <w:rFonts w:hint="eastAsia" w:ascii="宋体" w:hAnsi="宋体" w:cs="仿宋_GB2312"/>
          <w:sz w:val="24"/>
          <w:szCs w:val="24"/>
          <w:highlight w:val="none"/>
          <w:lang w:eastAsia="zh"/>
          <w:woUserID w:val="1"/>
        </w:rPr>
        <w:t>竣工联合验收</w:t>
      </w:r>
      <w:r>
        <w:rPr>
          <w:rFonts w:hint="eastAsia" w:ascii="宋体" w:hAnsi="宋体" w:cs="仿宋_GB2312"/>
          <w:sz w:val="24"/>
          <w:szCs w:val="24"/>
          <w:highlight w:val="none"/>
        </w:rPr>
        <w:t>申报手续，并配合市有关管理部门进行项目</w:t>
      </w:r>
      <w:r>
        <w:rPr>
          <w:rFonts w:hint="eastAsia" w:ascii="宋体" w:hAnsi="宋体" w:cs="仿宋_GB2312"/>
          <w:sz w:val="24"/>
          <w:szCs w:val="24"/>
          <w:highlight w:val="none"/>
          <w:lang w:eastAsia="zh"/>
          <w:woUserID w:val="1"/>
        </w:rPr>
        <w:t>竣工联合验收</w:t>
      </w:r>
      <w:r>
        <w:rPr>
          <w:rFonts w:hint="eastAsia" w:ascii="宋体" w:hAnsi="宋体" w:cs="仿宋_GB2312"/>
          <w:sz w:val="24"/>
          <w:szCs w:val="24"/>
          <w:highlight w:val="none"/>
        </w:rPr>
        <w:t>；项目</w:t>
      </w:r>
      <w:r>
        <w:rPr>
          <w:rFonts w:hint="eastAsia" w:ascii="宋体" w:hAnsi="宋体" w:cs="仿宋_GB2312"/>
          <w:sz w:val="24"/>
          <w:szCs w:val="24"/>
          <w:highlight w:val="none"/>
          <w:lang w:eastAsia="zh"/>
          <w:woUserID w:val="1"/>
        </w:rPr>
        <w:t>竣工联合验收</w:t>
      </w:r>
      <w:r>
        <w:rPr>
          <w:rFonts w:hint="eastAsia" w:ascii="宋体" w:hAnsi="宋体" w:cs="仿宋_GB2312"/>
          <w:sz w:val="24"/>
          <w:szCs w:val="24"/>
          <w:highlight w:val="none"/>
        </w:rPr>
        <w:t>合格后，应尽快向</w:t>
      </w:r>
      <w:r>
        <w:rPr>
          <w:rFonts w:hint="eastAsia" w:ascii="宋体" w:hAnsi="宋体" w:cs="仿宋_GB2312"/>
          <w:sz w:val="24"/>
          <w:szCs w:val="24"/>
          <w:highlight w:val="none"/>
          <w:lang w:eastAsia="zh"/>
          <w:woUserID w:val="1"/>
        </w:rPr>
        <w:t>甲方</w:t>
      </w:r>
      <w:r>
        <w:rPr>
          <w:rFonts w:hint="eastAsia" w:ascii="宋体" w:hAnsi="宋体" w:cs="仿宋_GB2312"/>
          <w:sz w:val="24"/>
          <w:szCs w:val="24"/>
          <w:highlight w:val="none"/>
        </w:rPr>
        <w:t>移交有关图文资料、账目，以及</w:t>
      </w:r>
      <w:r>
        <w:rPr>
          <w:rFonts w:hint="eastAsia" w:ascii="宋体" w:hAnsi="宋体" w:cs="仿宋_GB2312"/>
          <w:sz w:val="24"/>
          <w:szCs w:val="24"/>
          <w:highlight w:val="none"/>
          <w:lang w:val="en-US" w:eastAsia="zh-CN"/>
        </w:rPr>
        <w:t>项目</w:t>
      </w:r>
      <w:r>
        <w:rPr>
          <w:rFonts w:hint="eastAsia" w:ascii="宋体" w:hAnsi="宋体" w:cs="仿宋_GB2312"/>
          <w:sz w:val="24"/>
          <w:szCs w:val="24"/>
          <w:highlight w:val="none"/>
        </w:rPr>
        <w:t>投资所形成的设施和库存物品，并按有关规定办妥全部移交手续；负责解决</w:t>
      </w:r>
      <w:r>
        <w:rPr>
          <w:rFonts w:hint="eastAsia" w:ascii="宋体" w:hAnsi="宋体" w:cs="仿宋_GB2312"/>
          <w:sz w:val="24"/>
          <w:szCs w:val="24"/>
          <w:highlight w:val="none"/>
          <w:lang w:eastAsia="zh"/>
          <w:woUserID w:val="1"/>
        </w:rPr>
        <w:t>竣工联合验收</w:t>
      </w:r>
      <w:r>
        <w:rPr>
          <w:rFonts w:hint="eastAsia" w:ascii="宋体" w:hAnsi="宋体" w:cs="仿宋_GB2312"/>
          <w:sz w:val="24"/>
          <w:szCs w:val="24"/>
          <w:highlight w:val="none"/>
        </w:rPr>
        <w:t>中的工程质量问题，并负责督促施工单位解决质量保修期的工程质量问题。</w:t>
      </w:r>
    </w:p>
    <w:p w14:paraId="617AAD31">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乙方必须根据建设方案、建设规模、建设内容、建设标准、建设工期、立项投资等，严格按照国家基本建设程序进行项目的建设组织管理，按批准的项目概算和预算进行投资控制，确保工程质量和进度，按期交付使用。</w:t>
      </w:r>
    </w:p>
    <w:p w14:paraId="774863BD">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乙方在甲方委托的工程范围内，根据甲方授权和有关法律、法规的规定，行使本合同所约定的项目建设管理工作的各项权利</w:t>
      </w: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并对建设管理过程中设计的本项目相关文件和信息做好保密工作</w:t>
      </w:r>
      <w:r>
        <w:rPr>
          <w:rFonts w:hint="eastAsia" w:ascii="宋体" w:hAnsi="宋体" w:cs="仿宋_GB2312"/>
          <w:sz w:val="24"/>
          <w:szCs w:val="24"/>
          <w:highlight w:val="none"/>
        </w:rPr>
        <w:t>。</w:t>
      </w:r>
    </w:p>
    <w:p w14:paraId="32E715B6">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lang w:val="en-US" w:eastAsia="zh-CN"/>
        </w:rPr>
        <w:t>具体招标人身份双方协商确定。</w:t>
      </w:r>
      <w:r>
        <w:rPr>
          <w:rFonts w:hint="eastAsia" w:ascii="宋体" w:hAnsi="宋体" w:cs="仿宋_GB2312"/>
          <w:sz w:val="24"/>
          <w:szCs w:val="24"/>
          <w:highlight w:val="none"/>
        </w:rPr>
        <w:t>乙方</w:t>
      </w:r>
      <w:r>
        <w:rPr>
          <w:rFonts w:hint="eastAsia" w:ascii="宋体" w:hAnsi="宋体" w:cs="仿宋_GB2312"/>
          <w:sz w:val="24"/>
          <w:szCs w:val="24"/>
          <w:highlight w:val="none"/>
          <w:lang w:val="en-US" w:eastAsia="zh-CN"/>
        </w:rPr>
        <w:t>若</w:t>
      </w:r>
      <w:r>
        <w:rPr>
          <w:rFonts w:hint="eastAsia" w:ascii="宋体" w:hAnsi="宋体" w:cs="仿宋_GB2312"/>
          <w:sz w:val="24"/>
          <w:szCs w:val="24"/>
          <w:highlight w:val="none"/>
        </w:rPr>
        <w:t>作为招标人负责招标和管理设计、施工、采购及其他服务的招投标工作，必须严格按照招标投标的法律法规组织招标。中标人必须满足国家有关资质的要求，具备承担相应项目的实力。在本合同签订后，甲方尽快将已签订的各相关合同移交乙方，乙方代为履行相应权利和义务。</w:t>
      </w:r>
    </w:p>
    <w:p w14:paraId="5E879905">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依法通过询价、邀请招标实施的项目，相关招标工作应</w:t>
      </w:r>
      <w:r>
        <w:rPr>
          <w:rFonts w:hint="eastAsia" w:ascii="宋体" w:hAnsi="宋体" w:cs="仿宋_GB2312"/>
          <w:sz w:val="24"/>
          <w:szCs w:val="24"/>
          <w:highlight w:val="none"/>
          <w:lang w:val="en-US" w:eastAsia="zh-CN"/>
        </w:rPr>
        <w:t>在合理期限提前</w:t>
      </w:r>
      <w:r>
        <w:rPr>
          <w:rFonts w:hint="eastAsia" w:ascii="宋体" w:hAnsi="宋体" w:cs="仿宋_GB2312"/>
          <w:sz w:val="24"/>
          <w:szCs w:val="24"/>
          <w:highlight w:val="none"/>
        </w:rPr>
        <w:t>通知甲方进行参与和监督。</w:t>
      </w:r>
      <w:r>
        <w:rPr>
          <w:rFonts w:hint="eastAsia" w:ascii="宋体" w:hAnsi="宋体" w:cs="仿宋_GB2312"/>
          <w:sz w:val="24"/>
          <w:szCs w:val="24"/>
          <w:highlight w:val="none"/>
          <w:lang w:val="en-US" w:eastAsia="zh-CN"/>
        </w:rPr>
        <w:t>经乙方书面通知后，</w:t>
      </w:r>
      <w:r>
        <w:rPr>
          <w:rFonts w:hint="eastAsia" w:ascii="宋体" w:hAnsi="宋体" w:cs="仿宋_GB2312"/>
          <w:sz w:val="24"/>
          <w:szCs w:val="24"/>
          <w:highlight w:val="none"/>
        </w:rPr>
        <w:t>甲方未参与和监督的，则视为同意由乙方全权负责项目的招投标工作。乙方可以根据工程建设的需要，依法向外直接委托的项目，与甲方协商并经甲方书面同意后，直接委托函由乙方抄送甲方。</w:t>
      </w:r>
    </w:p>
    <w:p w14:paraId="5F752A4D">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对参与工程实施过程的第三方，具有直接管理权。</w:t>
      </w:r>
    </w:p>
    <w:p w14:paraId="16B58CFD">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本项目设备和材料必须按照法律规定的程序进行采购和招标，需要直接确认的设备和材料的选型和使用，乙方得到甲方确认后，按照法律、法规规定的程序进行采购。</w:t>
      </w:r>
    </w:p>
    <w:p w14:paraId="3FD54499">
      <w:pPr>
        <w:numPr>
          <w:ilvl w:val="2"/>
          <w:numId w:val="3"/>
        </w:numPr>
        <w:tabs>
          <w:tab w:val="left" w:pos="-540"/>
          <w:tab w:val="left" w:pos="1080"/>
          <w:tab w:val="left" w:pos="1276"/>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对涉及使用功能的重大设计变更，应按规定进行论证和专家评审，并按工程变更管理程序组织实施。</w:t>
      </w:r>
    </w:p>
    <w:p w14:paraId="4224737F">
      <w:pPr>
        <w:numPr>
          <w:ilvl w:val="2"/>
          <w:numId w:val="3"/>
        </w:numPr>
        <w:tabs>
          <w:tab w:val="left" w:pos="-540"/>
          <w:tab w:val="left" w:pos="1080"/>
          <w:tab w:val="left" w:pos="1418"/>
          <w:tab w:val="left" w:pos="1843"/>
        </w:tabs>
        <w:spacing w:line="360" w:lineRule="auto"/>
        <w:ind w:left="0" w:firstLine="480" w:firstLineChars="200"/>
        <w:rPr>
          <w:rFonts w:ascii="宋体" w:hAnsi="宋体"/>
          <w:color w:val="auto"/>
          <w:sz w:val="24"/>
          <w:szCs w:val="24"/>
          <w:highlight w:val="none"/>
        </w:rPr>
      </w:pPr>
      <w:r>
        <w:rPr>
          <w:rFonts w:hint="eastAsia" w:ascii="宋体" w:hAnsi="宋体" w:cs="仿宋_GB2312"/>
          <w:sz w:val="24"/>
          <w:szCs w:val="24"/>
          <w:highlight w:val="none"/>
        </w:rPr>
        <w:t>乙方在合同期内或合同终止后，未征得甲方的书面同意，不得泄露</w:t>
      </w:r>
      <w:r>
        <w:rPr>
          <w:rFonts w:hint="eastAsia" w:ascii="宋体" w:hAnsi="宋体" w:cs="仿宋_GB2312"/>
          <w:color w:val="auto"/>
          <w:sz w:val="24"/>
          <w:szCs w:val="24"/>
          <w:highlight w:val="none"/>
        </w:rPr>
        <w:t>与本工程、本合同业务有关的保密资料。</w:t>
      </w:r>
    </w:p>
    <w:p w14:paraId="6BE1A2EC">
      <w:pPr>
        <w:numPr>
          <w:ilvl w:val="2"/>
          <w:numId w:val="3"/>
        </w:numPr>
        <w:tabs>
          <w:tab w:val="left" w:pos="-540"/>
          <w:tab w:val="left" w:pos="1080"/>
          <w:tab w:val="left" w:pos="1418"/>
          <w:tab w:val="left" w:pos="1843"/>
        </w:tabs>
        <w:spacing w:line="360" w:lineRule="auto"/>
        <w:ind w:left="0" w:firstLine="480" w:firstLineChars="200"/>
        <w:rPr>
          <w:rFonts w:ascii="宋体" w:hAnsi="宋体"/>
          <w:color w:val="auto"/>
          <w:sz w:val="24"/>
          <w:szCs w:val="24"/>
          <w:highlight w:val="none"/>
        </w:rPr>
      </w:pPr>
      <w:r>
        <w:rPr>
          <w:rFonts w:hint="eastAsia" w:ascii="宋体" w:hAnsi="宋体" w:cs="仿宋_GB2312"/>
          <w:color w:val="auto"/>
          <w:sz w:val="24"/>
          <w:szCs w:val="24"/>
          <w:highlight w:val="none"/>
        </w:rPr>
        <w:t>乙方在责任期内，因工作疏忽、过失，出现工程质量事故的，应承担相应经济和法律责任。</w:t>
      </w:r>
    </w:p>
    <w:p w14:paraId="3B5038FF">
      <w:pPr>
        <w:pStyle w:val="17"/>
        <w:numPr>
          <w:ilvl w:val="2"/>
          <w:numId w:val="3"/>
        </w:numPr>
        <w:ind w:left="0" w:firstLine="508" w:firstLineChars="200"/>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eastAsia="zh-CN"/>
        </w:rPr>
        <w:t>乙方</w:t>
      </w:r>
      <w:r>
        <w:rPr>
          <w:rFonts w:hint="eastAsia" w:ascii="宋体" w:hAnsi="宋体" w:eastAsia="宋体" w:cs="仿宋_GB2312"/>
          <w:color w:val="auto"/>
          <w:sz w:val="24"/>
          <w:szCs w:val="24"/>
          <w:highlight w:val="none"/>
          <w:lang w:val="en-US" w:eastAsia="zh-CN"/>
        </w:rPr>
        <w:t>全程</w:t>
      </w:r>
      <w:r>
        <w:rPr>
          <w:rFonts w:hint="eastAsia" w:ascii="宋体" w:hAnsi="宋体" w:eastAsia="宋体" w:cs="仿宋_GB2312"/>
          <w:color w:val="auto"/>
          <w:sz w:val="24"/>
          <w:szCs w:val="24"/>
          <w:highlight w:val="none"/>
          <w:lang w:eastAsia="zh-CN"/>
        </w:rPr>
        <w:t>驻场管理人员为两人</w:t>
      </w:r>
      <w:r>
        <w:rPr>
          <w:rFonts w:hint="eastAsia" w:ascii="宋体" w:hAnsi="宋体" w:eastAsia="宋体" w:cs="仿宋_GB2312"/>
          <w:color w:val="auto"/>
          <w:sz w:val="24"/>
          <w:szCs w:val="24"/>
          <w:highlight w:val="none"/>
          <w:lang w:val="en-US" w:eastAsia="zh-CN"/>
        </w:rPr>
        <w:t>。现场驻场人员，每月在现场管理的实际时间不少于工作日时间的 70%。</w:t>
      </w:r>
    </w:p>
    <w:p w14:paraId="5E0D296C">
      <w:pPr>
        <w:pStyle w:val="17"/>
        <w:numPr>
          <w:ilvl w:val="2"/>
          <w:numId w:val="3"/>
        </w:numPr>
        <w:ind w:left="0" w:firstLine="508" w:firstLineChars="200"/>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乙方职责范围内的事项须经甲方审批确认后方可实施，并每周</w:t>
      </w:r>
      <w:r>
        <w:rPr>
          <w:rFonts w:hint="eastAsia" w:ascii="宋体" w:hAnsi="宋体" w:eastAsia="宋体" w:cs="仿宋_GB2312"/>
          <w:color w:val="auto"/>
          <w:sz w:val="24"/>
          <w:szCs w:val="24"/>
          <w:highlight w:val="none"/>
          <w:lang w:val="en-US" w:eastAsia="zh"/>
          <w:woUserID w:val="1"/>
        </w:rPr>
        <w:t>及每月</w:t>
      </w:r>
      <w:r>
        <w:rPr>
          <w:rFonts w:hint="eastAsia" w:ascii="宋体" w:hAnsi="宋体" w:eastAsia="宋体" w:cs="仿宋_GB2312"/>
          <w:color w:val="auto"/>
          <w:sz w:val="24"/>
          <w:szCs w:val="24"/>
          <w:highlight w:val="none"/>
          <w:lang w:val="en-US" w:eastAsia="zh-CN"/>
        </w:rPr>
        <w:t>向甲方汇报项目进展。</w:t>
      </w:r>
    </w:p>
    <w:p w14:paraId="260DEBDE">
      <w:pPr>
        <w:pStyle w:val="17"/>
        <w:numPr>
          <w:ilvl w:val="2"/>
          <w:numId w:val="3"/>
        </w:numPr>
        <w:ind w:left="0" w:firstLine="508" w:firstLineChars="200"/>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
          <w:woUserID w:val="2"/>
        </w:rPr>
        <w:t>除上述职责外，乙方还需服从甲方以书面或其他方式通知的相关建设安全管理办法。</w:t>
      </w:r>
    </w:p>
    <w:p w14:paraId="5E9034B9">
      <w:pPr>
        <w:adjustRightInd w:val="0"/>
        <w:snapToGrid w:val="0"/>
        <w:spacing w:line="360" w:lineRule="auto"/>
        <w:ind w:firstLine="480" w:firstLineChars="200"/>
        <w:rPr>
          <w:rFonts w:ascii="宋体" w:hAnsi="宋体"/>
          <w:b/>
          <w:bCs/>
          <w:sz w:val="24"/>
          <w:szCs w:val="24"/>
          <w:highlight w:val="none"/>
        </w:rPr>
      </w:pPr>
      <w:r>
        <w:rPr>
          <w:rFonts w:hint="eastAsia" w:ascii="宋体" w:hAnsi="宋体" w:cs="仿宋_GB2312"/>
          <w:sz w:val="24"/>
          <w:szCs w:val="24"/>
          <w:highlight w:val="none"/>
        </w:rPr>
        <w:t>上述乙方职责未明确的，参照</w:t>
      </w:r>
      <w:r>
        <w:rPr>
          <w:rFonts w:hint="eastAsia" w:ascii="宋体" w:hAnsi="宋体" w:cs="宋体"/>
          <w:bCs/>
          <w:kern w:val="0"/>
          <w:sz w:val="24"/>
          <w:szCs w:val="24"/>
          <w:highlight w:val="none"/>
        </w:rPr>
        <w:t>广东省人民政府关于印发《广东省政府投资省属非经营性项目建设管理办法》的通知（粤府[2022]12号）</w:t>
      </w:r>
      <w:r>
        <w:rPr>
          <w:rFonts w:hint="eastAsia" w:ascii="宋体" w:hAnsi="宋体" w:cs="仿宋_GB2312"/>
          <w:sz w:val="24"/>
          <w:szCs w:val="24"/>
          <w:highlight w:val="none"/>
        </w:rPr>
        <w:t>有关条文执行。</w:t>
      </w:r>
    </w:p>
    <w:p w14:paraId="58FFBC49">
      <w:pPr>
        <w:numPr>
          <w:ilvl w:val="0"/>
          <w:numId w:val="2"/>
        </w:numPr>
        <w:adjustRightInd w:val="0"/>
        <w:snapToGrid w:val="0"/>
        <w:spacing w:line="360" w:lineRule="auto"/>
        <w:jc w:val="center"/>
        <w:rPr>
          <w:rFonts w:ascii="宋体" w:hAnsi="宋体"/>
          <w:b/>
          <w:bCs/>
          <w:sz w:val="24"/>
          <w:szCs w:val="24"/>
          <w:highlight w:val="none"/>
        </w:rPr>
      </w:pPr>
      <w:r>
        <w:rPr>
          <w:rFonts w:hint="eastAsia" w:ascii="宋体" w:hAnsi="宋体" w:cs="仿宋_GB2312"/>
          <w:b/>
          <w:bCs/>
          <w:sz w:val="24"/>
          <w:szCs w:val="24"/>
          <w:highlight w:val="none"/>
        </w:rPr>
        <w:t>建设管理服务费用及支付方式</w:t>
      </w:r>
    </w:p>
    <w:p w14:paraId="72B03281">
      <w:pPr>
        <w:numPr>
          <w:ilvl w:val="1"/>
          <w:numId w:val="4"/>
        </w:numPr>
        <w:tabs>
          <w:tab w:val="left" w:pos="900"/>
          <w:tab w:val="left" w:pos="1134"/>
          <w:tab w:val="left" w:pos="1560"/>
          <w:tab w:val="clear" w:pos="1080"/>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建设管理服务费用开支包括但不限于下列范围和内容：</w:t>
      </w:r>
    </w:p>
    <w:p w14:paraId="3B820459">
      <w:pPr>
        <w:numPr>
          <w:ilvl w:val="2"/>
          <w:numId w:val="4"/>
        </w:numPr>
        <w:tabs>
          <w:tab w:val="left" w:pos="900"/>
          <w:tab w:val="left" w:pos="1134"/>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建设管理服务费：是指从项目启动之日起至办理竣工财务决算之日止发生的管理性质的开支。包括：乙方本项目工作人员工资、基本养老保险费、基本医疗保险费、失业保险费，办公费、差旅交通费、劳动保护费、工具用具使用费、固定资产使用费、零星购置费、技术图书资料费、印花税、业务招待费、施工现场津贴和其他管理性质开支。</w:t>
      </w:r>
    </w:p>
    <w:p w14:paraId="21EAC93B">
      <w:pPr>
        <w:numPr>
          <w:ilvl w:val="2"/>
          <w:numId w:val="4"/>
        </w:numPr>
        <w:tabs>
          <w:tab w:val="left" w:pos="900"/>
          <w:tab w:val="left" w:pos="1134"/>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临时设施费：指建设期间乙方所需临时设施的搭设、维修、摊销或租赁费用。</w:t>
      </w:r>
    </w:p>
    <w:p w14:paraId="78602784">
      <w:pPr>
        <w:numPr>
          <w:ilvl w:val="2"/>
          <w:numId w:val="4"/>
        </w:numPr>
        <w:tabs>
          <w:tab w:val="left" w:pos="900"/>
          <w:tab w:val="left" w:pos="1134"/>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税金：因建设管理服务收费应交的一切税费。</w:t>
      </w:r>
    </w:p>
    <w:p w14:paraId="70E7E45B">
      <w:pPr>
        <w:numPr>
          <w:ilvl w:val="1"/>
          <w:numId w:val="4"/>
        </w:numPr>
        <w:tabs>
          <w:tab w:val="left" w:pos="900"/>
          <w:tab w:val="left" w:pos="1134"/>
          <w:tab w:val="left" w:pos="1560"/>
          <w:tab w:val="clear" w:pos="1080"/>
        </w:tabs>
        <w:spacing w:line="360" w:lineRule="auto"/>
        <w:ind w:left="0" w:firstLine="480" w:firstLineChars="200"/>
        <w:rPr>
          <w:rFonts w:ascii="宋体" w:hAnsi="宋体"/>
          <w:sz w:val="24"/>
          <w:szCs w:val="24"/>
          <w:highlight w:val="none"/>
        </w:rPr>
      </w:pPr>
      <w:r>
        <w:rPr>
          <w:rFonts w:hint="eastAsia" w:ascii="宋体" w:hAnsi="宋体" w:cs="仿宋_GB2312"/>
          <w:sz w:val="24"/>
          <w:szCs w:val="24"/>
          <w:highlight w:val="none"/>
        </w:rPr>
        <w:t>在建设管理业务范围内，如需聘用专家咨询或协助，由乙方聘用的，其费用由乙方承担；由甲方或由甲方委托乙方聘用的，其费用由甲方承担。</w:t>
      </w:r>
    </w:p>
    <w:p w14:paraId="39D5B947">
      <w:pPr>
        <w:numPr>
          <w:ilvl w:val="1"/>
          <w:numId w:val="4"/>
        </w:numPr>
        <w:tabs>
          <w:tab w:val="left" w:pos="900"/>
          <w:tab w:val="left" w:pos="1134"/>
          <w:tab w:val="left" w:pos="1560"/>
          <w:tab w:val="clear" w:pos="1080"/>
        </w:tabs>
        <w:spacing w:line="360" w:lineRule="auto"/>
        <w:ind w:left="0" w:firstLine="480" w:firstLineChars="200"/>
        <w:rPr>
          <w:rFonts w:ascii="宋体" w:hAnsi="宋体"/>
          <w:sz w:val="24"/>
          <w:highlight w:val="none"/>
        </w:rPr>
      </w:pPr>
      <w:r>
        <w:rPr>
          <w:rFonts w:hint="eastAsia" w:ascii="宋体" w:hAnsi="宋体" w:cs="仿宋_GB2312"/>
          <w:sz w:val="24"/>
          <w:szCs w:val="24"/>
          <w:highlight w:val="none"/>
        </w:rPr>
        <w:t>本合同乙方的</w:t>
      </w:r>
      <w:r>
        <w:rPr>
          <w:rFonts w:hint="eastAsia" w:ascii="宋体" w:hAnsi="宋体" w:cs="仿宋_GB2312"/>
          <w:sz w:val="24"/>
          <w:szCs w:val="24"/>
          <w:highlight w:val="none"/>
          <w:lang w:val="en-US" w:eastAsia="zh-CN"/>
        </w:rPr>
        <w:t>总</w:t>
      </w:r>
      <w:r>
        <w:rPr>
          <w:rFonts w:hint="eastAsia" w:ascii="宋体" w:hAnsi="宋体" w:cs="仿宋_GB2312"/>
          <w:sz w:val="24"/>
          <w:szCs w:val="24"/>
          <w:highlight w:val="none"/>
        </w:rPr>
        <w:t>建设管理服务费</w:t>
      </w:r>
      <w:r>
        <w:rPr>
          <w:rFonts w:hint="eastAsia" w:ascii="宋体" w:hAnsi="宋体" w:cs="仿宋_GB2312"/>
          <w:sz w:val="24"/>
          <w:szCs w:val="24"/>
          <w:highlight w:val="none"/>
          <w:lang w:val="en-US" w:eastAsia="zh-CN"/>
        </w:rPr>
        <w:t>暂定</w:t>
      </w:r>
      <w:r>
        <w:rPr>
          <w:rFonts w:hint="eastAsia" w:ascii="宋体" w:hAnsi="宋体" w:cs="仿宋_GB2312"/>
          <w:sz w:val="24"/>
          <w:szCs w:val="24"/>
          <w:highlight w:val="none"/>
        </w:rPr>
        <w:t>含税合同价为</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元（大写：人民币</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其中：房建工程建设管理服务费暂定含税合同价为</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元（大写：人民币</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w:t>
      </w: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市政工程建设管理服务费暂定含税合同价</w:t>
      </w:r>
      <w:r>
        <w:rPr>
          <w:rFonts w:hint="eastAsia" w:ascii="宋体" w:hAnsi="宋体" w:cs="仿宋_GB2312"/>
          <w:sz w:val="24"/>
          <w:szCs w:val="24"/>
          <w:highlight w:val="none"/>
        </w:rPr>
        <w:t>为</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元（大写：人民币</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w:t>
      </w: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水利工程建设管理服务费暂定含税合同价</w:t>
      </w:r>
      <w:r>
        <w:rPr>
          <w:rFonts w:hint="eastAsia" w:ascii="宋体" w:hAnsi="宋体" w:cs="仿宋_GB2312"/>
          <w:sz w:val="24"/>
          <w:szCs w:val="24"/>
          <w:highlight w:val="none"/>
        </w:rPr>
        <w:t>为</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元（大写：人民币</w:t>
      </w:r>
      <w:r>
        <w:rPr>
          <w:rFonts w:hint="eastAsia" w:ascii="宋体" w:hAnsi="宋体" w:cs="仿宋_GB2312"/>
          <w:sz w:val="24"/>
          <w:szCs w:val="24"/>
          <w:highlight w:val="none"/>
          <w:u w:val="single"/>
        </w:rPr>
        <w:t xml:space="preserve">       </w:t>
      </w:r>
      <w:r>
        <w:rPr>
          <w:rFonts w:hint="eastAsia" w:ascii="宋体" w:hAnsi="宋体" w:cs="仿宋_GB2312"/>
          <w:sz w:val="24"/>
          <w:szCs w:val="24"/>
          <w:highlight w:val="none"/>
        </w:rPr>
        <w:t>）</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本费用未包括管线迁改工作经费。如发生工程建设管线迁改，管线迁改工作经费按有关依据另行签订合同。</w:t>
      </w:r>
    </w:p>
    <w:p w14:paraId="5E905A43">
      <w:pPr>
        <w:spacing w:line="360" w:lineRule="auto"/>
        <w:ind w:firstLine="480" w:firstLineChars="200"/>
        <w:rPr>
          <w:rFonts w:ascii="宋体" w:hAnsi="宋体" w:cs="仿宋_GB2312"/>
          <w:sz w:val="24"/>
          <w:szCs w:val="24"/>
          <w:highlight w:val="none"/>
        </w:rPr>
      </w:pPr>
      <w:r>
        <w:rPr>
          <w:rFonts w:hint="eastAsia" w:ascii="宋体" w:hAnsi="宋体" w:cs="宋体"/>
          <w:sz w:val="24"/>
          <w:szCs w:val="24"/>
          <w:highlight w:val="none"/>
        </w:rPr>
        <w:t>合</w:t>
      </w:r>
      <w:r>
        <w:rPr>
          <w:rFonts w:hint="eastAsia" w:ascii="宋体" w:hAnsi="宋体" w:cs="仿宋_GB2312"/>
          <w:sz w:val="24"/>
          <w:szCs w:val="24"/>
          <w:highlight w:val="none"/>
        </w:rPr>
        <w:t>同期内，由于乙方自身纳税人身份、纳税方式及国家税制改革原因带来税种及税率的变化，非经甲方书面同意，本合同不含增值税价不予调整。</w:t>
      </w:r>
    </w:p>
    <w:p w14:paraId="11EF35AE">
      <w:pPr>
        <w:numPr>
          <w:ilvl w:val="255"/>
          <w:numId w:val="0"/>
        </w:numPr>
        <w:tabs>
          <w:tab w:val="left" w:pos="851"/>
        </w:tabs>
        <w:spacing w:line="360" w:lineRule="auto"/>
        <w:ind w:firstLine="480" w:firstLineChars="200"/>
        <w:rPr>
          <w:rFonts w:hint="eastAsia" w:ascii="宋体" w:hAnsi="宋体" w:cs="宋体"/>
          <w:snapToGrid w:val="0"/>
          <w:spacing w:val="4"/>
          <w:kern w:val="0"/>
          <w:sz w:val="24"/>
          <w:szCs w:val="24"/>
          <w:highlight w:val="none"/>
          <w:lang w:val="en-US" w:eastAsia="zh-CN"/>
        </w:rPr>
      </w:pPr>
      <w:r>
        <w:rPr>
          <w:rFonts w:hint="eastAsia" w:ascii="宋体" w:hAnsi="宋体" w:cs="仿宋_GB2312"/>
          <w:sz w:val="24"/>
          <w:szCs w:val="24"/>
          <w:highlight w:val="none"/>
        </w:rPr>
        <w:t>3</w:t>
      </w:r>
      <w:r>
        <w:rPr>
          <w:rFonts w:ascii="宋体" w:hAnsi="宋体" w:cs="仿宋_GB2312"/>
          <w:sz w:val="24"/>
          <w:szCs w:val="24"/>
          <w:highlight w:val="none"/>
        </w:rPr>
        <w:t>.3.1.</w:t>
      </w:r>
      <w:r>
        <w:rPr>
          <w:rFonts w:hint="eastAsia" w:ascii="宋体" w:hAnsi="宋体" w:cs="宋体"/>
          <w:snapToGrid w:val="0"/>
          <w:spacing w:val="4"/>
          <w:kern w:val="0"/>
          <w:sz w:val="24"/>
          <w:szCs w:val="24"/>
          <w:highlight w:val="none"/>
        </w:rPr>
        <w:t>结算原则：在本合同约定的建设管理服务范围内，</w:t>
      </w:r>
      <w:r>
        <w:rPr>
          <w:rFonts w:hint="eastAsia" w:ascii="宋体" w:hAnsi="宋体" w:cs="宋体"/>
          <w:snapToGrid w:val="0"/>
          <w:spacing w:val="4"/>
          <w:kern w:val="0"/>
          <w:sz w:val="24"/>
          <w:szCs w:val="24"/>
          <w:highlight w:val="none"/>
          <w:lang w:val="en-US" w:eastAsia="zh-CN"/>
        </w:rPr>
        <w:t>总</w:t>
      </w:r>
      <w:r>
        <w:rPr>
          <w:rFonts w:hint="eastAsia" w:ascii="宋体" w:hAnsi="宋体" w:cs="宋体"/>
          <w:snapToGrid w:val="0"/>
          <w:spacing w:val="4"/>
          <w:kern w:val="0"/>
          <w:sz w:val="24"/>
          <w:szCs w:val="24"/>
          <w:highlight w:val="none"/>
        </w:rPr>
        <w:t>建设管理服务费原则</w:t>
      </w:r>
      <w:r>
        <w:rPr>
          <w:rFonts w:hint="eastAsia" w:ascii="宋体" w:hAnsi="宋体" w:cs="宋体"/>
          <w:snapToGrid w:val="0"/>
          <w:spacing w:val="4"/>
          <w:kern w:val="0"/>
          <w:sz w:val="24"/>
          <w:szCs w:val="24"/>
          <w:highlight w:val="none"/>
          <w:lang w:val="en-US" w:eastAsia="zh-CN"/>
        </w:rPr>
        <w:t>上</w:t>
      </w:r>
      <w:r>
        <w:rPr>
          <w:rFonts w:hint="eastAsia" w:ascii="宋体" w:hAnsi="宋体" w:cs="宋体"/>
          <w:snapToGrid w:val="0"/>
          <w:spacing w:val="4"/>
          <w:kern w:val="0"/>
          <w:sz w:val="24"/>
          <w:szCs w:val="24"/>
          <w:highlight w:val="none"/>
        </w:rPr>
        <w:t>以经评审</w:t>
      </w:r>
      <w:r>
        <w:rPr>
          <w:rFonts w:hint="eastAsia" w:ascii="宋体" w:hAnsi="宋体" w:cs="宋体"/>
          <w:snapToGrid w:val="0"/>
          <w:spacing w:val="4"/>
          <w:kern w:val="0"/>
          <w:sz w:val="24"/>
          <w:szCs w:val="24"/>
          <w:highlight w:val="none"/>
          <w:lang w:val="en-US" w:eastAsia="zh-CN"/>
        </w:rPr>
        <w:t>及甲方确认概算批复的项目总投资</w:t>
      </w:r>
      <w:r>
        <w:rPr>
          <w:rFonts w:hint="eastAsia" w:ascii="宋体" w:hAnsi="宋体" w:cs="宋体"/>
          <w:snapToGrid w:val="0"/>
          <w:spacing w:val="4"/>
          <w:kern w:val="0"/>
          <w:sz w:val="24"/>
          <w:szCs w:val="24"/>
          <w:highlight w:val="none"/>
        </w:rPr>
        <w:t>(不含概算批复</w:t>
      </w:r>
      <w:r>
        <w:rPr>
          <w:rFonts w:hint="eastAsia" w:ascii="宋体" w:hAnsi="宋体" w:cs="宋体"/>
          <w:snapToGrid w:val="0"/>
          <w:spacing w:val="4"/>
          <w:kern w:val="0"/>
          <w:sz w:val="24"/>
          <w:szCs w:val="24"/>
          <w:highlight w:val="none"/>
          <w:lang w:eastAsia="zh"/>
          <w:woUserID w:val="2"/>
        </w:rPr>
        <w:t>建设用地</w:t>
      </w:r>
      <w:r>
        <w:rPr>
          <w:rFonts w:hint="eastAsia" w:ascii="宋体" w:hAnsi="宋体" w:cs="宋体"/>
          <w:snapToGrid w:val="0"/>
          <w:spacing w:val="4"/>
          <w:kern w:val="0"/>
          <w:sz w:val="24"/>
          <w:szCs w:val="24"/>
          <w:highlight w:val="none"/>
        </w:rPr>
        <w:t>费、税金、利息、建设管理费</w:t>
      </w:r>
      <w:r>
        <w:rPr>
          <w:rFonts w:hint="eastAsia" w:ascii="宋体" w:hAnsi="宋体" w:cs="宋体"/>
          <w:snapToGrid w:val="0"/>
          <w:spacing w:val="4"/>
          <w:kern w:val="0"/>
          <w:sz w:val="24"/>
          <w:szCs w:val="24"/>
          <w:highlight w:val="none"/>
          <w:lang w:eastAsia="zh"/>
          <w:woUserID w:val="1"/>
        </w:rPr>
        <w:t>、前期工作费、住宅维修基金</w:t>
      </w:r>
      <w:r>
        <w:rPr>
          <w:rFonts w:hint="eastAsia" w:ascii="宋体" w:hAnsi="宋体" w:cs="宋体"/>
          <w:snapToGrid w:val="0"/>
          <w:spacing w:val="4"/>
          <w:kern w:val="0"/>
          <w:sz w:val="24"/>
          <w:szCs w:val="24"/>
          <w:highlight w:val="none"/>
        </w:rPr>
        <w:t>)</w:t>
      </w:r>
      <w:r>
        <w:rPr>
          <w:rFonts w:hint="eastAsia" w:ascii="宋体" w:hAnsi="宋体" w:cs="宋体"/>
          <w:snapToGrid w:val="0"/>
          <w:spacing w:val="4"/>
          <w:kern w:val="0"/>
          <w:sz w:val="24"/>
          <w:szCs w:val="24"/>
          <w:highlight w:val="none"/>
          <w:lang w:val="en-US" w:eastAsia="zh-CN"/>
        </w:rPr>
        <w:t>为基数，依据</w:t>
      </w:r>
      <w:r>
        <w:rPr>
          <w:rFonts w:hint="eastAsia" w:ascii="宋体" w:hAnsi="宋体" w:cs="宋体"/>
          <w:snapToGrid w:val="0"/>
          <w:spacing w:val="4"/>
          <w:kern w:val="0"/>
          <w:sz w:val="24"/>
          <w:szCs w:val="24"/>
          <w:highlight w:val="none"/>
        </w:rPr>
        <w:t>财政部关于印发《基本建设项目建设成本管理规定》的通知（财建〔2016〕504号）</w:t>
      </w:r>
      <w:r>
        <w:rPr>
          <w:rFonts w:hint="eastAsia" w:ascii="宋体" w:hAnsi="宋体" w:cs="宋体"/>
          <w:snapToGrid w:val="0"/>
          <w:spacing w:val="4"/>
          <w:kern w:val="0"/>
          <w:sz w:val="24"/>
          <w:szCs w:val="24"/>
          <w:highlight w:val="none"/>
          <w:lang w:val="en-US" w:eastAsia="zh-CN"/>
        </w:rPr>
        <w:t>计算</w:t>
      </w:r>
      <w:r>
        <w:rPr>
          <w:rFonts w:hint="default" w:ascii="宋体" w:hAnsi="宋体" w:cs="宋体"/>
          <w:snapToGrid w:val="0"/>
          <w:spacing w:val="4"/>
          <w:kern w:val="0"/>
          <w:sz w:val="24"/>
          <w:szCs w:val="24"/>
          <w:highlight w:val="none"/>
          <w:lang w:val="en-US" w:eastAsia="zh-CN"/>
        </w:rPr>
        <w:t>，</w:t>
      </w:r>
      <w:r>
        <w:rPr>
          <w:rFonts w:hint="eastAsia" w:ascii="宋体" w:hAnsi="宋体" w:cs="宋体"/>
          <w:snapToGrid w:val="0"/>
          <w:spacing w:val="4"/>
          <w:kern w:val="0"/>
          <w:sz w:val="24"/>
          <w:szCs w:val="24"/>
          <w:highlight w:val="none"/>
          <w:lang w:val="en-US" w:eastAsia="zh-CN"/>
        </w:rPr>
        <w:t>并计取合同下浮率及投标下浮率后作为结算金额。</w:t>
      </w:r>
      <w:r>
        <w:rPr>
          <w:rFonts w:hint="eastAsia" w:ascii="宋体" w:hAnsi="宋体" w:cs="宋体"/>
          <w:snapToGrid w:val="0"/>
          <w:spacing w:val="4"/>
          <w:kern w:val="0"/>
          <w:sz w:val="24"/>
          <w:szCs w:val="24"/>
          <w:highlight w:val="none"/>
          <w:lang w:val="en-US" w:eastAsia="zh"/>
          <w:woUserID w:val="1"/>
        </w:rPr>
        <w:t>以上方法计算得出的</w:t>
      </w:r>
      <w:r>
        <w:rPr>
          <w:rFonts w:hint="eastAsia" w:ascii="宋体" w:hAnsi="宋体" w:cs="宋体"/>
          <w:snapToGrid w:val="0"/>
          <w:spacing w:val="4"/>
          <w:kern w:val="0"/>
          <w:sz w:val="24"/>
          <w:szCs w:val="24"/>
          <w:highlight w:val="none"/>
          <w:lang w:val="en-US" w:eastAsia="zh-CN"/>
        </w:rPr>
        <w:t>建设管理服务费与暂定</w:t>
      </w:r>
      <w:r>
        <w:rPr>
          <w:rFonts w:hint="eastAsia" w:ascii="宋体" w:hAnsi="宋体" w:cs="宋体"/>
          <w:snapToGrid w:val="0"/>
          <w:spacing w:val="4"/>
          <w:kern w:val="0"/>
          <w:sz w:val="24"/>
          <w:szCs w:val="24"/>
          <w:highlight w:val="none"/>
        </w:rPr>
        <w:t>合同价</w:t>
      </w:r>
      <w:r>
        <w:rPr>
          <w:rFonts w:hint="eastAsia" w:ascii="宋体" w:hAnsi="宋体" w:cs="宋体"/>
          <w:snapToGrid w:val="0"/>
          <w:spacing w:val="4"/>
          <w:kern w:val="0"/>
          <w:sz w:val="24"/>
          <w:szCs w:val="24"/>
          <w:highlight w:val="none"/>
          <w:lang w:val="en-US" w:eastAsia="zh-CN"/>
        </w:rPr>
        <w:t>不一致</w:t>
      </w:r>
      <w:r>
        <w:rPr>
          <w:rFonts w:hint="eastAsia" w:ascii="宋体" w:hAnsi="宋体" w:cs="宋体"/>
          <w:snapToGrid w:val="0"/>
          <w:spacing w:val="4"/>
          <w:kern w:val="0"/>
          <w:sz w:val="24"/>
          <w:szCs w:val="24"/>
          <w:highlight w:val="none"/>
        </w:rPr>
        <w:t>时，则结算按较小值计算</w:t>
      </w:r>
      <w:r>
        <w:rPr>
          <w:rFonts w:hint="eastAsia" w:ascii="宋体" w:hAnsi="宋体" w:cs="宋体"/>
          <w:snapToGrid w:val="0"/>
          <w:spacing w:val="4"/>
          <w:kern w:val="0"/>
          <w:sz w:val="24"/>
          <w:szCs w:val="24"/>
          <w:highlight w:val="none"/>
          <w:lang w:eastAsia="zh-CN"/>
        </w:rPr>
        <w:t>；</w:t>
      </w:r>
      <w:r>
        <w:rPr>
          <w:rFonts w:hint="eastAsia" w:ascii="宋体" w:hAnsi="宋体" w:cs="宋体"/>
          <w:snapToGrid w:val="0"/>
          <w:spacing w:val="4"/>
          <w:kern w:val="0"/>
          <w:sz w:val="24"/>
          <w:szCs w:val="24"/>
          <w:highlight w:val="none"/>
          <w:lang w:val="en-US" w:eastAsia="zh-CN"/>
        </w:rPr>
        <w:t>各项工程的</w:t>
      </w:r>
      <w:r>
        <w:rPr>
          <w:rFonts w:hint="eastAsia" w:ascii="宋体" w:hAnsi="宋体" w:cs="宋体"/>
          <w:snapToGrid w:val="0"/>
          <w:spacing w:val="4"/>
          <w:kern w:val="0"/>
          <w:sz w:val="24"/>
          <w:szCs w:val="24"/>
          <w:highlight w:val="none"/>
        </w:rPr>
        <w:t>建设管理服务费</w:t>
      </w:r>
      <w:r>
        <w:rPr>
          <w:rFonts w:hint="eastAsia" w:ascii="宋体" w:hAnsi="宋体" w:cs="宋体"/>
          <w:snapToGrid w:val="0"/>
          <w:spacing w:val="4"/>
          <w:kern w:val="0"/>
          <w:sz w:val="24"/>
          <w:szCs w:val="24"/>
          <w:highlight w:val="none"/>
          <w:lang w:val="en-US" w:eastAsia="zh-CN"/>
        </w:rPr>
        <w:t>结算金额不超过暂定含税合同价。</w:t>
      </w:r>
    </w:p>
    <w:p w14:paraId="54C807DA">
      <w:pPr>
        <w:numPr>
          <w:ilvl w:val="255"/>
          <w:numId w:val="0"/>
        </w:numPr>
        <w:tabs>
          <w:tab w:val="left" w:pos="851"/>
        </w:tabs>
        <w:spacing w:line="360" w:lineRule="auto"/>
        <w:ind w:firstLine="496" w:firstLineChars="200"/>
        <w:rPr>
          <w:rFonts w:hint="default" w:ascii="宋体" w:hAnsi="宋体" w:cs="宋体"/>
          <w:snapToGrid w:val="0"/>
          <w:spacing w:val="4"/>
          <w:kern w:val="0"/>
          <w:sz w:val="24"/>
          <w:szCs w:val="24"/>
          <w:highlight w:val="none"/>
          <w:lang w:val="en-US" w:eastAsia="zh-CN"/>
        </w:rPr>
      </w:pPr>
      <w:r>
        <w:rPr>
          <w:rFonts w:hint="eastAsia" w:ascii="宋体" w:hAnsi="宋体" w:cs="宋体"/>
          <w:snapToGrid w:val="0"/>
          <w:spacing w:val="4"/>
          <w:kern w:val="0"/>
          <w:sz w:val="24"/>
          <w:szCs w:val="24"/>
          <w:highlight w:val="none"/>
          <w:lang w:val="en-US" w:eastAsia="zh-CN"/>
        </w:rPr>
        <w:t>计算公式为：总建设管理服务费=</w:t>
      </w:r>
      <w:r>
        <w:rPr>
          <w:rFonts w:hint="eastAsia" w:ascii="宋体" w:hAnsi="宋体" w:cs="宋体"/>
          <w:snapToGrid w:val="0"/>
          <w:spacing w:val="4"/>
          <w:kern w:val="0"/>
          <w:sz w:val="24"/>
          <w:szCs w:val="24"/>
          <w:highlight w:val="none"/>
        </w:rPr>
        <w:t>以概算批复的项目总投资(不含概算批复</w:t>
      </w:r>
      <w:r>
        <w:rPr>
          <w:rFonts w:hint="eastAsia" w:ascii="宋体" w:hAnsi="宋体" w:cs="宋体"/>
          <w:snapToGrid w:val="0"/>
          <w:spacing w:val="4"/>
          <w:kern w:val="0"/>
          <w:sz w:val="24"/>
          <w:szCs w:val="24"/>
          <w:highlight w:val="none"/>
          <w:lang w:eastAsia="zh"/>
          <w:woUserID w:val="2"/>
        </w:rPr>
        <w:t>建设用地</w:t>
      </w:r>
      <w:r>
        <w:rPr>
          <w:rFonts w:hint="eastAsia" w:ascii="宋体" w:hAnsi="宋体" w:cs="宋体"/>
          <w:snapToGrid w:val="0"/>
          <w:spacing w:val="4"/>
          <w:kern w:val="0"/>
          <w:sz w:val="24"/>
          <w:szCs w:val="24"/>
          <w:highlight w:val="none"/>
        </w:rPr>
        <w:t>费、税金、利息、建设管理费</w:t>
      </w:r>
      <w:r>
        <w:rPr>
          <w:rFonts w:hint="eastAsia" w:ascii="宋体" w:hAnsi="宋体" w:cs="宋体"/>
          <w:snapToGrid w:val="0"/>
          <w:spacing w:val="4"/>
          <w:kern w:val="0"/>
          <w:sz w:val="24"/>
          <w:szCs w:val="24"/>
          <w:highlight w:val="none"/>
          <w:lang w:eastAsia="zh"/>
          <w:woUserID w:val="1"/>
        </w:rPr>
        <w:t>、前期工作费、住宅维修基金</w:t>
      </w:r>
      <w:r>
        <w:rPr>
          <w:rFonts w:hint="eastAsia" w:ascii="宋体" w:hAnsi="宋体" w:cs="宋体"/>
          <w:snapToGrid w:val="0"/>
          <w:spacing w:val="4"/>
          <w:kern w:val="0"/>
          <w:sz w:val="24"/>
          <w:szCs w:val="24"/>
          <w:highlight w:val="none"/>
        </w:rPr>
        <w:t>)</w:t>
      </w:r>
      <w:r>
        <w:rPr>
          <w:rFonts w:hint="eastAsia" w:ascii="宋体" w:hAnsi="宋体" w:cs="宋体"/>
          <w:snapToGrid w:val="0"/>
          <w:spacing w:val="4"/>
          <w:kern w:val="0"/>
          <w:sz w:val="24"/>
          <w:szCs w:val="24"/>
          <w:highlight w:val="none"/>
          <w:lang w:val="en-US" w:eastAsia="zh-CN"/>
        </w:rPr>
        <w:t>为基数依据504号文计算的建设管理费</w:t>
      </w:r>
      <w:r>
        <w:rPr>
          <w:rFonts w:hint="eastAsia" w:ascii="宋体" w:hAnsi="宋体" w:cs="宋体"/>
          <w:snapToGrid w:val="0"/>
          <w:spacing w:val="4"/>
          <w:kern w:val="0"/>
          <w:sz w:val="24"/>
          <w:szCs w:val="24"/>
          <w:highlight w:val="none"/>
        </w:rPr>
        <w:t>×（1-合同下浮率</w:t>
      </w:r>
      <w:r>
        <w:rPr>
          <w:rFonts w:hint="eastAsia" w:ascii="宋体" w:hAnsi="宋体" w:cs="宋体"/>
          <w:snapToGrid w:val="0"/>
          <w:spacing w:val="4"/>
          <w:kern w:val="0"/>
          <w:sz w:val="24"/>
          <w:szCs w:val="24"/>
          <w:highlight w:val="none"/>
          <w:u w:val="single"/>
          <w:lang w:val="en-US" w:eastAsia="zh-CN"/>
        </w:rPr>
        <w:t>35%</w:t>
      </w:r>
      <w:r>
        <w:rPr>
          <w:rFonts w:hint="eastAsia" w:ascii="宋体" w:hAnsi="宋体" w:cs="宋体"/>
          <w:snapToGrid w:val="0"/>
          <w:spacing w:val="4"/>
          <w:kern w:val="0"/>
          <w:sz w:val="24"/>
          <w:szCs w:val="24"/>
          <w:highlight w:val="none"/>
        </w:rPr>
        <w:t>）×（1-投标下浮率</w:t>
      </w:r>
      <w:r>
        <w:rPr>
          <w:rFonts w:hint="eastAsia" w:ascii="宋体" w:hAnsi="宋体" w:cs="宋体"/>
          <w:snapToGrid w:val="0"/>
          <w:spacing w:val="4"/>
          <w:kern w:val="0"/>
          <w:sz w:val="24"/>
          <w:szCs w:val="24"/>
          <w:highlight w:val="none"/>
          <w:u w:val="single"/>
          <w:lang w:val="en-US" w:eastAsia="zh-CN"/>
        </w:rPr>
        <w:t xml:space="preserve">     </w:t>
      </w:r>
      <w:r>
        <w:rPr>
          <w:rFonts w:hint="eastAsia" w:ascii="宋体" w:hAnsi="宋体" w:cs="宋体"/>
          <w:snapToGrid w:val="0"/>
          <w:spacing w:val="4"/>
          <w:kern w:val="0"/>
          <w:sz w:val="24"/>
          <w:szCs w:val="24"/>
          <w:highlight w:val="none"/>
        </w:rPr>
        <w:t>）</w:t>
      </w:r>
    </w:p>
    <w:p w14:paraId="400E0A68">
      <w:pPr>
        <w:numPr>
          <w:ilvl w:val="255"/>
          <w:numId w:val="0"/>
        </w:numPr>
        <w:tabs>
          <w:tab w:val="left" w:pos="851"/>
        </w:tabs>
        <w:spacing w:line="360" w:lineRule="auto"/>
        <w:ind w:firstLine="496" w:firstLineChars="200"/>
        <w:rPr>
          <w:rFonts w:hint="eastAsia" w:ascii="宋体" w:hAnsi="宋体" w:cs="宋体"/>
          <w:snapToGrid w:val="0"/>
          <w:spacing w:val="4"/>
          <w:kern w:val="0"/>
          <w:sz w:val="24"/>
          <w:szCs w:val="24"/>
          <w:highlight w:val="none"/>
          <w:lang w:val="en-US" w:eastAsia="zh-CN"/>
        </w:rPr>
      </w:pPr>
      <w:r>
        <w:rPr>
          <w:rFonts w:hint="eastAsia" w:ascii="宋体" w:hAnsi="宋体" w:cs="宋体"/>
          <w:snapToGrid w:val="0"/>
          <w:spacing w:val="4"/>
          <w:kern w:val="0"/>
          <w:sz w:val="24"/>
          <w:szCs w:val="24"/>
          <w:highlight w:val="none"/>
          <w:lang w:val="en-US" w:eastAsia="zh-CN"/>
        </w:rPr>
        <w:t>其中：房建工程、市政工程、水利工程建设管理服务费分别按各自概算批复的工程费用占概算批复总工程费用的比例</w:t>
      </w:r>
      <w:r>
        <w:rPr>
          <w:rFonts w:hint="eastAsia" w:ascii="宋体" w:hAnsi="宋体" w:cs="宋体"/>
          <w:snapToGrid w:val="0"/>
          <w:spacing w:val="4"/>
          <w:kern w:val="0"/>
          <w:sz w:val="24"/>
          <w:szCs w:val="24"/>
          <w:highlight w:val="none"/>
        </w:rPr>
        <w:t>×</w:t>
      </w:r>
      <w:r>
        <w:rPr>
          <w:rFonts w:hint="eastAsia" w:ascii="宋体" w:hAnsi="宋体" w:cs="宋体"/>
          <w:snapToGrid w:val="0"/>
          <w:spacing w:val="4"/>
          <w:kern w:val="0"/>
          <w:sz w:val="24"/>
          <w:szCs w:val="24"/>
          <w:highlight w:val="none"/>
          <w:lang w:val="en-US" w:eastAsia="zh-CN"/>
        </w:rPr>
        <w:t>总建设管理服务费计取。</w:t>
      </w:r>
    </w:p>
    <w:p w14:paraId="7649E1F2">
      <w:pPr>
        <w:numPr>
          <w:ilvl w:val="255"/>
          <w:numId w:val="0"/>
        </w:numPr>
        <w:tabs>
          <w:tab w:val="left" w:pos="851"/>
        </w:tabs>
        <w:spacing w:line="360" w:lineRule="auto"/>
        <w:ind w:firstLine="496" w:firstLineChars="200"/>
        <w:rPr>
          <w:rFonts w:hint="default" w:ascii="宋体" w:hAnsi="宋体" w:cs="宋体"/>
          <w:snapToGrid w:val="0"/>
          <w:spacing w:val="4"/>
          <w:kern w:val="0"/>
          <w:sz w:val="24"/>
          <w:szCs w:val="24"/>
          <w:highlight w:val="none"/>
          <w:lang w:val="en-US" w:eastAsia="zh-CN"/>
        </w:rPr>
      </w:pPr>
      <w:r>
        <w:rPr>
          <w:rFonts w:hint="eastAsia" w:ascii="宋体" w:hAnsi="宋体" w:cs="宋体"/>
          <w:snapToGrid w:val="0"/>
          <w:spacing w:val="4"/>
          <w:kern w:val="0"/>
          <w:sz w:val="24"/>
          <w:szCs w:val="24"/>
          <w:highlight w:val="none"/>
          <w:lang w:val="en-US" w:eastAsia="zh-CN"/>
        </w:rPr>
        <w:t>例，计算公式为房建工程建设管理服务费=总建设管理服务费</w:t>
      </w:r>
      <w:r>
        <w:rPr>
          <w:rFonts w:hint="eastAsia" w:ascii="宋体" w:hAnsi="宋体" w:cs="宋体"/>
          <w:snapToGrid w:val="0"/>
          <w:spacing w:val="4"/>
          <w:kern w:val="0"/>
          <w:sz w:val="24"/>
          <w:szCs w:val="24"/>
          <w:highlight w:val="none"/>
        </w:rPr>
        <w:t>×</w:t>
      </w:r>
      <w:r>
        <w:rPr>
          <w:rFonts w:hint="eastAsia" w:ascii="宋体" w:hAnsi="宋体" w:cs="宋体"/>
          <w:snapToGrid w:val="0"/>
          <w:spacing w:val="4"/>
          <w:kern w:val="0"/>
          <w:sz w:val="24"/>
          <w:szCs w:val="24"/>
          <w:highlight w:val="none"/>
          <w:lang w:val="en-US" w:eastAsia="zh-CN"/>
        </w:rPr>
        <w:t>概算批复的房建工程费用/概算批复总工程费用</w:t>
      </w:r>
    </w:p>
    <w:p w14:paraId="320BFE80">
      <w:pPr>
        <w:numPr>
          <w:ilvl w:val="255"/>
          <w:numId w:val="0"/>
        </w:numPr>
        <w:tabs>
          <w:tab w:val="left" w:pos="851"/>
        </w:tabs>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如有违约金，最终结算金额对应扣减。</w:t>
      </w:r>
      <w:r>
        <w:rPr>
          <w:rFonts w:hint="eastAsia" w:ascii="宋体" w:hAnsi="宋体" w:cs="宋体"/>
          <w:snapToGrid w:val="0"/>
          <w:spacing w:val="4"/>
          <w:kern w:val="0"/>
          <w:sz w:val="24"/>
          <w:szCs w:val="24"/>
          <w:highlight w:val="none"/>
          <w:lang w:val="en-US" w:eastAsia="zh-CN"/>
        </w:rPr>
        <w:t>若实施过程中，房建工程、市政工程、水利工程任一工程经甲方及相关文件确认不再实施，则该部分建设管理费不予办理支付及结算，其余已实施工程建设管理服务费正常办理支付及结算。</w:t>
      </w:r>
    </w:p>
    <w:p w14:paraId="2E1B5EE5">
      <w:pPr>
        <w:tabs>
          <w:tab w:val="left" w:pos="900"/>
          <w:tab w:val="left" w:pos="1134"/>
          <w:tab w:val="left" w:pos="1560"/>
        </w:tabs>
        <w:spacing w:line="360" w:lineRule="auto"/>
        <w:ind w:firstLine="480" w:firstLineChars="200"/>
        <w:jc w:val="left"/>
        <w:rPr>
          <w:rFonts w:ascii="宋体" w:hAnsi="宋体" w:cs="仿宋_GB2312"/>
          <w:sz w:val="24"/>
          <w:szCs w:val="24"/>
          <w:highlight w:val="none"/>
        </w:rPr>
      </w:pPr>
      <w:r>
        <w:rPr>
          <w:rFonts w:hint="eastAsia" w:ascii="宋体" w:hAnsi="宋体" w:cs="仿宋_GB2312"/>
          <w:sz w:val="24"/>
          <w:szCs w:val="24"/>
          <w:highlight w:val="none"/>
        </w:rPr>
        <w:t>3</w:t>
      </w:r>
      <w:r>
        <w:rPr>
          <w:rFonts w:ascii="宋体" w:hAnsi="宋体" w:cs="仿宋_GB2312"/>
          <w:sz w:val="24"/>
          <w:szCs w:val="24"/>
          <w:highlight w:val="none"/>
        </w:rPr>
        <w:t>.3.2.</w:t>
      </w:r>
      <w:r>
        <w:rPr>
          <w:rFonts w:hint="eastAsia" w:ascii="宋体" w:hAnsi="宋体" w:cs="仿宋_GB2312"/>
          <w:sz w:val="24"/>
          <w:szCs w:val="24"/>
          <w:highlight w:val="none"/>
        </w:rPr>
        <w:t>支付方式</w:t>
      </w:r>
    </w:p>
    <w:p w14:paraId="0675FE3D">
      <w:pPr>
        <w:tabs>
          <w:tab w:val="left" w:pos="720"/>
          <w:tab w:val="left" w:pos="1080"/>
          <w:tab w:val="left" w:pos="1134"/>
        </w:tabs>
        <w:adjustRightInd w:val="0"/>
        <w:snapToGrid w:val="0"/>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3.3.2.1.建设管理服务费支付程序：乙方书面申请，计划资金到位后，经甲方审核批准后支付建设管理费。</w:t>
      </w:r>
    </w:p>
    <w:p w14:paraId="5B429050">
      <w:pPr>
        <w:adjustRightInd/>
        <w:snapToGrid/>
        <w:spacing w:line="360" w:lineRule="auto"/>
        <w:ind w:firstLine="480" w:firstLineChars="200"/>
        <w:rPr>
          <w:highlight w:val="none"/>
        </w:rPr>
      </w:pPr>
      <w:r>
        <w:rPr>
          <w:rFonts w:ascii="宋体" w:hAnsi="宋体" w:cs="仿宋_GB2312"/>
          <w:sz w:val="24"/>
          <w:szCs w:val="24"/>
          <w:highlight w:val="none"/>
        </w:rPr>
        <w:t xml:space="preserve">3.3.2.2 </w:t>
      </w:r>
      <w:r>
        <w:rPr>
          <w:rFonts w:hint="eastAsia" w:ascii="宋体" w:hAnsi="宋体" w:cs="仿宋_GB2312"/>
          <w:sz w:val="24"/>
          <w:szCs w:val="24"/>
          <w:highlight w:val="none"/>
        </w:rPr>
        <w:t>在甲方向乙方支付合同价款前，乙方必须向甲方提供由乙方按核定付款金额开具的、与合同内容一致并符合税务机关规定的合法、有效增值税发票，由于乙方提供的发票不规范、不合法引起税务问题的，乙方应承担赔偿责任，包括但不限于税款、附加费、滞纳金、罚款及相关损失。乙方不能及时提供符合甲方要求的合法发票，甲方有权顺延直至乙方提供后付款且无需承担任何责任。如给甲方造成严重损失的，致使合同无法继续履行等情况，甲方有权终止合同。发票无论何种原因丢失，乙方应配合甲方按照国家法律、法规、规章、政策等规定重新取得相关凭证。</w:t>
      </w:r>
    </w:p>
    <w:p w14:paraId="6EC8AA15">
      <w:pPr>
        <w:tabs>
          <w:tab w:val="left" w:pos="720"/>
          <w:tab w:val="left" w:pos="1080"/>
          <w:tab w:val="left" w:pos="1134"/>
        </w:tabs>
        <w:adjustRightInd w:val="0"/>
        <w:snapToGrid w:val="0"/>
        <w:spacing w:line="360" w:lineRule="auto"/>
        <w:ind w:firstLine="482" w:firstLineChars="200"/>
        <w:rPr>
          <w:rFonts w:hint="eastAsia" w:ascii="宋体" w:hAnsi="宋体" w:cs="仿宋_GB2312"/>
          <w:b/>
          <w:bCs/>
          <w:sz w:val="24"/>
          <w:szCs w:val="24"/>
          <w:highlight w:val="none"/>
          <w:lang w:val="en-US" w:eastAsia="zh-CN"/>
        </w:rPr>
      </w:pPr>
      <w:r>
        <w:rPr>
          <w:rFonts w:hint="eastAsia" w:ascii="宋体" w:hAnsi="宋体" w:cs="仿宋_GB2312"/>
          <w:b/>
          <w:bCs/>
          <w:sz w:val="24"/>
          <w:szCs w:val="24"/>
          <w:highlight w:val="none"/>
          <w:lang w:val="en-US" w:eastAsia="zh-CN"/>
        </w:rPr>
        <w:t>房建工程建设管理服务费支付方式：</w:t>
      </w:r>
    </w:p>
    <w:p w14:paraId="191E5713">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lang w:val="en-US" w:eastAsia="zh-CN"/>
        </w:rPr>
        <w:t xml:space="preserve">（1） </w:t>
      </w:r>
      <w:r>
        <w:rPr>
          <w:rFonts w:hint="eastAsia" w:ascii="宋体" w:hAnsi="宋体" w:cs="仿宋_GB2312"/>
          <w:sz w:val="24"/>
          <w:szCs w:val="24"/>
          <w:highlight w:val="none"/>
        </w:rPr>
        <w:t>签订建管合同，计划资金到位后，经甲方审核批准后支付至含税</w:t>
      </w:r>
      <w:r>
        <w:rPr>
          <w:rFonts w:hint="eastAsia" w:ascii="宋体" w:hAnsi="宋体" w:cs="仿宋_GB2312"/>
          <w:sz w:val="24"/>
          <w:szCs w:val="24"/>
          <w:highlight w:val="none"/>
          <w:lang w:val="en-US" w:eastAsia="zh-CN"/>
        </w:rPr>
        <w:t>暂定房建工程建设管理服务费</w:t>
      </w:r>
      <w:r>
        <w:rPr>
          <w:rFonts w:hint="eastAsia" w:ascii="宋体" w:hAnsi="宋体" w:cs="仿宋_GB2312"/>
          <w:sz w:val="24"/>
          <w:szCs w:val="24"/>
          <w:highlight w:val="none"/>
        </w:rPr>
        <w:t>金额的</w:t>
      </w:r>
      <w:r>
        <w:rPr>
          <w:rFonts w:hint="eastAsia" w:ascii="宋体" w:hAnsi="宋体" w:cs="仿宋_GB2312"/>
          <w:sz w:val="24"/>
          <w:szCs w:val="24"/>
          <w:highlight w:val="none"/>
          <w:lang w:val="en-US" w:eastAsia="zh-CN"/>
        </w:rPr>
        <w:t>2</w:t>
      </w:r>
      <w:r>
        <w:rPr>
          <w:rFonts w:hint="eastAsia" w:ascii="宋体" w:hAnsi="宋体" w:cs="仿宋_GB2312"/>
          <w:sz w:val="24"/>
          <w:szCs w:val="24"/>
          <w:highlight w:val="none"/>
        </w:rPr>
        <w:t>0%。</w:t>
      </w:r>
    </w:p>
    <w:p w14:paraId="32E6AD45">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2） 地块1（</w:t>
      </w:r>
      <w:r>
        <w:rPr>
          <w:rFonts w:hint="eastAsia" w:ascii="宋体" w:hAnsi="宋体" w:cs="仿宋_GB2312"/>
          <w:sz w:val="24"/>
          <w:szCs w:val="24"/>
          <w:highlight w:val="none"/>
        </w:rPr>
        <w:t>AB2912067</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安置房工程地下室施工至±0.000时，计划资金到位后，乙方书面申请，经甲方审核批准后支付含税</w:t>
      </w:r>
      <w:r>
        <w:rPr>
          <w:rFonts w:hint="eastAsia" w:ascii="宋体" w:hAnsi="宋体" w:cs="仿宋_GB2312"/>
          <w:sz w:val="24"/>
          <w:szCs w:val="24"/>
          <w:highlight w:val="none"/>
          <w:lang w:val="en-US" w:eastAsia="zh-CN"/>
        </w:rPr>
        <w:t>暂定房建工程建设管理服务费</w:t>
      </w:r>
      <w:r>
        <w:rPr>
          <w:rFonts w:hint="eastAsia" w:ascii="宋体" w:hAnsi="宋体" w:cs="仿宋_GB2312"/>
          <w:sz w:val="24"/>
          <w:szCs w:val="24"/>
          <w:highlight w:val="none"/>
        </w:rPr>
        <w:t>金额的</w:t>
      </w:r>
      <w:r>
        <w:rPr>
          <w:rFonts w:hint="eastAsia" w:ascii="宋体" w:hAnsi="宋体" w:cs="仿宋_GB2312"/>
          <w:sz w:val="24"/>
          <w:szCs w:val="24"/>
          <w:highlight w:val="none"/>
          <w:lang w:val="en-US" w:eastAsia="zh-CN"/>
        </w:rPr>
        <w:t>12</w:t>
      </w:r>
      <w:r>
        <w:rPr>
          <w:rFonts w:hint="eastAsia" w:ascii="宋体" w:hAnsi="宋体" w:cs="仿宋_GB2312"/>
          <w:sz w:val="24"/>
          <w:szCs w:val="24"/>
          <w:highlight w:val="none"/>
        </w:rPr>
        <w:t>%；地块2</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AB2912076</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安置房工程地下室施工至±0.000时，计划资金到位后，乙方书面申请，经甲方审核批准后支付含税</w:t>
      </w:r>
      <w:r>
        <w:rPr>
          <w:rFonts w:hint="eastAsia" w:ascii="宋体" w:hAnsi="宋体" w:cs="仿宋_GB2312"/>
          <w:sz w:val="24"/>
          <w:szCs w:val="24"/>
          <w:highlight w:val="none"/>
          <w:lang w:val="en-US" w:eastAsia="zh-CN"/>
        </w:rPr>
        <w:t>暂定房建工程建设管理服务费</w:t>
      </w:r>
      <w:r>
        <w:rPr>
          <w:rFonts w:hint="eastAsia" w:ascii="宋体" w:hAnsi="宋体" w:cs="仿宋_GB2312"/>
          <w:sz w:val="24"/>
          <w:szCs w:val="24"/>
          <w:highlight w:val="none"/>
        </w:rPr>
        <w:t>金额的8%；两地块均施工至±0.000时</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累计支付</w:t>
      </w:r>
      <w:r>
        <w:rPr>
          <w:rFonts w:hint="eastAsia" w:ascii="宋体" w:hAnsi="宋体" w:cs="仿宋_GB2312"/>
          <w:sz w:val="24"/>
          <w:szCs w:val="24"/>
          <w:highlight w:val="none"/>
          <w:lang w:val="en-US" w:eastAsia="zh-CN"/>
        </w:rPr>
        <w:t>至</w:t>
      </w:r>
      <w:r>
        <w:rPr>
          <w:rFonts w:hint="eastAsia" w:ascii="宋体" w:hAnsi="宋体" w:cs="仿宋_GB2312"/>
          <w:sz w:val="24"/>
          <w:szCs w:val="24"/>
          <w:highlight w:val="none"/>
        </w:rPr>
        <w:t>含税</w:t>
      </w:r>
      <w:r>
        <w:rPr>
          <w:rFonts w:hint="eastAsia" w:ascii="宋体" w:hAnsi="宋体" w:cs="仿宋_GB2312"/>
          <w:sz w:val="24"/>
          <w:szCs w:val="24"/>
          <w:highlight w:val="none"/>
          <w:lang w:val="en-US" w:eastAsia="zh-CN"/>
        </w:rPr>
        <w:t>暂定房建工程建设管理服务费</w:t>
      </w:r>
      <w:r>
        <w:rPr>
          <w:rFonts w:hint="eastAsia" w:ascii="宋体" w:hAnsi="宋体" w:cs="仿宋_GB2312"/>
          <w:sz w:val="24"/>
          <w:szCs w:val="24"/>
          <w:highlight w:val="none"/>
        </w:rPr>
        <w:t>金额的</w:t>
      </w:r>
      <w:r>
        <w:rPr>
          <w:rFonts w:hint="eastAsia" w:ascii="宋体" w:hAnsi="宋体" w:cs="仿宋_GB2312"/>
          <w:sz w:val="24"/>
          <w:szCs w:val="24"/>
          <w:highlight w:val="none"/>
          <w:lang w:val="en-US" w:eastAsia="zh-CN"/>
        </w:rPr>
        <w:t>4</w:t>
      </w:r>
      <w:r>
        <w:rPr>
          <w:rFonts w:hint="eastAsia" w:ascii="宋体" w:hAnsi="宋体" w:cs="仿宋_GB2312"/>
          <w:sz w:val="24"/>
          <w:szCs w:val="24"/>
          <w:highlight w:val="none"/>
        </w:rPr>
        <w:t>0%。</w:t>
      </w:r>
    </w:p>
    <w:p w14:paraId="5F2ACC62">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3） 地块1（</w:t>
      </w:r>
      <w:r>
        <w:rPr>
          <w:rFonts w:hint="eastAsia" w:ascii="宋体" w:hAnsi="宋体" w:cs="仿宋_GB2312"/>
          <w:sz w:val="24"/>
          <w:szCs w:val="24"/>
          <w:highlight w:val="none"/>
        </w:rPr>
        <w:t>AB2912067</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安置房工程主体结构封顶时，计划资金到位后，乙方书面申请，经甲方审核批准后支付含税</w:t>
      </w:r>
      <w:r>
        <w:rPr>
          <w:rFonts w:hint="eastAsia" w:ascii="宋体" w:hAnsi="宋体" w:cs="仿宋_GB2312"/>
          <w:sz w:val="24"/>
          <w:szCs w:val="24"/>
          <w:highlight w:val="none"/>
          <w:lang w:val="en-US" w:eastAsia="zh-CN"/>
        </w:rPr>
        <w:t>暂定房建工程建设管理服务费</w:t>
      </w:r>
      <w:r>
        <w:rPr>
          <w:rFonts w:hint="eastAsia" w:ascii="宋体" w:hAnsi="宋体" w:cs="仿宋_GB2312"/>
          <w:sz w:val="24"/>
          <w:szCs w:val="24"/>
          <w:highlight w:val="none"/>
        </w:rPr>
        <w:t>金额的</w:t>
      </w:r>
      <w:r>
        <w:rPr>
          <w:rFonts w:hint="eastAsia" w:ascii="宋体" w:hAnsi="宋体" w:cs="仿宋_GB2312"/>
          <w:sz w:val="24"/>
          <w:szCs w:val="24"/>
          <w:highlight w:val="none"/>
          <w:lang w:val="en-US" w:eastAsia="zh-CN"/>
        </w:rPr>
        <w:t>15</w:t>
      </w:r>
      <w:r>
        <w:rPr>
          <w:rFonts w:hint="eastAsia" w:ascii="宋体" w:hAnsi="宋体" w:cs="仿宋_GB2312"/>
          <w:sz w:val="24"/>
          <w:szCs w:val="24"/>
          <w:highlight w:val="none"/>
        </w:rPr>
        <w:t>%；地块2</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AB2912076</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安置房工程主体结构封顶时，计划资金到位后，乙方书面申请，经甲方审核批准后支付含税</w:t>
      </w:r>
      <w:r>
        <w:rPr>
          <w:rFonts w:hint="eastAsia" w:ascii="宋体" w:hAnsi="宋体" w:cs="仿宋_GB2312"/>
          <w:sz w:val="24"/>
          <w:szCs w:val="24"/>
          <w:highlight w:val="none"/>
          <w:lang w:val="en-US" w:eastAsia="zh-CN"/>
        </w:rPr>
        <w:t>暂定房建工程建设管理服务费</w:t>
      </w:r>
      <w:r>
        <w:rPr>
          <w:rFonts w:hint="eastAsia" w:ascii="宋体" w:hAnsi="宋体" w:cs="仿宋_GB2312"/>
          <w:sz w:val="24"/>
          <w:szCs w:val="24"/>
          <w:highlight w:val="none"/>
        </w:rPr>
        <w:t>金额的</w:t>
      </w:r>
      <w:r>
        <w:rPr>
          <w:rFonts w:hint="eastAsia" w:ascii="宋体" w:hAnsi="宋体" w:cs="仿宋_GB2312"/>
          <w:sz w:val="24"/>
          <w:szCs w:val="24"/>
          <w:highlight w:val="none"/>
          <w:lang w:val="en-US" w:eastAsia="zh-CN"/>
        </w:rPr>
        <w:t>10</w:t>
      </w:r>
      <w:r>
        <w:rPr>
          <w:rFonts w:hint="eastAsia" w:ascii="宋体" w:hAnsi="宋体" w:cs="仿宋_GB2312"/>
          <w:sz w:val="24"/>
          <w:szCs w:val="24"/>
          <w:highlight w:val="none"/>
        </w:rPr>
        <w:t>%；两地块均主体结构封顶时</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累计支付至含税</w:t>
      </w:r>
      <w:r>
        <w:rPr>
          <w:rFonts w:hint="eastAsia" w:ascii="宋体" w:hAnsi="宋体" w:cs="仿宋_GB2312"/>
          <w:sz w:val="24"/>
          <w:szCs w:val="24"/>
          <w:highlight w:val="none"/>
          <w:lang w:val="en-US" w:eastAsia="zh-CN"/>
        </w:rPr>
        <w:t>暂定房建工程建设管理服务费</w:t>
      </w:r>
      <w:r>
        <w:rPr>
          <w:rFonts w:hint="eastAsia" w:ascii="宋体" w:hAnsi="宋体" w:cs="仿宋_GB2312"/>
          <w:sz w:val="24"/>
          <w:szCs w:val="24"/>
          <w:highlight w:val="none"/>
        </w:rPr>
        <w:t>金额的6</w:t>
      </w:r>
      <w:r>
        <w:rPr>
          <w:rFonts w:hint="eastAsia" w:ascii="宋体" w:hAnsi="宋体" w:cs="仿宋_GB2312"/>
          <w:sz w:val="24"/>
          <w:szCs w:val="24"/>
          <w:highlight w:val="none"/>
          <w:lang w:val="en-US" w:eastAsia="zh-CN"/>
        </w:rPr>
        <w:t>5</w:t>
      </w:r>
      <w:r>
        <w:rPr>
          <w:rFonts w:hint="eastAsia" w:ascii="宋体" w:hAnsi="宋体" w:cs="仿宋_GB2312"/>
          <w:sz w:val="24"/>
          <w:szCs w:val="24"/>
          <w:highlight w:val="none"/>
        </w:rPr>
        <w:t>%。</w:t>
      </w:r>
    </w:p>
    <w:p w14:paraId="44D39A10">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 xml:space="preserve">4） </w:t>
      </w:r>
      <w:r>
        <w:rPr>
          <w:rFonts w:hint="eastAsia" w:ascii="宋体" w:hAnsi="宋体" w:cs="仿宋_GB2312"/>
          <w:sz w:val="24"/>
          <w:szCs w:val="24"/>
          <w:highlight w:val="none"/>
          <w:lang w:eastAsia="zh"/>
          <w:woUserID w:val="1"/>
        </w:rPr>
        <w:t>项目工程质量竣工验收通过</w:t>
      </w:r>
      <w:r>
        <w:rPr>
          <w:rFonts w:hint="eastAsia" w:ascii="宋体" w:hAnsi="宋体" w:cs="仿宋_GB2312"/>
          <w:sz w:val="24"/>
          <w:szCs w:val="24"/>
          <w:highlight w:val="none"/>
        </w:rPr>
        <w:t>，计划资金到位后，乙方书面申请，经甲方审核批准后支付至含税</w:t>
      </w:r>
      <w:r>
        <w:rPr>
          <w:rFonts w:hint="eastAsia" w:ascii="宋体" w:hAnsi="宋体" w:cs="仿宋_GB2312"/>
          <w:sz w:val="24"/>
          <w:szCs w:val="24"/>
          <w:highlight w:val="none"/>
          <w:lang w:val="en-US" w:eastAsia="zh-CN"/>
        </w:rPr>
        <w:t>暂定房建工程建设管理服务费</w:t>
      </w:r>
      <w:r>
        <w:rPr>
          <w:rFonts w:hint="eastAsia" w:ascii="宋体" w:hAnsi="宋体" w:cs="仿宋_GB2312"/>
          <w:sz w:val="24"/>
          <w:szCs w:val="24"/>
          <w:highlight w:val="none"/>
        </w:rPr>
        <w:t>金额的</w:t>
      </w:r>
      <w:r>
        <w:rPr>
          <w:rFonts w:hint="eastAsia" w:ascii="宋体" w:hAnsi="宋体" w:cs="仿宋_GB2312"/>
          <w:sz w:val="24"/>
          <w:szCs w:val="24"/>
          <w:highlight w:val="none"/>
          <w:lang w:val="en-US" w:eastAsia="zh-CN"/>
        </w:rPr>
        <w:t>7</w:t>
      </w:r>
      <w:r>
        <w:rPr>
          <w:rFonts w:hint="eastAsia" w:ascii="宋体" w:hAnsi="宋体" w:cs="仿宋_GB2312"/>
          <w:sz w:val="24"/>
          <w:szCs w:val="24"/>
          <w:highlight w:val="none"/>
        </w:rPr>
        <w:t>0%。</w:t>
      </w:r>
    </w:p>
    <w:p w14:paraId="0D6F8B11">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5）</w:t>
      </w:r>
      <w:r>
        <w:rPr>
          <w:rFonts w:hint="eastAsia" w:ascii="宋体" w:hAnsi="宋体" w:cs="仿宋_GB2312"/>
          <w:sz w:val="24"/>
          <w:szCs w:val="24"/>
          <w:highlight w:val="none"/>
          <w:lang w:eastAsia="zh"/>
          <w:woUserID w:val="1"/>
        </w:rPr>
        <w:t>工程取得《竣工联合验收意见书》，通过竣工联合验收，根据《建设工程质量管理条例》，予以工程竣工联合验收备案，</w:t>
      </w:r>
      <w:r>
        <w:rPr>
          <w:rFonts w:hint="eastAsia" w:ascii="宋体" w:hAnsi="宋体" w:cs="仿宋_GB2312"/>
          <w:sz w:val="24"/>
          <w:szCs w:val="24"/>
          <w:highlight w:val="none"/>
        </w:rPr>
        <w:t>计划资金到位后，乙方书面申请，经甲方审核批准后支付至安置房部分含税</w:t>
      </w:r>
      <w:r>
        <w:rPr>
          <w:rFonts w:hint="eastAsia" w:ascii="宋体" w:hAnsi="宋体" w:cs="仿宋_GB2312"/>
          <w:sz w:val="24"/>
          <w:szCs w:val="24"/>
          <w:highlight w:val="none"/>
          <w:lang w:val="en-US" w:eastAsia="zh-CN"/>
        </w:rPr>
        <w:t>暂定房建工程建设管理服务费</w:t>
      </w:r>
      <w:r>
        <w:rPr>
          <w:rFonts w:hint="eastAsia" w:ascii="宋体" w:hAnsi="宋体" w:cs="仿宋_GB2312"/>
          <w:sz w:val="24"/>
          <w:szCs w:val="24"/>
          <w:highlight w:val="none"/>
        </w:rPr>
        <w:t>金额的8</w:t>
      </w:r>
      <w:r>
        <w:rPr>
          <w:rFonts w:hint="eastAsia" w:ascii="宋体" w:hAnsi="宋体" w:cs="仿宋_GB2312"/>
          <w:sz w:val="24"/>
          <w:szCs w:val="24"/>
          <w:highlight w:val="none"/>
          <w:lang w:val="en-US" w:eastAsia="zh-CN"/>
        </w:rPr>
        <w:t>0</w:t>
      </w:r>
      <w:r>
        <w:rPr>
          <w:rFonts w:hint="eastAsia" w:ascii="宋体" w:hAnsi="宋体" w:cs="仿宋_GB2312"/>
          <w:sz w:val="24"/>
          <w:szCs w:val="24"/>
          <w:highlight w:val="none"/>
        </w:rPr>
        <w:t>%。</w:t>
      </w:r>
    </w:p>
    <w:p w14:paraId="51E5B422">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 xml:space="preserve">6） </w:t>
      </w:r>
      <w:r>
        <w:rPr>
          <w:rFonts w:hint="eastAsia" w:ascii="宋体" w:hAnsi="宋体" w:cs="仿宋_GB2312"/>
          <w:sz w:val="24"/>
          <w:szCs w:val="24"/>
          <w:highlight w:val="none"/>
        </w:rPr>
        <w:t>安置房施工结算提交至财局接收时，计划资金到位后，乙方书面申请，经甲方审核批准后支付至含税</w:t>
      </w:r>
      <w:r>
        <w:rPr>
          <w:rFonts w:hint="eastAsia" w:ascii="宋体" w:hAnsi="宋体" w:cs="仿宋_GB2312"/>
          <w:sz w:val="24"/>
          <w:szCs w:val="24"/>
          <w:highlight w:val="none"/>
          <w:lang w:val="en-US" w:eastAsia="zh-CN"/>
        </w:rPr>
        <w:t>暂定房建工程建设管理服务费</w:t>
      </w:r>
      <w:r>
        <w:rPr>
          <w:rFonts w:hint="eastAsia" w:ascii="宋体" w:hAnsi="宋体" w:cs="仿宋_GB2312"/>
          <w:sz w:val="24"/>
          <w:szCs w:val="24"/>
          <w:highlight w:val="none"/>
        </w:rPr>
        <w:t>金额的</w:t>
      </w:r>
      <w:r>
        <w:rPr>
          <w:rFonts w:hint="eastAsia" w:ascii="宋体" w:hAnsi="宋体" w:cs="仿宋_GB2312"/>
          <w:sz w:val="24"/>
          <w:szCs w:val="24"/>
          <w:highlight w:val="none"/>
          <w:lang w:val="en-US" w:eastAsia="zh-CN"/>
        </w:rPr>
        <w:t>85</w:t>
      </w:r>
      <w:r>
        <w:rPr>
          <w:rFonts w:hint="eastAsia" w:ascii="宋体" w:hAnsi="宋体" w:cs="仿宋_GB2312"/>
          <w:sz w:val="24"/>
          <w:szCs w:val="24"/>
          <w:highlight w:val="none"/>
        </w:rPr>
        <w:t>%。</w:t>
      </w:r>
    </w:p>
    <w:p w14:paraId="6FC09BB5">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7）</w:t>
      </w:r>
      <w:r>
        <w:rPr>
          <w:rFonts w:hint="eastAsia" w:ascii="宋体" w:hAnsi="宋体" w:cs="仿宋_GB2312"/>
          <w:sz w:val="24"/>
          <w:szCs w:val="24"/>
          <w:highlight w:val="none"/>
        </w:rPr>
        <w:t>项目安置房施工结算经审核部门审核后出具审核结果，计划资金到位后，乙方书面申请</w:t>
      </w:r>
      <w:r>
        <w:rPr>
          <w:rFonts w:hint="eastAsia" w:ascii="宋体" w:hAnsi="宋体" w:cs="仿宋_GB2312"/>
          <w:sz w:val="24"/>
          <w:szCs w:val="24"/>
          <w:highlight w:val="none"/>
          <w:lang w:val="en-US" w:eastAsia="zh-CN"/>
        </w:rPr>
        <w:t>办理结算</w:t>
      </w:r>
      <w:r>
        <w:rPr>
          <w:rFonts w:hint="eastAsia" w:ascii="宋体" w:hAnsi="宋体" w:cs="仿宋_GB2312"/>
          <w:sz w:val="24"/>
          <w:szCs w:val="24"/>
          <w:highlight w:val="none"/>
        </w:rPr>
        <w:t>，经</w:t>
      </w:r>
      <w:r>
        <w:rPr>
          <w:rFonts w:hint="eastAsia" w:ascii="宋体" w:hAnsi="宋体" w:cs="仿宋_GB2312"/>
          <w:sz w:val="24"/>
          <w:szCs w:val="24"/>
          <w:highlight w:val="none"/>
          <w:lang w:val="en-US" w:eastAsia="zh-CN"/>
        </w:rPr>
        <w:t>有关审核部门及</w:t>
      </w:r>
      <w:r>
        <w:rPr>
          <w:rFonts w:hint="eastAsia" w:ascii="宋体" w:hAnsi="宋体" w:cs="仿宋_GB2312"/>
          <w:sz w:val="24"/>
          <w:szCs w:val="24"/>
          <w:highlight w:val="none"/>
        </w:rPr>
        <w:t>甲方审核批准</w:t>
      </w:r>
      <w:r>
        <w:rPr>
          <w:rFonts w:hint="eastAsia" w:ascii="宋体" w:hAnsi="宋体" w:cs="仿宋_GB2312"/>
          <w:sz w:val="24"/>
          <w:szCs w:val="24"/>
          <w:highlight w:val="none"/>
          <w:lang w:val="en-US" w:eastAsia="zh-CN"/>
        </w:rPr>
        <w:t>结算</w:t>
      </w:r>
      <w:r>
        <w:rPr>
          <w:rFonts w:hint="eastAsia" w:ascii="宋体" w:hAnsi="宋体" w:cs="仿宋_GB2312"/>
          <w:sz w:val="24"/>
          <w:szCs w:val="24"/>
          <w:highlight w:val="none"/>
        </w:rPr>
        <w:t>后支付至含税</w:t>
      </w:r>
      <w:r>
        <w:rPr>
          <w:rFonts w:hint="eastAsia" w:ascii="宋体" w:hAnsi="宋体" w:cs="仿宋_GB2312"/>
          <w:sz w:val="24"/>
          <w:szCs w:val="24"/>
          <w:highlight w:val="none"/>
          <w:lang w:val="en-US" w:eastAsia="zh-CN"/>
        </w:rPr>
        <w:t>房建工程建设管理费结算</w:t>
      </w:r>
      <w:r>
        <w:rPr>
          <w:rFonts w:hint="eastAsia" w:ascii="宋体" w:hAnsi="宋体" w:cs="仿宋_GB2312"/>
          <w:sz w:val="24"/>
          <w:szCs w:val="24"/>
          <w:highlight w:val="none"/>
        </w:rPr>
        <w:t>金额的97%。</w:t>
      </w:r>
    </w:p>
    <w:p w14:paraId="6C316CA4">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 xml:space="preserve">8） </w:t>
      </w:r>
      <w:r>
        <w:rPr>
          <w:rFonts w:hint="eastAsia" w:ascii="宋体" w:hAnsi="宋体" w:cs="仿宋_GB2312"/>
          <w:sz w:val="24"/>
          <w:szCs w:val="24"/>
          <w:highlight w:val="none"/>
        </w:rPr>
        <w:t>最后的3%为质保金，在建设管理期限期满无息付清。</w:t>
      </w:r>
    </w:p>
    <w:p w14:paraId="48BC4271">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lang w:val="en-US" w:eastAsia="zh-CN"/>
        </w:rPr>
      </w:pP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9）</w:t>
      </w:r>
      <w:r>
        <w:rPr>
          <w:rFonts w:hint="eastAsia" w:ascii="宋体" w:hAnsi="宋体" w:cs="仿宋_GB2312"/>
          <w:sz w:val="24"/>
          <w:szCs w:val="24"/>
          <w:highlight w:val="none"/>
        </w:rPr>
        <w:t>当本项目采用分期建设，且因非乙方原因造成部分地块缓建的，乙方可根据已完地块建安费所占比例申请上述</w:t>
      </w: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2）</w:t>
      </w:r>
      <w:r>
        <w:rPr>
          <w:rFonts w:hint="eastAsia" w:ascii="宋体" w:hAnsi="宋体" w:cs="仿宋_GB2312"/>
          <w:sz w:val="24"/>
          <w:szCs w:val="24"/>
          <w:highlight w:val="none"/>
        </w:rPr>
        <w:t>款至</w:t>
      </w:r>
      <w:r>
        <w:rPr>
          <w:rFonts w:hint="eastAsia" w:ascii="宋体" w:hAnsi="宋体" w:cs="仿宋_GB2312"/>
          <w:sz w:val="24"/>
          <w:szCs w:val="24"/>
          <w:highlight w:val="none"/>
          <w:lang w:eastAsia="zh-CN"/>
        </w:rPr>
        <w:t>（</w:t>
      </w:r>
      <w:r>
        <w:rPr>
          <w:rFonts w:hint="eastAsia" w:ascii="宋体" w:hAnsi="宋体" w:cs="仿宋_GB2312"/>
          <w:sz w:val="24"/>
          <w:szCs w:val="24"/>
          <w:highlight w:val="none"/>
          <w:lang w:val="en-US" w:eastAsia="zh-CN"/>
        </w:rPr>
        <w:t>8）</w:t>
      </w:r>
      <w:r>
        <w:rPr>
          <w:rFonts w:hint="eastAsia" w:ascii="宋体" w:hAnsi="宋体" w:cs="仿宋_GB2312"/>
          <w:sz w:val="24"/>
          <w:szCs w:val="24"/>
          <w:highlight w:val="none"/>
        </w:rPr>
        <w:t>款服务费。</w:t>
      </w:r>
      <w:r>
        <w:rPr>
          <w:rFonts w:hint="eastAsia" w:ascii="宋体" w:hAnsi="宋体" w:cs="仿宋_GB2312"/>
          <w:sz w:val="24"/>
          <w:szCs w:val="24"/>
          <w:highlight w:val="none"/>
          <w:lang w:val="en-US" w:eastAsia="zh-CN"/>
        </w:rPr>
        <w:t xml:space="preserve">    </w:t>
      </w:r>
    </w:p>
    <w:p w14:paraId="4ABBC07C">
      <w:pPr>
        <w:tabs>
          <w:tab w:val="left" w:pos="720"/>
          <w:tab w:val="left" w:pos="1080"/>
          <w:tab w:val="left" w:pos="1134"/>
        </w:tabs>
        <w:adjustRightInd w:val="0"/>
        <w:snapToGrid w:val="0"/>
        <w:spacing w:line="360" w:lineRule="auto"/>
        <w:ind w:firstLine="482" w:firstLineChars="200"/>
        <w:rPr>
          <w:rFonts w:hint="eastAsia" w:ascii="宋体" w:hAnsi="宋体" w:cs="仿宋_GB2312"/>
          <w:b/>
          <w:bCs/>
          <w:sz w:val="24"/>
          <w:szCs w:val="24"/>
          <w:highlight w:val="none"/>
          <w:lang w:val="en-US" w:eastAsia="zh-CN"/>
        </w:rPr>
      </w:pPr>
      <w:r>
        <w:rPr>
          <w:rFonts w:hint="eastAsia" w:ascii="宋体" w:hAnsi="宋体" w:cs="仿宋_GB2312"/>
          <w:b/>
          <w:bCs/>
          <w:sz w:val="24"/>
          <w:szCs w:val="24"/>
          <w:highlight w:val="none"/>
          <w:lang w:val="en-US" w:eastAsia="zh-CN"/>
        </w:rPr>
        <w:t>市政工程建设管理服务费支付方式：</w:t>
      </w:r>
    </w:p>
    <w:p w14:paraId="70BBCBF4">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1</w:t>
      </w:r>
      <w:r>
        <w:rPr>
          <w:rFonts w:hint="eastAsia" w:ascii="宋体" w:hAnsi="宋体" w:cs="仿宋_GB2312"/>
          <w:sz w:val="24"/>
          <w:szCs w:val="24"/>
          <w:highlight w:val="none"/>
        </w:rPr>
        <w:t>）签订</w:t>
      </w:r>
      <w:r>
        <w:rPr>
          <w:rFonts w:hint="eastAsia" w:ascii="宋体" w:hAnsi="宋体" w:cs="仿宋_GB2312"/>
          <w:sz w:val="24"/>
          <w:szCs w:val="24"/>
          <w:highlight w:val="none"/>
          <w:lang w:val="en-US" w:eastAsia="zh-CN"/>
        </w:rPr>
        <w:t>市政工程</w:t>
      </w:r>
      <w:r>
        <w:rPr>
          <w:rFonts w:hint="eastAsia" w:ascii="宋体" w:hAnsi="宋体" w:cs="仿宋_GB2312"/>
          <w:sz w:val="24"/>
          <w:szCs w:val="24"/>
          <w:highlight w:val="none"/>
        </w:rPr>
        <w:t>施工合同，计划资金到位后</w:t>
      </w:r>
      <w:r>
        <w:rPr>
          <w:rFonts w:hint="eastAsia" w:ascii="宋体" w:hAnsi="宋体" w:cs="仿宋_GB2312"/>
          <w:sz w:val="24"/>
          <w:szCs w:val="24"/>
          <w:highlight w:val="none"/>
          <w:lang w:eastAsia="zh-CN"/>
        </w:rPr>
        <w:t>，</w:t>
      </w:r>
      <w:r>
        <w:rPr>
          <w:rFonts w:hint="eastAsia" w:ascii="宋体" w:hAnsi="宋体" w:cs="仿宋_GB2312"/>
          <w:sz w:val="24"/>
          <w:szCs w:val="24"/>
          <w:highlight w:val="none"/>
        </w:rPr>
        <w:t>经甲方审核批准后支付至含税暂定市政工程建设管理服务费金额的</w:t>
      </w:r>
      <w:r>
        <w:rPr>
          <w:rFonts w:hint="eastAsia" w:ascii="宋体" w:hAnsi="宋体" w:cs="仿宋_GB2312"/>
          <w:sz w:val="24"/>
          <w:szCs w:val="24"/>
          <w:highlight w:val="none"/>
          <w:lang w:val="en-US" w:eastAsia="zh-CN"/>
        </w:rPr>
        <w:t>2</w:t>
      </w:r>
      <w:r>
        <w:rPr>
          <w:rFonts w:hint="eastAsia" w:ascii="宋体" w:hAnsi="宋体" w:cs="仿宋_GB2312"/>
          <w:sz w:val="24"/>
          <w:szCs w:val="24"/>
          <w:highlight w:val="none"/>
        </w:rPr>
        <w:t>0%。</w:t>
      </w:r>
    </w:p>
    <w:p w14:paraId="492E59C3">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2</w:t>
      </w: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市政工程</w:t>
      </w:r>
      <w:r>
        <w:rPr>
          <w:rFonts w:hint="eastAsia" w:ascii="宋体" w:hAnsi="宋体" w:cs="仿宋_GB2312"/>
          <w:sz w:val="24"/>
          <w:szCs w:val="24"/>
          <w:highlight w:val="none"/>
        </w:rPr>
        <w:t>施工完成达到50%，计划资金到位后，按支付程序在15个工作日内支付至含税</w:t>
      </w:r>
      <w:r>
        <w:rPr>
          <w:rFonts w:hint="eastAsia" w:ascii="宋体" w:hAnsi="宋体" w:cs="仿宋_GB2312"/>
          <w:sz w:val="24"/>
          <w:szCs w:val="24"/>
          <w:highlight w:val="none"/>
          <w:lang w:val="en-US" w:eastAsia="zh-CN"/>
        </w:rPr>
        <w:t>暂定市政工程建设管理服务费</w:t>
      </w:r>
      <w:r>
        <w:rPr>
          <w:rFonts w:hint="eastAsia" w:ascii="宋体" w:hAnsi="宋体" w:cs="仿宋_GB2312"/>
          <w:sz w:val="24"/>
          <w:szCs w:val="24"/>
          <w:highlight w:val="none"/>
        </w:rPr>
        <w:t>金额的</w:t>
      </w:r>
      <w:r>
        <w:rPr>
          <w:rFonts w:hint="eastAsia" w:ascii="宋体" w:hAnsi="宋体" w:cs="仿宋_GB2312"/>
          <w:sz w:val="24"/>
          <w:szCs w:val="24"/>
          <w:highlight w:val="none"/>
          <w:lang w:val="en-US" w:eastAsia="zh-CN"/>
        </w:rPr>
        <w:t>4</w:t>
      </w:r>
      <w:r>
        <w:rPr>
          <w:rFonts w:hint="eastAsia" w:ascii="宋体" w:hAnsi="宋体" w:cs="仿宋_GB2312"/>
          <w:sz w:val="24"/>
          <w:szCs w:val="24"/>
          <w:highlight w:val="none"/>
        </w:rPr>
        <w:t>0%。</w:t>
      </w:r>
    </w:p>
    <w:p w14:paraId="385A5E4E">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3</w:t>
      </w:r>
      <w:r>
        <w:rPr>
          <w:rFonts w:hint="eastAsia" w:ascii="宋体" w:hAnsi="宋体" w:cs="仿宋_GB2312"/>
          <w:sz w:val="24"/>
          <w:szCs w:val="24"/>
          <w:highlight w:val="none"/>
        </w:rPr>
        <w:t>）</w:t>
      </w:r>
      <w:r>
        <w:rPr>
          <w:rFonts w:hint="eastAsia" w:ascii="宋体" w:hAnsi="宋体" w:cs="仿宋_GB2312"/>
          <w:sz w:val="24"/>
          <w:szCs w:val="24"/>
          <w:highlight w:val="none"/>
          <w:lang w:eastAsia="zh"/>
          <w:woUserID w:val="1"/>
        </w:rPr>
        <w:t>市政工程竣工验收完成</w:t>
      </w:r>
      <w:r>
        <w:rPr>
          <w:rFonts w:hint="eastAsia" w:ascii="宋体" w:hAnsi="宋体" w:cs="仿宋_GB2312"/>
          <w:sz w:val="24"/>
          <w:szCs w:val="24"/>
          <w:highlight w:val="none"/>
        </w:rPr>
        <w:t>，</w:t>
      </w:r>
      <w:r>
        <w:rPr>
          <w:rFonts w:hint="eastAsia" w:ascii="宋体" w:hAnsi="宋体" w:cs="仿宋_GB2312"/>
          <w:color w:val="auto"/>
          <w:sz w:val="24"/>
          <w:szCs w:val="24"/>
          <w:highlight w:val="none"/>
        </w:rPr>
        <w:t>计划资金到位后，</w:t>
      </w:r>
      <w:r>
        <w:rPr>
          <w:rFonts w:hint="eastAsia" w:ascii="宋体" w:hAnsi="宋体" w:cs="仿宋_GB2312"/>
          <w:sz w:val="24"/>
          <w:szCs w:val="24"/>
          <w:highlight w:val="none"/>
        </w:rPr>
        <w:t>按支付程序在15个工作日内支付至含税暂定市政工程建设管理服务费金额的</w:t>
      </w:r>
      <w:r>
        <w:rPr>
          <w:rFonts w:hint="eastAsia" w:ascii="宋体" w:hAnsi="宋体" w:cs="仿宋_GB2312"/>
          <w:sz w:val="24"/>
          <w:szCs w:val="24"/>
          <w:highlight w:val="none"/>
          <w:lang w:eastAsia="zh-CN"/>
        </w:rPr>
        <w:t>8</w:t>
      </w:r>
      <w:r>
        <w:rPr>
          <w:rFonts w:hint="eastAsia" w:ascii="宋体" w:hAnsi="宋体" w:cs="仿宋_GB2312"/>
          <w:sz w:val="24"/>
          <w:szCs w:val="24"/>
          <w:highlight w:val="none"/>
        </w:rPr>
        <w:t>0%。</w:t>
      </w:r>
    </w:p>
    <w:p w14:paraId="116691C6">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lang w:val="en-US" w:eastAsia="zh-CN"/>
        </w:rPr>
      </w:pP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4</w:t>
      </w: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市政工程施工结算经审核部门审核后出具审核结果，计划资金到位后，乙方书面申请办理结算，经有关审核部门及甲方审核批准结算后支付至含税市政工程建设管理费结算金额的97%。</w:t>
      </w:r>
    </w:p>
    <w:p w14:paraId="7864DE75">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5</w:t>
      </w:r>
      <w:r>
        <w:rPr>
          <w:rFonts w:hint="eastAsia" w:ascii="宋体" w:hAnsi="宋体" w:cs="仿宋_GB2312"/>
          <w:sz w:val="24"/>
          <w:szCs w:val="24"/>
          <w:highlight w:val="none"/>
        </w:rPr>
        <w:t>）最后的3%为质保金，在建设管理期限期满无息付清。</w:t>
      </w:r>
    </w:p>
    <w:p w14:paraId="52A0F334">
      <w:pPr>
        <w:tabs>
          <w:tab w:val="left" w:pos="720"/>
          <w:tab w:val="left" w:pos="1080"/>
          <w:tab w:val="left" w:pos="1134"/>
        </w:tabs>
        <w:adjustRightInd w:val="0"/>
        <w:snapToGrid w:val="0"/>
        <w:spacing w:line="360" w:lineRule="auto"/>
        <w:ind w:firstLine="482" w:firstLineChars="200"/>
        <w:rPr>
          <w:rFonts w:hint="eastAsia" w:ascii="宋体" w:hAnsi="宋体" w:cs="仿宋_GB2312"/>
          <w:b/>
          <w:bCs/>
          <w:sz w:val="24"/>
          <w:szCs w:val="24"/>
          <w:highlight w:val="none"/>
          <w:lang w:val="en-US" w:eastAsia="zh-CN"/>
        </w:rPr>
      </w:pPr>
      <w:r>
        <w:rPr>
          <w:rFonts w:hint="eastAsia" w:ascii="宋体" w:hAnsi="宋体" w:cs="仿宋_GB2312"/>
          <w:b/>
          <w:bCs/>
          <w:sz w:val="24"/>
          <w:szCs w:val="24"/>
          <w:highlight w:val="none"/>
          <w:lang w:val="en-US" w:eastAsia="zh-CN"/>
        </w:rPr>
        <w:t>水利工程建设管理服务费支付方式：</w:t>
      </w:r>
    </w:p>
    <w:p w14:paraId="588AA310">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1</w:t>
      </w:r>
      <w:r>
        <w:rPr>
          <w:rFonts w:hint="eastAsia" w:ascii="宋体" w:hAnsi="宋体" w:cs="仿宋_GB2312"/>
          <w:sz w:val="24"/>
          <w:szCs w:val="24"/>
          <w:highlight w:val="none"/>
        </w:rPr>
        <w:t>）签订</w:t>
      </w:r>
      <w:r>
        <w:rPr>
          <w:rFonts w:hint="eastAsia" w:ascii="宋体" w:hAnsi="宋体" w:cs="仿宋_GB2312"/>
          <w:b w:val="0"/>
          <w:bCs w:val="0"/>
          <w:sz w:val="24"/>
          <w:szCs w:val="24"/>
          <w:highlight w:val="none"/>
          <w:lang w:val="en-US" w:eastAsia="zh-CN"/>
        </w:rPr>
        <w:t>水利</w:t>
      </w:r>
      <w:r>
        <w:rPr>
          <w:rFonts w:hint="eastAsia" w:ascii="宋体" w:hAnsi="宋体" w:cs="仿宋_GB2312"/>
          <w:sz w:val="24"/>
          <w:szCs w:val="24"/>
          <w:highlight w:val="none"/>
          <w:lang w:val="en-US" w:eastAsia="zh-CN"/>
        </w:rPr>
        <w:t>工程</w:t>
      </w:r>
      <w:r>
        <w:rPr>
          <w:rFonts w:hint="eastAsia" w:ascii="宋体" w:hAnsi="宋体" w:cs="仿宋_GB2312"/>
          <w:sz w:val="24"/>
          <w:szCs w:val="24"/>
          <w:highlight w:val="none"/>
        </w:rPr>
        <w:t>施工合同，计划资金到位后，经甲方审核批准后支付至含税暂定市政工程建设管理服务费金额的</w:t>
      </w:r>
      <w:r>
        <w:rPr>
          <w:rFonts w:hint="eastAsia" w:ascii="宋体" w:hAnsi="宋体" w:cs="仿宋_GB2312"/>
          <w:sz w:val="24"/>
          <w:szCs w:val="24"/>
          <w:highlight w:val="none"/>
          <w:lang w:val="en-US" w:eastAsia="zh-CN"/>
        </w:rPr>
        <w:t>2</w:t>
      </w:r>
      <w:r>
        <w:rPr>
          <w:rFonts w:hint="eastAsia" w:ascii="宋体" w:hAnsi="宋体" w:cs="仿宋_GB2312"/>
          <w:sz w:val="24"/>
          <w:szCs w:val="24"/>
          <w:highlight w:val="none"/>
        </w:rPr>
        <w:t>0%。</w:t>
      </w:r>
    </w:p>
    <w:p w14:paraId="279AA009">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2</w:t>
      </w:r>
      <w:r>
        <w:rPr>
          <w:rFonts w:hint="eastAsia" w:ascii="宋体" w:hAnsi="宋体" w:cs="仿宋_GB2312"/>
          <w:sz w:val="24"/>
          <w:szCs w:val="24"/>
          <w:highlight w:val="none"/>
        </w:rPr>
        <w:t>）</w:t>
      </w:r>
      <w:r>
        <w:rPr>
          <w:rFonts w:hint="eastAsia" w:ascii="宋体" w:hAnsi="宋体" w:cs="仿宋_GB2312"/>
          <w:b w:val="0"/>
          <w:bCs w:val="0"/>
          <w:sz w:val="24"/>
          <w:szCs w:val="24"/>
          <w:highlight w:val="none"/>
          <w:lang w:val="en-US" w:eastAsia="zh-CN"/>
        </w:rPr>
        <w:t>水利</w:t>
      </w:r>
      <w:r>
        <w:rPr>
          <w:rFonts w:hint="eastAsia" w:ascii="宋体" w:hAnsi="宋体" w:cs="仿宋_GB2312"/>
          <w:sz w:val="24"/>
          <w:szCs w:val="24"/>
          <w:highlight w:val="none"/>
          <w:lang w:val="en-US" w:eastAsia="zh-CN"/>
        </w:rPr>
        <w:t>工程</w:t>
      </w:r>
      <w:r>
        <w:rPr>
          <w:rFonts w:hint="eastAsia" w:ascii="宋体" w:hAnsi="宋体" w:cs="仿宋_GB2312"/>
          <w:sz w:val="24"/>
          <w:szCs w:val="24"/>
          <w:highlight w:val="none"/>
        </w:rPr>
        <w:t>施工完成达到50%，按支付程序在15个工作日内支付至含税</w:t>
      </w:r>
      <w:r>
        <w:rPr>
          <w:rFonts w:hint="eastAsia" w:ascii="宋体" w:hAnsi="宋体" w:cs="仿宋_GB2312"/>
          <w:sz w:val="24"/>
          <w:szCs w:val="24"/>
          <w:highlight w:val="none"/>
          <w:lang w:val="en-US" w:eastAsia="zh-CN"/>
        </w:rPr>
        <w:t>暂定</w:t>
      </w:r>
      <w:r>
        <w:rPr>
          <w:rFonts w:hint="eastAsia" w:ascii="宋体" w:hAnsi="宋体" w:cs="仿宋_GB2312"/>
          <w:b w:val="0"/>
          <w:bCs w:val="0"/>
          <w:sz w:val="24"/>
          <w:szCs w:val="24"/>
          <w:highlight w:val="none"/>
          <w:lang w:val="en-US" w:eastAsia="zh-CN"/>
        </w:rPr>
        <w:t>水利</w:t>
      </w:r>
      <w:r>
        <w:rPr>
          <w:rFonts w:hint="eastAsia" w:ascii="宋体" w:hAnsi="宋体" w:cs="仿宋_GB2312"/>
          <w:sz w:val="24"/>
          <w:szCs w:val="24"/>
          <w:highlight w:val="none"/>
          <w:lang w:val="en-US" w:eastAsia="zh-CN"/>
        </w:rPr>
        <w:t>工程建设管理服务费</w:t>
      </w:r>
      <w:r>
        <w:rPr>
          <w:rFonts w:hint="eastAsia" w:ascii="宋体" w:hAnsi="宋体" w:cs="仿宋_GB2312"/>
          <w:sz w:val="24"/>
          <w:szCs w:val="24"/>
          <w:highlight w:val="none"/>
        </w:rPr>
        <w:t>金额的</w:t>
      </w:r>
      <w:r>
        <w:rPr>
          <w:rFonts w:hint="eastAsia" w:ascii="宋体" w:hAnsi="宋体" w:cs="仿宋_GB2312"/>
          <w:sz w:val="24"/>
          <w:szCs w:val="24"/>
          <w:highlight w:val="none"/>
          <w:lang w:val="en-US" w:eastAsia="zh-CN"/>
        </w:rPr>
        <w:t>4</w:t>
      </w:r>
      <w:r>
        <w:rPr>
          <w:rFonts w:hint="eastAsia" w:ascii="宋体" w:hAnsi="宋体" w:cs="仿宋_GB2312"/>
          <w:sz w:val="24"/>
          <w:szCs w:val="24"/>
          <w:highlight w:val="none"/>
        </w:rPr>
        <w:t>0%。</w:t>
      </w:r>
    </w:p>
    <w:p w14:paraId="7ECCDBC3">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rPr>
      </w:pP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3</w:t>
      </w:r>
      <w:r>
        <w:rPr>
          <w:rFonts w:hint="eastAsia" w:ascii="宋体" w:hAnsi="宋体" w:cs="仿宋_GB2312"/>
          <w:sz w:val="24"/>
          <w:szCs w:val="24"/>
          <w:highlight w:val="none"/>
        </w:rPr>
        <w:t>）</w:t>
      </w:r>
      <w:r>
        <w:rPr>
          <w:rFonts w:hint="eastAsia" w:ascii="宋体" w:hAnsi="宋体" w:cs="仿宋_GB2312"/>
          <w:b w:val="0"/>
          <w:bCs w:val="0"/>
          <w:sz w:val="24"/>
          <w:szCs w:val="24"/>
          <w:highlight w:val="none"/>
          <w:lang w:val="en-US" w:eastAsia="zh-CN"/>
        </w:rPr>
        <w:t>水利</w:t>
      </w:r>
      <w:r>
        <w:rPr>
          <w:rFonts w:hint="eastAsia" w:ascii="宋体" w:hAnsi="宋体" w:cs="仿宋_GB2312"/>
          <w:sz w:val="24"/>
          <w:szCs w:val="24"/>
          <w:highlight w:val="none"/>
        </w:rPr>
        <w:t>工程竣工</w:t>
      </w:r>
      <w:r>
        <w:rPr>
          <w:rFonts w:hint="eastAsia" w:ascii="宋体" w:hAnsi="宋体" w:cs="仿宋_GB2312"/>
          <w:sz w:val="24"/>
          <w:szCs w:val="24"/>
          <w:highlight w:val="none"/>
          <w:lang w:eastAsia="zh"/>
          <w:woUserID w:val="1"/>
        </w:rPr>
        <w:t>验收</w:t>
      </w:r>
      <w:r>
        <w:rPr>
          <w:rFonts w:hint="eastAsia" w:ascii="宋体" w:hAnsi="宋体" w:cs="仿宋_GB2312"/>
          <w:sz w:val="24"/>
          <w:szCs w:val="24"/>
          <w:highlight w:val="none"/>
        </w:rPr>
        <w:t>完成，按支付程序</w:t>
      </w:r>
      <w:r>
        <w:rPr>
          <w:rFonts w:hint="eastAsia" w:ascii="宋体" w:hAnsi="宋体" w:cs="仿宋_GB2312"/>
          <w:sz w:val="24"/>
          <w:szCs w:val="24"/>
          <w:highlight w:val="none"/>
          <w:lang w:val="en-US" w:eastAsia="zh-CN"/>
        </w:rPr>
        <w:t>在</w:t>
      </w:r>
      <w:r>
        <w:rPr>
          <w:rFonts w:hint="eastAsia" w:ascii="宋体" w:hAnsi="宋体" w:cs="仿宋_GB2312"/>
          <w:sz w:val="24"/>
          <w:szCs w:val="24"/>
          <w:highlight w:val="none"/>
        </w:rPr>
        <w:t>15个工作日内支付至含税</w:t>
      </w:r>
      <w:r>
        <w:rPr>
          <w:rFonts w:hint="eastAsia" w:ascii="宋体" w:hAnsi="宋体" w:cs="仿宋_GB2312"/>
          <w:sz w:val="24"/>
          <w:szCs w:val="24"/>
          <w:highlight w:val="none"/>
          <w:lang w:val="en-US" w:eastAsia="zh-CN"/>
        </w:rPr>
        <w:t>暂定</w:t>
      </w:r>
      <w:r>
        <w:rPr>
          <w:rFonts w:hint="eastAsia" w:ascii="宋体" w:hAnsi="宋体" w:cs="仿宋_GB2312"/>
          <w:b w:val="0"/>
          <w:bCs w:val="0"/>
          <w:sz w:val="24"/>
          <w:szCs w:val="24"/>
          <w:highlight w:val="none"/>
          <w:lang w:val="en-US" w:eastAsia="zh-CN"/>
        </w:rPr>
        <w:t>水利</w:t>
      </w:r>
      <w:r>
        <w:rPr>
          <w:rFonts w:hint="eastAsia" w:ascii="宋体" w:hAnsi="宋体" w:cs="仿宋_GB2312"/>
          <w:sz w:val="24"/>
          <w:szCs w:val="24"/>
          <w:highlight w:val="none"/>
          <w:lang w:val="en-US" w:eastAsia="zh-CN"/>
        </w:rPr>
        <w:t>工程建设管理服务费</w:t>
      </w:r>
      <w:r>
        <w:rPr>
          <w:rFonts w:hint="eastAsia" w:ascii="宋体" w:hAnsi="宋体" w:cs="仿宋_GB2312"/>
          <w:sz w:val="24"/>
          <w:szCs w:val="24"/>
          <w:highlight w:val="none"/>
        </w:rPr>
        <w:t>金额的80%。</w:t>
      </w:r>
    </w:p>
    <w:p w14:paraId="03F5C8D8">
      <w:pPr>
        <w:tabs>
          <w:tab w:val="left" w:pos="720"/>
          <w:tab w:val="left" w:pos="1080"/>
          <w:tab w:val="left" w:pos="1134"/>
        </w:tabs>
        <w:adjustRightInd w:val="0"/>
        <w:snapToGrid w:val="0"/>
        <w:spacing w:line="360" w:lineRule="auto"/>
        <w:ind w:firstLine="480" w:firstLineChars="200"/>
        <w:rPr>
          <w:rFonts w:hint="eastAsia" w:ascii="宋体" w:hAnsi="宋体" w:cs="仿宋_GB2312"/>
          <w:sz w:val="24"/>
          <w:szCs w:val="24"/>
          <w:highlight w:val="none"/>
          <w:lang w:val="en-US" w:eastAsia="zh-CN"/>
        </w:rPr>
      </w:pP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4</w:t>
      </w: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水利工程施工结算经审核部门审核后出具审核结果，计划资金到位后，乙方书面申请办理结算，经有关审核部门及甲方审核批准结算后支付至含税水利工程建设管理费结算金额的97%。</w:t>
      </w:r>
    </w:p>
    <w:p w14:paraId="7A60932D">
      <w:pPr>
        <w:tabs>
          <w:tab w:val="left" w:pos="720"/>
          <w:tab w:val="left" w:pos="1080"/>
          <w:tab w:val="left" w:pos="1134"/>
        </w:tabs>
        <w:adjustRightInd w:val="0"/>
        <w:snapToGrid w:val="0"/>
        <w:spacing w:line="360" w:lineRule="auto"/>
        <w:ind w:firstLine="480" w:firstLineChars="200"/>
        <w:rPr>
          <w:rFonts w:hint="eastAsia"/>
          <w:highlight w:val="none"/>
        </w:rPr>
      </w:pPr>
      <w:r>
        <w:rPr>
          <w:rFonts w:hint="eastAsia" w:ascii="宋体" w:hAnsi="宋体" w:cs="仿宋_GB2312"/>
          <w:sz w:val="24"/>
          <w:szCs w:val="24"/>
          <w:highlight w:val="none"/>
        </w:rPr>
        <w:t>（</w:t>
      </w:r>
      <w:r>
        <w:rPr>
          <w:rFonts w:hint="eastAsia" w:ascii="宋体" w:hAnsi="宋体" w:cs="仿宋_GB2312"/>
          <w:sz w:val="24"/>
          <w:szCs w:val="24"/>
          <w:highlight w:val="none"/>
          <w:lang w:val="en-US" w:eastAsia="zh-CN"/>
        </w:rPr>
        <w:t>5</w:t>
      </w:r>
      <w:r>
        <w:rPr>
          <w:rFonts w:hint="eastAsia" w:ascii="宋体" w:hAnsi="宋体" w:cs="仿宋_GB2312"/>
          <w:sz w:val="24"/>
          <w:szCs w:val="24"/>
          <w:highlight w:val="none"/>
        </w:rPr>
        <w:t>）最后的3%为质保金，在建设管理期限期满无息付清。</w:t>
      </w:r>
    </w:p>
    <w:p w14:paraId="5AE89486">
      <w:pPr>
        <w:tabs>
          <w:tab w:val="left" w:pos="720"/>
          <w:tab w:val="left" w:pos="1080"/>
          <w:tab w:val="left" w:pos="1134"/>
        </w:tabs>
        <w:adjustRightInd w:val="0"/>
        <w:snapToGrid w:val="0"/>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3</w:t>
      </w:r>
      <w:r>
        <w:rPr>
          <w:rFonts w:ascii="宋体" w:hAnsi="宋体" w:cs="仿宋_GB2312"/>
          <w:sz w:val="24"/>
          <w:szCs w:val="24"/>
          <w:highlight w:val="none"/>
        </w:rPr>
        <w:t>.3.3.</w:t>
      </w:r>
      <w:r>
        <w:rPr>
          <w:rFonts w:hint="eastAsia" w:ascii="宋体" w:hAnsi="宋体" w:cs="仿宋_GB2312"/>
          <w:sz w:val="24"/>
          <w:szCs w:val="24"/>
          <w:highlight w:val="none"/>
        </w:rPr>
        <w:t>项目缓建、项目分期或分标段实施的，则按实际完成工作量占总工作量的比例计算对应比例的建设管理服务费办理支付。</w:t>
      </w:r>
    </w:p>
    <w:p w14:paraId="40D9805C">
      <w:pPr>
        <w:tabs>
          <w:tab w:val="left" w:pos="720"/>
          <w:tab w:val="left" w:pos="1080"/>
          <w:tab w:val="left" w:pos="1134"/>
        </w:tabs>
        <w:adjustRightInd w:val="0"/>
        <w:snapToGrid w:val="0"/>
        <w:spacing w:line="360" w:lineRule="auto"/>
        <w:ind w:firstLine="480" w:firstLineChars="200"/>
        <w:rPr>
          <w:rFonts w:ascii="宋体" w:hAnsi="宋体" w:cs="仿宋_GB2312"/>
          <w:sz w:val="24"/>
          <w:szCs w:val="24"/>
          <w:highlight w:val="none"/>
        </w:rPr>
      </w:pPr>
      <w:r>
        <w:rPr>
          <w:rFonts w:hint="eastAsia" w:ascii="宋体" w:hAnsi="宋体" w:cs="仿宋_GB2312"/>
          <w:sz w:val="24"/>
          <w:szCs w:val="24"/>
          <w:highlight w:val="none"/>
        </w:rPr>
        <w:t>3</w:t>
      </w:r>
      <w:r>
        <w:rPr>
          <w:rFonts w:ascii="宋体" w:hAnsi="宋体" w:cs="仿宋_GB2312"/>
          <w:sz w:val="24"/>
          <w:szCs w:val="24"/>
          <w:highlight w:val="none"/>
        </w:rPr>
        <w:t>.3.4.</w:t>
      </w:r>
      <w:r>
        <w:rPr>
          <w:rFonts w:hint="eastAsia" w:ascii="宋体" w:hAnsi="宋体" w:cs="仿宋_GB2312"/>
          <w:sz w:val="24"/>
          <w:szCs w:val="24"/>
          <w:highlight w:val="none"/>
        </w:rPr>
        <w:t>甲方对乙方提交的支付申请有异议，应当在收到支付申请后1</w:t>
      </w:r>
      <w:r>
        <w:rPr>
          <w:rFonts w:ascii="宋体" w:hAnsi="宋体" w:cs="仿宋_GB2312"/>
          <w:sz w:val="24"/>
          <w:szCs w:val="24"/>
          <w:highlight w:val="none"/>
        </w:rPr>
        <w:t>5日内</w:t>
      </w:r>
      <w:r>
        <w:rPr>
          <w:rFonts w:hint="eastAsia" w:ascii="宋体" w:hAnsi="宋体" w:cs="仿宋_GB2312"/>
          <w:sz w:val="24"/>
          <w:szCs w:val="24"/>
          <w:highlight w:val="none"/>
        </w:rPr>
        <w:t>向乙方发出表示异议的书面通知，逾期视为同意，但甲方不得拖延其他无异议的支付申请。</w:t>
      </w:r>
    </w:p>
    <w:p w14:paraId="08397EBC">
      <w:pPr>
        <w:pStyle w:val="8"/>
        <w:spacing w:line="360" w:lineRule="auto"/>
        <w:ind w:firstLine="480"/>
        <w:rPr>
          <w:rFonts w:ascii="宋体" w:hAnsi="宋体" w:eastAsia="宋体" w:cs="仿宋_GB2312"/>
          <w:kern w:val="2"/>
          <w:sz w:val="24"/>
          <w:szCs w:val="24"/>
          <w:highlight w:val="none"/>
        </w:rPr>
      </w:pPr>
      <w:r>
        <w:rPr>
          <w:rFonts w:ascii="宋体" w:hAnsi="宋体" w:cs="仿宋_GB2312"/>
          <w:sz w:val="24"/>
          <w:szCs w:val="24"/>
          <w:highlight w:val="none"/>
        </w:rPr>
        <w:t>3.3.5</w:t>
      </w:r>
      <w:r>
        <w:rPr>
          <w:rFonts w:hint="eastAsia" w:ascii="宋体" w:hAnsi="宋体" w:cs="仿宋_GB2312"/>
          <w:sz w:val="24"/>
          <w:szCs w:val="24"/>
          <w:highlight w:val="none"/>
        </w:rPr>
        <w:t>.</w:t>
      </w:r>
      <w:r>
        <w:rPr>
          <w:rFonts w:hint="eastAsia" w:ascii="宋体" w:hAnsi="宋体" w:eastAsia="宋体" w:cs="仿宋_GB2312"/>
          <w:kern w:val="2"/>
          <w:sz w:val="24"/>
          <w:szCs w:val="24"/>
          <w:highlight w:val="none"/>
        </w:rPr>
        <w:t>乙方指定的有效收款银行账户如下：</w:t>
      </w:r>
    </w:p>
    <w:p w14:paraId="366F3E9A">
      <w:pPr>
        <w:spacing w:line="360" w:lineRule="auto"/>
        <w:ind w:right="-197" w:firstLine="964" w:firstLineChars="400"/>
        <w:rPr>
          <w:rFonts w:ascii="宋体" w:hAnsi="宋体" w:cs="仿宋_GB2312"/>
          <w:b/>
          <w:bCs/>
          <w:sz w:val="24"/>
          <w:szCs w:val="24"/>
          <w:highlight w:val="none"/>
        </w:rPr>
      </w:pPr>
      <w:r>
        <w:rPr>
          <w:rFonts w:hint="eastAsia" w:ascii="宋体" w:hAnsi="宋体" w:cs="仿宋_GB2312"/>
          <w:b/>
          <w:bCs/>
          <w:sz w:val="24"/>
          <w:szCs w:val="24"/>
          <w:highlight w:val="none"/>
        </w:rPr>
        <w:t>开户行：</w:t>
      </w:r>
    </w:p>
    <w:p w14:paraId="75D1D207">
      <w:pPr>
        <w:spacing w:line="360" w:lineRule="auto"/>
        <w:ind w:right="-197" w:firstLine="482" w:firstLineChars="200"/>
        <w:rPr>
          <w:rFonts w:ascii="宋体" w:hAnsi="宋体" w:cs="仿宋_GB2312"/>
          <w:b/>
          <w:bCs/>
          <w:sz w:val="24"/>
          <w:szCs w:val="24"/>
          <w:highlight w:val="none"/>
        </w:rPr>
      </w:pPr>
      <w:r>
        <w:rPr>
          <w:rFonts w:hint="eastAsia" w:ascii="宋体" w:hAnsi="宋体" w:cs="仿宋_GB2312"/>
          <w:b/>
          <w:bCs/>
          <w:sz w:val="24"/>
          <w:szCs w:val="24"/>
          <w:highlight w:val="none"/>
        </w:rPr>
        <w:t xml:space="preserve">    开户名：</w:t>
      </w:r>
    </w:p>
    <w:p w14:paraId="7D13A81E">
      <w:pPr>
        <w:tabs>
          <w:tab w:val="left" w:pos="480"/>
          <w:tab w:val="left" w:pos="1080"/>
          <w:tab w:val="left" w:pos="1134"/>
        </w:tabs>
        <w:adjustRightInd w:val="0"/>
        <w:snapToGrid w:val="0"/>
        <w:spacing w:line="360" w:lineRule="auto"/>
        <w:ind w:firstLine="482" w:firstLineChars="200"/>
        <w:rPr>
          <w:rFonts w:ascii="宋体" w:hAnsi="宋体" w:cs="仿宋_GB2312"/>
          <w:b/>
          <w:bCs/>
          <w:sz w:val="24"/>
          <w:szCs w:val="24"/>
          <w:highlight w:val="none"/>
        </w:rPr>
      </w:pPr>
      <w:r>
        <w:rPr>
          <w:rFonts w:hint="eastAsia" w:ascii="宋体" w:hAnsi="宋体" w:cs="仿宋_GB2312"/>
          <w:b/>
          <w:bCs/>
          <w:sz w:val="24"/>
          <w:szCs w:val="24"/>
          <w:highlight w:val="none"/>
        </w:rPr>
        <w:t xml:space="preserve">    账号： </w:t>
      </w:r>
    </w:p>
    <w:p w14:paraId="20FF822E">
      <w:pPr>
        <w:rPr>
          <w:rFonts w:hint="eastAsia" w:ascii="宋体" w:hAnsi="宋体" w:cs="仿宋_GB2312"/>
          <w:b/>
          <w:bCs/>
          <w:sz w:val="24"/>
          <w:szCs w:val="24"/>
          <w:highlight w:val="none"/>
        </w:rPr>
      </w:pPr>
    </w:p>
    <w:p w14:paraId="508D257B">
      <w:pPr>
        <w:pStyle w:val="17"/>
        <w:rPr>
          <w:rFonts w:hint="eastAsia" w:ascii="宋体" w:hAnsi="宋体" w:cs="仿宋_GB2312"/>
          <w:b/>
          <w:bCs/>
          <w:sz w:val="24"/>
          <w:szCs w:val="24"/>
          <w:highlight w:val="none"/>
        </w:rPr>
      </w:pPr>
    </w:p>
    <w:p w14:paraId="76A4D2E2">
      <w:pPr>
        <w:pStyle w:val="17"/>
        <w:rPr>
          <w:rFonts w:hint="eastAsia" w:ascii="宋体" w:hAnsi="宋体" w:cs="仿宋_GB2312"/>
          <w:b/>
          <w:bCs/>
          <w:sz w:val="24"/>
          <w:szCs w:val="24"/>
          <w:highlight w:val="none"/>
        </w:rPr>
      </w:pPr>
    </w:p>
    <w:p w14:paraId="4C84068F">
      <w:pPr>
        <w:numPr>
          <w:ilvl w:val="0"/>
          <w:numId w:val="2"/>
        </w:numPr>
        <w:adjustRightInd w:val="0"/>
        <w:snapToGrid w:val="0"/>
        <w:spacing w:line="360" w:lineRule="auto"/>
        <w:jc w:val="center"/>
        <w:rPr>
          <w:rFonts w:ascii="宋体" w:hAnsi="宋体"/>
          <w:b/>
          <w:bCs/>
          <w:sz w:val="24"/>
          <w:szCs w:val="24"/>
          <w:highlight w:val="none"/>
        </w:rPr>
      </w:pPr>
      <w:bookmarkStart w:id="4" w:name="_Toc268175289"/>
      <w:bookmarkStart w:id="5" w:name="_Toc209925181"/>
      <w:r>
        <w:rPr>
          <w:rFonts w:hint="eastAsia" w:ascii="宋体" w:hAnsi="宋体" w:cs="仿宋_GB2312"/>
          <w:b/>
          <w:bCs/>
          <w:sz w:val="24"/>
          <w:szCs w:val="24"/>
          <w:highlight w:val="none"/>
        </w:rPr>
        <w:t>项目资金的拨付与使用</w:t>
      </w:r>
    </w:p>
    <w:p w14:paraId="180ED25F">
      <w:pPr>
        <w:adjustRightInd w:val="0"/>
        <w:snapToGrid w:val="0"/>
        <w:spacing w:line="360" w:lineRule="auto"/>
        <w:ind w:firstLine="482" w:firstLineChars="200"/>
        <w:rPr>
          <w:rFonts w:ascii="宋体" w:hAnsi="宋体"/>
          <w:sz w:val="24"/>
          <w:szCs w:val="24"/>
          <w:highlight w:val="none"/>
        </w:rPr>
      </w:pPr>
      <w:r>
        <w:rPr>
          <w:rFonts w:ascii="宋体" w:hAnsi="宋体" w:cs="仿宋_GB2312"/>
          <w:b/>
          <w:sz w:val="24"/>
          <w:szCs w:val="24"/>
          <w:highlight w:val="none"/>
        </w:rPr>
        <w:t>4.1.</w:t>
      </w:r>
      <w:r>
        <w:rPr>
          <w:rFonts w:hint="eastAsia" w:ascii="宋体" w:hAnsi="宋体" w:cs="仿宋_GB2312"/>
          <w:b/>
          <w:sz w:val="24"/>
          <w:szCs w:val="24"/>
          <w:highlight w:val="none"/>
        </w:rPr>
        <w:t xml:space="preserve"> </w:t>
      </w:r>
      <w:r>
        <w:rPr>
          <w:rFonts w:hint="eastAsia" w:ascii="宋体" w:hAnsi="宋体" w:cs="仿宋_GB2312"/>
          <w:sz w:val="24"/>
          <w:szCs w:val="24"/>
          <w:highlight w:val="none"/>
        </w:rPr>
        <w:t>乙方负责编报项目总体进度计划及年度投资计划和季度、月度资金使用计划，资金拨付需凭项目勘察、设计、施工、监理、设备采购合同和相关单位的请款申请等文件，</w:t>
      </w:r>
      <w:r>
        <w:rPr>
          <w:rFonts w:hint="eastAsia" w:ascii="宋体" w:hAnsi="宋体" w:cs="仿宋_GB2312"/>
          <w:sz w:val="24"/>
          <w:szCs w:val="24"/>
          <w:highlight w:val="none"/>
          <w:lang w:val="en-US" w:eastAsia="zh-CN"/>
        </w:rPr>
        <w:t>乙方</w:t>
      </w:r>
      <w:r>
        <w:rPr>
          <w:rFonts w:hint="eastAsia" w:ascii="宋体" w:hAnsi="宋体" w:cs="仿宋_GB2312"/>
          <w:sz w:val="24"/>
          <w:szCs w:val="24"/>
          <w:highlight w:val="none"/>
        </w:rPr>
        <w:t>应在5个工作日内审核并签署意见</w:t>
      </w:r>
      <w:r>
        <w:rPr>
          <w:rFonts w:hint="eastAsia" w:ascii="宋体" w:hAnsi="宋体" w:cs="仿宋_GB2312"/>
          <w:sz w:val="24"/>
          <w:szCs w:val="24"/>
          <w:highlight w:val="none"/>
          <w:lang w:val="en-US" w:eastAsia="zh-CN"/>
        </w:rPr>
        <w:t>报甲方审批</w:t>
      </w:r>
      <w:r>
        <w:rPr>
          <w:rFonts w:hint="eastAsia" w:ascii="宋体" w:hAnsi="宋体" w:cs="仿宋_GB2312"/>
          <w:sz w:val="24"/>
          <w:szCs w:val="24"/>
          <w:highlight w:val="none"/>
        </w:rPr>
        <w:t>，甲方审批后，由甲方按程序办理资金拨付手续，支付给相应单位。</w:t>
      </w:r>
    </w:p>
    <w:p w14:paraId="15D880AF">
      <w:pPr>
        <w:adjustRightInd w:val="0"/>
        <w:snapToGrid w:val="0"/>
        <w:spacing w:line="360" w:lineRule="auto"/>
        <w:ind w:firstLine="482" w:firstLineChars="200"/>
        <w:rPr>
          <w:rFonts w:ascii="宋体" w:hAnsi="宋体"/>
          <w:b/>
          <w:bCs/>
          <w:sz w:val="24"/>
          <w:szCs w:val="24"/>
          <w:highlight w:val="none"/>
        </w:rPr>
      </w:pPr>
      <w:r>
        <w:rPr>
          <w:rFonts w:ascii="宋体" w:hAnsi="宋体" w:cs="仿宋_GB2312"/>
          <w:b/>
          <w:sz w:val="24"/>
          <w:szCs w:val="24"/>
          <w:highlight w:val="none"/>
        </w:rPr>
        <w:t>4.2.</w:t>
      </w:r>
      <w:r>
        <w:rPr>
          <w:rFonts w:hint="eastAsia" w:ascii="宋体" w:hAnsi="宋体" w:cs="仿宋_GB2312"/>
          <w:b/>
          <w:sz w:val="24"/>
          <w:szCs w:val="24"/>
          <w:highlight w:val="none"/>
        </w:rPr>
        <w:t xml:space="preserve"> </w:t>
      </w:r>
      <w:r>
        <w:rPr>
          <w:rFonts w:hint="eastAsia" w:ascii="宋体" w:hAnsi="宋体" w:cs="仿宋_GB2312"/>
          <w:sz w:val="24"/>
          <w:szCs w:val="24"/>
          <w:highlight w:val="none"/>
        </w:rPr>
        <w:t>根据项目建设的需要，工程前期发生的报建费、合同契证费和劳保基金等，由甲方直接支付。</w:t>
      </w:r>
    </w:p>
    <w:p w14:paraId="12D5E439">
      <w:pPr>
        <w:numPr>
          <w:ilvl w:val="0"/>
          <w:numId w:val="2"/>
        </w:numPr>
        <w:adjustRightInd w:val="0"/>
        <w:snapToGrid w:val="0"/>
        <w:spacing w:line="360" w:lineRule="auto"/>
        <w:jc w:val="center"/>
        <w:rPr>
          <w:rFonts w:ascii="宋体" w:hAnsi="宋体"/>
          <w:b/>
          <w:bCs/>
          <w:sz w:val="24"/>
          <w:szCs w:val="24"/>
          <w:highlight w:val="none"/>
        </w:rPr>
      </w:pPr>
      <w:r>
        <w:rPr>
          <w:rFonts w:hint="eastAsia" w:ascii="宋体" w:hAnsi="宋体" w:cs="仿宋_GB2312"/>
          <w:b/>
          <w:bCs/>
          <w:sz w:val="24"/>
          <w:szCs w:val="24"/>
          <w:highlight w:val="none"/>
        </w:rPr>
        <w:t>工程变更管理</w:t>
      </w:r>
    </w:p>
    <w:p w14:paraId="7A610E0C">
      <w:pPr>
        <w:adjustRightInd w:val="0"/>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val="en-US" w:eastAsia="zh-CN"/>
        </w:rPr>
        <w:t>乙方需对参建方发起的工程变更进行审核，</w:t>
      </w:r>
      <w:r>
        <w:rPr>
          <w:rFonts w:hint="eastAsia" w:ascii="宋体" w:hAnsi="宋体" w:cs="宋体"/>
          <w:kern w:val="0"/>
          <w:sz w:val="24"/>
          <w:szCs w:val="24"/>
          <w:highlight w:val="none"/>
        </w:rPr>
        <w:t>变更文件应清楚列明变更的项目、部位、材料、设备、投资增减、工期影响等内容</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报送建设单位审批通过后方可组织实施；同时乙方需按要求完成变更台账的分类整理并协助建设单位完成变更报批手续。</w:t>
      </w:r>
    </w:p>
    <w:p w14:paraId="3742E432">
      <w:pPr>
        <w:widowControl/>
        <w:spacing w:line="360" w:lineRule="auto"/>
        <w:ind w:firstLine="482" w:firstLineChars="200"/>
        <w:jc w:val="left"/>
        <w:rPr>
          <w:rFonts w:ascii="宋体" w:hAnsi="宋体" w:cs="宋体"/>
          <w:kern w:val="0"/>
          <w:sz w:val="24"/>
          <w:szCs w:val="24"/>
          <w:highlight w:val="none"/>
        </w:rPr>
      </w:pPr>
      <w:r>
        <w:rPr>
          <w:rFonts w:hint="eastAsia" w:ascii="宋体" w:hAnsi="宋体" w:cs="宋体"/>
          <w:b/>
          <w:kern w:val="0"/>
          <w:sz w:val="24"/>
          <w:szCs w:val="24"/>
          <w:highlight w:val="none"/>
        </w:rPr>
        <w:t>5.1.</w:t>
      </w:r>
      <w:r>
        <w:rPr>
          <w:rFonts w:hint="eastAsia" w:ascii="宋体" w:hAnsi="宋体" w:cs="宋体"/>
          <w:kern w:val="0"/>
          <w:sz w:val="24"/>
          <w:szCs w:val="24"/>
          <w:highlight w:val="none"/>
        </w:rPr>
        <w:t xml:space="preserve"> 一类变更（即对工程的建设规模、技术标准、重要构筑物的设计方案及施工方法进行变更，或者需增加的投资额超过单项中标合同价10%或400万元以上的变更）。</w:t>
      </w:r>
    </w:p>
    <w:p w14:paraId="40886A1D">
      <w:pPr>
        <w:widowControl/>
        <w:spacing w:line="360" w:lineRule="auto"/>
        <w:ind w:firstLine="482" w:firstLineChars="200"/>
        <w:jc w:val="left"/>
        <w:rPr>
          <w:rFonts w:ascii="宋体" w:hAnsi="宋体" w:cs="宋体"/>
          <w:kern w:val="0"/>
          <w:sz w:val="24"/>
          <w:szCs w:val="24"/>
          <w:highlight w:val="none"/>
        </w:rPr>
      </w:pPr>
      <w:r>
        <w:rPr>
          <w:rFonts w:hint="eastAsia" w:ascii="宋体" w:hAnsi="宋体" w:cs="宋体"/>
          <w:b/>
          <w:kern w:val="0"/>
          <w:sz w:val="24"/>
          <w:szCs w:val="24"/>
          <w:highlight w:val="none"/>
        </w:rPr>
        <w:t>5.2.</w:t>
      </w:r>
      <w:r>
        <w:rPr>
          <w:rFonts w:hint="eastAsia" w:ascii="宋体" w:hAnsi="宋体" w:cs="宋体"/>
          <w:kern w:val="0"/>
          <w:sz w:val="24"/>
          <w:szCs w:val="24"/>
          <w:highlight w:val="none"/>
        </w:rPr>
        <w:t xml:space="preserve"> 二类变更（即在不改变整体工程技术标准的条件下，在进行技术经济论证的基础上的局部变更，一次变更增减投资额在单项中标合同价10%以下且在人民币400万元以下30万元以上的变更）。 </w:t>
      </w:r>
    </w:p>
    <w:p w14:paraId="46C70F6A">
      <w:pPr>
        <w:widowControl/>
        <w:spacing w:line="360" w:lineRule="auto"/>
        <w:ind w:firstLine="482" w:firstLineChars="200"/>
        <w:jc w:val="left"/>
        <w:rPr>
          <w:highlight w:val="none"/>
        </w:rPr>
      </w:pPr>
      <w:r>
        <w:rPr>
          <w:rFonts w:hint="eastAsia" w:ascii="宋体" w:hAnsi="宋体" w:cs="宋体"/>
          <w:b/>
          <w:kern w:val="0"/>
          <w:sz w:val="24"/>
          <w:szCs w:val="24"/>
          <w:highlight w:val="none"/>
        </w:rPr>
        <w:t>5.3.</w:t>
      </w:r>
      <w:r>
        <w:rPr>
          <w:rFonts w:hint="eastAsia" w:ascii="宋体" w:hAnsi="宋体" w:cs="宋体"/>
          <w:b/>
          <w:kern w:val="0"/>
          <w:sz w:val="24"/>
          <w:szCs w:val="24"/>
          <w:highlight w:val="none"/>
          <w:lang w:eastAsia="zh"/>
          <w:woUserID w:val="1"/>
        </w:rPr>
        <w:t xml:space="preserve"> </w:t>
      </w:r>
      <w:r>
        <w:rPr>
          <w:rFonts w:hint="eastAsia" w:ascii="宋体" w:hAnsi="宋体" w:cs="宋体"/>
          <w:kern w:val="0"/>
          <w:sz w:val="24"/>
          <w:szCs w:val="24"/>
          <w:highlight w:val="none"/>
        </w:rPr>
        <w:t>三类变更（即不影响主体结构及总体布置，一次变更增减投资额在单项中标合同价10%以下且在30万元以下的变更）</w:t>
      </w:r>
      <w:r>
        <w:rPr>
          <w:rFonts w:hint="eastAsia" w:ascii="宋体" w:hAnsi="宋体" w:cs="仿宋_GB2312"/>
          <w:sz w:val="24"/>
          <w:szCs w:val="24"/>
          <w:highlight w:val="none"/>
        </w:rPr>
        <w:t>。</w:t>
      </w:r>
    </w:p>
    <w:p w14:paraId="265F43AA">
      <w:pPr>
        <w:widowControl/>
        <w:spacing w:line="360" w:lineRule="auto"/>
        <w:ind w:firstLine="482" w:firstLineChars="200"/>
        <w:jc w:val="left"/>
        <w:rPr>
          <w:rFonts w:hint="eastAsia" w:ascii="宋体" w:hAnsi="宋体" w:eastAsia="宋体" w:cs="宋体"/>
          <w:b/>
          <w:kern w:val="0"/>
          <w:sz w:val="24"/>
          <w:szCs w:val="24"/>
          <w:highlight w:val="none"/>
          <w:lang w:eastAsia="zh"/>
          <w:woUserID w:val="1"/>
        </w:rPr>
      </w:pPr>
      <w:r>
        <w:rPr>
          <w:rFonts w:hint="eastAsia" w:ascii="宋体" w:hAnsi="宋体" w:cs="宋体"/>
          <w:b/>
          <w:kern w:val="0"/>
          <w:sz w:val="24"/>
          <w:szCs w:val="24"/>
          <w:highlight w:val="none"/>
          <w:lang w:eastAsia="zh"/>
          <w:woUserID w:val="0"/>
        </w:rPr>
        <w:t>5.4</w:t>
      </w:r>
      <w:r>
        <w:rPr>
          <w:rFonts w:hint="eastAsia" w:ascii="宋体" w:hAnsi="宋体" w:cs="宋体"/>
          <w:b/>
          <w:kern w:val="0"/>
          <w:sz w:val="24"/>
          <w:szCs w:val="24"/>
          <w:highlight w:val="none"/>
          <w:lang w:eastAsia="zh"/>
          <w:woUserID w:val="1"/>
        </w:rPr>
        <w:t>. 甲方对变更管理有新规定或管理办法的，按新规定或管理办法执行。</w:t>
      </w:r>
    </w:p>
    <w:p w14:paraId="7AFA9389">
      <w:pPr>
        <w:widowControl/>
        <w:spacing w:line="360" w:lineRule="auto"/>
        <w:ind w:firstLine="482" w:firstLineChars="200"/>
        <w:jc w:val="left"/>
        <w:rPr>
          <w:rFonts w:ascii="宋体" w:hAnsi="宋体" w:cs="宋体"/>
          <w:kern w:val="0"/>
          <w:sz w:val="24"/>
          <w:szCs w:val="24"/>
          <w:highlight w:val="none"/>
        </w:rPr>
      </w:pPr>
      <w:r>
        <w:rPr>
          <w:rFonts w:hint="eastAsia" w:ascii="宋体" w:hAnsi="宋体" w:cs="宋体"/>
          <w:b/>
          <w:kern w:val="0"/>
          <w:sz w:val="24"/>
          <w:szCs w:val="24"/>
          <w:highlight w:val="none"/>
        </w:rPr>
        <w:t>5.</w:t>
      </w:r>
      <w:r>
        <w:rPr>
          <w:rFonts w:hint="eastAsia" w:ascii="宋体" w:hAnsi="宋体" w:cs="宋体"/>
          <w:b/>
          <w:kern w:val="0"/>
          <w:sz w:val="24"/>
          <w:szCs w:val="24"/>
          <w:highlight w:val="none"/>
          <w:lang w:eastAsia="zh"/>
          <w:woUserID w:val="1"/>
        </w:rPr>
        <w:t>5</w:t>
      </w:r>
      <w:r>
        <w:rPr>
          <w:rFonts w:hint="eastAsia" w:ascii="宋体" w:hAnsi="宋体" w:cs="宋体"/>
          <w:b/>
          <w:kern w:val="0"/>
          <w:sz w:val="24"/>
          <w:szCs w:val="24"/>
          <w:highlight w:val="none"/>
        </w:rPr>
        <w:t>.</w:t>
      </w:r>
      <w:r>
        <w:rPr>
          <w:rFonts w:hint="eastAsia" w:ascii="宋体" w:hAnsi="宋体" w:cs="宋体"/>
          <w:b/>
          <w:kern w:val="0"/>
          <w:sz w:val="24"/>
          <w:szCs w:val="24"/>
          <w:highlight w:val="none"/>
          <w:lang w:eastAsia="zh"/>
          <w:woUserID w:val="1"/>
        </w:rPr>
        <w:t xml:space="preserve"> </w:t>
      </w:r>
      <w:r>
        <w:rPr>
          <w:rFonts w:hint="eastAsia" w:ascii="宋体" w:hAnsi="宋体" w:cs="宋体"/>
          <w:kern w:val="0"/>
          <w:sz w:val="24"/>
          <w:szCs w:val="24"/>
          <w:highlight w:val="none"/>
        </w:rPr>
        <w:t>为保证工程进度，经建设单位批准后的变更，在工程变更施工完成后，可根据</w:t>
      </w:r>
      <w:r>
        <w:rPr>
          <w:rFonts w:hint="eastAsia" w:ascii="宋体" w:hAnsi="宋体" w:cs="宋体"/>
          <w:kern w:val="0"/>
          <w:sz w:val="24"/>
          <w:szCs w:val="24"/>
          <w:highlight w:val="none"/>
          <w:lang w:eastAsia="zh"/>
          <w:woUserID w:val="1"/>
        </w:rPr>
        <w:t>EPC</w:t>
      </w:r>
      <w:r>
        <w:rPr>
          <w:rFonts w:hint="eastAsia" w:ascii="宋体" w:hAnsi="宋体" w:cs="宋体"/>
          <w:kern w:val="0"/>
          <w:sz w:val="24"/>
          <w:szCs w:val="24"/>
          <w:highlight w:val="none"/>
        </w:rPr>
        <w:t>合同约定支付相应工程进度款，或签订补充协议，作为支付变更工程进度款的依据。</w:t>
      </w:r>
    </w:p>
    <w:p w14:paraId="751174F7">
      <w:pPr>
        <w:numPr>
          <w:ilvl w:val="0"/>
          <w:numId w:val="2"/>
        </w:numPr>
        <w:adjustRightInd w:val="0"/>
        <w:snapToGrid w:val="0"/>
        <w:spacing w:line="360" w:lineRule="auto"/>
        <w:jc w:val="center"/>
        <w:rPr>
          <w:rFonts w:ascii="宋体" w:hAnsi="宋体"/>
          <w:b/>
          <w:bCs/>
          <w:sz w:val="24"/>
          <w:szCs w:val="24"/>
          <w:highlight w:val="none"/>
        </w:rPr>
      </w:pPr>
      <w:r>
        <w:rPr>
          <w:rFonts w:hint="eastAsia" w:ascii="宋体" w:hAnsi="宋体" w:cs="仿宋_GB2312"/>
          <w:b/>
          <w:bCs/>
          <w:sz w:val="24"/>
          <w:szCs w:val="24"/>
          <w:highlight w:val="none"/>
        </w:rPr>
        <w:t>合同的生效、变更、补充和终止</w:t>
      </w:r>
    </w:p>
    <w:p w14:paraId="359BA6B5">
      <w:pPr>
        <w:numPr>
          <w:ilvl w:val="1"/>
          <w:numId w:val="0"/>
        </w:numPr>
        <w:tabs>
          <w:tab w:val="left" w:pos="0"/>
          <w:tab w:val="left" w:pos="480"/>
          <w:tab w:val="left" w:pos="1080"/>
        </w:tabs>
        <w:spacing w:line="360" w:lineRule="auto"/>
        <w:ind w:firstLine="482" w:firstLineChars="200"/>
        <w:rPr>
          <w:rFonts w:ascii="宋体" w:hAnsi="宋体"/>
          <w:sz w:val="24"/>
          <w:szCs w:val="24"/>
          <w:highlight w:val="none"/>
        </w:rPr>
      </w:pPr>
      <w:r>
        <w:rPr>
          <w:rFonts w:ascii="宋体" w:hAnsi="宋体" w:cs="仿宋_GB2312"/>
          <w:b/>
          <w:sz w:val="24"/>
          <w:szCs w:val="24"/>
          <w:highlight w:val="none"/>
        </w:rPr>
        <w:t>6</w:t>
      </w:r>
      <w:r>
        <w:rPr>
          <w:rFonts w:hint="eastAsia" w:ascii="宋体" w:hAnsi="宋体" w:cs="仿宋_GB2312"/>
          <w:b/>
          <w:sz w:val="24"/>
          <w:szCs w:val="24"/>
          <w:highlight w:val="none"/>
        </w:rPr>
        <w:t>.1.</w:t>
      </w:r>
      <w:r>
        <w:rPr>
          <w:rFonts w:hint="eastAsia" w:ascii="宋体" w:hAnsi="宋体" w:cs="仿宋_GB2312"/>
          <w:sz w:val="24"/>
          <w:szCs w:val="24"/>
          <w:highlight w:val="none"/>
        </w:rPr>
        <w:t xml:space="preserve"> 甲方如果要求乙方全部或部分暂停执行建设管理服务或终止本合同，应当提前</w:t>
      </w:r>
      <w:r>
        <w:rPr>
          <w:rFonts w:ascii="宋体" w:hAnsi="宋体" w:cs="仿宋_GB2312"/>
          <w:sz w:val="24"/>
          <w:szCs w:val="24"/>
          <w:highlight w:val="none"/>
        </w:rPr>
        <w:t>30</w:t>
      </w:r>
      <w:r>
        <w:rPr>
          <w:rFonts w:hint="eastAsia" w:ascii="宋体" w:hAnsi="宋体" w:cs="仿宋_GB2312"/>
          <w:sz w:val="24"/>
          <w:szCs w:val="24"/>
          <w:highlight w:val="none"/>
        </w:rPr>
        <w:t>日书面通知乙方，乙方应当立即安排停止执行建设管理服务。</w:t>
      </w:r>
    </w:p>
    <w:p w14:paraId="4BBD6753">
      <w:pPr>
        <w:numPr>
          <w:ilvl w:val="1"/>
          <w:numId w:val="0"/>
        </w:numPr>
        <w:tabs>
          <w:tab w:val="left" w:pos="360"/>
          <w:tab w:val="left" w:pos="1080"/>
        </w:tabs>
        <w:autoSpaceDN w:val="0"/>
        <w:spacing w:line="360" w:lineRule="auto"/>
        <w:ind w:firstLine="482" w:firstLineChars="200"/>
        <w:rPr>
          <w:rFonts w:ascii="宋体" w:hAnsi="宋体"/>
          <w:sz w:val="24"/>
          <w:szCs w:val="24"/>
          <w:highlight w:val="none"/>
        </w:rPr>
      </w:pPr>
      <w:r>
        <w:rPr>
          <w:rFonts w:ascii="宋体" w:hAnsi="宋体" w:cs="仿宋_GB2312"/>
          <w:b/>
          <w:sz w:val="24"/>
          <w:szCs w:val="24"/>
          <w:highlight w:val="none"/>
        </w:rPr>
        <w:t>6</w:t>
      </w:r>
      <w:r>
        <w:rPr>
          <w:rFonts w:hint="eastAsia" w:ascii="宋体" w:hAnsi="宋体" w:cs="仿宋_GB2312"/>
          <w:b/>
          <w:sz w:val="24"/>
          <w:szCs w:val="24"/>
          <w:highlight w:val="none"/>
        </w:rPr>
        <w:t xml:space="preserve">.2. </w:t>
      </w:r>
      <w:r>
        <w:rPr>
          <w:rFonts w:hint="eastAsia" w:ascii="宋体" w:hAnsi="宋体" w:cs="仿宋_GB2312"/>
          <w:sz w:val="24"/>
          <w:szCs w:val="24"/>
          <w:highlight w:val="none"/>
        </w:rPr>
        <w:t>当由于非乙方原因而被暂停建设管理服务时，乙方在收到甲方暂停执行建设管理服务通知后</w:t>
      </w:r>
      <w:r>
        <w:rPr>
          <w:rFonts w:ascii="宋体" w:hAnsi="宋体" w:cs="仿宋_GB2312"/>
          <w:sz w:val="24"/>
          <w:szCs w:val="24"/>
          <w:highlight w:val="none"/>
        </w:rPr>
        <w:t>10</w:t>
      </w:r>
      <w:r>
        <w:rPr>
          <w:rFonts w:hint="eastAsia" w:ascii="宋体" w:hAnsi="宋体" w:cs="仿宋_GB2312"/>
          <w:sz w:val="24"/>
          <w:szCs w:val="24"/>
          <w:highlight w:val="none"/>
        </w:rPr>
        <w:t>个工作日内，应向甲方提交一份暂停建设管理服务对乙方所造成的经济损失和预计延误工期等情况的书面暂停建设管理服务报告。甲方在收到乙方暂停建设管理服务情况报告</w:t>
      </w:r>
      <w:r>
        <w:rPr>
          <w:rFonts w:ascii="宋体" w:hAnsi="宋体" w:cs="仿宋_GB2312"/>
          <w:sz w:val="24"/>
          <w:szCs w:val="24"/>
          <w:highlight w:val="none"/>
        </w:rPr>
        <w:t>5</w:t>
      </w:r>
      <w:r>
        <w:rPr>
          <w:rFonts w:hint="eastAsia" w:ascii="宋体" w:hAnsi="宋体" w:cs="仿宋_GB2312"/>
          <w:sz w:val="24"/>
          <w:szCs w:val="24"/>
          <w:highlight w:val="none"/>
        </w:rPr>
        <w:t>个工作日内，应与乙方商讨，并将具体意见答复乙方。乙方恢复执行建设管理服务后，按实际情况向甲方提交要求经济损失补偿和延长工期的报告。甲方报告批准后在5个工作日内将批复意见回复乙方，并与乙方办理拨付补偿款和延长工期的手续。</w:t>
      </w:r>
    </w:p>
    <w:p w14:paraId="6585E8E0">
      <w:pPr>
        <w:numPr>
          <w:ilvl w:val="1"/>
          <w:numId w:val="0"/>
        </w:numPr>
        <w:tabs>
          <w:tab w:val="left" w:pos="360"/>
          <w:tab w:val="left" w:pos="1080"/>
        </w:tabs>
        <w:autoSpaceDN w:val="0"/>
        <w:spacing w:line="360" w:lineRule="auto"/>
        <w:ind w:firstLine="482" w:firstLineChars="200"/>
        <w:rPr>
          <w:rFonts w:ascii="宋体" w:hAnsi="宋体"/>
          <w:sz w:val="24"/>
          <w:szCs w:val="24"/>
          <w:highlight w:val="none"/>
        </w:rPr>
      </w:pPr>
      <w:r>
        <w:rPr>
          <w:rFonts w:ascii="宋体" w:hAnsi="宋体" w:cs="仿宋_GB2312"/>
          <w:b/>
          <w:sz w:val="24"/>
          <w:szCs w:val="24"/>
          <w:highlight w:val="none"/>
        </w:rPr>
        <w:t>6</w:t>
      </w:r>
      <w:r>
        <w:rPr>
          <w:rFonts w:hint="eastAsia" w:ascii="宋体" w:hAnsi="宋体" w:cs="仿宋_GB2312"/>
          <w:b/>
          <w:sz w:val="24"/>
          <w:szCs w:val="24"/>
          <w:highlight w:val="none"/>
        </w:rPr>
        <w:t>.3.</w:t>
      </w:r>
      <w:r>
        <w:rPr>
          <w:rFonts w:ascii="宋体" w:hAnsi="宋体" w:cs="仿宋_GB2312"/>
          <w:b/>
          <w:sz w:val="24"/>
          <w:szCs w:val="24"/>
          <w:highlight w:val="none"/>
        </w:rPr>
        <w:t xml:space="preserve"> </w:t>
      </w:r>
      <w:r>
        <w:rPr>
          <w:rFonts w:hint="eastAsia" w:ascii="宋体" w:hAnsi="宋体" w:cs="仿宋_GB2312"/>
          <w:sz w:val="24"/>
          <w:szCs w:val="24"/>
          <w:highlight w:val="none"/>
        </w:rPr>
        <w:t>本合同提前终止（包括协议提前终止、不可抗力提前终止、政府行为提前终止和一方违约提前终止（包括因各种原因最终甲方未能取得项目地块的国有土地使用权）等）或到期终止后，应根据乙方履约情况支付工程比例的建设管理服务费，乙方应按本条的有关规定</w:t>
      </w:r>
      <w:r>
        <w:rPr>
          <w:rFonts w:hint="eastAsia" w:ascii="宋体" w:hAnsi="宋体" w:cs="仿宋_GB2312"/>
          <w:sz w:val="24"/>
          <w:szCs w:val="24"/>
          <w:highlight w:val="none"/>
          <w:lang w:val="en-US" w:eastAsia="zh-CN"/>
        </w:rPr>
        <w:t>在十五个工作日内</w:t>
      </w:r>
      <w:r>
        <w:rPr>
          <w:rFonts w:hint="eastAsia" w:ascii="宋体" w:hAnsi="宋体" w:cs="仿宋_GB2312"/>
          <w:sz w:val="24"/>
          <w:szCs w:val="24"/>
          <w:highlight w:val="none"/>
        </w:rPr>
        <w:t>办理移交手续。若已付的建设管理服务费已超出了乙方实际完成的管理工作，则乙方有义务将超出部分的金额返还甲方。若双方在乙方管理费结算、支付或其他事宜上发生争议，由双方协商解决，协商不成可提起诉讼。但双方单位不得以此为由停止或阻挠项目工程及所有资料的移交工作。</w:t>
      </w:r>
    </w:p>
    <w:p w14:paraId="78B9843D">
      <w:pPr>
        <w:numPr>
          <w:ilvl w:val="1"/>
          <w:numId w:val="0"/>
        </w:numPr>
        <w:tabs>
          <w:tab w:val="left" w:pos="360"/>
          <w:tab w:val="left" w:pos="480"/>
          <w:tab w:val="left" w:pos="1080"/>
        </w:tabs>
        <w:spacing w:line="360" w:lineRule="auto"/>
        <w:ind w:firstLine="482" w:firstLineChars="200"/>
        <w:rPr>
          <w:rFonts w:ascii="宋体" w:hAnsi="宋体"/>
          <w:b/>
          <w:bCs/>
          <w:sz w:val="24"/>
          <w:szCs w:val="24"/>
          <w:highlight w:val="none"/>
        </w:rPr>
      </w:pPr>
      <w:r>
        <w:rPr>
          <w:rFonts w:ascii="宋体" w:hAnsi="宋体" w:cs="仿宋_GB2312"/>
          <w:b/>
          <w:sz w:val="24"/>
          <w:szCs w:val="24"/>
          <w:highlight w:val="none"/>
        </w:rPr>
        <w:t>6</w:t>
      </w:r>
      <w:r>
        <w:rPr>
          <w:rFonts w:hint="eastAsia" w:ascii="宋体" w:hAnsi="宋体" w:cs="仿宋_GB2312"/>
          <w:b/>
          <w:sz w:val="24"/>
          <w:szCs w:val="24"/>
          <w:highlight w:val="none"/>
        </w:rPr>
        <w:t>.4.</w:t>
      </w:r>
      <w:r>
        <w:rPr>
          <w:rFonts w:hint="eastAsia" w:ascii="宋体" w:hAnsi="宋体" w:cs="仿宋_GB2312"/>
          <w:sz w:val="24"/>
          <w:szCs w:val="24"/>
          <w:highlight w:val="none"/>
        </w:rPr>
        <w:t xml:space="preserve"> 各方经协商可以书面合同方式对本合同做出修改和补充，经各方授权代表签字并加盖公章的有关本合同的修改合同和补充合同是本合同的组成部分，具有与本合同同等的法律效力。</w:t>
      </w:r>
      <w:bookmarkEnd w:id="4"/>
      <w:bookmarkEnd w:id="5"/>
    </w:p>
    <w:p w14:paraId="1ADF7EC6">
      <w:pPr>
        <w:numPr>
          <w:ilvl w:val="0"/>
          <w:numId w:val="2"/>
        </w:numPr>
        <w:adjustRightInd w:val="0"/>
        <w:snapToGrid w:val="0"/>
        <w:spacing w:line="360" w:lineRule="auto"/>
        <w:jc w:val="center"/>
        <w:rPr>
          <w:rFonts w:ascii="宋体" w:hAnsi="宋体"/>
          <w:b/>
          <w:bCs/>
          <w:sz w:val="24"/>
          <w:szCs w:val="24"/>
          <w:highlight w:val="none"/>
        </w:rPr>
      </w:pPr>
      <w:r>
        <w:rPr>
          <w:rFonts w:hint="eastAsia" w:ascii="宋体" w:hAnsi="宋体" w:cs="仿宋_GB2312"/>
          <w:b/>
          <w:bCs/>
          <w:sz w:val="24"/>
          <w:szCs w:val="24"/>
          <w:highlight w:val="none"/>
        </w:rPr>
        <w:t>违约责任</w:t>
      </w:r>
    </w:p>
    <w:p w14:paraId="789ADDC2">
      <w:pPr>
        <w:numPr>
          <w:ilvl w:val="1"/>
          <w:numId w:val="0"/>
        </w:numPr>
        <w:spacing w:line="360" w:lineRule="auto"/>
        <w:ind w:firstLine="482" w:firstLineChars="200"/>
        <w:rPr>
          <w:rFonts w:ascii="宋体" w:hAnsi="宋体"/>
          <w:sz w:val="24"/>
          <w:szCs w:val="24"/>
          <w:highlight w:val="none"/>
        </w:rPr>
      </w:pPr>
      <w:r>
        <w:rPr>
          <w:rFonts w:ascii="宋体" w:hAnsi="宋体" w:cs="仿宋_GB2312"/>
          <w:b/>
          <w:sz w:val="24"/>
          <w:szCs w:val="24"/>
          <w:highlight w:val="none"/>
        </w:rPr>
        <w:t>7</w:t>
      </w:r>
      <w:r>
        <w:rPr>
          <w:rFonts w:hint="eastAsia" w:ascii="宋体" w:hAnsi="宋体" w:cs="仿宋_GB2312"/>
          <w:b/>
          <w:sz w:val="24"/>
          <w:szCs w:val="24"/>
          <w:highlight w:val="none"/>
        </w:rPr>
        <w:t xml:space="preserve">.1. </w:t>
      </w:r>
      <w:r>
        <w:rPr>
          <w:rFonts w:hint="eastAsia" w:ascii="宋体" w:hAnsi="宋体" w:cs="仿宋_GB2312"/>
          <w:sz w:val="24"/>
          <w:szCs w:val="24"/>
          <w:highlight w:val="none"/>
        </w:rPr>
        <w:t>双方均应按照本合同的规定履行各自的义务，违反规定的一方应当向对方承担相应的违约责任。</w:t>
      </w:r>
    </w:p>
    <w:p w14:paraId="3EAED630">
      <w:pPr>
        <w:numPr>
          <w:ilvl w:val="1"/>
          <w:numId w:val="0"/>
        </w:numPr>
        <w:spacing w:line="360" w:lineRule="auto"/>
        <w:ind w:firstLine="482" w:firstLineChars="200"/>
        <w:rPr>
          <w:rFonts w:ascii="宋体" w:hAnsi="宋体"/>
          <w:sz w:val="24"/>
          <w:szCs w:val="24"/>
          <w:highlight w:val="none"/>
        </w:rPr>
      </w:pPr>
      <w:r>
        <w:rPr>
          <w:rFonts w:ascii="宋体" w:hAnsi="宋体" w:cs="仿宋_GB2312"/>
          <w:b/>
          <w:sz w:val="24"/>
          <w:szCs w:val="24"/>
          <w:highlight w:val="none"/>
        </w:rPr>
        <w:t>7</w:t>
      </w:r>
      <w:r>
        <w:rPr>
          <w:rFonts w:hint="eastAsia" w:ascii="宋体" w:hAnsi="宋体" w:cs="仿宋_GB2312"/>
          <w:b/>
          <w:sz w:val="24"/>
          <w:szCs w:val="24"/>
          <w:highlight w:val="none"/>
        </w:rPr>
        <w:t xml:space="preserve">.2. </w:t>
      </w:r>
      <w:r>
        <w:rPr>
          <w:rFonts w:hint="eastAsia" w:ascii="宋体" w:hAnsi="宋体" w:cs="仿宋_GB2312"/>
          <w:sz w:val="24"/>
          <w:szCs w:val="24"/>
          <w:highlight w:val="none"/>
        </w:rPr>
        <w:t>由于甲方原因未能及时办理相关手续，影响乙方建设进度的，乙方无须承担违约责任。</w:t>
      </w:r>
    </w:p>
    <w:p w14:paraId="6D8C599B">
      <w:pPr>
        <w:numPr>
          <w:ilvl w:val="1"/>
          <w:numId w:val="0"/>
        </w:numPr>
        <w:spacing w:line="360" w:lineRule="auto"/>
        <w:ind w:firstLine="482" w:firstLineChars="200"/>
        <w:rPr>
          <w:rFonts w:hint="eastAsia" w:ascii="宋体" w:hAnsi="宋体" w:eastAsia="宋体" w:cs="仿宋_GB2312"/>
          <w:color w:val="auto"/>
          <w:sz w:val="24"/>
          <w:szCs w:val="24"/>
          <w:highlight w:val="none"/>
          <w:lang w:eastAsia="zh"/>
        </w:rPr>
      </w:pPr>
      <w:r>
        <w:rPr>
          <w:rFonts w:ascii="宋体" w:hAnsi="宋体" w:cs="仿宋_GB2312"/>
          <w:b/>
          <w:sz w:val="24"/>
          <w:szCs w:val="24"/>
          <w:highlight w:val="none"/>
        </w:rPr>
        <w:t>7</w:t>
      </w:r>
      <w:r>
        <w:rPr>
          <w:rFonts w:hint="eastAsia" w:ascii="宋体" w:hAnsi="宋体" w:cs="仿宋_GB2312"/>
          <w:b/>
          <w:sz w:val="24"/>
          <w:szCs w:val="24"/>
          <w:highlight w:val="none"/>
        </w:rPr>
        <w:t xml:space="preserve">.3. </w:t>
      </w:r>
      <w:r>
        <w:rPr>
          <w:rFonts w:hint="eastAsia" w:ascii="宋体" w:hAnsi="宋体" w:cs="仿宋_GB2312"/>
          <w:bCs/>
          <w:sz w:val="24"/>
          <w:szCs w:val="24"/>
          <w:highlight w:val="none"/>
          <w:lang w:eastAsia="zh"/>
          <w:woUserID w:val="1"/>
        </w:rPr>
        <w:t>如乙方违反本合同约定的，甲方有权采取以下措施：（1）因乙方管理未能尽到相应的管理职责或管理不当，工程施工进度未能按期竣工验收，每逾期十日按建设管理服务费万分之五的标准向乙方收取违约金，最高不超过合同总价的3%，逾期三十日以上的，甲方有权解除合同；（2）因乙方管理责任导致项目建设质量未达到合同约定标准而致使业主方产生损失的，损失部分由乙方承担，最高不超过合同总价的3%；（3）项目建设过程中，如因管理方未能尽到相应的管理职责或管理不当，导致安全事故发生的，承担10000元/次的违约处罚。（4）乙方应对项目限额设计进行管控，审核设计提交的限额设计指标文件，并与同类项目进行造价对比分析，提出设计优化建议。若因乙方管理不善导致概算超出估算、预算超出概算、结算超出预算（其余服务合同中对于结算原则另有约定的除外）中任一情况发生，乙方须承担合同总价百分之五的违约处罚，每次发生此类情况均需执行。（5）项目建设过程中，如因乙方管理不善，发生行政处罚、质量舆情等，承担10000元/次的违约处罚。（6）项目建设过程中，乙方应对第三方单位农民工工资支付进行监控，发生农民工讨薪、集体上访、集聚围阻、网络媒体散播等行为要及时上报甲方，并积极协调处理。如存在知情未报等行为，承担2000-10000元/次的违约处罚。（7）项目建设过程中，甲方检查发现项目存在较大质量、安全、管理等相关问题，乙方未能及时发现问题或发现后未督促相关方整改，乙方承担5000元/次的违约处罚。（8）对于甲方检查中发现的问题，乙方未督促相关方按期整改回复，乙方承担2000元/次的违约处罚。（9）在项目实施过程中，以上违约金累计不超过合同总价的20%。甲方有权从应支付的进度款项中扣除违约金。</w:t>
      </w:r>
    </w:p>
    <w:p w14:paraId="094F8FB5">
      <w:pPr>
        <w:numPr>
          <w:ilvl w:val="1"/>
          <w:numId w:val="0"/>
        </w:numPr>
        <w:spacing w:line="360" w:lineRule="auto"/>
        <w:ind w:firstLine="482" w:firstLineChars="200"/>
        <w:rPr>
          <w:rFonts w:ascii="宋体" w:hAnsi="宋体"/>
          <w:b/>
          <w:bCs/>
          <w:sz w:val="24"/>
          <w:szCs w:val="24"/>
          <w:highlight w:val="none"/>
        </w:rPr>
      </w:pPr>
      <w:r>
        <w:rPr>
          <w:rFonts w:ascii="宋体" w:hAnsi="宋体" w:cs="仿宋_GB2312"/>
          <w:b/>
          <w:sz w:val="24"/>
          <w:szCs w:val="24"/>
          <w:highlight w:val="none"/>
        </w:rPr>
        <w:t>7</w:t>
      </w:r>
      <w:r>
        <w:rPr>
          <w:rFonts w:hint="eastAsia" w:ascii="宋体" w:hAnsi="宋体" w:cs="仿宋_GB2312"/>
          <w:b/>
          <w:sz w:val="24"/>
          <w:szCs w:val="24"/>
          <w:highlight w:val="none"/>
        </w:rPr>
        <w:t>.4.</w:t>
      </w:r>
      <w:r>
        <w:rPr>
          <w:rFonts w:hint="eastAsia" w:ascii="宋体" w:hAnsi="宋体" w:cs="仿宋_GB2312"/>
          <w:sz w:val="24"/>
          <w:szCs w:val="24"/>
          <w:highlight w:val="none"/>
        </w:rPr>
        <w:t xml:space="preserve"> 双方均不得单方解除合同，否则违约方应向守约方承担赔偿责任。</w:t>
      </w:r>
    </w:p>
    <w:p w14:paraId="0621076D">
      <w:pPr>
        <w:adjustRightInd w:val="0"/>
        <w:snapToGrid w:val="0"/>
        <w:spacing w:line="360" w:lineRule="auto"/>
        <w:jc w:val="center"/>
        <w:rPr>
          <w:rFonts w:ascii="宋体" w:hAnsi="宋体"/>
          <w:b/>
          <w:bCs/>
          <w:sz w:val="24"/>
          <w:szCs w:val="24"/>
          <w:highlight w:val="none"/>
        </w:rPr>
      </w:pPr>
      <w:r>
        <w:rPr>
          <w:rFonts w:hint="eastAsia" w:ascii="宋体" w:hAnsi="宋体" w:cs="仿宋_GB2312"/>
          <w:b/>
          <w:bCs/>
          <w:sz w:val="24"/>
          <w:szCs w:val="24"/>
          <w:highlight w:val="none"/>
        </w:rPr>
        <w:t>第八节</w:t>
      </w:r>
      <w:r>
        <w:rPr>
          <w:rFonts w:ascii="宋体" w:hAnsi="宋体" w:cs="仿宋_GB2312"/>
          <w:b/>
          <w:bCs/>
          <w:sz w:val="24"/>
          <w:szCs w:val="24"/>
          <w:highlight w:val="none"/>
        </w:rPr>
        <w:t xml:space="preserve">  </w:t>
      </w:r>
      <w:r>
        <w:rPr>
          <w:rFonts w:hint="eastAsia" w:ascii="宋体" w:hAnsi="宋体" w:cs="仿宋_GB2312"/>
          <w:b/>
          <w:bCs/>
          <w:sz w:val="24"/>
          <w:szCs w:val="24"/>
          <w:highlight w:val="none"/>
        </w:rPr>
        <w:t>其他事项</w:t>
      </w:r>
    </w:p>
    <w:p w14:paraId="4465FED7">
      <w:pPr>
        <w:numPr>
          <w:ilvl w:val="1"/>
          <w:numId w:val="0"/>
        </w:numPr>
        <w:tabs>
          <w:tab w:val="left" w:pos="480"/>
          <w:tab w:val="left" w:pos="540"/>
          <w:tab w:val="left" w:pos="1418"/>
        </w:tabs>
        <w:adjustRightInd w:val="0"/>
        <w:snapToGrid w:val="0"/>
        <w:spacing w:line="360" w:lineRule="auto"/>
        <w:ind w:firstLine="482" w:firstLineChars="200"/>
        <w:rPr>
          <w:rFonts w:ascii="宋体" w:hAnsi="宋体"/>
          <w:sz w:val="24"/>
          <w:szCs w:val="24"/>
          <w:highlight w:val="none"/>
        </w:rPr>
      </w:pPr>
      <w:r>
        <w:rPr>
          <w:rFonts w:ascii="宋体" w:hAnsi="宋体" w:cs="仿宋_GB2312"/>
          <w:b/>
          <w:sz w:val="24"/>
          <w:szCs w:val="24"/>
          <w:highlight w:val="none"/>
        </w:rPr>
        <w:t>8</w:t>
      </w:r>
      <w:r>
        <w:rPr>
          <w:rFonts w:hint="eastAsia" w:ascii="宋体" w:hAnsi="宋体" w:cs="仿宋_GB2312"/>
          <w:b/>
          <w:sz w:val="24"/>
          <w:szCs w:val="24"/>
          <w:highlight w:val="none"/>
        </w:rPr>
        <w:t xml:space="preserve">.1. </w:t>
      </w:r>
      <w:r>
        <w:rPr>
          <w:rFonts w:hint="eastAsia" w:ascii="宋体" w:hAnsi="宋体" w:cs="仿宋_GB2312"/>
          <w:sz w:val="24"/>
          <w:szCs w:val="24"/>
          <w:highlight w:val="none"/>
        </w:rPr>
        <w:t>甲方、乙方不能协商解决争议的，任何一方可向委托项目所在地有管辖权的人民法院提请诉讼。</w:t>
      </w:r>
    </w:p>
    <w:p w14:paraId="0E865097">
      <w:pPr>
        <w:numPr>
          <w:ilvl w:val="1"/>
          <w:numId w:val="0"/>
        </w:numPr>
        <w:tabs>
          <w:tab w:val="left" w:pos="480"/>
          <w:tab w:val="left" w:pos="540"/>
          <w:tab w:val="left" w:pos="1418"/>
        </w:tabs>
        <w:adjustRightInd w:val="0"/>
        <w:snapToGrid w:val="0"/>
        <w:spacing w:line="360" w:lineRule="auto"/>
        <w:ind w:left="239" w:leftChars="114" w:firstLine="241" w:firstLineChars="100"/>
        <w:rPr>
          <w:rFonts w:ascii="宋体" w:hAnsi="宋体"/>
          <w:sz w:val="24"/>
          <w:szCs w:val="24"/>
          <w:highlight w:val="none"/>
        </w:rPr>
      </w:pPr>
      <w:r>
        <w:rPr>
          <w:rFonts w:ascii="宋体" w:hAnsi="宋体" w:cs="仿宋_GB2312"/>
          <w:b/>
          <w:sz w:val="24"/>
          <w:szCs w:val="24"/>
          <w:highlight w:val="none"/>
        </w:rPr>
        <w:t>8</w:t>
      </w:r>
      <w:r>
        <w:rPr>
          <w:rFonts w:hint="eastAsia" w:ascii="宋体" w:hAnsi="宋体" w:cs="仿宋_GB2312"/>
          <w:b/>
          <w:sz w:val="24"/>
          <w:szCs w:val="24"/>
          <w:highlight w:val="none"/>
        </w:rPr>
        <w:t xml:space="preserve">.2. </w:t>
      </w:r>
      <w:r>
        <w:rPr>
          <w:rFonts w:hint="eastAsia" w:ascii="宋体" w:hAnsi="宋体" w:cs="仿宋_GB2312"/>
          <w:sz w:val="24"/>
          <w:szCs w:val="24"/>
          <w:highlight w:val="none"/>
        </w:rPr>
        <w:t>本合同正本一式</w:t>
      </w:r>
      <w:r>
        <w:rPr>
          <w:rFonts w:ascii="宋体" w:hAnsi="宋体" w:cs="仿宋_GB2312"/>
          <w:sz w:val="24"/>
          <w:szCs w:val="24"/>
          <w:highlight w:val="none"/>
          <w:u w:val="single"/>
        </w:rPr>
        <w:t xml:space="preserve">    </w:t>
      </w:r>
      <w:r>
        <w:rPr>
          <w:rFonts w:hint="eastAsia" w:ascii="宋体" w:hAnsi="宋体" w:cs="仿宋_GB2312"/>
          <w:sz w:val="24"/>
          <w:szCs w:val="24"/>
          <w:highlight w:val="none"/>
        </w:rPr>
        <w:t>份，双方各执</w:t>
      </w:r>
      <w:r>
        <w:rPr>
          <w:rFonts w:ascii="宋体" w:hAnsi="宋体" w:cs="仿宋_GB2312"/>
          <w:sz w:val="24"/>
          <w:szCs w:val="24"/>
          <w:highlight w:val="none"/>
          <w:u w:val="single"/>
        </w:rPr>
        <w:t xml:space="preserve">   </w:t>
      </w:r>
      <w:r>
        <w:rPr>
          <w:rFonts w:hint="eastAsia" w:ascii="宋体" w:hAnsi="宋体" w:cs="仿宋_GB2312"/>
          <w:sz w:val="24"/>
          <w:szCs w:val="24"/>
          <w:highlight w:val="none"/>
          <w:u w:val="none"/>
        </w:rPr>
        <w:t>份</w:t>
      </w:r>
      <w:r>
        <w:rPr>
          <w:rFonts w:hint="eastAsia" w:ascii="宋体" w:hAnsi="宋体" w:cs="仿宋_GB2312"/>
          <w:sz w:val="24"/>
          <w:szCs w:val="24"/>
          <w:highlight w:val="none"/>
        </w:rPr>
        <w:t xml:space="preserve">，副本 </w:t>
      </w:r>
      <w:r>
        <w:rPr>
          <w:rFonts w:ascii="宋体" w:hAnsi="宋体" w:cs="仿宋_GB2312"/>
          <w:sz w:val="24"/>
          <w:szCs w:val="24"/>
          <w:highlight w:val="none"/>
          <w:u w:val="single"/>
        </w:rPr>
        <w:t xml:space="preserve">    </w:t>
      </w:r>
      <w:r>
        <w:rPr>
          <w:rFonts w:hint="eastAsia" w:ascii="宋体" w:hAnsi="宋体" w:cs="仿宋_GB2312"/>
          <w:sz w:val="24"/>
          <w:szCs w:val="24"/>
          <w:highlight w:val="none"/>
        </w:rPr>
        <w:t>份，双方各执</w:t>
      </w:r>
      <w:r>
        <w:rPr>
          <w:rFonts w:ascii="宋体" w:hAnsi="宋体" w:cs="仿宋_GB2312"/>
          <w:sz w:val="24"/>
          <w:szCs w:val="24"/>
          <w:highlight w:val="none"/>
          <w:u w:val="single"/>
        </w:rPr>
        <w:t xml:space="preserve">  </w:t>
      </w:r>
      <w:r>
        <w:rPr>
          <w:rFonts w:hint="eastAsia" w:ascii="宋体" w:hAnsi="宋体" w:cs="仿宋_GB2312"/>
          <w:sz w:val="24"/>
          <w:szCs w:val="24"/>
          <w:highlight w:val="none"/>
        </w:rPr>
        <w:t>份。本合同经双方法定代表人或授权代表签字并加盖公章后生效，合同正、副本具有同等法律效力。</w:t>
      </w:r>
    </w:p>
    <w:p w14:paraId="46816725">
      <w:pPr>
        <w:adjustRightInd w:val="0"/>
        <w:snapToGrid w:val="0"/>
        <w:spacing w:line="360" w:lineRule="auto"/>
        <w:ind w:firstLine="720"/>
        <w:rPr>
          <w:rFonts w:ascii="宋体" w:hAnsi="宋体" w:cs="仿宋_GB2312"/>
          <w:sz w:val="24"/>
          <w:szCs w:val="24"/>
          <w:highlight w:val="none"/>
        </w:rPr>
      </w:pPr>
      <w:r>
        <w:rPr>
          <w:rFonts w:hint="eastAsia" w:ascii="宋体" w:hAnsi="宋体" w:cs="仿宋_GB2312"/>
          <w:sz w:val="24"/>
          <w:szCs w:val="24"/>
          <w:highlight w:val="none"/>
        </w:rPr>
        <w:t>附件：1、廉政合同</w:t>
      </w:r>
    </w:p>
    <w:p w14:paraId="4D22FB1D">
      <w:pPr>
        <w:numPr>
          <w:ilvl w:val="0"/>
          <w:numId w:val="5"/>
        </w:numPr>
        <w:adjustRightInd w:val="0"/>
        <w:snapToGrid w:val="0"/>
        <w:spacing w:line="360" w:lineRule="auto"/>
        <w:rPr>
          <w:rFonts w:hint="eastAsia" w:ascii="宋体" w:hAnsi="宋体" w:cs="仿宋_GB2312"/>
          <w:b w:val="0"/>
          <w:bCs w:val="0"/>
          <w:sz w:val="24"/>
          <w:szCs w:val="24"/>
          <w:highlight w:val="none"/>
        </w:rPr>
      </w:pPr>
      <w:r>
        <w:rPr>
          <w:rFonts w:hint="eastAsia" w:ascii="宋体" w:hAnsi="宋体" w:cs="仿宋_GB2312"/>
          <w:sz w:val="24"/>
          <w:szCs w:val="24"/>
          <w:highlight w:val="none"/>
        </w:rPr>
        <w:t>中标通知书</w:t>
      </w:r>
    </w:p>
    <w:p w14:paraId="4673DCBE">
      <w:pPr>
        <w:pStyle w:val="16"/>
        <w:ind w:firstLine="1440" w:firstLineChars="600"/>
        <w:rPr>
          <w:rFonts w:hint="eastAsia" w:ascii="宋体" w:hAnsi="宋体" w:eastAsia="宋体" w:cs="仿宋_GB2312"/>
          <w:sz w:val="24"/>
          <w:szCs w:val="24"/>
          <w:highlight w:val="none"/>
          <w:lang w:val="en-US" w:eastAsia="zh-CN"/>
        </w:rPr>
      </w:pPr>
      <w:r>
        <w:rPr>
          <w:rFonts w:hint="eastAsia" w:ascii="宋体" w:hAnsi="宋体" w:cs="仿宋_GB2312"/>
          <w:sz w:val="24"/>
          <w:szCs w:val="24"/>
          <w:highlight w:val="none"/>
          <w:lang w:val="en-US" w:eastAsia="zh-CN"/>
        </w:rPr>
        <w:t>3、保密协议</w:t>
      </w:r>
    </w:p>
    <w:p w14:paraId="61EBDA0E">
      <w:pPr>
        <w:pStyle w:val="16"/>
        <w:ind w:firstLine="1440" w:firstLineChars="600"/>
        <w:rPr>
          <w:rFonts w:hint="eastAsia" w:ascii="宋体" w:hAnsi="宋体" w:eastAsia="宋体" w:cs="仿宋_GB2312"/>
          <w:sz w:val="24"/>
          <w:szCs w:val="24"/>
          <w:highlight w:val="none"/>
        </w:rPr>
      </w:pPr>
      <w:r>
        <w:rPr>
          <w:rFonts w:hint="eastAsia" w:ascii="宋体" w:hAnsi="宋体" w:eastAsia="宋体" w:cs="仿宋_GB2312"/>
          <w:sz w:val="24"/>
          <w:szCs w:val="24"/>
          <w:highlight w:val="none"/>
          <w:lang w:val="en-US" w:eastAsia="zh-CN"/>
        </w:rPr>
        <w:t>4、</w:t>
      </w:r>
      <w:r>
        <w:rPr>
          <w:rFonts w:hint="eastAsia" w:ascii="宋体" w:hAnsi="宋体" w:eastAsia="宋体" w:cs="仿宋_GB2312"/>
          <w:sz w:val="24"/>
          <w:szCs w:val="24"/>
          <w:highlight w:val="none"/>
        </w:rPr>
        <w:t>安全责任协议书</w:t>
      </w:r>
    </w:p>
    <w:p w14:paraId="2E9BE9AD">
      <w:pPr>
        <w:pStyle w:val="16"/>
        <w:ind w:firstLine="1440" w:firstLineChars="600"/>
        <w:rPr>
          <w:rFonts w:hint="eastAsia" w:ascii="宋体" w:hAnsi="宋体" w:eastAsia="宋体" w:cs="仿宋_GB2312"/>
          <w:sz w:val="24"/>
          <w:szCs w:val="24"/>
          <w:highlight w:val="none"/>
        </w:rPr>
      </w:pPr>
      <w:r>
        <w:rPr>
          <w:rFonts w:hint="eastAsia" w:ascii="宋体" w:hAnsi="宋体" w:eastAsia="宋体" w:cs="仿宋_GB2312"/>
          <w:sz w:val="24"/>
          <w:szCs w:val="24"/>
          <w:highlight w:val="none"/>
          <w:lang w:val="en-US" w:eastAsia="zh-CN"/>
        </w:rPr>
        <w:t>5、</w:t>
      </w:r>
      <w:r>
        <w:rPr>
          <w:rFonts w:hint="eastAsia" w:ascii="宋体" w:hAnsi="宋体" w:eastAsia="宋体" w:cs="仿宋_GB2312"/>
          <w:sz w:val="24"/>
          <w:szCs w:val="24"/>
          <w:highlight w:val="none"/>
        </w:rPr>
        <w:t>质量责任协议书</w:t>
      </w:r>
    </w:p>
    <w:p w14:paraId="7F928800">
      <w:pPr>
        <w:pStyle w:val="16"/>
        <w:ind w:firstLine="1440" w:firstLineChars="600"/>
        <w:rPr>
          <w:rFonts w:hint="default" w:ascii="宋体" w:hAnsi="宋体" w:eastAsia="宋体" w:cs="仿宋_GB2312"/>
          <w:sz w:val="24"/>
          <w:szCs w:val="24"/>
          <w:highlight w:val="none"/>
        </w:rPr>
      </w:pPr>
      <w:r>
        <w:rPr>
          <w:rFonts w:hint="eastAsia" w:ascii="宋体" w:hAnsi="宋体" w:cs="仿宋_GB2312"/>
          <w:sz w:val="24"/>
          <w:szCs w:val="24"/>
          <w:highlight w:val="none"/>
          <w:lang w:val="en-US" w:eastAsia="zh-CN"/>
        </w:rPr>
        <w:t>6、项目</w:t>
      </w:r>
      <w:r>
        <w:rPr>
          <w:rFonts w:hint="eastAsia" w:ascii="宋体" w:hAnsi="宋体" w:cs="仿宋_GB2312"/>
          <w:sz w:val="24"/>
          <w:szCs w:val="24"/>
          <w:highlight w:val="none"/>
        </w:rPr>
        <w:t>服务管理团队人员配备表</w:t>
      </w:r>
    </w:p>
    <w:p w14:paraId="47165652">
      <w:pPr>
        <w:adjustRightInd w:val="0"/>
        <w:snapToGrid w:val="0"/>
        <w:spacing w:line="360" w:lineRule="auto"/>
        <w:rPr>
          <w:rFonts w:hint="eastAsia" w:ascii="宋体" w:hAnsi="宋体" w:cs="仿宋_GB2312"/>
          <w:bCs/>
          <w:sz w:val="24"/>
          <w:szCs w:val="24"/>
          <w:highlight w:val="none"/>
        </w:rPr>
      </w:pPr>
    </w:p>
    <w:p w14:paraId="7BA386C0">
      <w:pPr>
        <w:adjustRightInd w:val="0"/>
        <w:snapToGrid w:val="0"/>
        <w:spacing w:line="360" w:lineRule="auto"/>
        <w:rPr>
          <w:rFonts w:hint="eastAsia" w:ascii="宋体" w:hAnsi="宋体" w:cs="仿宋_GB2312"/>
          <w:bCs/>
          <w:sz w:val="24"/>
          <w:szCs w:val="24"/>
          <w:highlight w:val="none"/>
        </w:rPr>
      </w:pPr>
    </w:p>
    <w:p w14:paraId="38BA5886">
      <w:pPr>
        <w:adjustRightInd w:val="0"/>
        <w:snapToGrid w:val="0"/>
        <w:spacing w:line="360" w:lineRule="auto"/>
        <w:rPr>
          <w:rFonts w:hint="eastAsia" w:ascii="宋体" w:hAnsi="宋体" w:cs="仿宋_GB2312"/>
          <w:bCs/>
          <w:sz w:val="24"/>
          <w:szCs w:val="24"/>
          <w:highlight w:val="none"/>
        </w:rPr>
      </w:pPr>
    </w:p>
    <w:p w14:paraId="230F4C46">
      <w:pPr>
        <w:adjustRightInd w:val="0"/>
        <w:snapToGrid w:val="0"/>
        <w:spacing w:line="360" w:lineRule="auto"/>
        <w:rPr>
          <w:rFonts w:ascii="宋体" w:hAnsi="宋体" w:cs="仿宋_GB2312"/>
          <w:bCs/>
          <w:sz w:val="24"/>
          <w:szCs w:val="24"/>
          <w:highlight w:val="none"/>
        </w:rPr>
      </w:pPr>
      <w:r>
        <w:rPr>
          <w:rFonts w:hint="eastAsia" w:ascii="宋体" w:hAnsi="宋体" w:cs="仿宋_GB2312"/>
          <w:bCs/>
          <w:sz w:val="24"/>
          <w:szCs w:val="24"/>
          <w:highlight w:val="none"/>
        </w:rPr>
        <w:t>（本页以下无正文）</w:t>
      </w:r>
    </w:p>
    <w:p w14:paraId="7ED3A726">
      <w:pPr>
        <w:adjustRightInd w:val="0"/>
        <w:snapToGrid w:val="0"/>
        <w:spacing w:line="360" w:lineRule="auto"/>
        <w:rPr>
          <w:rFonts w:ascii="宋体" w:hAnsi="宋体" w:cs="仿宋_GB2312"/>
          <w:b/>
          <w:bCs/>
          <w:sz w:val="24"/>
          <w:szCs w:val="24"/>
          <w:highlight w:val="none"/>
        </w:rPr>
      </w:pPr>
    </w:p>
    <w:p w14:paraId="3715754D">
      <w:pPr>
        <w:adjustRightInd w:val="0"/>
        <w:snapToGrid w:val="0"/>
        <w:spacing w:line="360" w:lineRule="auto"/>
        <w:rPr>
          <w:rFonts w:ascii="宋体" w:hAnsi="宋体" w:cs="仿宋_GB2312"/>
          <w:b/>
          <w:bCs/>
          <w:sz w:val="24"/>
          <w:szCs w:val="24"/>
          <w:highlight w:val="none"/>
        </w:rPr>
      </w:pPr>
    </w:p>
    <w:p w14:paraId="54F64D32">
      <w:pPr>
        <w:adjustRightInd w:val="0"/>
        <w:snapToGrid w:val="0"/>
        <w:spacing w:line="360" w:lineRule="auto"/>
        <w:rPr>
          <w:rFonts w:ascii="宋体" w:hAnsi="宋体"/>
          <w:b/>
          <w:bCs/>
          <w:sz w:val="24"/>
          <w:szCs w:val="24"/>
          <w:highlight w:val="none"/>
        </w:rPr>
      </w:pPr>
      <w:r>
        <w:rPr>
          <w:rFonts w:hint="eastAsia" w:ascii="宋体" w:hAnsi="宋体" w:cs="仿宋_GB2312"/>
          <w:b/>
          <w:bCs/>
          <w:sz w:val="24"/>
          <w:szCs w:val="24"/>
          <w:highlight w:val="none"/>
        </w:rPr>
        <w:t>甲方：     （盖章）</w:t>
      </w:r>
    </w:p>
    <w:p w14:paraId="6AB72E8F">
      <w:pPr>
        <w:adjustRightInd w:val="0"/>
        <w:snapToGrid w:val="0"/>
        <w:spacing w:line="360" w:lineRule="auto"/>
        <w:rPr>
          <w:rFonts w:ascii="宋体" w:hAnsi="宋体"/>
          <w:b/>
          <w:bCs/>
          <w:sz w:val="24"/>
          <w:szCs w:val="24"/>
          <w:highlight w:val="none"/>
        </w:rPr>
      </w:pPr>
    </w:p>
    <w:p w14:paraId="0F7EFBF2">
      <w:pPr>
        <w:adjustRightInd w:val="0"/>
        <w:snapToGrid w:val="0"/>
        <w:spacing w:line="360" w:lineRule="auto"/>
        <w:rPr>
          <w:rFonts w:ascii="宋体" w:hAnsi="宋体" w:cs="仿宋_GB2312"/>
          <w:b/>
          <w:sz w:val="24"/>
          <w:szCs w:val="24"/>
          <w:highlight w:val="none"/>
        </w:rPr>
      </w:pPr>
      <w:r>
        <w:rPr>
          <w:rFonts w:hint="eastAsia" w:ascii="宋体" w:hAnsi="宋体" w:cs="仿宋_GB2312"/>
          <w:b/>
          <w:sz w:val="24"/>
          <w:szCs w:val="24"/>
          <w:highlight w:val="none"/>
        </w:rPr>
        <w:t>法定代表人：</w:t>
      </w:r>
    </w:p>
    <w:p w14:paraId="4E1A52C5">
      <w:pPr>
        <w:adjustRightInd w:val="0"/>
        <w:snapToGrid w:val="0"/>
        <w:spacing w:line="360" w:lineRule="auto"/>
        <w:rPr>
          <w:rFonts w:ascii="宋体" w:hAnsi="宋体" w:cs="仿宋_GB2312"/>
          <w:b/>
          <w:sz w:val="24"/>
          <w:szCs w:val="24"/>
          <w:highlight w:val="none"/>
        </w:rPr>
      </w:pPr>
    </w:p>
    <w:p w14:paraId="45D66584">
      <w:pPr>
        <w:adjustRightInd w:val="0"/>
        <w:snapToGrid w:val="0"/>
        <w:spacing w:line="360" w:lineRule="auto"/>
        <w:rPr>
          <w:rFonts w:ascii="宋体" w:hAnsi="宋体"/>
          <w:b/>
          <w:sz w:val="24"/>
          <w:szCs w:val="24"/>
          <w:highlight w:val="none"/>
        </w:rPr>
      </w:pPr>
      <w:r>
        <w:rPr>
          <w:rFonts w:hint="eastAsia" w:ascii="宋体" w:hAnsi="宋体" w:cs="仿宋_GB2312"/>
          <w:b/>
          <w:sz w:val="24"/>
          <w:szCs w:val="24"/>
          <w:highlight w:val="none"/>
        </w:rPr>
        <w:t>签约代表：</w:t>
      </w:r>
    </w:p>
    <w:p w14:paraId="38E81EB5">
      <w:pPr>
        <w:adjustRightInd w:val="0"/>
        <w:snapToGrid w:val="0"/>
        <w:spacing w:line="360" w:lineRule="auto"/>
        <w:rPr>
          <w:rFonts w:ascii="宋体" w:hAnsi="宋体"/>
          <w:b/>
          <w:bCs/>
          <w:sz w:val="24"/>
          <w:szCs w:val="24"/>
          <w:highlight w:val="none"/>
        </w:rPr>
      </w:pPr>
    </w:p>
    <w:p w14:paraId="0C7F2EAA">
      <w:pPr>
        <w:adjustRightInd w:val="0"/>
        <w:snapToGrid w:val="0"/>
        <w:spacing w:line="360" w:lineRule="auto"/>
        <w:rPr>
          <w:rFonts w:ascii="宋体" w:hAnsi="宋体"/>
          <w:b/>
          <w:bCs/>
          <w:sz w:val="24"/>
          <w:szCs w:val="24"/>
          <w:highlight w:val="none"/>
        </w:rPr>
      </w:pPr>
    </w:p>
    <w:p w14:paraId="7AF9E641">
      <w:pPr>
        <w:adjustRightInd w:val="0"/>
        <w:snapToGrid w:val="0"/>
        <w:spacing w:line="360" w:lineRule="auto"/>
        <w:rPr>
          <w:rFonts w:ascii="宋体" w:hAnsi="宋体" w:cs="仿宋_GB2312"/>
          <w:b/>
          <w:bCs/>
          <w:sz w:val="24"/>
          <w:szCs w:val="24"/>
          <w:highlight w:val="none"/>
        </w:rPr>
      </w:pPr>
      <w:r>
        <w:rPr>
          <w:rFonts w:hint="eastAsia" w:ascii="宋体" w:hAnsi="宋体" w:cs="仿宋_GB2312"/>
          <w:b/>
          <w:bCs/>
          <w:sz w:val="24"/>
          <w:szCs w:val="24"/>
          <w:highlight w:val="none"/>
        </w:rPr>
        <w:t>乙方：    （盖章）</w:t>
      </w:r>
    </w:p>
    <w:p w14:paraId="6CAA0398">
      <w:pPr>
        <w:pStyle w:val="4"/>
        <w:rPr>
          <w:highlight w:val="none"/>
        </w:rPr>
      </w:pPr>
    </w:p>
    <w:p w14:paraId="369E4C78">
      <w:pPr>
        <w:adjustRightInd w:val="0"/>
        <w:snapToGrid w:val="0"/>
        <w:spacing w:line="360" w:lineRule="auto"/>
        <w:rPr>
          <w:rFonts w:ascii="宋体" w:hAnsi="宋体" w:cs="仿宋_GB2312"/>
          <w:b/>
          <w:sz w:val="24"/>
          <w:szCs w:val="24"/>
          <w:highlight w:val="none"/>
        </w:rPr>
      </w:pPr>
      <w:r>
        <w:rPr>
          <w:rFonts w:hint="eastAsia" w:ascii="宋体" w:hAnsi="宋体" w:cs="仿宋_GB2312"/>
          <w:b/>
          <w:sz w:val="24"/>
          <w:szCs w:val="24"/>
          <w:highlight w:val="none"/>
        </w:rPr>
        <w:t>法定代表人：</w:t>
      </w:r>
    </w:p>
    <w:p w14:paraId="038B3361">
      <w:pPr>
        <w:adjustRightInd w:val="0"/>
        <w:snapToGrid w:val="0"/>
        <w:spacing w:line="360" w:lineRule="auto"/>
        <w:rPr>
          <w:rFonts w:ascii="宋体" w:hAnsi="宋体" w:cs="仿宋_GB2312"/>
          <w:b/>
          <w:sz w:val="24"/>
          <w:szCs w:val="24"/>
          <w:highlight w:val="none"/>
        </w:rPr>
      </w:pPr>
    </w:p>
    <w:p w14:paraId="19F23119">
      <w:pPr>
        <w:adjustRightInd w:val="0"/>
        <w:snapToGrid w:val="0"/>
        <w:spacing w:line="360" w:lineRule="auto"/>
        <w:rPr>
          <w:rFonts w:ascii="宋体" w:hAnsi="宋体"/>
          <w:sz w:val="24"/>
          <w:szCs w:val="24"/>
          <w:highlight w:val="none"/>
        </w:rPr>
      </w:pPr>
      <w:r>
        <w:rPr>
          <w:rFonts w:hint="eastAsia" w:ascii="宋体" w:hAnsi="宋体" w:cs="仿宋_GB2312"/>
          <w:b/>
          <w:sz w:val="24"/>
          <w:szCs w:val="24"/>
          <w:highlight w:val="none"/>
        </w:rPr>
        <w:t>签约代表：</w:t>
      </w:r>
    </w:p>
    <w:p w14:paraId="540AC97A">
      <w:pPr>
        <w:adjustRightInd w:val="0"/>
        <w:snapToGrid w:val="0"/>
        <w:spacing w:line="360" w:lineRule="auto"/>
        <w:rPr>
          <w:rFonts w:ascii="宋体" w:hAnsi="宋体"/>
          <w:sz w:val="24"/>
          <w:szCs w:val="24"/>
          <w:highlight w:val="none"/>
        </w:rPr>
      </w:pPr>
    </w:p>
    <w:p w14:paraId="19B7E47E">
      <w:pPr>
        <w:adjustRightInd w:val="0"/>
        <w:snapToGrid w:val="0"/>
        <w:spacing w:line="360" w:lineRule="auto"/>
        <w:rPr>
          <w:rFonts w:ascii="宋体" w:hAnsi="宋体"/>
          <w:sz w:val="24"/>
          <w:szCs w:val="24"/>
          <w:highlight w:val="none"/>
        </w:rPr>
      </w:pPr>
    </w:p>
    <w:p w14:paraId="7DF450C5">
      <w:pPr>
        <w:adjustRightInd w:val="0"/>
        <w:snapToGrid w:val="0"/>
        <w:spacing w:line="360" w:lineRule="auto"/>
        <w:rPr>
          <w:rFonts w:ascii="宋体" w:hAnsi="宋体" w:cs="仿宋_GB2312"/>
          <w:sz w:val="24"/>
          <w:szCs w:val="24"/>
          <w:highlight w:val="none"/>
        </w:rPr>
      </w:pPr>
      <w:r>
        <w:rPr>
          <w:rFonts w:hint="eastAsia" w:ascii="宋体" w:hAnsi="宋体" w:cs="仿宋_GB2312"/>
          <w:sz w:val="24"/>
          <w:szCs w:val="24"/>
          <w:highlight w:val="none"/>
        </w:rPr>
        <w:t>签约时间：</w:t>
      </w:r>
      <w:r>
        <w:rPr>
          <w:rFonts w:ascii="宋体" w:hAnsi="宋体" w:cs="仿宋_GB2312"/>
          <w:sz w:val="24"/>
          <w:szCs w:val="24"/>
          <w:highlight w:val="none"/>
        </w:rPr>
        <w:t xml:space="preserve">  </w:t>
      </w:r>
      <w:r>
        <w:rPr>
          <w:rFonts w:hint="eastAsia" w:ascii="宋体" w:hAnsi="宋体" w:cs="仿宋_GB2312"/>
          <w:sz w:val="24"/>
          <w:szCs w:val="24"/>
          <w:highlight w:val="none"/>
        </w:rPr>
        <w:t xml:space="preserve">  </w:t>
      </w:r>
      <w:r>
        <w:rPr>
          <w:rFonts w:ascii="宋体" w:hAnsi="宋体" w:cs="仿宋_GB2312"/>
          <w:sz w:val="24"/>
          <w:szCs w:val="24"/>
          <w:highlight w:val="none"/>
        </w:rPr>
        <w:t xml:space="preserve">   </w:t>
      </w:r>
      <w:r>
        <w:rPr>
          <w:rFonts w:hint="eastAsia" w:ascii="宋体" w:hAnsi="宋体" w:cs="仿宋_GB2312"/>
          <w:sz w:val="24"/>
          <w:szCs w:val="24"/>
          <w:highlight w:val="none"/>
        </w:rPr>
        <w:t>年</w:t>
      </w:r>
      <w:r>
        <w:rPr>
          <w:rFonts w:ascii="宋体" w:hAnsi="宋体" w:cs="仿宋_GB2312"/>
          <w:sz w:val="24"/>
          <w:szCs w:val="24"/>
          <w:highlight w:val="none"/>
        </w:rPr>
        <w:t xml:space="preserve">  </w:t>
      </w:r>
      <w:r>
        <w:rPr>
          <w:rFonts w:hint="eastAsia" w:ascii="宋体" w:hAnsi="宋体" w:cs="仿宋_GB2312"/>
          <w:sz w:val="24"/>
          <w:szCs w:val="24"/>
          <w:highlight w:val="none"/>
        </w:rPr>
        <w:t xml:space="preserve">    </w:t>
      </w:r>
      <w:r>
        <w:rPr>
          <w:rFonts w:ascii="宋体" w:hAnsi="宋体" w:cs="仿宋_GB2312"/>
          <w:sz w:val="24"/>
          <w:szCs w:val="24"/>
          <w:highlight w:val="none"/>
        </w:rPr>
        <w:t xml:space="preserve"> </w:t>
      </w:r>
      <w:r>
        <w:rPr>
          <w:rFonts w:hint="eastAsia" w:ascii="宋体" w:hAnsi="宋体" w:cs="仿宋_GB2312"/>
          <w:sz w:val="24"/>
          <w:szCs w:val="24"/>
          <w:highlight w:val="none"/>
        </w:rPr>
        <w:t>月</w:t>
      </w:r>
      <w:r>
        <w:rPr>
          <w:rFonts w:ascii="宋体" w:hAnsi="宋体" w:cs="仿宋_GB2312"/>
          <w:sz w:val="24"/>
          <w:szCs w:val="24"/>
          <w:highlight w:val="none"/>
        </w:rPr>
        <w:t xml:space="preserve">   </w:t>
      </w:r>
      <w:r>
        <w:rPr>
          <w:rFonts w:hint="eastAsia" w:ascii="宋体" w:hAnsi="宋体" w:cs="仿宋_GB2312"/>
          <w:sz w:val="24"/>
          <w:szCs w:val="24"/>
          <w:highlight w:val="none"/>
        </w:rPr>
        <w:t xml:space="preserve">   日</w:t>
      </w:r>
    </w:p>
    <w:p w14:paraId="6889FDB8">
      <w:pPr>
        <w:rPr>
          <w:rFonts w:ascii="宋体" w:hAnsi="宋体" w:cs="仿宋_GB2312"/>
          <w:sz w:val="24"/>
          <w:szCs w:val="24"/>
          <w:highlight w:val="none"/>
        </w:rPr>
      </w:pPr>
    </w:p>
    <w:p w14:paraId="155C8A7B">
      <w:pPr>
        <w:rPr>
          <w:rFonts w:hint="eastAsia" w:ascii="宋体" w:hAnsi="宋体"/>
          <w:sz w:val="24"/>
          <w:szCs w:val="24"/>
          <w:highlight w:val="none"/>
        </w:rPr>
      </w:pPr>
      <w:r>
        <w:rPr>
          <w:rFonts w:hint="eastAsia" w:ascii="宋体" w:hAnsi="宋体"/>
          <w:sz w:val="24"/>
          <w:szCs w:val="24"/>
          <w:highlight w:val="none"/>
        </w:rPr>
        <w:br w:type="page"/>
      </w:r>
    </w:p>
    <w:p w14:paraId="20DFF292">
      <w:pPr>
        <w:snapToGrid w:val="0"/>
        <w:spacing w:line="480" w:lineRule="auto"/>
        <w:jc w:val="left"/>
        <w:rPr>
          <w:rFonts w:ascii="宋体" w:hAnsi="宋体"/>
          <w:sz w:val="24"/>
          <w:szCs w:val="24"/>
          <w:highlight w:val="none"/>
        </w:rPr>
      </w:pPr>
      <w:r>
        <w:rPr>
          <w:rFonts w:hint="eastAsia" w:ascii="宋体" w:hAnsi="宋体"/>
          <w:sz w:val="24"/>
          <w:szCs w:val="24"/>
          <w:highlight w:val="none"/>
        </w:rPr>
        <w:t>附件1：</w:t>
      </w:r>
    </w:p>
    <w:p w14:paraId="641D49A4">
      <w:pPr>
        <w:widowControl/>
        <w:spacing w:line="440" w:lineRule="exact"/>
        <w:jc w:val="center"/>
        <w:rPr>
          <w:rFonts w:ascii="宋体" w:hAnsi="宋体"/>
          <w:b/>
          <w:sz w:val="24"/>
          <w:szCs w:val="24"/>
          <w:highlight w:val="none"/>
        </w:rPr>
      </w:pPr>
      <w:r>
        <w:rPr>
          <w:rFonts w:hint="eastAsia" w:ascii="宋体" w:hAnsi="宋体"/>
          <w:b/>
          <w:sz w:val="24"/>
          <w:szCs w:val="24"/>
          <w:highlight w:val="none"/>
        </w:rPr>
        <w:t>廉</w:t>
      </w:r>
      <w:r>
        <w:rPr>
          <w:rFonts w:ascii="宋体" w:hAnsi="宋体"/>
          <w:b/>
          <w:sz w:val="24"/>
          <w:szCs w:val="24"/>
          <w:highlight w:val="none"/>
        </w:rPr>
        <w:t xml:space="preserve"> </w:t>
      </w:r>
      <w:r>
        <w:rPr>
          <w:rFonts w:hint="eastAsia" w:ascii="宋体" w:hAnsi="宋体"/>
          <w:b/>
          <w:sz w:val="24"/>
          <w:szCs w:val="24"/>
          <w:highlight w:val="none"/>
        </w:rPr>
        <w:t>政</w:t>
      </w:r>
      <w:r>
        <w:rPr>
          <w:rFonts w:ascii="宋体" w:hAnsi="宋体"/>
          <w:b/>
          <w:sz w:val="24"/>
          <w:szCs w:val="24"/>
          <w:highlight w:val="none"/>
        </w:rPr>
        <w:t xml:space="preserve"> </w:t>
      </w:r>
      <w:r>
        <w:rPr>
          <w:rFonts w:hint="eastAsia" w:ascii="宋体" w:hAnsi="宋体"/>
          <w:b/>
          <w:sz w:val="24"/>
          <w:szCs w:val="24"/>
          <w:highlight w:val="none"/>
        </w:rPr>
        <w:t>合</w:t>
      </w:r>
      <w:r>
        <w:rPr>
          <w:rFonts w:ascii="宋体" w:hAnsi="宋体"/>
          <w:b/>
          <w:sz w:val="24"/>
          <w:szCs w:val="24"/>
          <w:highlight w:val="none"/>
        </w:rPr>
        <w:t xml:space="preserve"> </w:t>
      </w:r>
      <w:r>
        <w:rPr>
          <w:rFonts w:hint="eastAsia" w:ascii="宋体" w:hAnsi="宋体"/>
          <w:b/>
          <w:sz w:val="24"/>
          <w:szCs w:val="24"/>
          <w:highlight w:val="none"/>
        </w:rPr>
        <w:t>同</w:t>
      </w:r>
    </w:p>
    <w:p w14:paraId="31AC41D9">
      <w:pPr>
        <w:spacing w:line="360" w:lineRule="auto"/>
        <w:rPr>
          <w:rFonts w:ascii="宋体" w:hAnsi="宋体"/>
          <w:sz w:val="24"/>
          <w:szCs w:val="24"/>
          <w:highlight w:val="none"/>
        </w:rPr>
      </w:pPr>
    </w:p>
    <w:p w14:paraId="3484FD61">
      <w:pPr>
        <w:adjustRightInd w:val="0"/>
        <w:snapToGrid w:val="0"/>
        <w:spacing w:line="360" w:lineRule="auto"/>
        <w:ind w:firstLine="482" w:firstLineChars="200"/>
        <w:rPr>
          <w:rFonts w:ascii="宋体" w:hAnsi="宋体"/>
          <w:b/>
          <w:sz w:val="24"/>
          <w:szCs w:val="24"/>
          <w:highlight w:val="none"/>
          <w:u w:val="single"/>
        </w:rPr>
      </w:pPr>
      <w:r>
        <w:rPr>
          <w:rFonts w:hint="eastAsia" w:ascii="宋体" w:hAnsi="宋体" w:cs="仿宋_GB2312"/>
          <w:b/>
          <w:sz w:val="24"/>
          <w:szCs w:val="24"/>
          <w:highlight w:val="none"/>
        </w:rPr>
        <w:t>建设单位（甲方）：</w:t>
      </w:r>
      <w:r>
        <w:rPr>
          <w:rFonts w:hint="eastAsia" w:ascii="宋体" w:hAnsi="宋体" w:cs="仿宋_GB2312"/>
          <w:b/>
          <w:sz w:val="24"/>
          <w:szCs w:val="24"/>
          <w:highlight w:val="none"/>
          <w:u w:val="single"/>
        </w:rPr>
        <w:t xml:space="preserve"> </w:t>
      </w:r>
      <w:r>
        <w:rPr>
          <w:rFonts w:hint="eastAsia" w:ascii="宋体" w:hAnsi="宋体" w:cs="仿宋_GB2312"/>
          <w:b/>
          <w:sz w:val="24"/>
          <w:szCs w:val="24"/>
          <w:highlight w:val="none"/>
          <w:u w:val="single"/>
          <w:lang w:eastAsia="zh-CN"/>
        </w:rPr>
        <w:t>广州三元里片区改造投资有限公司</w:t>
      </w:r>
      <w:r>
        <w:rPr>
          <w:rFonts w:hint="eastAsia" w:ascii="宋体" w:hAnsi="宋体" w:cs="仿宋_GB2312"/>
          <w:b/>
          <w:sz w:val="24"/>
          <w:szCs w:val="24"/>
          <w:highlight w:val="none"/>
          <w:u w:val="single"/>
        </w:rPr>
        <w:t xml:space="preserve">                              </w:t>
      </w:r>
    </w:p>
    <w:p w14:paraId="1D587C27">
      <w:pPr>
        <w:adjustRightInd w:val="0"/>
        <w:snapToGrid w:val="0"/>
        <w:spacing w:before="156" w:beforeLines="50" w:line="360" w:lineRule="auto"/>
        <w:ind w:firstLine="482" w:firstLineChars="200"/>
        <w:rPr>
          <w:rFonts w:ascii="宋体" w:hAnsi="宋体"/>
          <w:b/>
          <w:sz w:val="24"/>
          <w:szCs w:val="24"/>
          <w:highlight w:val="none"/>
        </w:rPr>
      </w:pPr>
      <w:r>
        <w:rPr>
          <w:rFonts w:hint="eastAsia" w:ascii="宋体" w:hAnsi="宋体" w:cs="仿宋_GB2312"/>
          <w:b/>
          <w:sz w:val="24"/>
          <w:szCs w:val="24"/>
          <w:highlight w:val="none"/>
        </w:rPr>
        <w:t>建设管理单位（乙方）：</w:t>
      </w:r>
      <w:r>
        <w:rPr>
          <w:rFonts w:hint="eastAsia" w:ascii="宋体" w:hAnsi="宋体" w:cs="仿宋_GB2312"/>
          <w:b/>
          <w:sz w:val="24"/>
          <w:szCs w:val="24"/>
          <w:highlight w:val="none"/>
          <w:u w:val="single"/>
        </w:rPr>
        <w:t xml:space="preserve">              </w:t>
      </w:r>
      <w:r>
        <w:rPr>
          <w:rFonts w:ascii="宋体" w:hAnsi="宋体" w:cs="仿宋_GB2312"/>
          <w:b/>
          <w:sz w:val="24"/>
          <w:szCs w:val="24"/>
          <w:highlight w:val="none"/>
          <w:u w:val="single"/>
        </w:rPr>
        <w:t xml:space="preserve">                        </w:t>
      </w:r>
      <w:r>
        <w:rPr>
          <w:rFonts w:hint="eastAsia" w:ascii="宋体" w:hAnsi="宋体" w:cs="仿宋_GB2312"/>
          <w:b/>
          <w:sz w:val="24"/>
          <w:szCs w:val="24"/>
          <w:highlight w:val="none"/>
          <w:u w:val="single"/>
        </w:rPr>
        <w:t xml:space="preserve">              </w:t>
      </w:r>
    </w:p>
    <w:p w14:paraId="79A0423A">
      <w:pPr>
        <w:spacing w:line="360" w:lineRule="auto"/>
        <w:ind w:firstLine="480" w:firstLineChars="200"/>
        <w:rPr>
          <w:rFonts w:ascii="宋体" w:hAnsi="宋体"/>
          <w:sz w:val="24"/>
          <w:szCs w:val="24"/>
          <w:highlight w:val="none"/>
        </w:rPr>
      </w:pPr>
      <w:r>
        <w:rPr>
          <w:rFonts w:hint="eastAsia" w:ascii="宋体" w:hAnsi="宋体"/>
          <w:sz w:val="24"/>
          <w:szCs w:val="24"/>
          <w:highlight w:val="none"/>
        </w:rPr>
        <w:t>根据国家、省工程建设和廉政建设的有关规定，为做好合同工程的廉政建设，保证工程质量与施工安全，提高建设资金的有效使用和投资效益，</w:t>
      </w:r>
      <w:r>
        <w:rPr>
          <w:rFonts w:hint="eastAsia" w:ascii="宋体" w:hAnsi="宋体"/>
          <w:spacing w:val="20"/>
          <w:sz w:val="24"/>
          <w:szCs w:val="24"/>
          <w:highlight w:val="none"/>
        </w:rPr>
        <w:t>甲方</w:t>
      </w:r>
      <w:r>
        <w:rPr>
          <w:rFonts w:hint="eastAsia" w:ascii="宋体" w:hAnsi="宋体"/>
          <w:sz w:val="24"/>
          <w:szCs w:val="24"/>
          <w:highlight w:val="none"/>
        </w:rPr>
        <w:t>、</w:t>
      </w:r>
      <w:r>
        <w:rPr>
          <w:rFonts w:hint="eastAsia" w:ascii="宋体" w:hAnsi="宋体"/>
          <w:spacing w:val="20"/>
          <w:sz w:val="24"/>
          <w:szCs w:val="24"/>
          <w:highlight w:val="none"/>
        </w:rPr>
        <w:t>乙方</w:t>
      </w:r>
      <w:r>
        <w:rPr>
          <w:rFonts w:hint="eastAsia" w:ascii="宋体" w:hAnsi="宋体"/>
          <w:sz w:val="24"/>
          <w:szCs w:val="24"/>
          <w:highlight w:val="none"/>
        </w:rPr>
        <w:t>就加强合同工程的廉政建设，订立本合同。</w:t>
      </w:r>
    </w:p>
    <w:p w14:paraId="0C8426D6">
      <w:pPr>
        <w:spacing w:before="156" w:beforeLines="50" w:line="360" w:lineRule="auto"/>
        <w:ind w:firstLine="482"/>
        <w:jc w:val="left"/>
        <w:outlineLvl w:val="0"/>
        <w:rPr>
          <w:rFonts w:ascii="宋体" w:hAnsi="宋体"/>
          <w:b/>
          <w:bCs/>
          <w:sz w:val="24"/>
          <w:szCs w:val="24"/>
          <w:highlight w:val="none"/>
        </w:rPr>
      </w:pPr>
      <w:r>
        <w:rPr>
          <w:rFonts w:ascii="宋体" w:hAnsi="宋体"/>
          <w:b/>
          <w:bCs/>
          <w:sz w:val="24"/>
          <w:szCs w:val="24"/>
          <w:highlight w:val="none"/>
        </w:rPr>
        <w:t>1</w:t>
      </w:r>
      <w:r>
        <w:rPr>
          <w:rFonts w:hint="eastAsia" w:ascii="宋体" w:hAnsi="宋体"/>
          <w:b/>
          <w:bCs/>
          <w:sz w:val="24"/>
          <w:szCs w:val="24"/>
          <w:highlight w:val="none"/>
        </w:rPr>
        <w:t>、双方权利和义务</w:t>
      </w:r>
    </w:p>
    <w:p w14:paraId="6F1270BA">
      <w:pPr>
        <w:spacing w:line="360" w:lineRule="auto"/>
        <w:ind w:firstLine="480" w:firstLineChars="200"/>
        <w:rPr>
          <w:rFonts w:ascii="宋体" w:hAnsi="宋体"/>
          <w:sz w:val="24"/>
          <w:szCs w:val="24"/>
          <w:highlight w:val="none"/>
        </w:rPr>
      </w:pPr>
      <w:r>
        <w:rPr>
          <w:rFonts w:ascii="宋体" w:hAnsi="宋体"/>
          <w:sz w:val="24"/>
          <w:szCs w:val="24"/>
          <w:highlight w:val="none"/>
        </w:rPr>
        <w:t xml:space="preserve">1.1  </w:t>
      </w:r>
      <w:r>
        <w:rPr>
          <w:rFonts w:hint="eastAsia" w:ascii="宋体" w:hAnsi="宋体"/>
          <w:sz w:val="24"/>
          <w:szCs w:val="24"/>
          <w:highlight w:val="none"/>
        </w:rPr>
        <w:t>严格遵守国家有关法律法规的规定。</w:t>
      </w:r>
    </w:p>
    <w:p w14:paraId="13057BD3">
      <w:pPr>
        <w:spacing w:line="360" w:lineRule="auto"/>
        <w:ind w:firstLine="480" w:firstLineChars="200"/>
        <w:rPr>
          <w:rFonts w:ascii="宋体" w:hAnsi="宋体"/>
          <w:sz w:val="24"/>
          <w:szCs w:val="24"/>
          <w:highlight w:val="none"/>
        </w:rPr>
      </w:pPr>
      <w:r>
        <w:rPr>
          <w:rFonts w:ascii="宋体" w:hAnsi="宋体"/>
          <w:sz w:val="24"/>
          <w:szCs w:val="24"/>
          <w:highlight w:val="none"/>
        </w:rPr>
        <w:t xml:space="preserve">1.2  </w:t>
      </w:r>
      <w:r>
        <w:rPr>
          <w:rFonts w:hint="eastAsia" w:ascii="宋体" w:hAnsi="宋体"/>
          <w:sz w:val="24"/>
          <w:szCs w:val="24"/>
          <w:highlight w:val="none"/>
        </w:rPr>
        <w:t>严格执行一切合同文件，自觉按合同办事。</w:t>
      </w:r>
    </w:p>
    <w:p w14:paraId="1510974C">
      <w:pPr>
        <w:spacing w:line="360" w:lineRule="auto"/>
        <w:ind w:firstLine="480" w:firstLineChars="200"/>
        <w:rPr>
          <w:rFonts w:ascii="宋体" w:hAnsi="宋体"/>
          <w:sz w:val="24"/>
          <w:szCs w:val="24"/>
          <w:highlight w:val="none"/>
        </w:rPr>
      </w:pPr>
      <w:r>
        <w:rPr>
          <w:rFonts w:ascii="宋体" w:hAnsi="宋体"/>
          <w:sz w:val="24"/>
          <w:szCs w:val="24"/>
          <w:highlight w:val="none"/>
        </w:rPr>
        <w:t xml:space="preserve">1.3  </w:t>
      </w:r>
      <w:r>
        <w:rPr>
          <w:rFonts w:hint="eastAsia" w:ascii="宋体" w:hAnsi="宋体"/>
          <w:sz w:val="24"/>
          <w:szCs w:val="24"/>
          <w:highlight w:val="none"/>
        </w:rPr>
        <w:t>双方的业务活动坚持公平、公开、公正和诚信的原则（法律认定的商业秘密和合同文件另有规定除外），不得损害国家和集体利益，不得违反工程建设管理规章制度。</w:t>
      </w:r>
    </w:p>
    <w:p w14:paraId="53C6C9C8">
      <w:pPr>
        <w:spacing w:line="360" w:lineRule="auto"/>
        <w:ind w:firstLine="480" w:firstLineChars="200"/>
        <w:rPr>
          <w:rFonts w:ascii="宋体" w:hAnsi="宋体"/>
          <w:sz w:val="24"/>
          <w:szCs w:val="24"/>
          <w:highlight w:val="none"/>
        </w:rPr>
      </w:pPr>
      <w:r>
        <w:rPr>
          <w:rFonts w:ascii="宋体" w:hAnsi="宋体"/>
          <w:sz w:val="24"/>
          <w:szCs w:val="24"/>
          <w:highlight w:val="none"/>
        </w:rPr>
        <w:t xml:space="preserve">1.4  </w:t>
      </w:r>
      <w:r>
        <w:rPr>
          <w:rFonts w:hint="eastAsia" w:ascii="宋体" w:hAnsi="宋体"/>
          <w:sz w:val="24"/>
          <w:szCs w:val="24"/>
          <w:highlight w:val="none"/>
        </w:rPr>
        <w:t>建立健全廉政制度，开展廉政教育，设立廉政告示牌，公布举报电话，监督并认真查处违法违纪行为。</w:t>
      </w:r>
    </w:p>
    <w:p w14:paraId="577CBE6C">
      <w:pPr>
        <w:spacing w:line="360" w:lineRule="auto"/>
        <w:ind w:firstLine="480" w:firstLineChars="200"/>
        <w:rPr>
          <w:rFonts w:ascii="宋体" w:hAnsi="宋体"/>
          <w:sz w:val="24"/>
          <w:szCs w:val="24"/>
          <w:highlight w:val="none"/>
        </w:rPr>
      </w:pPr>
      <w:r>
        <w:rPr>
          <w:rFonts w:ascii="宋体" w:hAnsi="宋体"/>
          <w:sz w:val="24"/>
          <w:szCs w:val="24"/>
          <w:highlight w:val="none"/>
        </w:rPr>
        <w:t xml:space="preserve">1.5  </w:t>
      </w:r>
      <w:r>
        <w:rPr>
          <w:rFonts w:hint="eastAsia" w:ascii="宋体" w:hAnsi="宋体"/>
          <w:sz w:val="24"/>
          <w:szCs w:val="24"/>
          <w:highlight w:val="none"/>
        </w:rPr>
        <w:t>发现对方在业务活动中有违反廉政建设规定的行为，应及时给予提醒和纠正。</w:t>
      </w:r>
    </w:p>
    <w:p w14:paraId="3B24CD16">
      <w:pPr>
        <w:spacing w:line="360" w:lineRule="auto"/>
        <w:ind w:firstLine="480" w:firstLineChars="200"/>
        <w:rPr>
          <w:rFonts w:ascii="宋体" w:hAnsi="宋体"/>
          <w:bCs/>
          <w:sz w:val="24"/>
          <w:szCs w:val="24"/>
          <w:highlight w:val="none"/>
        </w:rPr>
      </w:pPr>
      <w:r>
        <w:rPr>
          <w:rFonts w:ascii="宋体" w:hAnsi="宋体"/>
          <w:sz w:val="24"/>
          <w:szCs w:val="24"/>
          <w:highlight w:val="none"/>
        </w:rPr>
        <w:t xml:space="preserve">1.6  </w:t>
      </w:r>
      <w:r>
        <w:rPr>
          <w:rFonts w:hint="eastAsia" w:ascii="宋体" w:hAnsi="宋体"/>
          <w:sz w:val="24"/>
          <w:szCs w:val="24"/>
          <w:highlight w:val="none"/>
        </w:rPr>
        <w:t>发现对方严重违反合同的行为，有向其上级部门举报、建议给予处理并要求告知处理结果的权利。</w:t>
      </w:r>
    </w:p>
    <w:p w14:paraId="585A08B5">
      <w:pPr>
        <w:spacing w:before="156" w:beforeLines="50" w:line="360" w:lineRule="auto"/>
        <w:ind w:firstLine="482"/>
        <w:jc w:val="left"/>
        <w:outlineLvl w:val="0"/>
        <w:rPr>
          <w:rFonts w:ascii="宋体" w:hAnsi="宋体"/>
          <w:b/>
          <w:bCs/>
          <w:sz w:val="24"/>
          <w:szCs w:val="24"/>
          <w:highlight w:val="none"/>
        </w:rPr>
      </w:pPr>
      <w:r>
        <w:rPr>
          <w:rFonts w:ascii="宋体" w:hAnsi="宋体"/>
          <w:b/>
          <w:bCs/>
          <w:sz w:val="24"/>
          <w:szCs w:val="24"/>
          <w:highlight w:val="none"/>
        </w:rPr>
        <w:t>2</w:t>
      </w:r>
      <w:r>
        <w:rPr>
          <w:rFonts w:hint="eastAsia" w:ascii="宋体" w:hAnsi="宋体"/>
          <w:b/>
          <w:bCs/>
          <w:sz w:val="24"/>
          <w:szCs w:val="24"/>
          <w:highlight w:val="none"/>
        </w:rPr>
        <w:t>、</w:t>
      </w:r>
      <w:r>
        <w:rPr>
          <w:rFonts w:hint="eastAsia" w:ascii="宋体" w:hAnsi="宋体"/>
          <w:b/>
          <w:spacing w:val="20"/>
          <w:sz w:val="24"/>
          <w:szCs w:val="24"/>
          <w:highlight w:val="none"/>
        </w:rPr>
        <w:t>甲方</w:t>
      </w:r>
      <w:r>
        <w:rPr>
          <w:rFonts w:hint="eastAsia" w:ascii="宋体" w:hAnsi="宋体"/>
          <w:b/>
          <w:bCs/>
          <w:sz w:val="24"/>
          <w:szCs w:val="24"/>
          <w:highlight w:val="none"/>
        </w:rPr>
        <w:t>义务</w:t>
      </w:r>
    </w:p>
    <w:p w14:paraId="55CCA3BC">
      <w:pPr>
        <w:spacing w:line="360" w:lineRule="auto"/>
        <w:ind w:firstLine="480" w:firstLineChars="200"/>
        <w:rPr>
          <w:rFonts w:ascii="宋体" w:hAnsi="宋体"/>
          <w:sz w:val="24"/>
          <w:szCs w:val="24"/>
          <w:highlight w:val="none"/>
        </w:rPr>
      </w:pPr>
      <w:r>
        <w:rPr>
          <w:rFonts w:ascii="宋体" w:hAnsi="宋体"/>
          <w:sz w:val="24"/>
          <w:szCs w:val="24"/>
          <w:highlight w:val="none"/>
        </w:rPr>
        <w:t xml:space="preserve">2.1  </w:t>
      </w:r>
      <w:r>
        <w:rPr>
          <w:rFonts w:hint="eastAsia" w:ascii="宋体" w:hAnsi="宋体"/>
          <w:spacing w:val="20"/>
          <w:sz w:val="24"/>
          <w:szCs w:val="24"/>
          <w:highlight w:val="none"/>
        </w:rPr>
        <w:t>甲方</w:t>
      </w:r>
      <w:r>
        <w:rPr>
          <w:rFonts w:hint="eastAsia" w:ascii="宋体" w:hAnsi="宋体"/>
          <w:sz w:val="24"/>
          <w:szCs w:val="24"/>
          <w:highlight w:val="none"/>
        </w:rPr>
        <w:t>及其工作人员不得索要或接受乙方的礼金、有价证券和贵重物品，不得在乙方报销任何应由</w:t>
      </w:r>
      <w:r>
        <w:rPr>
          <w:rFonts w:hint="eastAsia" w:ascii="宋体" w:hAnsi="宋体"/>
          <w:spacing w:val="20"/>
          <w:sz w:val="24"/>
          <w:szCs w:val="24"/>
          <w:highlight w:val="none"/>
        </w:rPr>
        <w:t>甲方</w:t>
      </w:r>
      <w:r>
        <w:rPr>
          <w:rFonts w:hint="eastAsia" w:ascii="宋体" w:hAnsi="宋体"/>
          <w:sz w:val="24"/>
          <w:szCs w:val="24"/>
          <w:highlight w:val="none"/>
        </w:rPr>
        <w:t>或工作人员个人支付的费用等。</w:t>
      </w:r>
    </w:p>
    <w:p w14:paraId="28A41AE4">
      <w:pPr>
        <w:spacing w:line="360" w:lineRule="auto"/>
        <w:ind w:firstLine="480" w:firstLineChars="200"/>
        <w:rPr>
          <w:rFonts w:ascii="宋体" w:hAnsi="宋体"/>
          <w:sz w:val="24"/>
          <w:szCs w:val="24"/>
          <w:highlight w:val="none"/>
        </w:rPr>
      </w:pPr>
      <w:r>
        <w:rPr>
          <w:rFonts w:ascii="宋体" w:hAnsi="宋体"/>
          <w:sz w:val="24"/>
          <w:szCs w:val="24"/>
          <w:highlight w:val="none"/>
        </w:rPr>
        <w:t xml:space="preserve">2.2  </w:t>
      </w:r>
      <w:r>
        <w:rPr>
          <w:rFonts w:hint="eastAsia" w:ascii="宋体" w:hAnsi="宋体"/>
          <w:spacing w:val="20"/>
          <w:sz w:val="24"/>
          <w:szCs w:val="24"/>
          <w:highlight w:val="none"/>
        </w:rPr>
        <w:t>甲方</w:t>
      </w:r>
      <w:r>
        <w:rPr>
          <w:rFonts w:hint="eastAsia" w:ascii="宋体" w:hAnsi="宋体"/>
          <w:sz w:val="24"/>
          <w:szCs w:val="24"/>
          <w:highlight w:val="none"/>
        </w:rPr>
        <w:t>及其工作人员不得参加乙方安排的宴请（工作餐除外）和娱乐活动；不得接受乙方提供的通讯工具、交通工具和高档办公用品等。</w:t>
      </w:r>
    </w:p>
    <w:p w14:paraId="4B5F5D6E">
      <w:pPr>
        <w:spacing w:line="360" w:lineRule="auto"/>
        <w:ind w:firstLine="480" w:firstLineChars="200"/>
        <w:rPr>
          <w:rFonts w:ascii="宋体" w:hAnsi="宋体"/>
          <w:sz w:val="24"/>
          <w:szCs w:val="24"/>
          <w:highlight w:val="none"/>
        </w:rPr>
      </w:pPr>
      <w:r>
        <w:rPr>
          <w:rFonts w:ascii="宋体" w:hAnsi="宋体"/>
          <w:sz w:val="24"/>
          <w:szCs w:val="24"/>
          <w:highlight w:val="none"/>
        </w:rPr>
        <w:t xml:space="preserve">2.3  </w:t>
      </w:r>
      <w:r>
        <w:rPr>
          <w:rFonts w:hint="eastAsia" w:ascii="宋体" w:hAnsi="宋体"/>
          <w:spacing w:val="20"/>
          <w:sz w:val="24"/>
          <w:szCs w:val="24"/>
          <w:highlight w:val="none"/>
        </w:rPr>
        <w:t>甲方</w:t>
      </w:r>
      <w:r>
        <w:rPr>
          <w:rFonts w:hint="eastAsia" w:ascii="宋体" w:hAnsi="宋体"/>
          <w:sz w:val="24"/>
          <w:szCs w:val="24"/>
          <w:highlight w:val="none"/>
        </w:rPr>
        <w:t>及其工作人员不得要求或者接受乙方为其住房装修、婚丧嫁娶活动、配偶子女的工作安排以及出国出境、旅游等提供方便等。</w:t>
      </w:r>
    </w:p>
    <w:p w14:paraId="5DE16A4C">
      <w:pPr>
        <w:spacing w:line="360" w:lineRule="auto"/>
        <w:ind w:firstLine="480" w:firstLineChars="200"/>
        <w:rPr>
          <w:rFonts w:ascii="宋体" w:hAnsi="宋体"/>
          <w:sz w:val="24"/>
          <w:szCs w:val="24"/>
          <w:highlight w:val="none"/>
        </w:rPr>
      </w:pPr>
      <w:r>
        <w:rPr>
          <w:rFonts w:ascii="宋体" w:hAnsi="宋体"/>
          <w:sz w:val="24"/>
          <w:szCs w:val="24"/>
          <w:highlight w:val="none"/>
        </w:rPr>
        <w:t xml:space="preserve">2.4  </w:t>
      </w:r>
      <w:r>
        <w:rPr>
          <w:rFonts w:hint="eastAsia" w:ascii="宋体" w:hAnsi="宋体"/>
          <w:spacing w:val="20"/>
          <w:sz w:val="24"/>
          <w:szCs w:val="24"/>
          <w:highlight w:val="none"/>
        </w:rPr>
        <w:t>甲方</w:t>
      </w:r>
      <w:r>
        <w:rPr>
          <w:rFonts w:hint="eastAsia" w:ascii="宋体" w:hAnsi="宋体"/>
          <w:sz w:val="24"/>
          <w:szCs w:val="24"/>
          <w:highlight w:val="none"/>
        </w:rPr>
        <w:t>及其工作人员及其配偶、子女不得从事与</w:t>
      </w:r>
      <w:r>
        <w:rPr>
          <w:rFonts w:hint="eastAsia" w:ascii="宋体" w:hAnsi="宋体"/>
          <w:spacing w:val="20"/>
          <w:sz w:val="24"/>
          <w:szCs w:val="24"/>
          <w:highlight w:val="none"/>
        </w:rPr>
        <w:t>甲方</w:t>
      </w:r>
      <w:r>
        <w:rPr>
          <w:rFonts w:hint="eastAsia" w:ascii="宋体" w:hAnsi="宋体"/>
          <w:sz w:val="24"/>
          <w:szCs w:val="24"/>
          <w:highlight w:val="none"/>
        </w:rPr>
        <w:t>有关的工程材料设备供应、工程分包、劳务等经济活动。</w:t>
      </w:r>
    </w:p>
    <w:p w14:paraId="67B3D871">
      <w:pPr>
        <w:spacing w:line="360" w:lineRule="auto"/>
        <w:ind w:firstLine="480" w:firstLineChars="200"/>
        <w:rPr>
          <w:rFonts w:ascii="宋体" w:hAnsi="宋体"/>
          <w:sz w:val="24"/>
          <w:szCs w:val="24"/>
          <w:highlight w:val="none"/>
        </w:rPr>
      </w:pPr>
      <w:r>
        <w:rPr>
          <w:rFonts w:ascii="宋体" w:hAnsi="宋体"/>
          <w:sz w:val="24"/>
          <w:szCs w:val="24"/>
          <w:highlight w:val="none"/>
        </w:rPr>
        <w:t xml:space="preserve">2.5  </w:t>
      </w:r>
      <w:r>
        <w:rPr>
          <w:rFonts w:hint="eastAsia" w:ascii="宋体" w:hAnsi="宋体"/>
          <w:spacing w:val="20"/>
          <w:sz w:val="24"/>
          <w:szCs w:val="24"/>
          <w:highlight w:val="none"/>
        </w:rPr>
        <w:t>甲方</w:t>
      </w:r>
      <w:r>
        <w:rPr>
          <w:rFonts w:hint="eastAsia" w:ascii="宋体" w:hAnsi="宋体"/>
          <w:sz w:val="24"/>
          <w:szCs w:val="24"/>
          <w:highlight w:val="none"/>
        </w:rPr>
        <w:t>及其工作人员不得以任何理由向乙方推荐分包单位或推销材料，不得要求乙方购买合同约定外的材料和设备。</w:t>
      </w:r>
    </w:p>
    <w:p w14:paraId="6EDA694F">
      <w:pPr>
        <w:spacing w:line="360" w:lineRule="auto"/>
        <w:ind w:firstLine="480" w:firstLineChars="200"/>
        <w:rPr>
          <w:rFonts w:ascii="宋体" w:hAnsi="宋体"/>
          <w:bCs/>
          <w:sz w:val="24"/>
          <w:szCs w:val="24"/>
          <w:highlight w:val="none"/>
        </w:rPr>
      </w:pPr>
      <w:r>
        <w:rPr>
          <w:rFonts w:ascii="宋体" w:hAnsi="宋体"/>
          <w:sz w:val="24"/>
          <w:szCs w:val="24"/>
          <w:highlight w:val="none"/>
        </w:rPr>
        <w:t xml:space="preserve">2.6  </w:t>
      </w:r>
      <w:r>
        <w:rPr>
          <w:rFonts w:hint="eastAsia" w:ascii="宋体" w:hAnsi="宋体"/>
          <w:spacing w:val="20"/>
          <w:sz w:val="24"/>
          <w:szCs w:val="24"/>
          <w:highlight w:val="none"/>
        </w:rPr>
        <w:t>甲方</w:t>
      </w:r>
      <w:r>
        <w:rPr>
          <w:rFonts w:hint="eastAsia" w:ascii="宋体" w:hAnsi="宋体"/>
          <w:sz w:val="24"/>
          <w:szCs w:val="24"/>
          <w:highlight w:val="none"/>
        </w:rPr>
        <w:t>及其工作人员要秉公办事，不准营私舞弊，不准利用职权从事各种个人有偿中介活动和安排个人施工队伍。</w:t>
      </w:r>
    </w:p>
    <w:p w14:paraId="370D2C64">
      <w:pPr>
        <w:spacing w:before="156" w:beforeLines="50" w:line="360" w:lineRule="auto"/>
        <w:ind w:firstLine="482"/>
        <w:jc w:val="left"/>
        <w:outlineLvl w:val="0"/>
        <w:rPr>
          <w:rFonts w:ascii="宋体" w:hAnsi="宋体"/>
          <w:b/>
          <w:bCs/>
          <w:sz w:val="24"/>
          <w:szCs w:val="24"/>
          <w:highlight w:val="none"/>
        </w:rPr>
      </w:pPr>
      <w:r>
        <w:rPr>
          <w:rFonts w:ascii="宋体" w:hAnsi="宋体"/>
          <w:b/>
          <w:bCs/>
          <w:sz w:val="24"/>
          <w:szCs w:val="24"/>
          <w:highlight w:val="none"/>
        </w:rPr>
        <w:t>3</w:t>
      </w:r>
      <w:r>
        <w:rPr>
          <w:rFonts w:hint="eastAsia" w:ascii="宋体" w:hAnsi="宋体"/>
          <w:b/>
          <w:bCs/>
          <w:sz w:val="24"/>
          <w:szCs w:val="24"/>
          <w:highlight w:val="none"/>
        </w:rPr>
        <w:t>、乙方义务</w:t>
      </w:r>
    </w:p>
    <w:p w14:paraId="2F71CA5F">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3.1  </w:t>
      </w:r>
      <w:r>
        <w:rPr>
          <w:rFonts w:hint="eastAsia" w:ascii="宋体" w:hAnsi="宋体"/>
          <w:sz w:val="24"/>
          <w:szCs w:val="24"/>
          <w:highlight w:val="none"/>
        </w:rPr>
        <w:t>乙方不得以任何理由向</w:t>
      </w:r>
      <w:r>
        <w:rPr>
          <w:rFonts w:hint="eastAsia" w:ascii="宋体" w:hAnsi="宋体"/>
          <w:spacing w:val="20"/>
          <w:sz w:val="24"/>
          <w:szCs w:val="24"/>
          <w:highlight w:val="none"/>
        </w:rPr>
        <w:t>甲方</w:t>
      </w:r>
      <w:r>
        <w:rPr>
          <w:rFonts w:hint="eastAsia" w:ascii="宋体" w:hAnsi="宋体"/>
          <w:sz w:val="24"/>
          <w:szCs w:val="24"/>
          <w:highlight w:val="none"/>
        </w:rPr>
        <w:t>及其工作人员行贿或馈赠礼金、有价证券、贵重礼品。</w:t>
      </w:r>
    </w:p>
    <w:p w14:paraId="60641D98">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3.2  </w:t>
      </w:r>
      <w:r>
        <w:rPr>
          <w:rFonts w:hint="eastAsia" w:ascii="宋体" w:hAnsi="宋体"/>
          <w:sz w:val="24"/>
          <w:szCs w:val="24"/>
          <w:highlight w:val="none"/>
        </w:rPr>
        <w:t>乙方不得以任何名义为</w:t>
      </w:r>
      <w:r>
        <w:rPr>
          <w:rFonts w:hint="eastAsia" w:ascii="宋体" w:hAnsi="宋体"/>
          <w:spacing w:val="20"/>
          <w:sz w:val="24"/>
          <w:szCs w:val="24"/>
          <w:highlight w:val="none"/>
        </w:rPr>
        <w:t>甲方</w:t>
      </w:r>
      <w:r>
        <w:rPr>
          <w:rFonts w:hint="eastAsia" w:ascii="宋体" w:hAnsi="宋体"/>
          <w:sz w:val="24"/>
          <w:szCs w:val="24"/>
          <w:highlight w:val="none"/>
        </w:rPr>
        <w:t>及其工作人员报销应由</w:t>
      </w:r>
      <w:r>
        <w:rPr>
          <w:rFonts w:hint="eastAsia" w:ascii="宋体" w:hAnsi="宋体"/>
          <w:spacing w:val="20"/>
          <w:sz w:val="24"/>
          <w:szCs w:val="24"/>
          <w:highlight w:val="none"/>
        </w:rPr>
        <w:t>甲方</w:t>
      </w:r>
      <w:r>
        <w:rPr>
          <w:rFonts w:hint="eastAsia" w:ascii="宋体" w:hAnsi="宋体"/>
          <w:sz w:val="24"/>
          <w:szCs w:val="24"/>
          <w:highlight w:val="none"/>
        </w:rPr>
        <w:t>或工作人员个人支付的任何费用。</w:t>
      </w:r>
    </w:p>
    <w:p w14:paraId="0C0091BD">
      <w:pPr>
        <w:spacing w:line="360" w:lineRule="auto"/>
        <w:ind w:firstLine="480" w:firstLineChars="200"/>
        <w:rPr>
          <w:rFonts w:ascii="宋体" w:hAnsi="宋体"/>
          <w:sz w:val="24"/>
          <w:szCs w:val="24"/>
          <w:highlight w:val="none"/>
        </w:rPr>
      </w:pPr>
      <w:r>
        <w:rPr>
          <w:rFonts w:ascii="宋体" w:hAnsi="宋体"/>
          <w:sz w:val="24"/>
          <w:szCs w:val="24"/>
          <w:highlight w:val="none"/>
        </w:rPr>
        <w:t xml:space="preserve">3.3  </w:t>
      </w:r>
      <w:r>
        <w:rPr>
          <w:rFonts w:hint="eastAsia" w:ascii="宋体" w:hAnsi="宋体"/>
          <w:sz w:val="24"/>
          <w:szCs w:val="24"/>
          <w:highlight w:val="none"/>
        </w:rPr>
        <w:t>乙方不得以任何理由安排</w:t>
      </w:r>
      <w:r>
        <w:rPr>
          <w:rFonts w:hint="eastAsia" w:ascii="宋体" w:hAnsi="宋体"/>
          <w:spacing w:val="20"/>
          <w:sz w:val="24"/>
          <w:szCs w:val="24"/>
          <w:highlight w:val="none"/>
        </w:rPr>
        <w:t>甲方</w:t>
      </w:r>
      <w:r>
        <w:rPr>
          <w:rFonts w:hint="eastAsia" w:ascii="宋体" w:hAnsi="宋体"/>
          <w:sz w:val="24"/>
          <w:szCs w:val="24"/>
          <w:highlight w:val="none"/>
        </w:rPr>
        <w:t>及其工作人员参加宴请（工作餐除外）及娱乐活动。</w:t>
      </w:r>
    </w:p>
    <w:p w14:paraId="1F5D7E75">
      <w:pPr>
        <w:spacing w:line="360" w:lineRule="auto"/>
        <w:ind w:firstLine="480" w:firstLineChars="200"/>
        <w:rPr>
          <w:rFonts w:ascii="宋体" w:hAnsi="宋体"/>
          <w:bCs/>
          <w:sz w:val="24"/>
          <w:szCs w:val="24"/>
          <w:highlight w:val="none"/>
        </w:rPr>
      </w:pPr>
      <w:r>
        <w:rPr>
          <w:rFonts w:ascii="宋体" w:hAnsi="宋体"/>
          <w:sz w:val="24"/>
          <w:szCs w:val="24"/>
          <w:highlight w:val="none"/>
        </w:rPr>
        <w:t xml:space="preserve">3.4  </w:t>
      </w:r>
      <w:r>
        <w:rPr>
          <w:rFonts w:hint="eastAsia" w:ascii="宋体" w:hAnsi="宋体"/>
          <w:sz w:val="24"/>
          <w:szCs w:val="24"/>
          <w:highlight w:val="none"/>
        </w:rPr>
        <w:t>乙方不得为</w:t>
      </w:r>
      <w:r>
        <w:rPr>
          <w:rFonts w:hint="eastAsia" w:ascii="宋体" w:hAnsi="宋体"/>
          <w:spacing w:val="20"/>
          <w:sz w:val="24"/>
          <w:szCs w:val="24"/>
          <w:highlight w:val="none"/>
        </w:rPr>
        <w:t>甲方</w:t>
      </w:r>
      <w:r>
        <w:rPr>
          <w:rFonts w:hint="eastAsia" w:ascii="宋体" w:hAnsi="宋体"/>
          <w:sz w:val="24"/>
          <w:szCs w:val="24"/>
          <w:highlight w:val="none"/>
        </w:rPr>
        <w:t>购置或提供高档通讯工具和高档办公用品等。</w:t>
      </w:r>
    </w:p>
    <w:p w14:paraId="7E3CDAC2">
      <w:pPr>
        <w:pStyle w:val="9"/>
        <w:spacing w:line="360" w:lineRule="auto"/>
        <w:ind w:left="0" w:leftChars="0" w:firstLine="482" w:firstLineChars="200"/>
        <w:rPr>
          <w:rFonts w:ascii="宋体" w:hAnsi="宋体"/>
          <w:b/>
          <w:bCs/>
          <w:sz w:val="24"/>
          <w:highlight w:val="none"/>
        </w:rPr>
      </w:pPr>
      <w:r>
        <w:rPr>
          <w:rFonts w:hint="eastAsia" w:ascii="宋体" w:hAnsi="宋体"/>
          <w:b/>
          <w:bCs/>
          <w:sz w:val="24"/>
          <w:highlight w:val="none"/>
        </w:rPr>
        <w:t>4、双方约定</w:t>
      </w:r>
    </w:p>
    <w:p w14:paraId="3292B611">
      <w:pPr>
        <w:pStyle w:val="9"/>
        <w:spacing w:line="360" w:lineRule="auto"/>
        <w:ind w:left="0" w:leftChars="0" w:firstLine="480" w:firstLineChars="200"/>
        <w:rPr>
          <w:rFonts w:ascii="宋体" w:hAnsi="宋体"/>
          <w:sz w:val="24"/>
          <w:highlight w:val="none"/>
        </w:rPr>
      </w:pPr>
      <w:r>
        <w:rPr>
          <w:rFonts w:hint="eastAsia" w:ascii="宋体" w:hAnsi="宋体"/>
          <w:sz w:val="24"/>
          <w:highlight w:val="none"/>
        </w:rPr>
        <w:t>本合同由双方或其上级部门负责监督执行，并由双方或其上级部门相互约请对本合同执行情况进行检查。</w:t>
      </w:r>
    </w:p>
    <w:p w14:paraId="4B0EB140">
      <w:pPr>
        <w:spacing w:before="156" w:beforeLines="50" w:line="360" w:lineRule="auto"/>
        <w:ind w:firstLine="482"/>
        <w:jc w:val="left"/>
        <w:outlineLvl w:val="0"/>
        <w:rPr>
          <w:rFonts w:ascii="宋体" w:hAnsi="宋体"/>
          <w:b/>
          <w:bCs/>
          <w:sz w:val="24"/>
          <w:szCs w:val="24"/>
          <w:highlight w:val="none"/>
        </w:rPr>
      </w:pPr>
      <w:r>
        <w:rPr>
          <w:rFonts w:hint="eastAsia" w:ascii="宋体" w:hAnsi="宋体"/>
          <w:b/>
          <w:bCs/>
          <w:sz w:val="24"/>
          <w:szCs w:val="24"/>
          <w:highlight w:val="none"/>
        </w:rPr>
        <w:t>5、合同生效</w:t>
      </w:r>
    </w:p>
    <w:p w14:paraId="1FA71671">
      <w:pPr>
        <w:spacing w:line="360" w:lineRule="auto"/>
        <w:ind w:firstLine="480" w:firstLineChars="200"/>
        <w:rPr>
          <w:rFonts w:ascii="宋体" w:hAnsi="宋体"/>
          <w:bCs/>
          <w:sz w:val="24"/>
          <w:szCs w:val="24"/>
          <w:highlight w:val="none"/>
        </w:rPr>
      </w:pPr>
      <w:r>
        <w:rPr>
          <w:rFonts w:hint="eastAsia" w:ascii="宋体" w:hAnsi="宋体"/>
          <w:sz w:val="24"/>
          <w:szCs w:val="24"/>
          <w:highlight w:val="none"/>
        </w:rPr>
        <w:t>本合同自双方签署之日起生效。</w:t>
      </w:r>
    </w:p>
    <w:p w14:paraId="0AD393F6">
      <w:pPr>
        <w:spacing w:before="156" w:beforeLines="50" w:line="360" w:lineRule="auto"/>
        <w:ind w:firstLine="482"/>
        <w:jc w:val="left"/>
        <w:outlineLvl w:val="0"/>
        <w:rPr>
          <w:rFonts w:ascii="宋体" w:hAnsi="宋体"/>
          <w:b/>
          <w:bCs/>
          <w:sz w:val="24"/>
          <w:szCs w:val="24"/>
          <w:highlight w:val="none"/>
        </w:rPr>
      </w:pPr>
      <w:r>
        <w:rPr>
          <w:rFonts w:hint="eastAsia" w:ascii="宋体" w:hAnsi="宋体"/>
          <w:b/>
          <w:bCs/>
          <w:sz w:val="24"/>
          <w:szCs w:val="24"/>
          <w:highlight w:val="none"/>
        </w:rPr>
        <w:t>6、合同法律效力</w:t>
      </w:r>
    </w:p>
    <w:p w14:paraId="679D4E9B">
      <w:pPr>
        <w:spacing w:line="360" w:lineRule="auto"/>
        <w:ind w:firstLine="480" w:firstLineChars="200"/>
        <w:rPr>
          <w:rFonts w:ascii="宋体" w:hAnsi="宋体"/>
          <w:sz w:val="24"/>
          <w:szCs w:val="24"/>
          <w:highlight w:val="none"/>
        </w:rPr>
      </w:pPr>
      <w:r>
        <w:rPr>
          <w:rFonts w:hint="eastAsia" w:ascii="宋体" w:hAnsi="宋体"/>
          <w:sz w:val="24"/>
          <w:szCs w:val="24"/>
          <w:highlight w:val="none"/>
        </w:rPr>
        <w:t>本合同作为广州市白云区三元里村城中村改造项目启动区安置地块建设管理服务合同的附件，与建设管理服务</w:t>
      </w:r>
      <w:r>
        <w:rPr>
          <w:rFonts w:hint="eastAsia" w:ascii="宋体" w:hAnsi="宋体" w:cs="宋体"/>
          <w:kern w:val="0"/>
          <w:sz w:val="24"/>
          <w:szCs w:val="24"/>
          <w:highlight w:val="none"/>
        </w:rPr>
        <w:t>合同</w:t>
      </w:r>
      <w:r>
        <w:rPr>
          <w:rFonts w:hint="eastAsia" w:ascii="宋体" w:hAnsi="宋体"/>
          <w:sz w:val="24"/>
          <w:szCs w:val="24"/>
          <w:highlight w:val="none"/>
        </w:rPr>
        <w:t>具有同等的法律效力，经双方签署后生效。</w:t>
      </w:r>
    </w:p>
    <w:p w14:paraId="5CF70433">
      <w:pPr>
        <w:spacing w:line="360" w:lineRule="auto"/>
        <w:ind w:firstLine="480" w:firstLineChars="200"/>
        <w:rPr>
          <w:rFonts w:ascii="宋体" w:hAnsi="宋体"/>
          <w:sz w:val="24"/>
          <w:szCs w:val="24"/>
          <w:highlight w:val="none"/>
        </w:rPr>
      </w:pPr>
    </w:p>
    <w:p w14:paraId="63247FD6">
      <w:pPr>
        <w:spacing w:line="360" w:lineRule="auto"/>
        <w:ind w:firstLine="480" w:firstLineChars="200"/>
        <w:rPr>
          <w:rFonts w:ascii="宋体" w:hAnsi="宋体"/>
          <w:sz w:val="24"/>
          <w:szCs w:val="24"/>
          <w:highlight w:val="none"/>
        </w:rPr>
      </w:pPr>
    </w:p>
    <w:p w14:paraId="21FBC00C">
      <w:pPr>
        <w:spacing w:line="360" w:lineRule="auto"/>
        <w:ind w:firstLine="480" w:firstLineChars="200"/>
        <w:rPr>
          <w:rFonts w:ascii="宋体" w:hAnsi="宋体"/>
          <w:sz w:val="24"/>
          <w:szCs w:val="24"/>
          <w:highlight w:val="none"/>
        </w:rPr>
      </w:pPr>
    </w:p>
    <w:p w14:paraId="03DE782E">
      <w:pPr>
        <w:spacing w:line="360" w:lineRule="auto"/>
        <w:ind w:firstLine="480" w:firstLineChars="200"/>
        <w:rPr>
          <w:rFonts w:ascii="宋体" w:hAnsi="宋体"/>
          <w:sz w:val="24"/>
          <w:szCs w:val="24"/>
          <w:highlight w:val="none"/>
        </w:rPr>
      </w:pPr>
    </w:p>
    <w:p w14:paraId="44AB42BD">
      <w:pPr>
        <w:spacing w:line="360" w:lineRule="auto"/>
        <w:ind w:firstLine="480" w:firstLineChars="200"/>
        <w:rPr>
          <w:rFonts w:ascii="宋体" w:hAnsi="宋体"/>
          <w:sz w:val="24"/>
          <w:szCs w:val="24"/>
          <w:highlight w:val="none"/>
        </w:rPr>
      </w:pPr>
    </w:p>
    <w:p w14:paraId="49060145">
      <w:pPr>
        <w:spacing w:line="360" w:lineRule="auto"/>
        <w:ind w:firstLine="480" w:firstLineChars="200"/>
        <w:rPr>
          <w:rFonts w:ascii="宋体" w:hAnsi="宋体"/>
          <w:sz w:val="24"/>
          <w:szCs w:val="24"/>
          <w:highlight w:val="none"/>
        </w:rPr>
      </w:pPr>
    </w:p>
    <w:p w14:paraId="4AD6D015">
      <w:pPr>
        <w:spacing w:line="360" w:lineRule="auto"/>
        <w:ind w:firstLine="480" w:firstLineChars="200"/>
        <w:rPr>
          <w:rFonts w:ascii="宋体" w:hAnsi="宋体"/>
          <w:sz w:val="24"/>
          <w:szCs w:val="24"/>
          <w:highlight w:val="none"/>
        </w:rPr>
      </w:pPr>
    </w:p>
    <w:p w14:paraId="5215211E">
      <w:pPr>
        <w:spacing w:line="360" w:lineRule="auto"/>
        <w:rPr>
          <w:rFonts w:ascii="宋体" w:hAnsi="宋体"/>
          <w:b/>
          <w:bCs/>
          <w:sz w:val="24"/>
          <w:szCs w:val="24"/>
          <w:highlight w:val="none"/>
        </w:rPr>
      </w:pPr>
    </w:p>
    <w:p w14:paraId="13AB0BF1">
      <w:pPr>
        <w:spacing w:line="360" w:lineRule="auto"/>
        <w:rPr>
          <w:rFonts w:ascii="宋体" w:hAnsi="宋体"/>
          <w:b/>
          <w:bCs/>
          <w:sz w:val="24"/>
          <w:szCs w:val="24"/>
          <w:highlight w:val="none"/>
        </w:rPr>
      </w:pPr>
      <w:r>
        <w:rPr>
          <w:rFonts w:hint="eastAsia" w:ascii="宋体" w:hAnsi="宋体"/>
          <w:b/>
          <w:bCs/>
          <w:sz w:val="24"/>
          <w:szCs w:val="24"/>
          <w:highlight w:val="none"/>
        </w:rPr>
        <w:t>（本页为签署页）</w:t>
      </w:r>
    </w:p>
    <w:p w14:paraId="34BBEAC0">
      <w:pPr>
        <w:adjustRightInd w:val="0"/>
        <w:snapToGrid w:val="0"/>
        <w:spacing w:line="360" w:lineRule="auto"/>
        <w:rPr>
          <w:rFonts w:ascii="宋体" w:hAnsi="宋体" w:cs="仿宋_GB2312"/>
          <w:b/>
          <w:bCs/>
          <w:sz w:val="24"/>
          <w:szCs w:val="24"/>
          <w:highlight w:val="none"/>
        </w:rPr>
      </w:pPr>
    </w:p>
    <w:p w14:paraId="26AB54D5">
      <w:pPr>
        <w:adjustRightInd w:val="0"/>
        <w:snapToGrid w:val="0"/>
        <w:spacing w:line="360" w:lineRule="auto"/>
        <w:rPr>
          <w:rFonts w:ascii="宋体" w:hAnsi="宋体" w:cs="仿宋_GB2312"/>
          <w:b/>
          <w:bCs/>
          <w:sz w:val="24"/>
          <w:szCs w:val="24"/>
          <w:highlight w:val="none"/>
        </w:rPr>
      </w:pPr>
    </w:p>
    <w:p w14:paraId="57013262">
      <w:pPr>
        <w:adjustRightInd w:val="0"/>
        <w:snapToGrid w:val="0"/>
        <w:spacing w:line="360" w:lineRule="auto"/>
        <w:rPr>
          <w:rFonts w:ascii="宋体" w:hAnsi="宋体" w:cs="仿宋_GB2312"/>
          <w:b/>
          <w:bCs/>
          <w:sz w:val="24"/>
          <w:szCs w:val="24"/>
          <w:highlight w:val="none"/>
        </w:rPr>
      </w:pPr>
    </w:p>
    <w:p w14:paraId="21497BAB">
      <w:pPr>
        <w:adjustRightInd w:val="0"/>
        <w:snapToGrid w:val="0"/>
        <w:spacing w:line="360" w:lineRule="auto"/>
        <w:rPr>
          <w:rFonts w:ascii="宋体" w:hAnsi="宋体"/>
          <w:b/>
          <w:bCs/>
          <w:sz w:val="24"/>
          <w:szCs w:val="24"/>
          <w:highlight w:val="none"/>
        </w:rPr>
      </w:pPr>
      <w:r>
        <w:rPr>
          <w:rFonts w:hint="eastAsia" w:ascii="宋体" w:hAnsi="宋体" w:cs="仿宋_GB2312"/>
          <w:b/>
          <w:bCs/>
          <w:sz w:val="24"/>
          <w:szCs w:val="24"/>
          <w:highlight w:val="none"/>
        </w:rPr>
        <w:t>甲方：</w:t>
      </w:r>
      <w:r>
        <w:rPr>
          <w:rFonts w:hint="eastAsia"/>
          <w:b/>
          <w:snapToGrid w:val="0"/>
          <w:sz w:val="24"/>
          <w:highlight w:val="none"/>
          <w:lang w:eastAsia="zh-CN"/>
        </w:rPr>
        <w:t>广州三元里片区改造投资有限公司</w:t>
      </w:r>
      <w:r>
        <w:rPr>
          <w:rFonts w:hint="eastAsia" w:ascii="宋体" w:hAnsi="宋体" w:cs="仿宋_GB2312"/>
          <w:b/>
          <w:bCs/>
          <w:sz w:val="24"/>
          <w:szCs w:val="24"/>
          <w:highlight w:val="none"/>
        </w:rPr>
        <w:t>（盖章）</w:t>
      </w:r>
    </w:p>
    <w:p w14:paraId="7A105734">
      <w:pPr>
        <w:adjustRightInd w:val="0"/>
        <w:snapToGrid w:val="0"/>
        <w:spacing w:line="360" w:lineRule="auto"/>
        <w:rPr>
          <w:rFonts w:ascii="宋体" w:hAnsi="宋体"/>
          <w:b/>
          <w:bCs/>
          <w:sz w:val="24"/>
          <w:szCs w:val="24"/>
          <w:highlight w:val="none"/>
        </w:rPr>
      </w:pPr>
    </w:p>
    <w:p w14:paraId="76CE911B">
      <w:pPr>
        <w:adjustRightInd w:val="0"/>
        <w:snapToGrid w:val="0"/>
        <w:spacing w:line="360" w:lineRule="auto"/>
        <w:rPr>
          <w:rFonts w:ascii="宋体" w:hAnsi="宋体" w:cs="仿宋_GB2312"/>
          <w:b/>
          <w:sz w:val="24"/>
          <w:szCs w:val="24"/>
          <w:highlight w:val="none"/>
        </w:rPr>
      </w:pPr>
      <w:r>
        <w:rPr>
          <w:rFonts w:hint="eastAsia" w:ascii="宋体" w:hAnsi="宋体" w:cs="仿宋_GB2312"/>
          <w:b/>
          <w:sz w:val="24"/>
          <w:szCs w:val="24"/>
          <w:highlight w:val="none"/>
        </w:rPr>
        <w:t>法定代表人：</w:t>
      </w:r>
    </w:p>
    <w:p w14:paraId="2C150AE9">
      <w:pPr>
        <w:adjustRightInd w:val="0"/>
        <w:snapToGrid w:val="0"/>
        <w:spacing w:line="360" w:lineRule="auto"/>
        <w:rPr>
          <w:rFonts w:ascii="宋体" w:hAnsi="宋体" w:cs="仿宋_GB2312"/>
          <w:b/>
          <w:sz w:val="24"/>
          <w:szCs w:val="24"/>
          <w:highlight w:val="none"/>
        </w:rPr>
      </w:pPr>
    </w:p>
    <w:p w14:paraId="72CE0DF3">
      <w:pPr>
        <w:adjustRightInd w:val="0"/>
        <w:snapToGrid w:val="0"/>
        <w:spacing w:line="360" w:lineRule="auto"/>
        <w:rPr>
          <w:rFonts w:ascii="宋体" w:hAnsi="宋体"/>
          <w:b/>
          <w:sz w:val="24"/>
          <w:szCs w:val="24"/>
          <w:highlight w:val="none"/>
        </w:rPr>
      </w:pPr>
      <w:r>
        <w:rPr>
          <w:rFonts w:hint="eastAsia" w:ascii="宋体" w:hAnsi="宋体" w:cs="仿宋_GB2312"/>
          <w:b/>
          <w:sz w:val="24"/>
          <w:szCs w:val="24"/>
          <w:highlight w:val="none"/>
        </w:rPr>
        <w:t>签约代表：</w:t>
      </w:r>
    </w:p>
    <w:p w14:paraId="22B30AF0">
      <w:pPr>
        <w:adjustRightInd w:val="0"/>
        <w:snapToGrid w:val="0"/>
        <w:spacing w:line="360" w:lineRule="auto"/>
        <w:rPr>
          <w:rFonts w:ascii="宋体" w:hAnsi="宋体"/>
          <w:b/>
          <w:bCs/>
          <w:sz w:val="24"/>
          <w:szCs w:val="24"/>
          <w:highlight w:val="none"/>
        </w:rPr>
      </w:pPr>
    </w:p>
    <w:p w14:paraId="44142A5A">
      <w:pPr>
        <w:adjustRightInd w:val="0"/>
        <w:snapToGrid w:val="0"/>
        <w:spacing w:line="360" w:lineRule="auto"/>
        <w:rPr>
          <w:rFonts w:ascii="宋体" w:hAnsi="宋体"/>
          <w:b/>
          <w:bCs/>
          <w:sz w:val="24"/>
          <w:szCs w:val="24"/>
          <w:highlight w:val="none"/>
        </w:rPr>
      </w:pPr>
    </w:p>
    <w:p w14:paraId="03585CFE">
      <w:pPr>
        <w:adjustRightInd w:val="0"/>
        <w:snapToGrid w:val="0"/>
        <w:spacing w:line="360" w:lineRule="auto"/>
        <w:rPr>
          <w:rFonts w:ascii="宋体" w:hAnsi="宋体"/>
          <w:b/>
          <w:bCs/>
          <w:sz w:val="24"/>
          <w:szCs w:val="24"/>
          <w:highlight w:val="none"/>
        </w:rPr>
      </w:pPr>
    </w:p>
    <w:p w14:paraId="6C2A2A22">
      <w:pPr>
        <w:adjustRightInd w:val="0"/>
        <w:snapToGrid w:val="0"/>
        <w:spacing w:line="360" w:lineRule="auto"/>
        <w:rPr>
          <w:rFonts w:ascii="宋体" w:hAnsi="宋体"/>
          <w:b/>
          <w:bCs/>
          <w:sz w:val="24"/>
          <w:szCs w:val="24"/>
          <w:highlight w:val="none"/>
        </w:rPr>
      </w:pPr>
    </w:p>
    <w:p w14:paraId="21C67EE2">
      <w:pPr>
        <w:adjustRightInd w:val="0"/>
        <w:snapToGrid w:val="0"/>
        <w:spacing w:line="360" w:lineRule="auto"/>
        <w:rPr>
          <w:rFonts w:ascii="宋体" w:hAnsi="宋体"/>
          <w:b/>
          <w:bCs/>
          <w:sz w:val="24"/>
          <w:szCs w:val="24"/>
          <w:highlight w:val="none"/>
        </w:rPr>
      </w:pPr>
      <w:r>
        <w:rPr>
          <w:rFonts w:hint="eastAsia" w:ascii="宋体" w:hAnsi="宋体" w:cs="仿宋_GB2312"/>
          <w:b/>
          <w:bCs/>
          <w:sz w:val="24"/>
          <w:szCs w:val="24"/>
          <w:highlight w:val="none"/>
        </w:rPr>
        <w:t>乙方：</w:t>
      </w:r>
    </w:p>
    <w:p w14:paraId="129A209F">
      <w:pPr>
        <w:adjustRightInd w:val="0"/>
        <w:snapToGrid w:val="0"/>
        <w:spacing w:line="360" w:lineRule="auto"/>
        <w:rPr>
          <w:rFonts w:ascii="宋体" w:hAnsi="宋体"/>
          <w:b/>
          <w:bCs/>
          <w:sz w:val="24"/>
          <w:szCs w:val="24"/>
          <w:highlight w:val="none"/>
        </w:rPr>
      </w:pPr>
    </w:p>
    <w:p w14:paraId="36564DD9">
      <w:pPr>
        <w:adjustRightInd w:val="0"/>
        <w:snapToGrid w:val="0"/>
        <w:spacing w:line="360" w:lineRule="auto"/>
        <w:rPr>
          <w:rFonts w:ascii="宋体" w:hAnsi="宋体" w:cs="仿宋_GB2312"/>
          <w:b/>
          <w:sz w:val="24"/>
          <w:szCs w:val="24"/>
          <w:highlight w:val="none"/>
        </w:rPr>
      </w:pPr>
      <w:r>
        <w:rPr>
          <w:rFonts w:hint="eastAsia" w:ascii="宋体" w:hAnsi="宋体" w:cs="仿宋_GB2312"/>
          <w:b/>
          <w:sz w:val="24"/>
          <w:szCs w:val="24"/>
          <w:highlight w:val="none"/>
        </w:rPr>
        <w:t>法定代表人：</w:t>
      </w:r>
    </w:p>
    <w:p w14:paraId="51A43F87">
      <w:pPr>
        <w:adjustRightInd w:val="0"/>
        <w:snapToGrid w:val="0"/>
        <w:spacing w:line="360" w:lineRule="auto"/>
        <w:rPr>
          <w:rFonts w:ascii="宋体" w:hAnsi="宋体" w:cs="仿宋_GB2312"/>
          <w:b/>
          <w:sz w:val="24"/>
          <w:szCs w:val="24"/>
          <w:highlight w:val="none"/>
        </w:rPr>
      </w:pPr>
    </w:p>
    <w:p w14:paraId="54944CFB">
      <w:pPr>
        <w:adjustRightInd w:val="0"/>
        <w:snapToGrid w:val="0"/>
        <w:spacing w:line="360" w:lineRule="auto"/>
        <w:rPr>
          <w:rFonts w:ascii="宋体" w:hAnsi="宋体"/>
          <w:sz w:val="24"/>
          <w:szCs w:val="24"/>
          <w:highlight w:val="none"/>
        </w:rPr>
      </w:pPr>
      <w:r>
        <w:rPr>
          <w:rFonts w:hint="eastAsia" w:ascii="宋体" w:hAnsi="宋体" w:cs="仿宋_GB2312"/>
          <w:b/>
          <w:sz w:val="24"/>
          <w:szCs w:val="24"/>
          <w:highlight w:val="none"/>
        </w:rPr>
        <w:t>签约代表：</w:t>
      </w:r>
    </w:p>
    <w:p w14:paraId="4343F6D9">
      <w:pPr>
        <w:spacing w:line="360" w:lineRule="auto"/>
        <w:rPr>
          <w:rFonts w:ascii="宋体" w:hAnsi="宋体" w:cs="仿宋_GB2312"/>
          <w:sz w:val="24"/>
          <w:szCs w:val="24"/>
          <w:highlight w:val="none"/>
        </w:rPr>
      </w:pPr>
    </w:p>
    <w:p w14:paraId="4063C770">
      <w:pPr>
        <w:spacing w:line="360" w:lineRule="auto"/>
        <w:rPr>
          <w:rFonts w:ascii="宋体" w:hAnsi="宋体" w:cs="仿宋_GB2312"/>
          <w:sz w:val="24"/>
          <w:szCs w:val="24"/>
          <w:highlight w:val="none"/>
        </w:rPr>
      </w:pPr>
    </w:p>
    <w:p w14:paraId="19222260">
      <w:pPr>
        <w:spacing w:line="360" w:lineRule="auto"/>
        <w:rPr>
          <w:rFonts w:ascii="宋体" w:hAnsi="宋体" w:cs="仿宋_GB2312"/>
          <w:sz w:val="24"/>
          <w:szCs w:val="24"/>
          <w:highlight w:val="none"/>
        </w:rPr>
      </w:pPr>
    </w:p>
    <w:p w14:paraId="20B1CF4A">
      <w:pPr>
        <w:spacing w:line="360" w:lineRule="auto"/>
        <w:rPr>
          <w:rFonts w:ascii="宋体" w:hAnsi="宋体" w:cs="仿宋_GB2312"/>
          <w:sz w:val="24"/>
          <w:szCs w:val="24"/>
          <w:highlight w:val="none"/>
        </w:rPr>
      </w:pPr>
    </w:p>
    <w:p w14:paraId="630B6F8F">
      <w:pPr>
        <w:snapToGrid w:val="0"/>
        <w:spacing w:line="480" w:lineRule="auto"/>
        <w:rPr>
          <w:rFonts w:ascii="宋体" w:hAnsi="宋体" w:cs="仿宋_GB2312"/>
          <w:b/>
          <w:sz w:val="28"/>
          <w:szCs w:val="28"/>
          <w:highlight w:val="none"/>
        </w:rPr>
      </w:pPr>
    </w:p>
    <w:p w14:paraId="70B2188D">
      <w:pPr>
        <w:spacing w:line="360" w:lineRule="auto"/>
        <w:rPr>
          <w:rFonts w:ascii="宋体" w:hAnsi="宋体" w:cs="仿宋_GB2312"/>
          <w:sz w:val="24"/>
          <w:szCs w:val="24"/>
          <w:highlight w:val="none"/>
        </w:rPr>
      </w:pPr>
    </w:p>
    <w:p w14:paraId="2525F38B">
      <w:pPr>
        <w:pStyle w:val="8"/>
        <w:ind w:firstLine="480"/>
        <w:rPr>
          <w:rFonts w:ascii="宋体" w:hAnsi="宋体" w:cs="仿宋_GB2312"/>
          <w:sz w:val="24"/>
          <w:szCs w:val="24"/>
          <w:highlight w:val="none"/>
        </w:rPr>
      </w:pPr>
    </w:p>
    <w:p w14:paraId="44F52408">
      <w:pPr>
        <w:rPr>
          <w:rFonts w:ascii="宋体" w:hAnsi="宋体" w:cs="仿宋_GB2312"/>
          <w:sz w:val="24"/>
          <w:szCs w:val="24"/>
          <w:highlight w:val="none"/>
        </w:rPr>
      </w:pPr>
    </w:p>
    <w:p w14:paraId="679BCA31">
      <w:pPr>
        <w:pStyle w:val="8"/>
        <w:ind w:firstLine="400"/>
        <w:rPr>
          <w:highlight w:val="none"/>
        </w:rPr>
      </w:pPr>
    </w:p>
    <w:p w14:paraId="173F6091">
      <w:pPr>
        <w:snapToGrid w:val="0"/>
        <w:spacing w:line="480" w:lineRule="auto"/>
        <w:jc w:val="left"/>
        <w:rPr>
          <w:rFonts w:ascii="宋体" w:hAnsi="宋体" w:cs="仿宋_GB2312"/>
          <w:sz w:val="24"/>
          <w:szCs w:val="24"/>
          <w:highlight w:val="none"/>
        </w:rPr>
      </w:pPr>
      <w:r>
        <w:rPr>
          <w:rFonts w:hint="eastAsia" w:ascii="宋体" w:hAnsi="宋体" w:cs="仿宋_GB2312"/>
          <w:sz w:val="24"/>
          <w:szCs w:val="24"/>
          <w:highlight w:val="none"/>
        </w:rPr>
        <w:t>附件2</w:t>
      </w:r>
    </w:p>
    <w:p w14:paraId="2E30A4AA">
      <w:pPr>
        <w:snapToGrid w:val="0"/>
        <w:spacing w:line="480" w:lineRule="auto"/>
        <w:jc w:val="center"/>
        <w:rPr>
          <w:rFonts w:ascii="宋体" w:hAnsi="宋体" w:cs="仿宋_GB2312"/>
          <w:b/>
          <w:sz w:val="28"/>
          <w:szCs w:val="28"/>
          <w:highlight w:val="none"/>
        </w:rPr>
      </w:pPr>
      <w:r>
        <w:rPr>
          <w:rFonts w:hint="eastAsia" w:ascii="宋体" w:hAnsi="宋体" w:cs="仿宋_GB2312"/>
          <w:b/>
          <w:sz w:val="28"/>
          <w:szCs w:val="28"/>
          <w:highlight w:val="none"/>
        </w:rPr>
        <w:t>中标通知书</w:t>
      </w:r>
    </w:p>
    <w:p w14:paraId="5F3636EF">
      <w:pPr>
        <w:snapToGrid w:val="0"/>
        <w:spacing w:line="480" w:lineRule="auto"/>
        <w:jc w:val="center"/>
        <w:rPr>
          <w:rFonts w:ascii="宋体" w:hAnsi="宋体" w:cs="仿宋_GB2312"/>
          <w:sz w:val="24"/>
          <w:szCs w:val="24"/>
          <w:highlight w:val="none"/>
        </w:rPr>
        <w:sectPr>
          <w:footerReference r:id="rId7" w:type="first"/>
          <w:headerReference r:id="rId6" w:type="default"/>
          <w:pgSz w:w="11906" w:h="16838"/>
          <w:pgMar w:top="1440" w:right="1797" w:bottom="1440" w:left="1797" w:header="851" w:footer="992" w:gutter="0"/>
          <w:cols w:space="720" w:num="1"/>
          <w:titlePg/>
          <w:rtlGutter w:val="1"/>
          <w:docGrid w:type="lines" w:linePitch="312" w:charSpace="0"/>
        </w:sectPr>
      </w:pPr>
    </w:p>
    <w:p w14:paraId="4C5CE82C">
      <w:pPr>
        <w:snapToGrid w:val="0"/>
        <w:spacing w:line="480" w:lineRule="auto"/>
        <w:jc w:val="left"/>
        <w:rPr>
          <w:rFonts w:hint="eastAsia" w:ascii="宋体" w:hAnsi="宋体" w:cs="仿宋_GB2312"/>
          <w:b w:val="0"/>
          <w:sz w:val="24"/>
          <w:szCs w:val="24"/>
          <w:highlight w:val="none"/>
          <w:lang w:val="en-US" w:eastAsia="zh-CN"/>
        </w:rPr>
      </w:pPr>
      <w:r>
        <w:rPr>
          <w:rFonts w:hint="eastAsia" w:ascii="宋体" w:hAnsi="宋体" w:cs="仿宋_GB2312"/>
          <w:b w:val="0"/>
          <w:sz w:val="24"/>
          <w:szCs w:val="24"/>
          <w:highlight w:val="none"/>
          <w:lang w:val="en-US" w:eastAsia="zh-CN"/>
        </w:rPr>
        <w:t>附件3</w:t>
      </w:r>
    </w:p>
    <w:p w14:paraId="60689AD9">
      <w:pPr>
        <w:spacing w:line="440" w:lineRule="exact"/>
        <w:jc w:val="center"/>
        <w:rPr>
          <w:rFonts w:hint="eastAsia" w:ascii="宋体" w:hAnsi="宋体"/>
          <w:b/>
          <w:sz w:val="24"/>
          <w:szCs w:val="24"/>
          <w:highlight w:val="none"/>
        </w:rPr>
      </w:pPr>
      <w:r>
        <w:rPr>
          <w:rFonts w:ascii="宋体" w:hAnsi="宋体"/>
          <w:b/>
          <w:sz w:val="24"/>
          <w:szCs w:val="24"/>
          <w:highlight w:val="none"/>
        </w:rPr>
        <w:t>保 密 协 议 书</w:t>
      </w:r>
    </w:p>
    <w:p w14:paraId="5B5F8CA0">
      <w:pPr>
        <w:adjustRightInd w:val="0"/>
        <w:spacing w:line="360" w:lineRule="auto"/>
        <w:jc w:val="center"/>
        <w:rPr>
          <w:b/>
          <w:sz w:val="24"/>
          <w:szCs w:val="24"/>
          <w:highlight w:val="none"/>
        </w:rPr>
      </w:pPr>
    </w:p>
    <w:p w14:paraId="77DB369F">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u w:val="none" w:color="FF0000"/>
        </w:rPr>
        <w:t>甲方</w:t>
      </w:r>
      <w:r>
        <w:rPr>
          <w:rFonts w:hint="eastAsia" w:ascii="宋体" w:hAnsi="宋体"/>
          <w:sz w:val="24"/>
          <w:szCs w:val="24"/>
          <w:highlight w:val="none"/>
        </w:rPr>
        <w:t>：广州三元里片区改造投资有限公司</w:t>
      </w:r>
    </w:p>
    <w:p w14:paraId="593AD3C9">
      <w:pPr>
        <w:spacing w:line="360" w:lineRule="auto"/>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u w:val="none" w:color="FF0000"/>
        </w:rPr>
        <w:t>乙方</w:t>
      </w:r>
      <w:r>
        <w:rPr>
          <w:rFonts w:hint="eastAsia" w:ascii="宋体" w:hAnsi="宋体"/>
          <w:sz w:val="24"/>
          <w:szCs w:val="24"/>
          <w:highlight w:val="none"/>
        </w:rPr>
        <w:t>：</w:t>
      </w:r>
      <w:r>
        <w:rPr>
          <w:rFonts w:hint="eastAsia" w:ascii="宋体" w:hAnsi="宋体"/>
          <w:sz w:val="24"/>
          <w:szCs w:val="24"/>
          <w:highlight w:val="none"/>
          <w:lang w:val="en-US" w:eastAsia="zh-CN"/>
        </w:rPr>
        <w:t xml:space="preserve"> </w:t>
      </w:r>
    </w:p>
    <w:p w14:paraId="6A0EA21E">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为充分保护</w:t>
      </w:r>
      <w:r>
        <w:rPr>
          <w:rFonts w:hint="eastAsia" w:ascii="宋体" w:hAnsi="宋体"/>
          <w:sz w:val="24"/>
          <w:szCs w:val="24"/>
          <w:highlight w:val="none"/>
          <w:u w:val="none" w:color="FF0000"/>
        </w:rPr>
        <w:t>甲方</w:t>
      </w:r>
      <w:r>
        <w:rPr>
          <w:rFonts w:hint="eastAsia" w:ascii="宋体" w:hAnsi="宋体"/>
          <w:sz w:val="24"/>
          <w:szCs w:val="24"/>
          <w:highlight w:val="none"/>
        </w:rPr>
        <w:t>的知识产权、保密资料和商业秘密（以下统称“保密事项”）；双方在平等、自愿、协商一致的基础上，达成如下一致意见：</w:t>
      </w:r>
    </w:p>
    <w:p w14:paraId="6F1BC1EF">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一、</w:t>
      </w:r>
      <w:r>
        <w:rPr>
          <w:rFonts w:hint="eastAsia" w:ascii="宋体" w:hAnsi="宋体"/>
          <w:sz w:val="24"/>
          <w:szCs w:val="24"/>
          <w:highlight w:val="none"/>
          <w:u w:val="none" w:color="FF0000"/>
        </w:rPr>
        <w:t>乙方</w:t>
      </w:r>
      <w:r>
        <w:rPr>
          <w:rFonts w:hint="eastAsia" w:ascii="宋体" w:hAnsi="宋体"/>
          <w:sz w:val="24"/>
          <w:szCs w:val="24"/>
          <w:highlight w:val="none"/>
        </w:rPr>
        <w:t xml:space="preserve">对保密事项的保密义务 </w:t>
      </w:r>
    </w:p>
    <w:p w14:paraId="2CAA9CD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1.未经</w:t>
      </w:r>
      <w:r>
        <w:rPr>
          <w:rFonts w:hint="eastAsia" w:ascii="宋体" w:hAnsi="宋体"/>
          <w:sz w:val="24"/>
          <w:szCs w:val="24"/>
          <w:highlight w:val="none"/>
          <w:u w:val="none" w:color="FF0000"/>
        </w:rPr>
        <w:t>甲方</w:t>
      </w:r>
      <w:r>
        <w:rPr>
          <w:rFonts w:hint="eastAsia" w:ascii="宋体" w:hAnsi="宋体"/>
          <w:sz w:val="24"/>
          <w:szCs w:val="24"/>
          <w:highlight w:val="none"/>
        </w:rPr>
        <w:t>书面同意，</w:t>
      </w:r>
      <w:r>
        <w:rPr>
          <w:rFonts w:hint="eastAsia" w:ascii="宋体" w:hAnsi="宋体"/>
          <w:sz w:val="24"/>
          <w:szCs w:val="24"/>
          <w:highlight w:val="none"/>
          <w:u w:val="none" w:color="FF0000"/>
        </w:rPr>
        <w:t>乙方</w:t>
      </w:r>
      <w:r>
        <w:rPr>
          <w:rFonts w:hint="eastAsia" w:ascii="宋体" w:hAnsi="宋体"/>
          <w:sz w:val="24"/>
          <w:szCs w:val="24"/>
          <w:highlight w:val="none"/>
        </w:rPr>
        <w:t>不得利用</w:t>
      </w:r>
      <w:r>
        <w:rPr>
          <w:rFonts w:hint="eastAsia" w:ascii="宋体" w:hAnsi="宋体"/>
          <w:sz w:val="24"/>
          <w:szCs w:val="24"/>
          <w:highlight w:val="none"/>
          <w:u w:val="none" w:color="FF0000"/>
        </w:rPr>
        <w:t>甲方</w:t>
      </w:r>
      <w:r>
        <w:rPr>
          <w:rFonts w:hint="eastAsia" w:ascii="宋体" w:hAnsi="宋体"/>
          <w:sz w:val="24"/>
          <w:szCs w:val="24"/>
          <w:highlight w:val="none"/>
        </w:rPr>
        <w:t>提供的保密事项进行与本项目无关的行为；未经</w:t>
      </w:r>
      <w:r>
        <w:rPr>
          <w:rFonts w:hint="eastAsia" w:ascii="宋体" w:hAnsi="宋体"/>
          <w:sz w:val="24"/>
          <w:szCs w:val="24"/>
          <w:highlight w:val="none"/>
          <w:u w:val="none" w:color="FF0000"/>
        </w:rPr>
        <w:t>甲方</w:t>
      </w:r>
      <w:r>
        <w:rPr>
          <w:rFonts w:hint="eastAsia" w:ascii="宋体" w:hAnsi="宋体"/>
          <w:sz w:val="24"/>
          <w:szCs w:val="24"/>
          <w:highlight w:val="none"/>
        </w:rPr>
        <w:t>书面同意，</w:t>
      </w:r>
      <w:r>
        <w:rPr>
          <w:rFonts w:hint="eastAsia" w:ascii="宋体" w:hAnsi="宋体"/>
          <w:sz w:val="24"/>
          <w:szCs w:val="24"/>
          <w:highlight w:val="none"/>
          <w:u w:val="none" w:color="FF0000"/>
        </w:rPr>
        <w:t>乙方</w:t>
      </w:r>
      <w:r>
        <w:rPr>
          <w:rFonts w:hint="eastAsia" w:ascii="宋体" w:hAnsi="宋体"/>
          <w:sz w:val="24"/>
          <w:szCs w:val="24"/>
          <w:highlight w:val="none"/>
        </w:rPr>
        <w:t>不得利用</w:t>
      </w:r>
      <w:r>
        <w:rPr>
          <w:rFonts w:hint="eastAsia" w:ascii="宋体" w:hAnsi="宋体"/>
          <w:sz w:val="24"/>
          <w:szCs w:val="24"/>
          <w:highlight w:val="none"/>
          <w:u w:val="none" w:color="FF0000"/>
        </w:rPr>
        <w:t>甲方</w:t>
      </w:r>
      <w:r>
        <w:rPr>
          <w:rFonts w:hint="eastAsia" w:ascii="宋体" w:hAnsi="宋体"/>
          <w:sz w:val="24"/>
          <w:szCs w:val="24"/>
          <w:highlight w:val="none"/>
        </w:rPr>
        <w:t>提供的保密事项与任何第三方进行商业行为。</w:t>
      </w:r>
      <w:r>
        <w:rPr>
          <w:rFonts w:hint="eastAsia" w:ascii="仿宋_GB2312" w:hAnsi="宋体"/>
          <w:sz w:val="24"/>
          <w:szCs w:val="24"/>
          <w:highlight w:val="none"/>
          <w:u w:val="single"/>
          <w:lang w:val="zh-CN"/>
        </w:rPr>
        <w:t>依法必须公开公示的资料</w:t>
      </w:r>
      <w:r>
        <w:rPr>
          <w:rFonts w:hint="eastAsia" w:ascii="仿宋_GB2312" w:hAnsi="宋体"/>
          <w:sz w:val="24"/>
          <w:szCs w:val="24"/>
          <w:highlight w:val="none"/>
          <w:u w:val="single"/>
        </w:rPr>
        <w:t>和</w:t>
      </w:r>
      <w:r>
        <w:rPr>
          <w:rFonts w:hint="eastAsia" w:ascii="仿宋_GB2312" w:hAnsi="宋体"/>
          <w:sz w:val="24"/>
          <w:szCs w:val="24"/>
          <w:highlight w:val="none"/>
          <w:u w:val="single"/>
          <w:lang w:val="zh-CN"/>
        </w:rPr>
        <w:t>配合招标投标监管部门和审计部门要求</w:t>
      </w:r>
      <w:r>
        <w:rPr>
          <w:rFonts w:hint="eastAsia" w:ascii="仿宋_GB2312" w:hAnsi="宋体"/>
          <w:sz w:val="24"/>
          <w:szCs w:val="24"/>
          <w:highlight w:val="none"/>
          <w:u w:val="single"/>
        </w:rPr>
        <w:t>的除外</w:t>
      </w:r>
      <w:r>
        <w:rPr>
          <w:rFonts w:hint="eastAsia" w:ascii="宋体" w:hAnsi="宋体"/>
          <w:sz w:val="24"/>
          <w:szCs w:val="24"/>
          <w:highlight w:val="none"/>
        </w:rPr>
        <w:t xml:space="preserve">。 </w:t>
      </w:r>
    </w:p>
    <w:p w14:paraId="2F41DADD">
      <w:pPr>
        <w:tabs>
          <w:tab w:val="left" w:pos="5040"/>
        </w:tabs>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u w:val="none" w:color="FF0000"/>
        </w:rPr>
        <w:t>乙方</w:t>
      </w:r>
      <w:r>
        <w:rPr>
          <w:rFonts w:hint="eastAsia" w:ascii="宋体" w:hAnsi="宋体"/>
          <w:sz w:val="24"/>
          <w:szCs w:val="24"/>
          <w:highlight w:val="none"/>
        </w:rPr>
        <w:t>应配合</w:t>
      </w:r>
      <w:r>
        <w:rPr>
          <w:rFonts w:hint="eastAsia" w:ascii="宋体" w:hAnsi="宋体"/>
          <w:sz w:val="24"/>
          <w:szCs w:val="24"/>
          <w:highlight w:val="none"/>
          <w:u w:val="none" w:color="FF0000"/>
        </w:rPr>
        <w:t>甲方</w:t>
      </w:r>
      <w:r>
        <w:rPr>
          <w:rFonts w:hint="eastAsia" w:ascii="宋体" w:hAnsi="宋体"/>
          <w:sz w:val="24"/>
          <w:szCs w:val="24"/>
          <w:highlight w:val="none"/>
        </w:rPr>
        <w:t>的合理要求，严格按本协议和</w:t>
      </w:r>
      <w:r>
        <w:rPr>
          <w:rFonts w:hint="eastAsia" w:ascii="宋体" w:hAnsi="宋体"/>
          <w:sz w:val="24"/>
          <w:szCs w:val="24"/>
          <w:highlight w:val="none"/>
          <w:u w:val="none" w:color="FF0000"/>
        </w:rPr>
        <w:t>甲方</w:t>
      </w:r>
      <w:r>
        <w:rPr>
          <w:rFonts w:hint="eastAsia" w:ascii="宋体" w:hAnsi="宋体"/>
          <w:sz w:val="24"/>
          <w:szCs w:val="24"/>
          <w:highlight w:val="none"/>
        </w:rPr>
        <w:t xml:space="preserve">指示依法履行本协议。 </w:t>
      </w:r>
    </w:p>
    <w:p w14:paraId="5E786E14">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u w:val="none" w:color="FF0000"/>
        </w:rPr>
        <w:t>乙方</w:t>
      </w:r>
      <w:r>
        <w:rPr>
          <w:rFonts w:hint="eastAsia" w:ascii="宋体" w:hAnsi="宋体"/>
          <w:sz w:val="24"/>
          <w:szCs w:val="24"/>
          <w:highlight w:val="none"/>
        </w:rPr>
        <w:t>未经</w:t>
      </w:r>
      <w:r>
        <w:rPr>
          <w:rFonts w:hint="eastAsia" w:ascii="宋体" w:hAnsi="宋体"/>
          <w:sz w:val="24"/>
          <w:szCs w:val="24"/>
          <w:highlight w:val="none"/>
          <w:u w:val="none" w:color="FF0000"/>
        </w:rPr>
        <w:t>甲方</w:t>
      </w:r>
      <w:r>
        <w:rPr>
          <w:rFonts w:hint="eastAsia" w:ascii="宋体" w:hAnsi="宋体"/>
          <w:sz w:val="24"/>
          <w:szCs w:val="24"/>
          <w:highlight w:val="none"/>
        </w:rPr>
        <w:t>书面同意，不得擅自转让本协议的任何责任及其任何义务于任何第三方。</w:t>
      </w:r>
    </w:p>
    <w:p w14:paraId="74D1D872">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w:t>
      </w:r>
      <w:r>
        <w:rPr>
          <w:rFonts w:hint="eastAsia" w:ascii="宋体" w:hAnsi="宋体"/>
          <w:sz w:val="24"/>
          <w:szCs w:val="24"/>
          <w:highlight w:val="none"/>
          <w:u w:val="none" w:color="FF0000"/>
        </w:rPr>
        <w:t>甲方</w:t>
      </w:r>
      <w:r>
        <w:rPr>
          <w:rFonts w:hint="eastAsia" w:ascii="宋体" w:hAnsi="宋体"/>
          <w:sz w:val="24"/>
          <w:szCs w:val="24"/>
          <w:highlight w:val="none"/>
        </w:rPr>
        <w:t>为</w:t>
      </w:r>
      <w:r>
        <w:rPr>
          <w:rFonts w:hint="eastAsia" w:ascii="宋体" w:hAnsi="宋体"/>
          <w:sz w:val="24"/>
          <w:szCs w:val="24"/>
          <w:highlight w:val="none"/>
          <w:u w:val="none" w:color="FF0000"/>
        </w:rPr>
        <w:t>乙方</w:t>
      </w:r>
      <w:r>
        <w:rPr>
          <w:rFonts w:hint="eastAsia" w:ascii="宋体" w:hAnsi="宋体"/>
          <w:sz w:val="24"/>
          <w:szCs w:val="24"/>
          <w:highlight w:val="none"/>
        </w:rPr>
        <w:t>提供的技术资料仅供</w:t>
      </w:r>
      <w:r>
        <w:rPr>
          <w:rFonts w:hint="eastAsia" w:ascii="宋体" w:hAnsi="宋体"/>
          <w:sz w:val="24"/>
          <w:szCs w:val="24"/>
          <w:highlight w:val="none"/>
          <w:u w:val="none" w:color="FF0000"/>
        </w:rPr>
        <w:t>乙方</w:t>
      </w:r>
      <w:r>
        <w:rPr>
          <w:rFonts w:hint="eastAsia" w:ascii="宋体" w:hAnsi="宋体"/>
          <w:sz w:val="24"/>
          <w:szCs w:val="24"/>
          <w:highlight w:val="none"/>
        </w:rPr>
        <w:t>人员内部工作使用，</w:t>
      </w:r>
      <w:r>
        <w:rPr>
          <w:rFonts w:hint="eastAsia" w:ascii="宋体" w:hAnsi="宋体"/>
          <w:sz w:val="24"/>
          <w:szCs w:val="24"/>
          <w:highlight w:val="none"/>
          <w:u w:val="none" w:color="FF0000"/>
        </w:rPr>
        <w:t>乙方</w:t>
      </w:r>
      <w:r>
        <w:rPr>
          <w:rFonts w:hint="eastAsia" w:ascii="宋体" w:hAnsi="宋体"/>
          <w:sz w:val="24"/>
          <w:szCs w:val="24"/>
          <w:highlight w:val="none"/>
        </w:rPr>
        <w:t>不得转让、披露给第三方。</w:t>
      </w:r>
      <w:r>
        <w:rPr>
          <w:rFonts w:hint="eastAsia" w:ascii="仿宋_GB2312" w:hAnsi="宋体"/>
          <w:sz w:val="24"/>
          <w:szCs w:val="24"/>
          <w:highlight w:val="none"/>
          <w:u w:val="single"/>
          <w:lang w:val="zh-CN"/>
        </w:rPr>
        <w:t>依法必须公开公示的资料</w:t>
      </w:r>
      <w:r>
        <w:rPr>
          <w:rFonts w:hint="eastAsia" w:ascii="仿宋_GB2312" w:hAnsi="宋体"/>
          <w:sz w:val="24"/>
          <w:szCs w:val="24"/>
          <w:highlight w:val="none"/>
          <w:u w:val="single"/>
        </w:rPr>
        <w:t>和</w:t>
      </w:r>
      <w:r>
        <w:rPr>
          <w:rFonts w:hint="eastAsia" w:ascii="仿宋_GB2312" w:hAnsi="宋体"/>
          <w:sz w:val="24"/>
          <w:szCs w:val="24"/>
          <w:highlight w:val="none"/>
          <w:u w:val="single"/>
          <w:lang w:val="zh-CN"/>
        </w:rPr>
        <w:t>配合招标投标监管部门和审计部门要求</w:t>
      </w:r>
      <w:r>
        <w:rPr>
          <w:rFonts w:hint="eastAsia" w:ascii="仿宋_GB2312" w:hAnsi="宋体"/>
          <w:sz w:val="24"/>
          <w:szCs w:val="24"/>
          <w:highlight w:val="none"/>
          <w:u w:val="single"/>
        </w:rPr>
        <w:t>的除外</w:t>
      </w:r>
      <w:r>
        <w:rPr>
          <w:rFonts w:hint="eastAsia" w:ascii="宋体" w:hAnsi="宋体"/>
          <w:sz w:val="24"/>
          <w:szCs w:val="24"/>
          <w:highlight w:val="none"/>
        </w:rPr>
        <w:t xml:space="preserve">。 </w:t>
      </w:r>
    </w:p>
    <w:p w14:paraId="5E6FC68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5.</w:t>
      </w:r>
      <w:r>
        <w:rPr>
          <w:rFonts w:hint="eastAsia" w:ascii="宋体" w:hAnsi="宋体"/>
          <w:sz w:val="24"/>
          <w:szCs w:val="24"/>
          <w:highlight w:val="none"/>
          <w:u w:val="none" w:color="FF0000"/>
        </w:rPr>
        <w:t>乙方</w:t>
      </w:r>
      <w:r>
        <w:rPr>
          <w:rFonts w:hint="eastAsia" w:ascii="宋体" w:hAnsi="宋体"/>
          <w:sz w:val="24"/>
          <w:szCs w:val="24"/>
          <w:highlight w:val="none"/>
        </w:rPr>
        <w:t>应保证防止</w:t>
      </w:r>
      <w:r>
        <w:rPr>
          <w:rFonts w:hint="eastAsia" w:ascii="宋体" w:hAnsi="宋体"/>
          <w:sz w:val="24"/>
          <w:szCs w:val="24"/>
          <w:highlight w:val="none"/>
          <w:u w:val="none" w:color="FF0000"/>
        </w:rPr>
        <w:t>甲方</w:t>
      </w:r>
      <w:r>
        <w:rPr>
          <w:rFonts w:hint="eastAsia" w:ascii="宋体" w:hAnsi="宋体"/>
          <w:sz w:val="24"/>
          <w:szCs w:val="24"/>
          <w:highlight w:val="none"/>
        </w:rPr>
        <w:t>保密事项的泄露；若</w:t>
      </w:r>
      <w:r>
        <w:rPr>
          <w:rFonts w:hint="eastAsia" w:ascii="宋体" w:hAnsi="宋体"/>
          <w:sz w:val="24"/>
          <w:szCs w:val="24"/>
          <w:highlight w:val="none"/>
          <w:u w:val="none" w:color="FF0000"/>
        </w:rPr>
        <w:t>乙方</w:t>
      </w:r>
      <w:r>
        <w:rPr>
          <w:rFonts w:hint="eastAsia" w:ascii="宋体" w:hAnsi="宋体"/>
          <w:sz w:val="24"/>
          <w:szCs w:val="24"/>
          <w:highlight w:val="none"/>
        </w:rPr>
        <w:t>人员出现泄密行为，</w:t>
      </w:r>
      <w:r>
        <w:rPr>
          <w:rFonts w:hint="eastAsia" w:ascii="宋体" w:hAnsi="宋体"/>
          <w:sz w:val="24"/>
          <w:szCs w:val="24"/>
          <w:highlight w:val="none"/>
          <w:u w:val="none" w:color="FF0000"/>
        </w:rPr>
        <w:t>乙方</w:t>
      </w:r>
      <w:r>
        <w:rPr>
          <w:rFonts w:hint="eastAsia" w:ascii="宋体" w:hAnsi="宋体"/>
          <w:sz w:val="24"/>
          <w:szCs w:val="24"/>
          <w:highlight w:val="none"/>
        </w:rPr>
        <w:t>应承担全部法律责任。</w:t>
      </w:r>
      <w:r>
        <w:rPr>
          <w:rFonts w:hint="eastAsia" w:ascii="仿宋_GB2312" w:hAnsi="宋体"/>
          <w:sz w:val="24"/>
          <w:szCs w:val="24"/>
          <w:highlight w:val="none"/>
          <w:u w:val="single"/>
          <w:lang w:val="zh-CN"/>
        </w:rPr>
        <w:t>依法必须公开公示的资料</w:t>
      </w:r>
      <w:r>
        <w:rPr>
          <w:rFonts w:hint="eastAsia" w:ascii="仿宋_GB2312" w:hAnsi="宋体"/>
          <w:sz w:val="24"/>
          <w:szCs w:val="24"/>
          <w:highlight w:val="none"/>
          <w:u w:val="single"/>
        </w:rPr>
        <w:t>和</w:t>
      </w:r>
      <w:r>
        <w:rPr>
          <w:rFonts w:hint="eastAsia" w:ascii="仿宋_GB2312" w:hAnsi="宋体"/>
          <w:sz w:val="24"/>
          <w:szCs w:val="24"/>
          <w:highlight w:val="none"/>
          <w:u w:val="single"/>
          <w:lang w:val="zh-CN"/>
        </w:rPr>
        <w:t>配合招标投标监管部门和审计部门要求</w:t>
      </w:r>
      <w:r>
        <w:rPr>
          <w:rFonts w:hint="eastAsia" w:ascii="仿宋_GB2312" w:hAnsi="宋体"/>
          <w:sz w:val="24"/>
          <w:szCs w:val="24"/>
          <w:highlight w:val="none"/>
          <w:u w:val="single"/>
        </w:rPr>
        <w:t>的除外</w:t>
      </w:r>
      <w:r>
        <w:rPr>
          <w:rFonts w:hint="eastAsia" w:ascii="宋体" w:hAnsi="宋体"/>
          <w:sz w:val="24"/>
          <w:szCs w:val="24"/>
          <w:highlight w:val="none"/>
        </w:rPr>
        <w:t xml:space="preserve">。 </w:t>
      </w:r>
    </w:p>
    <w:p w14:paraId="61D9058A">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二、</w:t>
      </w:r>
      <w:r>
        <w:rPr>
          <w:rFonts w:hint="eastAsia" w:ascii="宋体" w:hAnsi="宋体"/>
          <w:sz w:val="24"/>
          <w:szCs w:val="24"/>
          <w:highlight w:val="none"/>
          <w:u w:val="none" w:color="FF0000"/>
        </w:rPr>
        <w:t>乙方</w:t>
      </w:r>
      <w:r>
        <w:rPr>
          <w:rFonts w:hint="eastAsia" w:ascii="宋体" w:hAnsi="宋体"/>
          <w:sz w:val="24"/>
          <w:szCs w:val="24"/>
          <w:highlight w:val="none"/>
        </w:rPr>
        <w:t>对保密事项的合理使用</w:t>
      </w:r>
    </w:p>
    <w:p w14:paraId="2542B539">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u w:val="none" w:color="FF0000"/>
        </w:rPr>
        <w:t>甲方</w:t>
      </w:r>
      <w:r>
        <w:rPr>
          <w:rFonts w:hint="eastAsia" w:ascii="宋体" w:hAnsi="宋体"/>
          <w:sz w:val="24"/>
          <w:szCs w:val="24"/>
          <w:highlight w:val="none"/>
        </w:rPr>
        <w:t>提供的保密事项仅限于</w:t>
      </w:r>
      <w:r>
        <w:rPr>
          <w:rFonts w:hint="eastAsia" w:ascii="宋体" w:hAnsi="宋体"/>
          <w:sz w:val="24"/>
          <w:szCs w:val="24"/>
          <w:highlight w:val="none"/>
          <w:u w:val="none" w:color="FF0000"/>
        </w:rPr>
        <w:t>乙方</w:t>
      </w:r>
      <w:r>
        <w:rPr>
          <w:rFonts w:hint="eastAsia" w:ascii="宋体" w:hAnsi="宋体"/>
          <w:sz w:val="24"/>
          <w:szCs w:val="24"/>
          <w:highlight w:val="none"/>
        </w:rPr>
        <w:t>单位内部直接参与本项目的员工工作使用，绝不对其他单位及个人泄漏保密事项的相关内容。</w:t>
      </w:r>
    </w:p>
    <w:p w14:paraId="72263AEF">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三、泄密界定 </w:t>
      </w:r>
    </w:p>
    <w:p w14:paraId="4084E09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u w:val="none" w:color="FF0000"/>
        </w:rPr>
        <w:t>乙方</w:t>
      </w:r>
      <w:r>
        <w:rPr>
          <w:rFonts w:hint="eastAsia" w:ascii="宋体" w:hAnsi="宋体"/>
          <w:sz w:val="24"/>
          <w:szCs w:val="24"/>
          <w:highlight w:val="none"/>
        </w:rPr>
        <w:t>的（包括但不限于）以下行为不论是否造成</w:t>
      </w:r>
      <w:r>
        <w:rPr>
          <w:rFonts w:hint="eastAsia" w:ascii="宋体" w:hAnsi="宋体"/>
          <w:sz w:val="24"/>
          <w:szCs w:val="24"/>
          <w:highlight w:val="none"/>
          <w:u w:val="none" w:color="FF0000"/>
        </w:rPr>
        <w:t>甲方</w:t>
      </w:r>
      <w:r>
        <w:rPr>
          <w:rFonts w:hint="eastAsia" w:ascii="宋体" w:hAnsi="宋体"/>
          <w:sz w:val="24"/>
          <w:szCs w:val="24"/>
          <w:highlight w:val="none"/>
        </w:rPr>
        <w:t xml:space="preserve">的损失，均应视为泄密行为： </w:t>
      </w:r>
    </w:p>
    <w:p w14:paraId="632029A5">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1.泄露</w:t>
      </w:r>
      <w:r>
        <w:rPr>
          <w:rFonts w:hint="eastAsia" w:ascii="宋体" w:hAnsi="宋体"/>
          <w:sz w:val="24"/>
          <w:szCs w:val="24"/>
          <w:highlight w:val="none"/>
          <w:u w:val="none" w:color="FF0000"/>
        </w:rPr>
        <w:t>甲方</w:t>
      </w:r>
      <w:r>
        <w:rPr>
          <w:rFonts w:hint="eastAsia" w:ascii="宋体" w:hAnsi="宋体"/>
          <w:sz w:val="24"/>
          <w:szCs w:val="24"/>
          <w:highlight w:val="none"/>
        </w:rPr>
        <w:t>保密事项。</w:t>
      </w:r>
      <w:r>
        <w:rPr>
          <w:rFonts w:hint="eastAsia" w:ascii="仿宋_GB2312" w:hAnsi="宋体"/>
          <w:sz w:val="24"/>
          <w:szCs w:val="24"/>
          <w:highlight w:val="none"/>
          <w:u w:val="single"/>
          <w:lang w:val="zh-CN"/>
        </w:rPr>
        <w:t>依法必须公开公示的资料</w:t>
      </w:r>
      <w:r>
        <w:rPr>
          <w:rFonts w:hint="eastAsia" w:ascii="仿宋_GB2312" w:hAnsi="宋体"/>
          <w:sz w:val="24"/>
          <w:szCs w:val="24"/>
          <w:highlight w:val="none"/>
          <w:u w:val="single"/>
        </w:rPr>
        <w:t>和</w:t>
      </w:r>
      <w:r>
        <w:rPr>
          <w:rFonts w:hint="eastAsia" w:ascii="仿宋_GB2312" w:hAnsi="宋体"/>
          <w:sz w:val="24"/>
          <w:szCs w:val="24"/>
          <w:highlight w:val="none"/>
          <w:u w:val="single"/>
          <w:lang w:val="zh-CN"/>
        </w:rPr>
        <w:t>配合招标投标监管部门和审计部门要求</w:t>
      </w:r>
      <w:r>
        <w:rPr>
          <w:rFonts w:hint="eastAsia" w:ascii="仿宋_GB2312" w:hAnsi="宋体"/>
          <w:sz w:val="24"/>
          <w:szCs w:val="24"/>
          <w:highlight w:val="none"/>
          <w:u w:val="single"/>
        </w:rPr>
        <w:t>的除外</w:t>
      </w:r>
      <w:r>
        <w:rPr>
          <w:rFonts w:hint="eastAsia" w:ascii="宋体" w:hAnsi="宋体"/>
          <w:sz w:val="24"/>
          <w:szCs w:val="24"/>
          <w:highlight w:val="none"/>
        </w:rPr>
        <w:t xml:space="preserve">。  </w:t>
      </w:r>
    </w:p>
    <w:p w14:paraId="26972EC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2.帮助或辅导他人使用</w:t>
      </w:r>
      <w:r>
        <w:rPr>
          <w:rFonts w:hint="eastAsia" w:ascii="宋体" w:hAnsi="宋体"/>
          <w:sz w:val="24"/>
          <w:szCs w:val="24"/>
          <w:highlight w:val="none"/>
          <w:u w:val="none" w:color="FF0000"/>
        </w:rPr>
        <w:t>甲方</w:t>
      </w:r>
      <w:r>
        <w:rPr>
          <w:rFonts w:hint="eastAsia" w:ascii="宋体" w:hAnsi="宋体"/>
          <w:sz w:val="24"/>
          <w:szCs w:val="24"/>
          <w:highlight w:val="none"/>
        </w:rPr>
        <w:t>的技术资料。</w:t>
      </w:r>
    </w:p>
    <w:p w14:paraId="0F687829">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四、定义及其他 </w:t>
      </w:r>
    </w:p>
    <w:p w14:paraId="6EB3FA8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1.此协议只为</w:t>
      </w:r>
      <w:r>
        <w:rPr>
          <w:rFonts w:hint="eastAsia" w:ascii="宋体" w:hAnsi="宋体"/>
          <w:sz w:val="24"/>
          <w:szCs w:val="24"/>
          <w:highlight w:val="none"/>
          <w:u w:val="none" w:color="FF0000"/>
        </w:rPr>
        <w:t>甲方</w:t>
      </w:r>
      <w:r>
        <w:rPr>
          <w:rFonts w:hint="eastAsia" w:ascii="宋体" w:hAnsi="宋体"/>
          <w:sz w:val="24"/>
          <w:szCs w:val="24"/>
          <w:highlight w:val="none"/>
        </w:rPr>
        <w:t>知识产权、保密资料及商业秘密保密取得认可，</w:t>
      </w:r>
      <w:r>
        <w:rPr>
          <w:rFonts w:hint="eastAsia" w:ascii="宋体" w:hAnsi="宋体"/>
          <w:sz w:val="24"/>
          <w:szCs w:val="24"/>
          <w:highlight w:val="none"/>
          <w:u w:val="none" w:color="FF0000"/>
        </w:rPr>
        <w:t>甲方</w:t>
      </w:r>
      <w:r>
        <w:rPr>
          <w:rFonts w:hint="eastAsia" w:ascii="宋体" w:hAnsi="宋体"/>
          <w:sz w:val="24"/>
          <w:szCs w:val="24"/>
          <w:highlight w:val="none"/>
        </w:rPr>
        <w:t>未把相关的权利和许可出让给</w:t>
      </w:r>
      <w:r>
        <w:rPr>
          <w:rFonts w:hint="eastAsia" w:ascii="宋体" w:hAnsi="宋体"/>
          <w:sz w:val="24"/>
          <w:szCs w:val="24"/>
          <w:highlight w:val="none"/>
          <w:u w:val="none" w:color="FF0000"/>
        </w:rPr>
        <w:t>乙方</w:t>
      </w:r>
      <w:r>
        <w:rPr>
          <w:rFonts w:hint="eastAsia" w:ascii="宋体" w:hAnsi="宋体"/>
          <w:sz w:val="24"/>
          <w:szCs w:val="24"/>
          <w:highlight w:val="none"/>
        </w:rPr>
        <w:t xml:space="preserve">； </w:t>
      </w:r>
    </w:p>
    <w:p w14:paraId="0E2C4D03">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2.本协议中“保密资料”是指任何由</w:t>
      </w:r>
      <w:r>
        <w:rPr>
          <w:rFonts w:hint="eastAsia" w:ascii="宋体" w:hAnsi="宋体"/>
          <w:sz w:val="24"/>
          <w:szCs w:val="24"/>
          <w:highlight w:val="none"/>
          <w:u w:val="none" w:color="FF0000"/>
        </w:rPr>
        <w:t>甲方</w:t>
      </w:r>
      <w:r>
        <w:rPr>
          <w:rFonts w:hint="eastAsia" w:ascii="宋体" w:hAnsi="宋体"/>
          <w:sz w:val="24"/>
          <w:szCs w:val="24"/>
          <w:highlight w:val="none"/>
        </w:rPr>
        <w:t>提供（无论在本协议签订日期之前或之后，无论是通过书面纸质文件及电子版本文件、电子邮件、计算机盘片）给</w:t>
      </w:r>
      <w:r>
        <w:rPr>
          <w:rFonts w:hint="eastAsia" w:ascii="宋体" w:hAnsi="宋体"/>
          <w:sz w:val="24"/>
          <w:szCs w:val="24"/>
          <w:highlight w:val="none"/>
          <w:u w:val="none" w:color="FF0000"/>
        </w:rPr>
        <w:t>乙方</w:t>
      </w:r>
      <w:r>
        <w:rPr>
          <w:rFonts w:hint="eastAsia" w:ascii="宋体" w:hAnsi="宋体"/>
          <w:sz w:val="24"/>
          <w:szCs w:val="24"/>
          <w:highlight w:val="none"/>
        </w:rPr>
        <w:t>与委托事项有关系或关联的各种数据和文档，包括但不局限于任何</w:t>
      </w:r>
      <w:r>
        <w:rPr>
          <w:rFonts w:hint="eastAsia" w:ascii="宋体" w:hAnsi="宋体"/>
          <w:sz w:val="24"/>
          <w:szCs w:val="24"/>
          <w:highlight w:val="none"/>
          <w:u w:val="none" w:color="FF0000"/>
        </w:rPr>
        <w:t>甲方</w:t>
      </w:r>
      <w:r>
        <w:rPr>
          <w:rFonts w:hint="eastAsia" w:ascii="宋体" w:hAnsi="宋体"/>
          <w:sz w:val="24"/>
          <w:szCs w:val="24"/>
          <w:highlight w:val="none"/>
        </w:rPr>
        <w:t xml:space="preserve">规划或意图、市场机遇和商业事务等； </w:t>
      </w:r>
    </w:p>
    <w:p w14:paraId="59184E5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3.本协议所称“商业秘密”是指不为公众所知悉、能为权利人带来竞争优势和经济利益、具有实用性并经权利人采取保密措施的技术信息和商业信息。</w:t>
      </w:r>
    </w:p>
    <w:p w14:paraId="0964F17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五、保密期限：本协议壹式陆份，</w:t>
      </w:r>
      <w:r>
        <w:rPr>
          <w:rFonts w:hint="eastAsia" w:ascii="宋体" w:hAnsi="宋体"/>
          <w:sz w:val="24"/>
          <w:szCs w:val="24"/>
          <w:highlight w:val="none"/>
          <w:u w:val="none" w:color="FF0000"/>
        </w:rPr>
        <w:t>甲方</w:t>
      </w:r>
      <w:r>
        <w:rPr>
          <w:rFonts w:hint="eastAsia" w:ascii="宋体" w:hAnsi="宋体"/>
          <w:sz w:val="24"/>
          <w:szCs w:val="24"/>
          <w:highlight w:val="none"/>
        </w:rPr>
        <w:t>执叁份、</w:t>
      </w:r>
      <w:r>
        <w:rPr>
          <w:rFonts w:hint="eastAsia" w:ascii="宋体" w:hAnsi="宋体"/>
          <w:sz w:val="24"/>
          <w:szCs w:val="24"/>
          <w:highlight w:val="none"/>
          <w:u w:val="none" w:color="FF0000"/>
        </w:rPr>
        <w:t>乙方</w:t>
      </w:r>
      <w:r>
        <w:rPr>
          <w:rFonts w:hint="eastAsia" w:ascii="宋体" w:hAnsi="宋体"/>
          <w:sz w:val="24"/>
          <w:szCs w:val="24"/>
          <w:highlight w:val="none"/>
        </w:rPr>
        <w:t xml:space="preserve">执叁份。本协议于双方签署之日起生效；除非双方签订书面意见终止本协议，否则本协议永久有效。 </w:t>
      </w:r>
    </w:p>
    <w:p w14:paraId="55F5AEF2">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六、违约责任：在本协议有效期内，若</w:t>
      </w:r>
      <w:r>
        <w:rPr>
          <w:rFonts w:hint="eastAsia" w:ascii="宋体" w:hAnsi="宋体"/>
          <w:sz w:val="24"/>
          <w:szCs w:val="24"/>
          <w:highlight w:val="none"/>
          <w:u w:val="none" w:color="FF0000"/>
        </w:rPr>
        <w:t>乙方</w:t>
      </w:r>
      <w:r>
        <w:rPr>
          <w:rFonts w:hint="eastAsia" w:ascii="宋体" w:hAnsi="宋体"/>
          <w:sz w:val="24"/>
          <w:szCs w:val="24"/>
          <w:highlight w:val="none"/>
        </w:rPr>
        <w:t>违反本协议的保密约定，除按技术服务合同的约定承担支付违约金的责任外，对造成</w:t>
      </w:r>
      <w:r>
        <w:rPr>
          <w:rFonts w:hint="eastAsia" w:ascii="宋体" w:hAnsi="宋体"/>
          <w:sz w:val="24"/>
          <w:szCs w:val="24"/>
          <w:highlight w:val="none"/>
          <w:u w:val="none" w:color="FF0000"/>
        </w:rPr>
        <w:t>甲方</w:t>
      </w:r>
      <w:r>
        <w:rPr>
          <w:rFonts w:hint="eastAsia" w:ascii="宋体" w:hAnsi="宋体"/>
          <w:sz w:val="24"/>
          <w:szCs w:val="24"/>
          <w:highlight w:val="none"/>
        </w:rPr>
        <w:t xml:space="preserve">的全部损失应予赔偿；对泄密的人员如构成刑事责任的，移送司法机关处理。 </w:t>
      </w:r>
    </w:p>
    <w:p w14:paraId="390507E2">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七、法律适用与争议解决 </w:t>
      </w:r>
    </w:p>
    <w:p w14:paraId="70975B31">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本协议应与中国的法律相一致并受中国法律解释的约束。双方同意，如发生争议，应友好协商；协商不成，可向</w:t>
      </w:r>
      <w:r>
        <w:rPr>
          <w:rFonts w:hint="eastAsia" w:ascii="宋体" w:hAnsi="宋体"/>
          <w:sz w:val="24"/>
          <w:szCs w:val="24"/>
          <w:highlight w:val="none"/>
          <w:u w:val="none" w:color="FF0000"/>
        </w:rPr>
        <w:t>甲方</w:t>
      </w:r>
      <w:r>
        <w:rPr>
          <w:rFonts w:hint="eastAsia" w:ascii="宋体" w:hAnsi="宋体"/>
          <w:sz w:val="24"/>
          <w:szCs w:val="24"/>
          <w:highlight w:val="none"/>
        </w:rPr>
        <w:t xml:space="preserve">所在地有管辖权人民法院提起诉讼。 </w:t>
      </w:r>
    </w:p>
    <w:p w14:paraId="2FCC171A">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八、其他 </w:t>
      </w:r>
    </w:p>
    <w:p w14:paraId="0C08EDC4">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未尽事宜双方另行协商，签署补充协议作为本协议附件，具有同等法律效力。本协议与技术服务合同约定不一致的，以本协议约定为准。</w:t>
      </w:r>
    </w:p>
    <w:p w14:paraId="3050A56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 xml:space="preserve">九、协议签署 </w:t>
      </w:r>
    </w:p>
    <w:p w14:paraId="7CBC7124">
      <w:pPr>
        <w:spacing w:line="360" w:lineRule="auto"/>
        <w:ind w:firstLine="480" w:firstLineChars="200"/>
        <w:rPr>
          <w:rFonts w:hint="eastAsia" w:ascii="宋体" w:hAnsi="宋体"/>
          <w:sz w:val="24"/>
          <w:szCs w:val="24"/>
          <w:highlight w:val="none"/>
        </w:rPr>
      </w:pPr>
    </w:p>
    <w:p w14:paraId="05040B5C">
      <w:pPr>
        <w:adjustRightInd w:val="0"/>
        <w:snapToGrid w:val="0"/>
        <w:spacing w:line="360" w:lineRule="auto"/>
        <w:ind w:leftChars="-200" w:right="-292" w:rightChars="-139" w:hanging="480" w:hangingChars="200"/>
        <w:jc w:val="both"/>
        <w:rPr>
          <w:rFonts w:hint="eastAsia" w:ascii="仿宋_GB2312" w:hAnsi="宋体"/>
          <w:sz w:val="24"/>
          <w:szCs w:val="24"/>
          <w:highlight w:val="none"/>
        </w:rPr>
      </w:pPr>
      <w:r>
        <w:rPr>
          <w:rFonts w:hint="eastAsia" w:ascii="仿宋_GB2312" w:hAnsi="宋体"/>
          <w:sz w:val="24"/>
          <w:szCs w:val="24"/>
          <w:highlight w:val="none"/>
        </w:rPr>
        <w:t>甲方：广州三元里片区改造投资有限公司</w:t>
      </w:r>
      <w:r>
        <w:rPr>
          <w:rFonts w:hint="eastAsia" w:hAnsi="宋体"/>
          <w:sz w:val="24"/>
          <w:szCs w:val="24"/>
          <w:highlight w:val="none"/>
        </w:rPr>
        <w:t xml:space="preserve"> </w:t>
      </w:r>
      <w:r>
        <w:rPr>
          <w:rFonts w:hint="eastAsia" w:ascii="仿宋_GB2312" w:hAnsi="宋体"/>
          <w:sz w:val="24"/>
          <w:szCs w:val="24"/>
          <w:highlight w:val="none"/>
        </w:rPr>
        <w:t xml:space="preserve">   乙方：</w:t>
      </w:r>
      <w:r>
        <w:rPr>
          <w:rFonts w:hint="eastAsia" w:hAnsi="宋体"/>
          <w:sz w:val="24"/>
          <w:szCs w:val="24"/>
          <w:highlight w:val="none"/>
          <w:lang w:val="en-US" w:eastAsia="zh-CN"/>
        </w:rPr>
        <w:t xml:space="preserve"> </w:t>
      </w:r>
      <w:r>
        <w:rPr>
          <w:rFonts w:hint="eastAsia" w:ascii="仿宋_GB2312" w:hAnsi="宋体"/>
          <w:sz w:val="24"/>
          <w:szCs w:val="24"/>
          <w:highlight w:val="none"/>
        </w:rPr>
        <w:t xml:space="preserve">        </w:t>
      </w:r>
    </w:p>
    <w:p w14:paraId="4A10BE93">
      <w:pPr>
        <w:adjustRightInd w:val="0"/>
        <w:snapToGrid w:val="0"/>
        <w:spacing w:line="360" w:lineRule="auto"/>
        <w:ind w:leftChars="-200" w:right="-292" w:rightChars="-139" w:hanging="480" w:hangingChars="200"/>
        <w:jc w:val="both"/>
        <w:rPr>
          <w:rFonts w:hint="eastAsia" w:ascii="仿宋_GB2312" w:hAnsi="宋体"/>
          <w:sz w:val="24"/>
          <w:szCs w:val="24"/>
          <w:highlight w:val="none"/>
        </w:rPr>
      </w:pPr>
      <w:r>
        <w:rPr>
          <w:rFonts w:hint="eastAsia" w:ascii="仿宋_GB2312" w:hAnsi="宋体"/>
          <w:sz w:val="24"/>
          <w:szCs w:val="24"/>
          <w:highlight w:val="none"/>
        </w:rPr>
        <w:t xml:space="preserve">法定代表人：                          </w:t>
      </w:r>
      <w:r>
        <w:rPr>
          <w:rFonts w:hint="eastAsia" w:ascii="仿宋_GB2312" w:hAnsi="宋体"/>
          <w:sz w:val="24"/>
          <w:szCs w:val="24"/>
          <w:highlight w:val="none"/>
          <w:lang w:val="en-US" w:eastAsia="zh-CN"/>
        </w:rPr>
        <w:t xml:space="preserve"> </w:t>
      </w:r>
      <w:r>
        <w:rPr>
          <w:rFonts w:hint="eastAsia" w:ascii="仿宋_GB2312" w:hAnsi="宋体"/>
          <w:sz w:val="24"/>
          <w:szCs w:val="24"/>
          <w:highlight w:val="none"/>
        </w:rPr>
        <w:t xml:space="preserve"> 法定代表人：</w:t>
      </w:r>
    </w:p>
    <w:p w14:paraId="72897EAC">
      <w:pPr>
        <w:adjustRightInd w:val="0"/>
        <w:snapToGrid w:val="0"/>
        <w:spacing w:line="360" w:lineRule="auto"/>
        <w:ind w:leftChars="-200" w:right="-292" w:rightChars="-139" w:hanging="480" w:hangingChars="200"/>
        <w:jc w:val="both"/>
        <w:rPr>
          <w:rFonts w:hint="eastAsia" w:ascii="仿宋_GB2312" w:hAnsi="宋体"/>
          <w:sz w:val="24"/>
          <w:szCs w:val="24"/>
          <w:highlight w:val="none"/>
        </w:rPr>
      </w:pPr>
      <w:r>
        <w:rPr>
          <w:rFonts w:hint="eastAsia" w:ascii="仿宋_GB2312" w:hAnsi="宋体"/>
          <w:sz w:val="24"/>
          <w:szCs w:val="24"/>
          <w:highlight w:val="none"/>
        </w:rPr>
        <w:t xml:space="preserve">或委托代理人：                      </w:t>
      </w:r>
      <w:r>
        <w:rPr>
          <w:rFonts w:hint="eastAsia" w:ascii="仿宋_GB2312" w:hAnsi="宋体"/>
          <w:sz w:val="24"/>
          <w:szCs w:val="24"/>
          <w:highlight w:val="none"/>
          <w:lang w:val="en-US" w:eastAsia="zh-CN"/>
        </w:rPr>
        <w:t xml:space="preserve">    </w:t>
      </w:r>
      <w:r>
        <w:rPr>
          <w:rFonts w:hint="eastAsia" w:ascii="仿宋_GB2312" w:hAnsi="宋体"/>
          <w:sz w:val="24"/>
          <w:szCs w:val="24"/>
          <w:highlight w:val="none"/>
        </w:rPr>
        <w:t xml:space="preserve">或委托代理人： </w:t>
      </w:r>
    </w:p>
    <w:p w14:paraId="01B7521B">
      <w:pPr>
        <w:adjustRightInd w:val="0"/>
        <w:snapToGrid w:val="0"/>
        <w:spacing w:line="360" w:lineRule="auto"/>
        <w:jc w:val="both"/>
        <w:rPr>
          <w:rFonts w:hint="eastAsia" w:ascii="仿宋_GB2312" w:hAnsi="宋体"/>
          <w:sz w:val="24"/>
          <w:szCs w:val="24"/>
          <w:highlight w:val="none"/>
        </w:rPr>
      </w:pPr>
    </w:p>
    <w:p w14:paraId="65553130">
      <w:pPr>
        <w:adjustRightInd w:val="0"/>
        <w:snapToGrid w:val="0"/>
        <w:spacing w:line="360" w:lineRule="auto"/>
        <w:jc w:val="both"/>
        <w:rPr>
          <w:sz w:val="24"/>
          <w:szCs w:val="24"/>
          <w:highlight w:val="none"/>
        </w:rPr>
      </w:pPr>
      <w:r>
        <w:rPr>
          <w:rFonts w:hint="eastAsia" w:ascii="仿宋_GB2312" w:hAnsi="宋体"/>
          <w:sz w:val="24"/>
          <w:szCs w:val="24"/>
          <w:highlight w:val="none"/>
        </w:rPr>
        <w:t>签订时间：                             签订时间：</w:t>
      </w:r>
    </w:p>
    <w:p w14:paraId="27C3A3D4">
      <w:pPr>
        <w:rPr>
          <w:highlight w:val="none"/>
        </w:rPr>
      </w:pPr>
      <w:r>
        <w:rPr>
          <w:highlight w:val="none"/>
        </w:rPr>
        <w:br w:type="page"/>
      </w:r>
    </w:p>
    <w:p w14:paraId="4D8B0657">
      <w:pPr>
        <w:snapToGrid w:val="0"/>
        <w:spacing w:line="480" w:lineRule="auto"/>
        <w:jc w:val="left"/>
        <w:rPr>
          <w:rFonts w:hint="eastAsia" w:ascii="宋体" w:hAnsi="宋体" w:cs="仿宋_GB2312"/>
          <w:b w:val="0"/>
          <w:sz w:val="24"/>
          <w:szCs w:val="24"/>
          <w:highlight w:val="none"/>
          <w:lang w:val="en-US" w:eastAsia="zh-CN"/>
        </w:rPr>
      </w:pPr>
      <w:r>
        <w:rPr>
          <w:rFonts w:hint="eastAsia" w:ascii="宋体" w:hAnsi="宋体" w:cs="仿宋_GB2312"/>
          <w:b w:val="0"/>
          <w:sz w:val="24"/>
          <w:szCs w:val="24"/>
          <w:highlight w:val="none"/>
          <w:lang w:val="en-US" w:eastAsia="zh-CN"/>
        </w:rPr>
        <w:t>附件4</w:t>
      </w:r>
    </w:p>
    <w:p w14:paraId="020C71BC">
      <w:pPr>
        <w:spacing w:line="360" w:lineRule="auto"/>
        <w:jc w:val="center"/>
        <w:rPr>
          <w:rFonts w:ascii="宋体" w:hAnsi="宋体"/>
          <w:b/>
          <w:bCs/>
          <w:sz w:val="36"/>
          <w:szCs w:val="36"/>
        </w:rPr>
      </w:pPr>
      <w:r>
        <w:rPr>
          <w:rFonts w:hint="eastAsia" w:ascii="宋体" w:hAnsi="宋体"/>
          <w:b/>
          <w:bCs/>
          <w:sz w:val="36"/>
          <w:szCs w:val="36"/>
        </w:rPr>
        <w:t>安全责任协议书</w:t>
      </w:r>
    </w:p>
    <w:p w14:paraId="4B5E3291">
      <w:pPr>
        <w:spacing w:line="360" w:lineRule="auto"/>
        <w:jc w:val="center"/>
        <w:rPr>
          <w:rFonts w:ascii="宋体" w:hAnsi="宋体"/>
          <w:b/>
          <w:bCs/>
          <w:sz w:val="24"/>
        </w:rPr>
      </w:pPr>
    </w:p>
    <w:p w14:paraId="5B4E7A12">
      <w:pPr>
        <w:spacing w:line="360" w:lineRule="auto"/>
        <w:ind w:firstLine="570"/>
        <w:jc w:val="left"/>
        <w:rPr>
          <w:rFonts w:ascii="宋体" w:hAnsi="宋体"/>
          <w:sz w:val="24"/>
        </w:rPr>
      </w:pPr>
      <w:r>
        <w:rPr>
          <w:rFonts w:hint="eastAsia" w:ascii="宋体" w:hAnsi="宋体"/>
          <w:sz w:val="24"/>
        </w:rPr>
        <w:t>为贯彻“安全第一，预防为主”的方针，根据《中华人民共和国安全生产法》、《广东省安全生产条例》等有关法律、法规的规定，结合本工程项目实际情况，按规定签订如下协议。</w:t>
      </w:r>
    </w:p>
    <w:p w14:paraId="1B1EE695">
      <w:pPr>
        <w:numPr>
          <w:ilvl w:val="0"/>
          <w:numId w:val="6"/>
        </w:numPr>
        <w:spacing w:line="360" w:lineRule="auto"/>
        <w:rPr>
          <w:rFonts w:ascii="宋体" w:hAnsi="宋体"/>
          <w:sz w:val="24"/>
        </w:rPr>
      </w:pPr>
      <w:r>
        <w:rPr>
          <w:rFonts w:hint="eastAsia" w:ascii="宋体" w:hAnsi="宋体"/>
          <w:sz w:val="24"/>
        </w:rPr>
        <w:t>甲方的权利与义务</w:t>
      </w:r>
    </w:p>
    <w:p w14:paraId="5EF6B1D7">
      <w:pPr>
        <w:numPr>
          <w:ilvl w:val="1"/>
          <w:numId w:val="7"/>
        </w:numPr>
        <w:tabs>
          <w:tab w:val="left" w:pos="0"/>
          <w:tab w:val="left" w:pos="720"/>
          <w:tab w:val="left" w:pos="894"/>
        </w:tabs>
        <w:spacing w:line="360" w:lineRule="auto"/>
        <w:ind w:left="0" w:firstLine="420"/>
        <w:jc w:val="left"/>
        <w:rPr>
          <w:rFonts w:ascii="宋体" w:hAnsi="宋体"/>
          <w:sz w:val="24"/>
        </w:rPr>
      </w:pPr>
      <w:r>
        <w:rPr>
          <w:rFonts w:hint="eastAsia" w:ascii="宋体" w:hAnsi="宋体"/>
          <w:sz w:val="24"/>
        </w:rPr>
        <w:t>遵守国家、省、市有关安全生产文明施工的法律、法规及有关规定，加强安全生产管理，建立、健全安全生产责任制度，完善安全生产条件，确保安全生产。</w:t>
      </w:r>
    </w:p>
    <w:p w14:paraId="784E044C">
      <w:pPr>
        <w:numPr>
          <w:ilvl w:val="1"/>
          <w:numId w:val="7"/>
        </w:numPr>
        <w:tabs>
          <w:tab w:val="left" w:pos="0"/>
          <w:tab w:val="left" w:pos="720"/>
          <w:tab w:val="left" w:pos="894"/>
        </w:tabs>
        <w:spacing w:line="360" w:lineRule="auto"/>
        <w:ind w:left="0" w:firstLine="420"/>
        <w:jc w:val="left"/>
        <w:rPr>
          <w:rFonts w:ascii="宋体" w:hAnsi="宋体"/>
          <w:sz w:val="24"/>
        </w:rPr>
      </w:pPr>
      <w:r>
        <w:rPr>
          <w:rFonts w:hint="eastAsia" w:ascii="宋体" w:hAnsi="宋体"/>
          <w:sz w:val="24"/>
        </w:rPr>
        <w:t>按国家有关规定保证安全生产所必需的资金投入。</w:t>
      </w:r>
    </w:p>
    <w:p w14:paraId="2817CCC3">
      <w:pPr>
        <w:numPr>
          <w:ilvl w:val="1"/>
          <w:numId w:val="7"/>
        </w:numPr>
        <w:tabs>
          <w:tab w:val="left" w:pos="0"/>
          <w:tab w:val="left" w:pos="720"/>
          <w:tab w:val="left" w:pos="894"/>
        </w:tabs>
        <w:spacing w:line="360" w:lineRule="auto"/>
        <w:ind w:left="0" w:firstLine="420"/>
        <w:jc w:val="left"/>
        <w:rPr>
          <w:rFonts w:ascii="宋体" w:hAnsi="宋体"/>
          <w:sz w:val="24"/>
        </w:rPr>
      </w:pPr>
      <w:r>
        <w:rPr>
          <w:rFonts w:hint="eastAsia" w:ascii="宋体" w:hAnsi="宋体"/>
          <w:sz w:val="24"/>
        </w:rPr>
        <w:t>对乙方在项目管理过程中依照合同或依法采取的有效监控措施，如停工、停用等给予支持；对乙方以公司文件书面形式提交并要求做出决定的事宜在规定时限内做出书面决定。</w:t>
      </w:r>
    </w:p>
    <w:p w14:paraId="472AA92F">
      <w:pPr>
        <w:numPr>
          <w:ilvl w:val="1"/>
          <w:numId w:val="7"/>
        </w:numPr>
        <w:tabs>
          <w:tab w:val="left" w:pos="0"/>
          <w:tab w:val="left" w:pos="720"/>
          <w:tab w:val="left" w:pos="894"/>
        </w:tabs>
        <w:spacing w:line="360" w:lineRule="auto"/>
        <w:ind w:left="0" w:firstLine="420"/>
        <w:jc w:val="left"/>
        <w:rPr>
          <w:rFonts w:ascii="宋体" w:hAnsi="宋体"/>
          <w:sz w:val="24"/>
        </w:rPr>
      </w:pPr>
      <w:r>
        <w:rPr>
          <w:rFonts w:hint="eastAsia" w:ascii="宋体" w:hAnsi="宋体"/>
          <w:sz w:val="24"/>
        </w:rPr>
        <w:t>授权工地常驻代表负责与乙方联系安全生产、文明施工的事宜，如需更换此人时提前通知乙方。</w:t>
      </w:r>
    </w:p>
    <w:p w14:paraId="3F9826DC">
      <w:pPr>
        <w:numPr>
          <w:ilvl w:val="0"/>
          <w:numId w:val="7"/>
        </w:numPr>
        <w:tabs>
          <w:tab w:val="left" w:pos="720"/>
        </w:tabs>
        <w:spacing w:line="360" w:lineRule="auto"/>
        <w:rPr>
          <w:rFonts w:ascii="宋体" w:hAnsi="宋体"/>
          <w:sz w:val="24"/>
        </w:rPr>
      </w:pPr>
      <w:r>
        <w:rPr>
          <w:rFonts w:hint="eastAsia" w:ascii="宋体" w:hAnsi="宋体"/>
          <w:sz w:val="24"/>
        </w:rPr>
        <w:t>乙方的权利与义务</w:t>
      </w:r>
    </w:p>
    <w:p w14:paraId="48895168">
      <w:pPr>
        <w:tabs>
          <w:tab w:val="left" w:pos="894"/>
        </w:tabs>
        <w:spacing w:line="360" w:lineRule="auto"/>
        <w:jc w:val="left"/>
        <w:rPr>
          <w:rFonts w:ascii="宋体" w:hAnsi="宋体"/>
          <w:sz w:val="24"/>
        </w:rPr>
      </w:pPr>
      <w:r>
        <w:rPr>
          <w:rFonts w:hint="eastAsia" w:ascii="宋体" w:hAnsi="宋体"/>
          <w:sz w:val="24"/>
        </w:rPr>
        <w:t xml:space="preserve">    1、遵守国家、省、市有关安全生产文明施工的法律、法规及有关规定，加强工程建设安全的监管，建立、健全安全项目管理责任制度，保证工程建设的安全。建立、健全安全生产文明项目管理的组织、明确安全工程师的职责。</w:t>
      </w:r>
    </w:p>
    <w:p w14:paraId="626B1C0D">
      <w:pPr>
        <w:spacing w:line="360" w:lineRule="auto"/>
        <w:rPr>
          <w:rFonts w:ascii="宋体" w:hAnsi="宋体"/>
          <w:sz w:val="24"/>
        </w:rPr>
      </w:pPr>
      <w:r>
        <w:rPr>
          <w:rFonts w:hint="eastAsia" w:ascii="宋体" w:hAnsi="宋体"/>
          <w:sz w:val="24"/>
        </w:rPr>
        <w:t xml:space="preserve">    2、建立安全生产文明施工的专项项目管理监管制度或方案。</w:t>
      </w:r>
    </w:p>
    <w:p w14:paraId="6E86E56D">
      <w:pPr>
        <w:spacing w:line="360" w:lineRule="auto"/>
        <w:jc w:val="left"/>
        <w:rPr>
          <w:rFonts w:ascii="宋体" w:hAnsi="宋体"/>
          <w:sz w:val="24"/>
        </w:rPr>
      </w:pPr>
      <w:r>
        <w:rPr>
          <w:rFonts w:hint="eastAsia" w:ascii="宋体" w:hAnsi="宋体"/>
          <w:sz w:val="24"/>
        </w:rPr>
        <w:t xml:space="preserve">    3、会同建设单位对承包人的资质进行审查，对无资质单位不准进入。</w:t>
      </w:r>
    </w:p>
    <w:p w14:paraId="25F5978F">
      <w:pPr>
        <w:spacing w:line="360" w:lineRule="auto"/>
        <w:jc w:val="left"/>
        <w:rPr>
          <w:rFonts w:ascii="宋体" w:hAnsi="宋体"/>
          <w:sz w:val="24"/>
        </w:rPr>
      </w:pPr>
      <w:r>
        <w:rPr>
          <w:rFonts w:hint="eastAsia" w:ascii="宋体" w:hAnsi="宋体"/>
          <w:sz w:val="24"/>
        </w:rPr>
        <w:t xml:space="preserve">    4、对承包人提供的安全施工组织设计及专项安全技术方案进行审核。</w:t>
      </w:r>
    </w:p>
    <w:p w14:paraId="1B326F9A">
      <w:pPr>
        <w:spacing w:line="360" w:lineRule="auto"/>
        <w:rPr>
          <w:rFonts w:ascii="宋体" w:hAnsi="宋体"/>
          <w:sz w:val="24"/>
        </w:rPr>
      </w:pPr>
      <w:r>
        <w:rPr>
          <w:rFonts w:hint="eastAsia" w:ascii="宋体" w:hAnsi="宋体"/>
          <w:sz w:val="24"/>
        </w:rPr>
        <w:t xml:space="preserve">    5、对施工人员、材料、主要设备的使用和运行状况进行检查并记录。</w:t>
      </w:r>
    </w:p>
    <w:p w14:paraId="0E9F4EDC">
      <w:pPr>
        <w:spacing w:line="360" w:lineRule="auto"/>
        <w:rPr>
          <w:rFonts w:ascii="宋体" w:hAnsi="宋体"/>
          <w:sz w:val="24"/>
        </w:rPr>
      </w:pPr>
      <w:r>
        <w:rPr>
          <w:rFonts w:hint="eastAsia" w:ascii="宋体" w:hAnsi="宋体"/>
          <w:sz w:val="24"/>
        </w:rPr>
        <w:t xml:space="preserve">    6、对重要施工环节和安全事故易发工序实施旁站或巡检。</w:t>
      </w:r>
    </w:p>
    <w:p w14:paraId="43BDF428">
      <w:pPr>
        <w:spacing w:line="360" w:lineRule="auto"/>
        <w:rPr>
          <w:rFonts w:ascii="宋体" w:hAnsi="宋体"/>
          <w:sz w:val="24"/>
        </w:rPr>
      </w:pPr>
      <w:r>
        <w:rPr>
          <w:rFonts w:hint="eastAsia" w:ascii="宋体" w:hAnsi="宋体"/>
          <w:sz w:val="24"/>
        </w:rPr>
        <w:t xml:space="preserve">    7、按规定对安全措施费用的列支和使用实施有效监控。</w:t>
      </w:r>
    </w:p>
    <w:p w14:paraId="48FCA359">
      <w:pPr>
        <w:spacing w:line="360" w:lineRule="auto"/>
        <w:rPr>
          <w:rFonts w:ascii="宋体" w:hAnsi="宋体"/>
          <w:sz w:val="24"/>
        </w:rPr>
      </w:pPr>
      <w:r>
        <w:rPr>
          <w:rFonts w:hint="eastAsia" w:ascii="宋体" w:hAnsi="宋体"/>
          <w:sz w:val="24"/>
        </w:rPr>
        <w:t xml:space="preserve">    8、及时制止承包人明显违章指挥和操作的行为。</w:t>
      </w:r>
    </w:p>
    <w:p w14:paraId="338BEEE4">
      <w:pPr>
        <w:spacing w:line="360" w:lineRule="auto"/>
        <w:rPr>
          <w:rFonts w:ascii="宋体" w:hAnsi="宋体"/>
          <w:sz w:val="24"/>
        </w:rPr>
      </w:pPr>
      <w:r>
        <w:rPr>
          <w:rFonts w:hint="eastAsia" w:ascii="宋体" w:hAnsi="宋体"/>
          <w:sz w:val="24"/>
        </w:rPr>
        <w:t xml:space="preserve">    9、对危及工程和人员安全的施工及设备的使用，及时下达停工（停用）指令，坚决予以纠正。</w:t>
      </w:r>
    </w:p>
    <w:p w14:paraId="1DF6EE3A">
      <w:pPr>
        <w:tabs>
          <w:tab w:val="left" w:pos="720"/>
        </w:tabs>
        <w:spacing w:line="360" w:lineRule="auto"/>
        <w:rPr>
          <w:rFonts w:ascii="宋体" w:hAnsi="宋体"/>
          <w:sz w:val="24"/>
        </w:rPr>
      </w:pPr>
      <w:r>
        <w:rPr>
          <w:rFonts w:hint="eastAsia" w:ascii="宋体" w:hAnsi="宋体"/>
          <w:sz w:val="24"/>
        </w:rPr>
        <w:t xml:space="preserve">    10、对施工现场存在的安全隐患及时发出整改通知并向安监机构报告。</w:t>
      </w:r>
    </w:p>
    <w:p w14:paraId="31D9A3A4">
      <w:pPr>
        <w:spacing w:line="360" w:lineRule="auto"/>
        <w:rPr>
          <w:rFonts w:ascii="宋体" w:hAnsi="宋体"/>
          <w:sz w:val="24"/>
        </w:rPr>
      </w:pPr>
      <w:r>
        <w:rPr>
          <w:rFonts w:hint="eastAsia" w:ascii="宋体" w:hAnsi="宋体"/>
          <w:sz w:val="24"/>
        </w:rPr>
        <w:t xml:space="preserve">    11、对因安全原因被建设行政主管部门和监督机构责令停工整改的，要积极主动抓好督促落实并及时反馈情况。</w:t>
      </w:r>
    </w:p>
    <w:p w14:paraId="3855DE6D">
      <w:pPr>
        <w:spacing w:line="360" w:lineRule="auto"/>
        <w:rPr>
          <w:rFonts w:ascii="宋体" w:hAnsi="宋体"/>
          <w:sz w:val="24"/>
        </w:rPr>
      </w:pPr>
      <w:r>
        <w:rPr>
          <w:rFonts w:hint="eastAsia" w:ascii="宋体" w:hAnsi="宋体"/>
          <w:sz w:val="24"/>
        </w:rPr>
        <w:t xml:space="preserve">    12、督促承包人按规定购买施工意外保险和搞好文明施工管理。</w:t>
      </w:r>
    </w:p>
    <w:p w14:paraId="687799E3">
      <w:pPr>
        <w:spacing w:line="360" w:lineRule="auto"/>
        <w:rPr>
          <w:rFonts w:ascii="宋体" w:hAnsi="宋体"/>
          <w:sz w:val="24"/>
        </w:rPr>
      </w:pPr>
      <w:r>
        <w:rPr>
          <w:rFonts w:hint="eastAsia" w:ascii="宋体" w:hAnsi="宋体"/>
          <w:sz w:val="24"/>
        </w:rPr>
        <w:t xml:space="preserve">    13、参与安全事故的调查处理。</w:t>
      </w:r>
    </w:p>
    <w:p w14:paraId="3100494B">
      <w:pPr>
        <w:spacing w:line="360" w:lineRule="auto"/>
        <w:rPr>
          <w:rFonts w:ascii="宋体" w:hAnsi="宋体"/>
          <w:sz w:val="24"/>
        </w:rPr>
      </w:pPr>
      <w:r>
        <w:rPr>
          <w:rFonts w:hint="eastAsia" w:ascii="宋体" w:hAnsi="宋体"/>
          <w:sz w:val="24"/>
        </w:rPr>
        <w:t xml:space="preserve">    14、参与事故应急救援预案的公布和演练。</w:t>
      </w:r>
    </w:p>
    <w:p w14:paraId="5736F57C">
      <w:pPr>
        <w:snapToGrid w:val="0"/>
        <w:spacing w:line="360" w:lineRule="auto"/>
        <w:ind w:firstLine="480"/>
        <w:rPr>
          <w:rFonts w:ascii="宋体" w:hAnsi="宋体"/>
          <w:sz w:val="24"/>
        </w:rPr>
      </w:pPr>
      <w:r>
        <w:rPr>
          <w:rFonts w:hint="eastAsia" w:ascii="宋体" w:hAnsi="宋体"/>
          <w:sz w:val="24"/>
        </w:rPr>
        <w:t>15、做好安全记录和建设月报等资料整理，并督促承包单位及时整理现场安全管理文件资料。</w:t>
      </w:r>
    </w:p>
    <w:p w14:paraId="77D45FFE">
      <w:pPr>
        <w:snapToGrid w:val="0"/>
        <w:spacing w:line="360" w:lineRule="auto"/>
        <w:ind w:firstLine="480"/>
        <w:rPr>
          <w:rFonts w:ascii="宋体" w:hAnsi="宋体"/>
          <w:sz w:val="24"/>
        </w:rPr>
      </w:pPr>
      <w:r>
        <w:rPr>
          <w:rFonts w:hint="eastAsia" w:ascii="宋体" w:hAnsi="宋体"/>
          <w:sz w:val="24"/>
        </w:rPr>
        <w:t>16、保证不将工程项目转包或违法分包。</w:t>
      </w:r>
    </w:p>
    <w:p w14:paraId="2028FAA2">
      <w:pPr>
        <w:numPr>
          <w:ilvl w:val="0"/>
          <w:numId w:val="7"/>
        </w:numPr>
        <w:tabs>
          <w:tab w:val="left" w:pos="720"/>
        </w:tabs>
        <w:spacing w:line="360" w:lineRule="auto"/>
        <w:rPr>
          <w:rFonts w:ascii="宋体" w:hAnsi="宋体"/>
          <w:sz w:val="24"/>
        </w:rPr>
      </w:pPr>
      <w:r>
        <w:rPr>
          <w:rFonts w:hint="eastAsia" w:ascii="宋体" w:hAnsi="宋体"/>
          <w:sz w:val="24"/>
        </w:rPr>
        <w:t>本合同有效期为自甲、乙双方签署之日起至该工程项目设计使用年限届满之日止。</w:t>
      </w:r>
    </w:p>
    <w:p w14:paraId="2D13EFB6">
      <w:pPr>
        <w:numPr>
          <w:ilvl w:val="0"/>
          <w:numId w:val="7"/>
        </w:numPr>
        <w:tabs>
          <w:tab w:val="left" w:pos="720"/>
        </w:tabs>
        <w:spacing w:line="360" w:lineRule="auto"/>
        <w:rPr>
          <w:rFonts w:ascii="宋体" w:hAnsi="宋体"/>
          <w:sz w:val="24"/>
        </w:rPr>
      </w:pPr>
      <w:r>
        <w:rPr>
          <w:rFonts w:hint="eastAsia" w:ascii="宋体" w:hAnsi="宋体"/>
          <w:sz w:val="24"/>
        </w:rPr>
        <w:t>本合同作为本工程项目管理服务合同的附件。</w:t>
      </w:r>
    </w:p>
    <w:p w14:paraId="77A38A80">
      <w:pPr>
        <w:snapToGrid w:val="0"/>
        <w:spacing w:line="360" w:lineRule="auto"/>
        <w:rPr>
          <w:rFonts w:ascii="宋体" w:hAnsi="宋体"/>
          <w:sz w:val="24"/>
        </w:rPr>
      </w:pPr>
    </w:p>
    <w:p w14:paraId="09C16CC4">
      <w:pPr>
        <w:spacing w:line="360" w:lineRule="auto"/>
        <w:ind w:firstLine="480" w:firstLineChars="200"/>
        <w:rPr>
          <w:rFonts w:ascii="宋体" w:hAnsi="宋体"/>
          <w:sz w:val="24"/>
        </w:rPr>
      </w:pPr>
      <w:r>
        <w:rPr>
          <w:rFonts w:hint="eastAsia" w:ascii="宋体" w:hAnsi="宋体"/>
          <w:sz w:val="24"/>
        </w:rPr>
        <w:t>委托方（甲方）：</w:t>
      </w:r>
      <w:r>
        <w:rPr>
          <w:rFonts w:hint="eastAsia" w:ascii="宋体" w:hAnsi="宋体"/>
          <w:sz w:val="24"/>
          <w:lang w:eastAsia="zh-CN"/>
        </w:rPr>
        <w:t>广州三元里片区改造投资有限公司</w:t>
      </w:r>
      <w:r>
        <w:rPr>
          <w:rFonts w:hint="eastAsia" w:ascii="宋体" w:hAnsi="宋体"/>
          <w:sz w:val="24"/>
        </w:rPr>
        <w:t xml:space="preserve"> （盖章）                    　           </w:t>
      </w:r>
    </w:p>
    <w:p w14:paraId="77AA9EC8">
      <w:pPr>
        <w:spacing w:line="360" w:lineRule="auto"/>
        <w:ind w:firstLine="480" w:firstLineChars="200"/>
        <w:rPr>
          <w:rFonts w:ascii="宋体" w:hAnsi="宋体"/>
          <w:sz w:val="24"/>
        </w:rPr>
      </w:pPr>
      <w:r>
        <w:rPr>
          <w:rFonts w:hint="eastAsia" w:ascii="宋体" w:hAnsi="宋体"/>
          <w:sz w:val="24"/>
        </w:rPr>
        <w:t xml:space="preserve">法定代表人：                           </w:t>
      </w:r>
    </w:p>
    <w:p w14:paraId="7CAAA0FA">
      <w:pPr>
        <w:spacing w:line="360" w:lineRule="auto"/>
        <w:ind w:firstLine="480" w:firstLineChars="200"/>
        <w:rPr>
          <w:rFonts w:ascii="宋体" w:hAnsi="宋体"/>
          <w:sz w:val="24"/>
        </w:rPr>
      </w:pPr>
      <w:r>
        <w:rPr>
          <w:rFonts w:hint="eastAsia" w:ascii="宋体" w:hAnsi="宋体"/>
          <w:sz w:val="24"/>
        </w:rPr>
        <w:t xml:space="preserve">签约代表：                             </w:t>
      </w:r>
    </w:p>
    <w:p w14:paraId="45BBA8FA">
      <w:pPr>
        <w:pStyle w:val="3"/>
        <w:spacing w:line="360" w:lineRule="auto"/>
        <w:ind w:firstLine="0" w:firstLineChars="0"/>
      </w:pPr>
    </w:p>
    <w:p w14:paraId="3354DFA4">
      <w:pPr>
        <w:spacing w:line="360" w:lineRule="auto"/>
        <w:ind w:firstLine="480" w:firstLineChars="200"/>
        <w:rPr>
          <w:rFonts w:ascii="宋体" w:hAnsi="宋体"/>
          <w:sz w:val="24"/>
        </w:rPr>
      </w:pPr>
      <w:r>
        <w:rPr>
          <w:rFonts w:hint="eastAsia" w:ascii="宋体" w:hAnsi="宋体"/>
          <w:sz w:val="24"/>
        </w:rPr>
        <w:t>受托方（乙方）：</w:t>
      </w:r>
      <w:r>
        <w:rPr>
          <w:rFonts w:hint="eastAsia" w:ascii="宋体" w:hAnsi="宋体"/>
          <w:sz w:val="24"/>
          <w:lang w:eastAsia="zh-CN"/>
        </w:rPr>
        <w:t xml:space="preserve"> </w:t>
      </w:r>
      <w:r>
        <w:rPr>
          <w:rFonts w:hint="eastAsia" w:ascii="宋体" w:hAnsi="宋体"/>
          <w:sz w:val="24"/>
        </w:rPr>
        <w:t xml:space="preserve">（盖章）                    　           </w:t>
      </w:r>
    </w:p>
    <w:p w14:paraId="1882E23C">
      <w:pPr>
        <w:spacing w:line="360" w:lineRule="auto"/>
        <w:ind w:firstLine="480" w:firstLineChars="200"/>
        <w:rPr>
          <w:rFonts w:ascii="宋体" w:hAnsi="宋体"/>
          <w:sz w:val="24"/>
        </w:rPr>
      </w:pPr>
      <w:r>
        <w:rPr>
          <w:rFonts w:hint="eastAsia" w:ascii="宋体" w:hAnsi="宋体"/>
          <w:sz w:val="24"/>
        </w:rPr>
        <w:t xml:space="preserve">法定代表人：                           </w:t>
      </w:r>
    </w:p>
    <w:p w14:paraId="2DE0F0C5">
      <w:pPr>
        <w:spacing w:line="360" w:lineRule="auto"/>
        <w:ind w:firstLine="480" w:firstLineChars="200"/>
        <w:rPr>
          <w:rFonts w:ascii="宋体" w:hAnsi="宋体"/>
          <w:sz w:val="24"/>
        </w:rPr>
      </w:pPr>
      <w:r>
        <w:rPr>
          <w:rFonts w:hint="eastAsia" w:ascii="宋体" w:hAnsi="宋体"/>
          <w:sz w:val="24"/>
        </w:rPr>
        <w:t xml:space="preserve">签约代表： </w:t>
      </w:r>
    </w:p>
    <w:p w14:paraId="7BB0D685">
      <w:pPr>
        <w:spacing w:line="360" w:lineRule="auto"/>
        <w:ind w:left="435" w:leftChars="207"/>
        <w:rPr>
          <w:rFonts w:ascii="宋体" w:hAnsi="宋体"/>
          <w:sz w:val="24"/>
        </w:rPr>
      </w:pPr>
    </w:p>
    <w:p w14:paraId="56350ADE">
      <w:pPr>
        <w:spacing w:line="360" w:lineRule="auto"/>
        <w:rPr>
          <w:rFonts w:ascii="宋体" w:hAnsi="宋体"/>
          <w:sz w:val="24"/>
        </w:rPr>
      </w:pPr>
      <w:r>
        <w:rPr>
          <w:rFonts w:hint="eastAsia" w:ascii="宋体" w:hAnsi="宋体"/>
          <w:sz w:val="24"/>
        </w:rPr>
        <w:t>签订日期：      年     月    日</w:t>
      </w:r>
    </w:p>
    <w:p w14:paraId="0BD65792">
      <w:pPr>
        <w:widowControl/>
        <w:jc w:val="left"/>
        <w:rPr>
          <w:rFonts w:ascii="仿宋_GB2312" w:hAnsi="仿宋_GB2312" w:eastAsia="仿宋_GB2312" w:cs="仿宋_GB2312"/>
          <w:sz w:val="28"/>
          <w:szCs w:val="28"/>
        </w:rPr>
      </w:pPr>
      <w:r>
        <w:rPr>
          <w:rFonts w:ascii="仿宋_GB2312" w:hAnsi="仿宋_GB2312" w:eastAsia="仿宋_GB2312" w:cs="仿宋_GB2312"/>
          <w:sz w:val="28"/>
          <w:szCs w:val="28"/>
        </w:rPr>
        <w:br w:type="page"/>
      </w:r>
    </w:p>
    <w:p w14:paraId="2ED6DC82">
      <w:pPr>
        <w:snapToGrid w:val="0"/>
        <w:spacing w:line="480" w:lineRule="auto"/>
        <w:jc w:val="left"/>
        <w:rPr>
          <w:rFonts w:ascii="宋体" w:hAnsi="宋体"/>
          <w:spacing w:val="2"/>
          <w:position w:val="2"/>
          <w:sz w:val="24"/>
        </w:rPr>
      </w:pPr>
      <w:r>
        <w:rPr>
          <w:rFonts w:hint="eastAsia" w:ascii="宋体" w:hAnsi="宋体" w:cs="仿宋_GB2312"/>
          <w:b w:val="0"/>
          <w:sz w:val="24"/>
          <w:szCs w:val="24"/>
          <w:highlight w:val="none"/>
          <w:lang w:val="en-US" w:eastAsia="zh-CN"/>
        </w:rPr>
        <w:t>附件5</w:t>
      </w:r>
    </w:p>
    <w:p w14:paraId="39A7A682">
      <w:pPr>
        <w:jc w:val="center"/>
        <w:rPr>
          <w:rFonts w:ascii="宋体" w:hAnsi="宋体"/>
          <w:b/>
          <w:bCs/>
          <w:sz w:val="36"/>
          <w:szCs w:val="36"/>
        </w:rPr>
      </w:pPr>
      <w:r>
        <w:rPr>
          <w:rFonts w:hint="eastAsia" w:ascii="黑体" w:hAnsi="黑体" w:eastAsia="黑体" w:cs="宋体"/>
          <w:sz w:val="32"/>
        </w:rPr>
        <w:t>质量责任协议书</w:t>
      </w:r>
    </w:p>
    <w:p w14:paraId="3FC549CE">
      <w:pPr>
        <w:jc w:val="center"/>
        <w:rPr>
          <w:rFonts w:ascii="宋体" w:hAnsi="宋体"/>
          <w:b/>
          <w:bCs/>
          <w:sz w:val="24"/>
        </w:rPr>
      </w:pPr>
    </w:p>
    <w:p w14:paraId="70906185">
      <w:pPr>
        <w:spacing w:line="440" w:lineRule="exact"/>
        <w:ind w:firstLine="450"/>
        <w:rPr>
          <w:rFonts w:ascii="宋体" w:hAnsi="宋体"/>
          <w:sz w:val="24"/>
        </w:rPr>
      </w:pPr>
      <w:r>
        <w:rPr>
          <w:rFonts w:hint="eastAsia" w:ascii="宋体" w:hAnsi="宋体"/>
          <w:sz w:val="24"/>
        </w:rPr>
        <w:t>根据国务院《建设工程质量管理条例》，为保证在设计使用年限内建设工程质量，本项目工程的建设单位</w:t>
      </w:r>
      <w:r>
        <w:rPr>
          <w:rFonts w:hint="eastAsia" w:ascii="宋体" w:hAnsi="宋体"/>
          <w:sz w:val="24"/>
          <w:u w:val="single"/>
          <w:lang w:eastAsia="zh-CN"/>
        </w:rPr>
        <w:t>广州三元里片区改造投资有限公司</w:t>
      </w:r>
      <w:r>
        <w:rPr>
          <w:rFonts w:hint="eastAsia" w:ascii="宋体" w:hAnsi="宋体"/>
          <w:sz w:val="24"/>
        </w:rPr>
        <w:t>（以下称甲方）、项目管理单位</w:t>
      </w:r>
      <w:r>
        <w:rPr>
          <w:rFonts w:hint="eastAsia" w:ascii="宋体" w:hAnsi="宋体"/>
          <w:sz w:val="24"/>
          <w:u w:val="single"/>
          <w:lang w:eastAsia="zh-CN"/>
        </w:rPr>
        <w:t xml:space="preserve"> </w:t>
      </w:r>
      <w:r>
        <w:rPr>
          <w:rFonts w:hint="eastAsia" w:ascii="宋体" w:hAnsi="宋体"/>
          <w:sz w:val="24"/>
        </w:rPr>
        <w:t>（以下称乙方）经双方协商一致，特订立如下协议。</w:t>
      </w:r>
    </w:p>
    <w:p w14:paraId="4A5BE5D6">
      <w:pPr>
        <w:spacing w:line="440" w:lineRule="exact"/>
        <w:ind w:firstLine="435"/>
        <w:rPr>
          <w:rFonts w:ascii="宋体" w:hAnsi="宋体"/>
          <w:sz w:val="24"/>
        </w:rPr>
      </w:pPr>
      <w:r>
        <w:rPr>
          <w:rFonts w:hint="eastAsia" w:ascii="宋体" w:hAnsi="宋体"/>
          <w:b/>
          <w:bCs/>
          <w:sz w:val="24"/>
        </w:rPr>
        <w:t>一</w:t>
      </w:r>
      <w:r>
        <w:rPr>
          <w:rFonts w:hint="eastAsia" w:ascii="宋体" w:hAnsi="宋体"/>
          <w:sz w:val="24"/>
        </w:rPr>
        <w:t>、本建设项目的工程质量目标为</w:t>
      </w:r>
      <w:r>
        <w:rPr>
          <w:rFonts w:hint="eastAsia" w:ascii="宋体" w:hAnsi="宋体"/>
          <w:sz w:val="24"/>
          <w:u w:val="single"/>
          <w:lang w:val="en-US" w:eastAsia="zh-CN"/>
        </w:rPr>
        <w:t xml:space="preserve">    </w:t>
      </w:r>
      <w:r>
        <w:rPr>
          <w:rFonts w:hint="eastAsia" w:ascii="宋体" w:hAnsi="宋体"/>
          <w:sz w:val="24"/>
        </w:rPr>
        <w:t>，具体项目管理责任人</w:t>
      </w:r>
      <w:r>
        <w:rPr>
          <w:rFonts w:hint="eastAsia" w:ascii="宋体" w:hAnsi="宋体"/>
          <w:sz w:val="24"/>
          <w:u w:val="single"/>
          <w:lang w:eastAsia="zh-CN"/>
        </w:rPr>
        <w:t xml:space="preserve">      </w:t>
      </w:r>
      <w:r>
        <w:rPr>
          <w:rFonts w:hint="eastAsia" w:ascii="宋体" w:hAnsi="宋体"/>
          <w:sz w:val="24"/>
        </w:rPr>
        <w:t>。</w:t>
      </w:r>
    </w:p>
    <w:p w14:paraId="3D0F114F">
      <w:pPr>
        <w:spacing w:line="440" w:lineRule="exact"/>
        <w:ind w:firstLine="435"/>
        <w:rPr>
          <w:rFonts w:ascii="宋体" w:hAnsi="宋体"/>
          <w:sz w:val="24"/>
        </w:rPr>
      </w:pPr>
      <w:r>
        <w:rPr>
          <w:rFonts w:hint="eastAsia" w:ascii="宋体" w:hAnsi="宋体"/>
          <w:b/>
          <w:bCs/>
          <w:sz w:val="24"/>
        </w:rPr>
        <w:t>二、</w:t>
      </w:r>
      <w:r>
        <w:rPr>
          <w:rFonts w:hint="eastAsia" w:ascii="宋体" w:hAnsi="宋体"/>
          <w:sz w:val="24"/>
        </w:rPr>
        <w:t>甲乙双方的权利和义务</w:t>
      </w:r>
    </w:p>
    <w:p w14:paraId="0314C4E5">
      <w:pPr>
        <w:spacing w:line="440" w:lineRule="exact"/>
        <w:ind w:firstLine="435"/>
        <w:rPr>
          <w:rFonts w:ascii="宋体" w:hAnsi="宋体"/>
          <w:sz w:val="24"/>
        </w:rPr>
      </w:pPr>
      <w:r>
        <w:rPr>
          <w:rFonts w:hint="eastAsia" w:ascii="宋体" w:hAnsi="宋体"/>
          <w:sz w:val="24"/>
        </w:rPr>
        <w:t>（一）严格遵守国家有关法律法规的有关规定。</w:t>
      </w:r>
    </w:p>
    <w:p w14:paraId="7439B8FD">
      <w:pPr>
        <w:spacing w:line="440" w:lineRule="exact"/>
        <w:ind w:firstLine="435"/>
        <w:rPr>
          <w:rFonts w:ascii="宋体" w:hAnsi="宋体"/>
          <w:sz w:val="24"/>
        </w:rPr>
      </w:pPr>
      <w:r>
        <w:rPr>
          <w:rFonts w:hint="eastAsia" w:ascii="宋体" w:hAnsi="宋体"/>
          <w:sz w:val="24"/>
        </w:rPr>
        <w:t>（二）严格执行本工程项目管理服务合同，自觉按合同办事。</w:t>
      </w:r>
    </w:p>
    <w:p w14:paraId="76662C3D">
      <w:pPr>
        <w:spacing w:line="440" w:lineRule="exact"/>
        <w:ind w:firstLine="435"/>
        <w:rPr>
          <w:rFonts w:ascii="宋体" w:hAnsi="宋体"/>
          <w:sz w:val="24"/>
        </w:rPr>
      </w:pPr>
      <w:r>
        <w:rPr>
          <w:rFonts w:hint="eastAsia" w:ascii="宋体" w:hAnsi="宋体"/>
          <w:sz w:val="24"/>
        </w:rPr>
        <w:t>（三）双方的项目管理业务活动坚持科学、公正、诚信、平等的原则，不得损害国家、集体的利益，不得违反工程项目管理规章制度。</w:t>
      </w:r>
    </w:p>
    <w:p w14:paraId="65205CA8">
      <w:pPr>
        <w:spacing w:line="440" w:lineRule="exact"/>
        <w:ind w:firstLine="435"/>
        <w:rPr>
          <w:rFonts w:ascii="宋体" w:hAnsi="宋体"/>
          <w:sz w:val="24"/>
        </w:rPr>
      </w:pPr>
      <w:r>
        <w:rPr>
          <w:rFonts w:hint="eastAsia" w:ascii="宋体" w:hAnsi="宋体"/>
          <w:sz w:val="24"/>
        </w:rPr>
        <w:t>（四）发现对方在项目管理业务活动中，有违反有关规定的行为，有及时提醒对方纠正的权利和义务。</w:t>
      </w:r>
    </w:p>
    <w:p w14:paraId="4B71C74C">
      <w:pPr>
        <w:spacing w:line="440" w:lineRule="exact"/>
        <w:ind w:firstLine="435"/>
        <w:rPr>
          <w:rFonts w:ascii="宋体" w:hAnsi="宋体"/>
          <w:sz w:val="24"/>
        </w:rPr>
      </w:pPr>
      <w:r>
        <w:rPr>
          <w:rFonts w:hint="eastAsia" w:ascii="宋体" w:hAnsi="宋体"/>
          <w:sz w:val="24"/>
        </w:rPr>
        <w:t>（五）发现对方严重违反项目管理合同文件的行为，有向其上级有关部门举报，建议给予处理并要求告知处理结果的权利。</w:t>
      </w:r>
    </w:p>
    <w:p w14:paraId="33753F74">
      <w:pPr>
        <w:spacing w:line="440" w:lineRule="exact"/>
        <w:ind w:firstLine="435"/>
        <w:rPr>
          <w:rFonts w:ascii="宋体" w:hAnsi="宋体"/>
          <w:sz w:val="24"/>
        </w:rPr>
      </w:pPr>
      <w:r>
        <w:rPr>
          <w:rFonts w:hint="eastAsia" w:ascii="宋体" w:hAnsi="宋体"/>
          <w:b/>
          <w:bCs/>
          <w:sz w:val="24"/>
        </w:rPr>
        <w:t>三、</w:t>
      </w:r>
      <w:r>
        <w:rPr>
          <w:rFonts w:hint="eastAsia" w:ascii="宋体" w:hAnsi="宋体"/>
          <w:sz w:val="24"/>
        </w:rPr>
        <w:t>甲方和乙方的义务</w:t>
      </w:r>
    </w:p>
    <w:p w14:paraId="5A8FC95A">
      <w:pPr>
        <w:spacing w:line="440" w:lineRule="exact"/>
        <w:ind w:firstLine="435"/>
        <w:rPr>
          <w:rFonts w:ascii="宋体" w:hAnsi="宋体"/>
          <w:sz w:val="24"/>
        </w:rPr>
      </w:pPr>
      <w:r>
        <w:rPr>
          <w:rFonts w:hint="eastAsia" w:ascii="宋体" w:hAnsi="宋体"/>
          <w:sz w:val="24"/>
        </w:rPr>
        <w:t>（一）甲方不得指使乙方不按法律、法规、工程建设强制性标准进行开展项目管理工作。</w:t>
      </w:r>
    </w:p>
    <w:p w14:paraId="11D118EE">
      <w:pPr>
        <w:spacing w:line="440" w:lineRule="exact"/>
        <w:ind w:firstLine="435"/>
        <w:rPr>
          <w:rFonts w:ascii="宋体" w:hAnsi="宋体"/>
          <w:sz w:val="24"/>
        </w:rPr>
      </w:pPr>
      <w:r>
        <w:rPr>
          <w:rFonts w:hint="eastAsia" w:ascii="宋体" w:hAnsi="宋体"/>
          <w:sz w:val="24"/>
        </w:rPr>
        <w:t>（二）甲方不得明示或暗示向乙方推荐单位或个人承包或分包本工程的项目管理任务。</w:t>
      </w:r>
    </w:p>
    <w:p w14:paraId="459F3408">
      <w:pPr>
        <w:spacing w:line="440" w:lineRule="exact"/>
        <w:ind w:firstLine="435"/>
        <w:rPr>
          <w:rFonts w:ascii="宋体" w:hAnsi="宋体"/>
          <w:sz w:val="24"/>
        </w:rPr>
      </w:pPr>
      <w:r>
        <w:rPr>
          <w:rFonts w:hint="eastAsia" w:ascii="宋体" w:hAnsi="宋体"/>
          <w:sz w:val="24"/>
        </w:rPr>
        <w:t>（三）甲方不得以任何理由索取回扣或其它好处。</w:t>
      </w:r>
    </w:p>
    <w:p w14:paraId="6A80EB4F">
      <w:pPr>
        <w:spacing w:line="440" w:lineRule="exact"/>
        <w:ind w:firstLine="435"/>
        <w:rPr>
          <w:rFonts w:ascii="宋体" w:hAnsi="宋体"/>
          <w:sz w:val="24"/>
        </w:rPr>
      </w:pPr>
      <w:r>
        <w:rPr>
          <w:rFonts w:hint="eastAsia" w:ascii="宋体" w:hAnsi="宋体"/>
          <w:b/>
          <w:bCs/>
          <w:sz w:val="24"/>
        </w:rPr>
        <w:t>四、</w:t>
      </w:r>
      <w:r>
        <w:rPr>
          <w:rFonts w:hint="eastAsia" w:ascii="宋体" w:hAnsi="宋体"/>
          <w:sz w:val="24"/>
        </w:rPr>
        <w:t>乙方的义务</w:t>
      </w:r>
    </w:p>
    <w:p w14:paraId="73FFBA91">
      <w:pPr>
        <w:spacing w:line="440" w:lineRule="exact"/>
        <w:ind w:firstLine="435"/>
        <w:rPr>
          <w:rFonts w:ascii="宋体" w:hAnsi="宋体"/>
          <w:sz w:val="24"/>
        </w:rPr>
      </w:pPr>
      <w:r>
        <w:rPr>
          <w:rFonts w:hint="eastAsia" w:ascii="宋体" w:hAnsi="宋体"/>
          <w:sz w:val="24"/>
        </w:rPr>
        <w:t>（一）乙方不得允许其它单位或个人以乙方的名义承揽本工程的项目管理任务，不得转包或违法分包所承揽的本工程的项目管理任务。</w:t>
      </w:r>
    </w:p>
    <w:p w14:paraId="69110A11">
      <w:pPr>
        <w:spacing w:line="440" w:lineRule="exact"/>
        <w:ind w:firstLine="435"/>
        <w:rPr>
          <w:rFonts w:ascii="宋体" w:hAnsi="宋体"/>
          <w:sz w:val="24"/>
        </w:rPr>
      </w:pPr>
      <w:r>
        <w:rPr>
          <w:rFonts w:hint="eastAsia" w:ascii="宋体" w:hAnsi="宋体"/>
          <w:sz w:val="24"/>
        </w:rPr>
        <w:t>（三）乙方必须严格履行项目管理合同，按委托时承诺的项目组人员及时到位。项目组人员不能擅自调换，如有特殊原因确需调换的，须经业主书面同意方能换人。</w:t>
      </w:r>
    </w:p>
    <w:p w14:paraId="0C029BCC">
      <w:pPr>
        <w:spacing w:line="440" w:lineRule="exact"/>
        <w:ind w:firstLine="435"/>
        <w:rPr>
          <w:rFonts w:ascii="宋体" w:hAnsi="宋体"/>
          <w:sz w:val="24"/>
        </w:rPr>
      </w:pPr>
      <w:r>
        <w:rPr>
          <w:rFonts w:hint="eastAsia" w:ascii="宋体" w:hAnsi="宋体"/>
          <w:sz w:val="24"/>
        </w:rPr>
        <w:t>（四）乙方必须督促施工单位建立工地混凝土试件养护室，督促施工单位按要求做好各类试验，试验资料应真实、完整，统一归档。</w:t>
      </w:r>
    </w:p>
    <w:p w14:paraId="0CC6F9AB">
      <w:pPr>
        <w:spacing w:line="440" w:lineRule="exact"/>
        <w:ind w:firstLine="435"/>
        <w:rPr>
          <w:rFonts w:ascii="宋体" w:hAnsi="宋体"/>
          <w:sz w:val="24"/>
        </w:rPr>
      </w:pPr>
      <w:r>
        <w:rPr>
          <w:rFonts w:hint="eastAsia" w:ascii="宋体" w:hAnsi="宋体"/>
          <w:sz w:val="24"/>
        </w:rPr>
        <w:t>（五）乙方必须认真贯彻执行建设工程项目有关的各项方针政策、法规，明确项目组人员岗位职责。对工程的重要环节和关键部位，必须实施全过程的现场旁站或巡检；严格计量支付；合理有效地控制进度。</w:t>
      </w:r>
    </w:p>
    <w:p w14:paraId="7A3594B1">
      <w:pPr>
        <w:spacing w:line="440" w:lineRule="exact"/>
        <w:ind w:firstLine="435"/>
        <w:rPr>
          <w:rFonts w:ascii="宋体" w:hAnsi="宋体"/>
          <w:sz w:val="24"/>
        </w:rPr>
      </w:pPr>
      <w:r>
        <w:rPr>
          <w:rFonts w:hint="eastAsia" w:ascii="宋体" w:hAnsi="宋体"/>
          <w:sz w:val="24"/>
        </w:rPr>
        <w:t>（六）乙方与甲方、承包人或指定分包人之间有关工程质量、进度和费用的一切往来函件、报表均应分类编号归档保存；项目管理资料应真实、完整。</w:t>
      </w:r>
    </w:p>
    <w:p w14:paraId="4EFD79BD">
      <w:pPr>
        <w:spacing w:line="440" w:lineRule="exact"/>
        <w:ind w:firstLine="590" w:firstLineChars="245"/>
        <w:rPr>
          <w:rFonts w:ascii="宋体" w:hAnsi="宋体"/>
          <w:sz w:val="24"/>
        </w:rPr>
      </w:pPr>
      <w:r>
        <w:rPr>
          <w:rFonts w:hint="eastAsia" w:ascii="宋体" w:hAnsi="宋体"/>
          <w:b/>
          <w:bCs/>
          <w:sz w:val="24"/>
        </w:rPr>
        <w:t>五、</w:t>
      </w:r>
      <w:r>
        <w:rPr>
          <w:rFonts w:hint="eastAsia" w:ascii="宋体" w:hAnsi="宋体"/>
          <w:sz w:val="24"/>
        </w:rPr>
        <w:t>违约责任</w:t>
      </w:r>
    </w:p>
    <w:p w14:paraId="42267622">
      <w:pPr>
        <w:spacing w:line="440" w:lineRule="exact"/>
        <w:ind w:firstLine="435"/>
        <w:rPr>
          <w:rFonts w:ascii="宋体" w:hAnsi="宋体"/>
          <w:sz w:val="24"/>
        </w:rPr>
      </w:pPr>
      <w:r>
        <w:rPr>
          <w:rFonts w:hint="eastAsia" w:ascii="宋体" w:hAnsi="宋体"/>
          <w:sz w:val="24"/>
        </w:rPr>
        <w:t>（一）甲方及其工作人员违反本合同第二、三条，按管理权限，依据国务院《建设工程质量管理条例》有关规定给予相应的处罚；涉嫌犯罪的，依法追究刑事责任；给乙方单位造成经济损失的，应予以赔偿。</w:t>
      </w:r>
    </w:p>
    <w:p w14:paraId="16228AC1">
      <w:pPr>
        <w:spacing w:line="440" w:lineRule="exact"/>
        <w:ind w:firstLine="435"/>
        <w:rPr>
          <w:rFonts w:ascii="宋体" w:hAnsi="宋体"/>
          <w:sz w:val="24"/>
        </w:rPr>
      </w:pPr>
      <w:r>
        <w:rPr>
          <w:rFonts w:hint="eastAsia" w:ascii="宋体" w:hAnsi="宋体"/>
          <w:sz w:val="24"/>
        </w:rPr>
        <w:t>（二）乙方及其工作人员违反本合同第二、四条，按管理权限，依国务院《建设工程质量管理条例》有关规定给予相应的处罚；涉嫌犯罪的，依法追究刑事责任；给甲方单位造成经济损失的，应予以赔偿。</w:t>
      </w:r>
    </w:p>
    <w:p w14:paraId="3C018DE0">
      <w:pPr>
        <w:spacing w:line="440" w:lineRule="exact"/>
        <w:ind w:firstLine="435"/>
        <w:rPr>
          <w:rFonts w:ascii="宋体" w:hAnsi="宋体"/>
          <w:sz w:val="24"/>
        </w:rPr>
      </w:pPr>
      <w:r>
        <w:rPr>
          <w:rFonts w:hint="eastAsia" w:ascii="宋体" w:hAnsi="宋体"/>
          <w:b/>
          <w:bCs/>
          <w:sz w:val="24"/>
        </w:rPr>
        <w:t>六、</w:t>
      </w:r>
      <w:r>
        <w:rPr>
          <w:rFonts w:hint="eastAsia" w:ascii="宋体" w:hAnsi="宋体"/>
          <w:sz w:val="24"/>
        </w:rPr>
        <w:t>本合同有效期为自甲、乙双方签署之日起至该工程项目设计使用年限届满之日止。</w:t>
      </w:r>
    </w:p>
    <w:p w14:paraId="494EBDCA">
      <w:pPr>
        <w:spacing w:line="440" w:lineRule="exact"/>
        <w:ind w:firstLine="435"/>
        <w:rPr>
          <w:rFonts w:ascii="宋体" w:hAnsi="宋体"/>
          <w:sz w:val="24"/>
        </w:rPr>
      </w:pPr>
      <w:r>
        <w:rPr>
          <w:rFonts w:hint="eastAsia" w:ascii="宋体" w:hAnsi="宋体"/>
          <w:b/>
          <w:bCs/>
          <w:sz w:val="24"/>
        </w:rPr>
        <w:t xml:space="preserve">七、 </w:t>
      </w:r>
      <w:r>
        <w:rPr>
          <w:rFonts w:hint="eastAsia" w:ascii="宋体" w:hAnsi="宋体"/>
          <w:sz w:val="24"/>
        </w:rPr>
        <w:t>本合同作为本工程项目管理服务合同的附件。本合同甲、乙双方各执一份。</w:t>
      </w:r>
    </w:p>
    <w:p w14:paraId="77A337EC">
      <w:pPr>
        <w:spacing w:line="440" w:lineRule="exact"/>
        <w:ind w:firstLine="435"/>
        <w:rPr>
          <w:rFonts w:ascii="宋体" w:hAnsi="宋体"/>
          <w:sz w:val="24"/>
        </w:rPr>
      </w:pPr>
      <w:r>
        <w:rPr>
          <w:rFonts w:hint="eastAsia" w:ascii="宋体" w:hAnsi="宋体"/>
          <w:sz w:val="24"/>
        </w:rPr>
        <w:t>（以下无正文）</w:t>
      </w:r>
    </w:p>
    <w:p w14:paraId="5ECB1321">
      <w:pPr>
        <w:spacing w:line="440" w:lineRule="exact"/>
        <w:ind w:firstLine="435"/>
        <w:rPr>
          <w:rFonts w:ascii="宋体" w:hAnsi="宋体"/>
          <w:sz w:val="24"/>
        </w:rPr>
      </w:pPr>
    </w:p>
    <w:p w14:paraId="0CDD13AA">
      <w:pPr>
        <w:spacing w:line="440" w:lineRule="exact"/>
        <w:ind w:firstLine="435"/>
        <w:rPr>
          <w:rFonts w:ascii="宋体" w:hAnsi="宋体"/>
          <w:sz w:val="24"/>
        </w:rPr>
      </w:pPr>
    </w:p>
    <w:p w14:paraId="2A675CEC">
      <w:pPr>
        <w:spacing w:line="360" w:lineRule="auto"/>
        <w:ind w:firstLine="480" w:firstLineChars="200"/>
        <w:rPr>
          <w:rFonts w:ascii="宋体" w:hAnsi="宋体"/>
          <w:sz w:val="24"/>
        </w:rPr>
      </w:pPr>
      <w:r>
        <w:rPr>
          <w:rFonts w:hint="eastAsia" w:ascii="宋体" w:hAnsi="宋体"/>
          <w:sz w:val="24"/>
        </w:rPr>
        <w:t>委托方（甲方）：</w:t>
      </w:r>
      <w:r>
        <w:rPr>
          <w:rFonts w:hint="eastAsia" w:ascii="宋体" w:hAnsi="宋体"/>
          <w:sz w:val="24"/>
          <w:lang w:eastAsia="zh-CN"/>
        </w:rPr>
        <w:t>广州三元里片区改造投资有限公司</w:t>
      </w:r>
      <w:r>
        <w:rPr>
          <w:rFonts w:hint="eastAsia" w:ascii="宋体" w:hAnsi="宋体"/>
          <w:sz w:val="24"/>
        </w:rPr>
        <w:t xml:space="preserve"> （盖章）                    　           </w:t>
      </w:r>
    </w:p>
    <w:p w14:paraId="26AEC702">
      <w:pPr>
        <w:spacing w:line="360" w:lineRule="auto"/>
        <w:ind w:firstLine="480" w:firstLineChars="200"/>
        <w:rPr>
          <w:rFonts w:ascii="宋体" w:hAnsi="宋体"/>
          <w:sz w:val="24"/>
        </w:rPr>
      </w:pPr>
      <w:r>
        <w:rPr>
          <w:rFonts w:hint="eastAsia" w:ascii="宋体" w:hAnsi="宋体"/>
          <w:sz w:val="24"/>
        </w:rPr>
        <w:t xml:space="preserve">法定代表人：                           </w:t>
      </w:r>
    </w:p>
    <w:p w14:paraId="24AD47AD">
      <w:pPr>
        <w:spacing w:line="360" w:lineRule="auto"/>
        <w:ind w:firstLine="480" w:firstLineChars="200"/>
        <w:rPr>
          <w:rFonts w:ascii="宋体" w:hAnsi="宋体"/>
          <w:sz w:val="24"/>
        </w:rPr>
      </w:pPr>
      <w:r>
        <w:rPr>
          <w:rFonts w:hint="eastAsia" w:ascii="宋体" w:hAnsi="宋体"/>
          <w:sz w:val="24"/>
        </w:rPr>
        <w:t xml:space="preserve">签约代表：                             </w:t>
      </w:r>
    </w:p>
    <w:p w14:paraId="12D05285">
      <w:pPr>
        <w:pStyle w:val="3"/>
        <w:spacing w:line="360" w:lineRule="auto"/>
        <w:ind w:firstLine="0" w:firstLineChars="0"/>
      </w:pPr>
    </w:p>
    <w:p w14:paraId="487B5008">
      <w:pPr>
        <w:spacing w:line="360" w:lineRule="auto"/>
        <w:ind w:firstLine="480" w:firstLineChars="200"/>
        <w:rPr>
          <w:rFonts w:ascii="宋体" w:hAnsi="宋体"/>
          <w:sz w:val="24"/>
        </w:rPr>
      </w:pPr>
      <w:r>
        <w:rPr>
          <w:rFonts w:hint="eastAsia" w:ascii="宋体" w:hAnsi="宋体"/>
          <w:sz w:val="24"/>
        </w:rPr>
        <w:t>受托方（乙方）：</w:t>
      </w:r>
      <w:r>
        <w:rPr>
          <w:rFonts w:hint="eastAsia" w:ascii="宋体" w:hAnsi="宋体"/>
          <w:sz w:val="24"/>
          <w:lang w:val="en-US" w:eastAsia="zh-CN"/>
        </w:rPr>
        <w:t xml:space="preserve">   </w:t>
      </w:r>
      <w:r>
        <w:rPr>
          <w:rFonts w:hint="eastAsia" w:ascii="宋体" w:hAnsi="宋体"/>
          <w:sz w:val="24"/>
        </w:rPr>
        <w:t xml:space="preserve">（盖章）                    　           </w:t>
      </w:r>
    </w:p>
    <w:p w14:paraId="0D7F5397">
      <w:pPr>
        <w:spacing w:line="360" w:lineRule="auto"/>
        <w:ind w:firstLine="480" w:firstLineChars="200"/>
        <w:rPr>
          <w:rFonts w:ascii="宋体" w:hAnsi="宋体"/>
          <w:sz w:val="24"/>
        </w:rPr>
      </w:pPr>
      <w:r>
        <w:rPr>
          <w:rFonts w:hint="eastAsia" w:ascii="宋体" w:hAnsi="宋体"/>
          <w:sz w:val="24"/>
        </w:rPr>
        <w:t>法定代表人：</w:t>
      </w:r>
    </w:p>
    <w:p w14:paraId="0DFE91A5">
      <w:pPr>
        <w:spacing w:line="360" w:lineRule="auto"/>
        <w:ind w:firstLine="480" w:firstLineChars="200"/>
        <w:rPr>
          <w:rFonts w:ascii="宋体" w:hAnsi="宋体"/>
          <w:sz w:val="24"/>
        </w:rPr>
      </w:pPr>
      <w:r>
        <w:rPr>
          <w:rFonts w:hint="eastAsia" w:ascii="宋体" w:hAnsi="宋体"/>
          <w:sz w:val="24"/>
        </w:rPr>
        <w:t xml:space="preserve">签约代表： </w:t>
      </w:r>
    </w:p>
    <w:p w14:paraId="2E7A2C9A">
      <w:pPr>
        <w:spacing w:line="360" w:lineRule="auto"/>
        <w:rPr>
          <w:rFonts w:ascii="宋体" w:hAnsi="宋体"/>
          <w:sz w:val="24"/>
        </w:rPr>
      </w:pPr>
      <w:r>
        <w:rPr>
          <w:rFonts w:hint="eastAsia" w:ascii="宋体" w:hAnsi="宋体"/>
          <w:sz w:val="24"/>
        </w:rPr>
        <w:t xml:space="preserve">    签订日期：      年     月    日</w:t>
      </w:r>
    </w:p>
    <w:p w14:paraId="2F131AF3">
      <w:pPr>
        <w:rPr>
          <w:highlight w:val="none"/>
        </w:rPr>
      </w:pPr>
    </w:p>
    <w:p w14:paraId="76DDC225">
      <w:pPr>
        <w:pStyle w:val="16"/>
        <w:rPr>
          <w:highlight w:val="none"/>
        </w:rPr>
        <w:sectPr>
          <w:pgSz w:w="11906" w:h="16838"/>
          <w:pgMar w:top="1440" w:right="1797" w:bottom="1440" w:left="1797" w:header="851" w:footer="992" w:gutter="0"/>
          <w:cols w:space="720" w:num="1"/>
          <w:titlePg/>
          <w:rtlGutter w:val="1"/>
          <w:docGrid w:type="lines" w:linePitch="312" w:charSpace="0"/>
        </w:sectPr>
      </w:pPr>
    </w:p>
    <w:p w14:paraId="1D3C7C69">
      <w:pPr>
        <w:numPr>
          <w:ilvl w:val="0"/>
          <w:numId w:val="0"/>
        </w:numPr>
        <w:spacing w:line="360" w:lineRule="auto"/>
        <w:ind w:firstLine="240" w:firstLineChars="100"/>
        <w:jc w:val="left"/>
        <w:rPr>
          <w:rFonts w:hint="eastAsia" w:asciiTheme="majorEastAsia" w:hAnsiTheme="majorEastAsia" w:eastAsiaTheme="majorEastAsia" w:cstheme="majorEastAsia"/>
          <w:b w:val="0"/>
          <w:bCs w:val="0"/>
          <w:color w:val="000000" w:themeColor="text1"/>
          <w:sz w:val="24"/>
          <w:szCs w:val="24"/>
          <w:highlight w:val="non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4"/>
          <w:szCs w:val="24"/>
          <w:highlight w:val="none"/>
          <w:lang w:val="en-US" w:eastAsia="zh-CN"/>
          <w14:textFill>
            <w14:solidFill>
              <w14:schemeClr w14:val="tx1"/>
            </w14:solidFill>
          </w14:textFill>
        </w:rPr>
        <w:t>附件6</w:t>
      </w:r>
    </w:p>
    <w:p w14:paraId="6140703D">
      <w:pPr>
        <w:numPr>
          <w:ilvl w:val="0"/>
          <w:numId w:val="0"/>
        </w:numPr>
        <w:spacing w:line="360" w:lineRule="auto"/>
        <w:ind w:firstLine="241" w:firstLineChars="100"/>
        <w:jc w:val="center"/>
        <w:rPr>
          <w:rFonts w:hint="eastAsia"/>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项目服务管理团队人员配备表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911"/>
        <w:gridCol w:w="805"/>
        <w:gridCol w:w="2315"/>
        <w:gridCol w:w="2480"/>
      </w:tblGrid>
      <w:tr w14:paraId="6523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595" w:type="pct"/>
            <w:tcBorders>
              <w:top w:val="single" w:color="auto" w:sz="4" w:space="0"/>
              <w:left w:val="single" w:color="auto" w:sz="4" w:space="0"/>
              <w:bottom w:val="single" w:color="auto" w:sz="4" w:space="0"/>
              <w:right w:val="single" w:color="auto" w:sz="4" w:space="0"/>
            </w:tcBorders>
            <w:vAlign w:val="center"/>
          </w:tcPr>
          <w:p w14:paraId="36E385DF">
            <w:pPr>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部门</w:t>
            </w:r>
          </w:p>
        </w:tc>
        <w:tc>
          <w:tcPr>
            <w:tcW w:w="1120" w:type="pct"/>
            <w:tcBorders>
              <w:top w:val="single" w:color="auto" w:sz="4" w:space="0"/>
              <w:left w:val="nil"/>
              <w:bottom w:val="single" w:color="auto" w:sz="4" w:space="0"/>
              <w:right w:val="single" w:color="auto" w:sz="4" w:space="0"/>
            </w:tcBorders>
            <w:vAlign w:val="center"/>
          </w:tcPr>
          <w:p w14:paraId="45446BF1">
            <w:pPr>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拟在本项目任职岗位</w:t>
            </w:r>
          </w:p>
        </w:tc>
        <w:tc>
          <w:tcPr>
            <w:tcW w:w="472" w:type="pct"/>
            <w:tcBorders>
              <w:top w:val="single" w:color="auto" w:sz="4" w:space="0"/>
              <w:left w:val="nil"/>
              <w:bottom w:val="single" w:color="auto" w:sz="4" w:space="0"/>
              <w:right w:val="single" w:color="auto" w:sz="4" w:space="0"/>
            </w:tcBorders>
            <w:vAlign w:val="center"/>
          </w:tcPr>
          <w:p w14:paraId="1CA94C42">
            <w:pPr>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数量</w:t>
            </w:r>
          </w:p>
        </w:tc>
        <w:tc>
          <w:tcPr>
            <w:tcW w:w="1358" w:type="pct"/>
            <w:tcBorders>
              <w:top w:val="single" w:color="auto" w:sz="4" w:space="0"/>
              <w:left w:val="nil"/>
              <w:bottom w:val="single" w:color="auto" w:sz="4" w:space="0"/>
              <w:right w:val="single" w:color="auto" w:sz="4" w:space="0"/>
            </w:tcBorders>
            <w:vAlign w:val="center"/>
          </w:tcPr>
          <w:p w14:paraId="0608E80B">
            <w:pPr>
              <w:ind w:left="0" w:leftChars="0" w:firstLine="0" w:firstLineChars="0"/>
              <w:jc w:val="center"/>
              <w:rPr>
                <w:rFonts w:hint="eastAsia" w:ascii="宋体" w:hAnsi="宋体" w:cs="宋体"/>
                <w:b/>
                <w:color w:val="000000" w:themeColor="text1"/>
                <w:sz w:val="24"/>
                <w:szCs w:val="24"/>
                <w:highlight w:val="none"/>
                <w:lang w:eastAsia="zh"/>
                <w14:textFill>
                  <w14:solidFill>
                    <w14:schemeClr w14:val="tx1"/>
                  </w14:solidFill>
                </w14:textFill>
                <w:woUserID w:val="2"/>
              </w:rPr>
            </w:pPr>
            <w:r>
              <w:rPr>
                <w:rFonts w:hint="eastAsia" w:ascii="宋体" w:hAnsi="宋体" w:cs="宋体"/>
                <w:b/>
                <w:color w:val="000000" w:themeColor="text1"/>
                <w:sz w:val="24"/>
                <w:szCs w:val="24"/>
                <w:highlight w:val="none"/>
                <w:lang w:eastAsia="zh"/>
                <w14:textFill>
                  <w14:solidFill>
                    <w14:schemeClr w14:val="tx1"/>
                  </w14:solidFill>
                </w14:textFill>
                <w:woUserID w:val="2"/>
              </w:rPr>
              <w:t>姓名</w:t>
            </w:r>
          </w:p>
        </w:tc>
        <w:tc>
          <w:tcPr>
            <w:tcW w:w="1452" w:type="pct"/>
            <w:tcBorders>
              <w:top w:val="single" w:color="auto" w:sz="4" w:space="0"/>
              <w:left w:val="nil"/>
              <w:bottom w:val="single" w:color="auto" w:sz="4" w:space="0"/>
              <w:right w:val="single" w:color="auto" w:sz="4" w:space="0"/>
            </w:tcBorders>
            <w:vAlign w:val="center"/>
          </w:tcPr>
          <w:p w14:paraId="07A84611">
            <w:pPr>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具体人员要求</w:t>
            </w:r>
          </w:p>
        </w:tc>
      </w:tr>
      <w:tr w14:paraId="1FCC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95" w:type="pct"/>
            <w:vMerge w:val="restart"/>
            <w:tcBorders>
              <w:top w:val="nil"/>
              <w:left w:val="single" w:color="auto" w:sz="4" w:space="0"/>
              <w:right w:val="single" w:color="auto" w:sz="4" w:space="0"/>
            </w:tcBorders>
            <w:vAlign w:val="center"/>
          </w:tcPr>
          <w:p w14:paraId="56527334">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项目管理</w:t>
            </w:r>
          </w:p>
        </w:tc>
        <w:tc>
          <w:tcPr>
            <w:tcW w:w="1120" w:type="pct"/>
            <w:tcBorders>
              <w:top w:val="single" w:color="auto" w:sz="4" w:space="0"/>
              <w:left w:val="nil"/>
              <w:bottom w:val="single" w:color="auto" w:sz="4" w:space="0"/>
              <w:right w:val="single" w:color="auto" w:sz="4" w:space="0"/>
            </w:tcBorders>
            <w:vAlign w:val="center"/>
          </w:tcPr>
          <w:p w14:paraId="02582994">
            <w:pPr>
              <w:jc w:val="center"/>
              <w:rPr>
                <w:rFonts w:ascii="宋体" w:hAnsi="宋体" w:cs="宋体"/>
                <w:bCs/>
                <w:color w:val="000000" w:themeColor="text1"/>
                <w:sz w:val="24"/>
                <w:szCs w:val="24"/>
                <w:highlight w:val="none"/>
                <w14:textFill>
                  <w14:solidFill>
                    <w14:schemeClr w14:val="tx1"/>
                  </w14:solidFill>
                </w14:textFill>
              </w:rPr>
            </w:pPr>
            <w:r>
              <w:rPr>
                <w:rFonts w:hint="default" w:ascii="宋体" w:hAnsi="宋体" w:cs="宋体"/>
                <w:bCs/>
                <w:color w:val="000000" w:themeColor="text1"/>
                <w:sz w:val="24"/>
                <w:szCs w:val="24"/>
                <w:highlight w:val="none"/>
                <w14:textFill>
                  <w14:solidFill>
                    <w14:schemeClr w14:val="tx1"/>
                  </w14:solidFill>
                </w14:textFill>
              </w:rPr>
              <w:t>项目负责人</w:t>
            </w:r>
            <w:r>
              <w:rPr>
                <w:rFonts w:hint="eastAsia" w:ascii="宋体" w:hAnsi="宋体" w:cs="宋体"/>
                <w:bCs/>
                <w:color w:val="000000" w:themeColor="text1"/>
                <w:sz w:val="24"/>
                <w:szCs w:val="24"/>
                <w:highlight w:val="none"/>
                <w14:textFill>
                  <w14:solidFill>
                    <w14:schemeClr w14:val="tx1"/>
                  </w14:solidFill>
                </w14:textFill>
              </w:rPr>
              <w:t>(现场管理负责人)</w:t>
            </w:r>
          </w:p>
        </w:tc>
        <w:tc>
          <w:tcPr>
            <w:tcW w:w="472" w:type="pct"/>
            <w:tcBorders>
              <w:top w:val="single" w:color="auto" w:sz="4" w:space="0"/>
              <w:left w:val="nil"/>
              <w:bottom w:val="single" w:color="auto" w:sz="4" w:space="0"/>
              <w:right w:val="single" w:color="auto" w:sz="4" w:space="0"/>
            </w:tcBorders>
            <w:vAlign w:val="center"/>
          </w:tcPr>
          <w:p w14:paraId="26CB3DD5">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default" w:ascii="宋体" w:hAnsi="宋体" w:cs="宋体"/>
                <w:bCs/>
                <w:color w:val="000000" w:themeColor="text1"/>
                <w:sz w:val="24"/>
                <w:szCs w:val="24"/>
                <w:highlight w:val="none"/>
                <w14:textFill>
                  <w14:solidFill>
                    <w14:schemeClr w14:val="tx1"/>
                  </w14:solidFill>
                </w14:textFill>
              </w:rPr>
              <w:t>人</w:t>
            </w:r>
          </w:p>
        </w:tc>
        <w:tc>
          <w:tcPr>
            <w:tcW w:w="1358" w:type="pct"/>
            <w:tcBorders>
              <w:top w:val="single" w:color="auto" w:sz="4" w:space="0"/>
              <w:left w:val="nil"/>
              <w:bottom w:val="single" w:color="auto" w:sz="4" w:space="0"/>
              <w:right w:val="single" w:color="auto" w:sz="4" w:space="0"/>
            </w:tcBorders>
            <w:vAlign w:val="center"/>
          </w:tcPr>
          <w:p w14:paraId="148E22D9">
            <w:pPr>
              <w:ind w:left="0" w:leftChars="0" w:firstLine="0" w:firstLineChars="0"/>
              <w:jc w:val="center"/>
              <w:rPr>
                <w:rFonts w:hint="default" w:ascii="宋体" w:hAnsi="宋体" w:cs="宋体"/>
                <w:bCs/>
                <w:color w:val="000000" w:themeColor="text1"/>
                <w:sz w:val="24"/>
                <w:szCs w:val="24"/>
                <w:highlight w:val="none"/>
                <w14:textFill>
                  <w14:solidFill>
                    <w14:schemeClr w14:val="tx1"/>
                  </w14:solidFill>
                </w14:textFill>
              </w:rPr>
            </w:pPr>
            <w:bookmarkStart w:id="6" w:name="_GoBack"/>
            <w:bookmarkEnd w:id="6"/>
          </w:p>
        </w:tc>
        <w:tc>
          <w:tcPr>
            <w:tcW w:w="1452" w:type="pct"/>
            <w:tcBorders>
              <w:top w:val="single" w:color="auto" w:sz="4" w:space="0"/>
              <w:left w:val="nil"/>
              <w:bottom w:val="single" w:color="auto" w:sz="4" w:space="0"/>
              <w:right w:val="single" w:color="auto" w:sz="4" w:space="0"/>
            </w:tcBorders>
            <w:vAlign w:val="center"/>
          </w:tcPr>
          <w:p w14:paraId="0E938A0A">
            <w:pPr>
              <w:jc w:val="center"/>
              <w:rPr>
                <w:rFonts w:ascii="宋体" w:hAnsi="宋体" w:cs="宋体"/>
                <w:bCs/>
                <w:color w:val="000000" w:themeColor="text1"/>
                <w:sz w:val="24"/>
                <w:szCs w:val="24"/>
                <w:highlight w:val="none"/>
                <w14:textFill>
                  <w14:solidFill>
                    <w14:schemeClr w14:val="tx1"/>
                  </w14:solidFill>
                </w14:textFill>
              </w:rPr>
            </w:pPr>
            <w:r>
              <w:rPr>
                <w:rFonts w:hint="default" w:ascii="宋体" w:hAnsi="宋体" w:cs="宋体"/>
                <w:bCs/>
                <w:color w:val="000000" w:themeColor="text1"/>
                <w:sz w:val="24"/>
                <w:szCs w:val="24"/>
                <w:highlight w:val="none"/>
                <w14:textFill>
                  <w14:solidFill>
                    <w14:schemeClr w14:val="tx1"/>
                  </w14:solidFill>
                </w14:textFill>
              </w:rPr>
              <w:t>按招标公告要求。</w:t>
            </w:r>
          </w:p>
        </w:tc>
      </w:tr>
      <w:tr w14:paraId="5E8F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5" w:type="pct"/>
            <w:vMerge w:val="continue"/>
            <w:tcBorders>
              <w:left w:val="single" w:color="auto" w:sz="4" w:space="0"/>
              <w:right w:val="single" w:color="auto" w:sz="4" w:space="0"/>
            </w:tcBorders>
            <w:vAlign w:val="center"/>
          </w:tcPr>
          <w:p w14:paraId="77537464">
            <w:pPr>
              <w:rPr>
                <w:rFonts w:ascii="宋体" w:hAnsi="宋体" w:cs="宋体"/>
                <w:color w:val="000000" w:themeColor="text1"/>
                <w:sz w:val="24"/>
                <w:szCs w:val="24"/>
                <w:highlight w:val="none"/>
                <w14:textFill>
                  <w14:solidFill>
                    <w14:schemeClr w14:val="tx1"/>
                  </w14:solidFill>
                </w14:textFill>
              </w:rPr>
            </w:pPr>
          </w:p>
        </w:tc>
        <w:tc>
          <w:tcPr>
            <w:tcW w:w="1120" w:type="pct"/>
            <w:tcBorders>
              <w:top w:val="single" w:color="auto" w:sz="4" w:space="0"/>
              <w:left w:val="nil"/>
              <w:bottom w:val="single" w:color="auto" w:sz="4" w:space="0"/>
              <w:right w:val="single" w:color="auto" w:sz="4" w:space="0"/>
            </w:tcBorders>
            <w:vAlign w:val="center"/>
          </w:tcPr>
          <w:p w14:paraId="0FC90841">
            <w:pPr>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项目统筹管理成员</w:t>
            </w:r>
          </w:p>
        </w:tc>
        <w:tc>
          <w:tcPr>
            <w:tcW w:w="472" w:type="pct"/>
            <w:tcBorders>
              <w:top w:val="single" w:color="auto" w:sz="4" w:space="0"/>
              <w:left w:val="nil"/>
              <w:bottom w:val="single" w:color="auto" w:sz="4" w:space="0"/>
              <w:right w:val="single" w:color="auto" w:sz="4" w:space="0"/>
            </w:tcBorders>
            <w:vAlign w:val="center"/>
          </w:tcPr>
          <w:p w14:paraId="2325DF40">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default" w:ascii="宋体" w:hAnsi="宋体" w:cs="宋体"/>
                <w:bCs/>
                <w:color w:val="000000" w:themeColor="text1"/>
                <w:sz w:val="24"/>
                <w:szCs w:val="24"/>
                <w:highlight w:val="none"/>
                <w14:textFill>
                  <w14:solidFill>
                    <w14:schemeClr w14:val="tx1"/>
                  </w14:solidFill>
                </w14:textFill>
              </w:rPr>
              <w:t>人</w:t>
            </w:r>
          </w:p>
        </w:tc>
        <w:tc>
          <w:tcPr>
            <w:tcW w:w="1358" w:type="pct"/>
            <w:tcBorders>
              <w:top w:val="single" w:color="auto" w:sz="4" w:space="0"/>
              <w:left w:val="nil"/>
              <w:bottom w:val="single" w:color="auto" w:sz="4" w:space="0"/>
              <w:right w:val="single" w:color="auto" w:sz="4" w:space="0"/>
            </w:tcBorders>
            <w:vAlign w:val="center"/>
          </w:tcPr>
          <w:p w14:paraId="3FC1E76A">
            <w:pPr>
              <w:ind w:left="0" w:leftChars="0" w:firstLine="0" w:firstLineChars="0"/>
              <w:jc w:val="center"/>
              <w:rPr>
                <w:rFonts w:hint="default" w:ascii="宋体" w:hAnsi="宋体" w:cs="宋体"/>
                <w:bCs/>
                <w:color w:val="000000" w:themeColor="text1"/>
                <w:sz w:val="24"/>
                <w:szCs w:val="24"/>
                <w:highlight w:val="none"/>
                <w14:textFill>
                  <w14:solidFill>
                    <w14:schemeClr w14:val="tx1"/>
                  </w14:solidFill>
                </w14:textFill>
              </w:rPr>
            </w:pPr>
          </w:p>
        </w:tc>
        <w:tc>
          <w:tcPr>
            <w:tcW w:w="1452" w:type="pct"/>
            <w:tcBorders>
              <w:top w:val="single" w:color="auto" w:sz="4" w:space="0"/>
              <w:left w:val="nil"/>
              <w:bottom w:val="single" w:color="auto" w:sz="4" w:space="0"/>
              <w:right w:val="single" w:color="auto" w:sz="4" w:space="0"/>
            </w:tcBorders>
            <w:vAlign w:val="center"/>
          </w:tcPr>
          <w:p w14:paraId="7D38CF6C">
            <w:pPr>
              <w:jc w:val="center"/>
              <w:rPr>
                <w:rFonts w:ascii="宋体" w:hAnsi="宋体" w:cs="宋体"/>
                <w:bCs/>
                <w:color w:val="000000" w:themeColor="text1"/>
                <w:sz w:val="24"/>
                <w:szCs w:val="24"/>
                <w:highlight w:val="none"/>
                <w14:textFill>
                  <w14:solidFill>
                    <w14:schemeClr w14:val="tx1"/>
                  </w14:solidFill>
                </w14:textFill>
              </w:rPr>
            </w:pPr>
            <w:r>
              <w:rPr>
                <w:rFonts w:hint="default" w:ascii="宋体" w:hAnsi="宋体" w:cs="宋体"/>
                <w:bCs/>
                <w:color w:val="000000" w:themeColor="text1"/>
                <w:sz w:val="24"/>
                <w:szCs w:val="24"/>
                <w:highlight w:val="none"/>
                <w14:textFill>
                  <w14:solidFill>
                    <w14:schemeClr w14:val="tx1"/>
                  </w14:solidFill>
                </w14:textFill>
              </w:rPr>
              <w:t>具有工程类高级（或以上）工程师职称</w:t>
            </w:r>
          </w:p>
        </w:tc>
      </w:tr>
      <w:tr w14:paraId="035A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pct"/>
            <w:vMerge w:val="continue"/>
            <w:tcBorders>
              <w:left w:val="single" w:color="auto" w:sz="4" w:space="0"/>
              <w:right w:val="single" w:color="auto" w:sz="4" w:space="0"/>
            </w:tcBorders>
            <w:vAlign w:val="center"/>
          </w:tcPr>
          <w:p w14:paraId="25B28F1E">
            <w:pPr>
              <w:rPr>
                <w:rFonts w:ascii="宋体" w:hAnsi="宋体" w:cs="宋体"/>
                <w:color w:val="000000" w:themeColor="text1"/>
                <w:sz w:val="24"/>
                <w:szCs w:val="24"/>
                <w:highlight w:val="none"/>
                <w14:textFill>
                  <w14:solidFill>
                    <w14:schemeClr w14:val="tx1"/>
                  </w14:solidFill>
                </w14:textFill>
              </w:rPr>
            </w:pPr>
          </w:p>
        </w:tc>
        <w:tc>
          <w:tcPr>
            <w:tcW w:w="1120" w:type="pct"/>
            <w:tcBorders>
              <w:top w:val="single" w:color="auto" w:sz="4" w:space="0"/>
              <w:left w:val="nil"/>
              <w:bottom w:val="single" w:color="auto" w:sz="4" w:space="0"/>
              <w:right w:val="single" w:color="auto" w:sz="4" w:space="0"/>
            </w:tcBorders>
            <w:vAlign w:val="center"/>
          </w:tcPr>
          <w:p w14:paraId="1C6C7C1B">
            <w:pPr>
              <w:jc w:val="center"/>
              <w:rPr>
                <w:rFonts w:hint="eastAsia" w:ascii="宋体" w:hAnsi="宋体" w:cs="宋体"/>
                <w:bCs/>
                <w:color w:val="000000" w:themeColor="text1"/>
                <w:sz w:val="24"/>
                <w:szCs w:val="24"/>
                <w:highlight w:val="none"/>
                <w14:textFill>
                  <w14:solidFill>
                    <w14:schemeClr w14:val="tx1"/>
                  </w14:solidFill>
                </w14:textFill>
              </w:rPr>
            </w:pPr>
            <w:r>
              <w:rPr>
                <w:rFonts w:hint="default" w:ascii="宋体" w:hAnsi="宋体" w:cs="宋体"/>
                <w:b w:val="0"/>
                <w:bCs/>
                <w:color w:val="000000" w:themeColor="text1"/>
                <w:sz w:val="24"/>
                <w:szCs w:val="24"/>
                <w:highlight w:val="none"/>
                <w14:textFill>
                  <w14:solidFill>
                    <w14:schemeClr w14:val="tx1"/>
                  </w14:solidFill>
                </w14:textFill>
              </w:rPr>
              <w:t>设计管理人员</w:t>
            </w:r>
          </w:p>
        </w:tc>
        <w:tc>
          <w:tcPr>
            <w:tcW w:w="472" w:type="pct"/>
            <w:tcBorders>
              <w:top w:val="single" w:color="auto" w:sz="4" w:space="0"/>
              <w:left w:val="nil"/>
              <w:bottom w:val="single" w:color="auto" w:sz="4" w:space="0"/>
              <w:right w:val="single" w:color="auto" w:sz="4" w:space="0"/>
            </w:tcBorders>
            <w:vAlign w:val="center"/>
          </w:tcPr>
          <w:p w14:paraId="25469906">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default" w:ascii="宋体" w:hAnsi="宋体" w:cs="宋体"/>
                <w:bCs/>
                <w:color w:val="000000" w:themeColor="text1"/>
                <w:sz w:val="24"/>
                <w:szCs w:val="24"/>
                <w:highlight w:val="none"/>
                <w14:textFill>
                  <w14:solidFill>
                    <w14:schemeClr w14:val="tx1"/>
                  </w14:solidFill>
                </w14:textFill>
              </w:rPr>
              <w:t>人</w:t>
            </w:r>
          </w:p>
        </w:tc>
        <w:tc>
          <w:tcPr>
            <w:tcW w:w="1358" w:type="pct"/>
            <w:tcBorders>
              <w:top w:val="single" w:color="auto" w:sz="4" w:space="0"/>
              <w:left w:val="nil"/>
              <w:bottom w:val="single" w:color="auto" w:sz="4" w:space="0"/>
              <w:right w:val="single" w:color="auto" w:sz="4" w:space="0"/>
            </w:tcBorders>
            <w:vAlign w:val="center"/>
          </w:tcPr>
          <w:p w14:paraId="22C83E84">
            <w:pPr>
              <w:ind w:left="0" w:leftChars="0" w:firstLine="0" w:firstLineChars="0"/>
              <w:jc w:val="center"/>
              <w:rPr>
                <w:rFonts w:hint="default" w:ascii="宋体" w:hAnsi="宋体" w:cs="宋体"/>
                <w:bCs/>
                <w:color w:val="000000" w:themeColor="text1"/>
                <w:sz w:val="24"/>
                <w:szCs w:val="24"/>
                <w:highlight w:val="none"/>
                <w14:textFill>
                  <w14:solidFill>
                    <w14:schemeClr w14:val="tx1"/>
                  </w14:solidFill>
                </w14:textFill>
              </w:rPr>
            </w:pPr>
          </w:p>
        </w:tc>
        <w:tc>
          <w:tcPr>
            <w:tcW w:w="1452" w:type="pct"/>
            <w:tcBorders>
              <w:top w:val="single" w:color="auto" w:sz="4" w:space="0"/>
              <w:left w:val="nil"/>
              <w:bottom w:val="single" w:color="auto" w:sz="4" w:space="0"/>
              <w:right w:val="single" w:color="auto" w:sz="4" w:space="0"/>
            </w:tcBorders>
            <w:vAlign w:val="center"/>
          </w:tcPr>
          <w:p w14:paraId="79592837">
            <w:pPr>
              <w:adjustRightInd w:val="0"/>
              <w:snapToGrid w:val="0"/>
              <w:jc w:val="center"/>
              <w:rPr>
                <w:rFonts w:ascii="宋体" w:hAnsi="宋体" w:cs="宋体"/>
                <w:bCs/>
                <w:color w:val="000000" w:themeColor="text1"/>
                <w:sz w:val="24"/>
                <w:szCs w:val="24"/>
                <w:highlight w:val="none"/>
                <w14:textFill>
                  <w14:solidFill>
                    <w14:schemeClr w14:val="tx1"/>
                  </w14:solidFill>
                </w14:textFill>
              </w:rPr>
            </w:pPr>
            <w:r>
              <w:rPr>
                <w:rFonts w:ascii="宋体" w:hAnsi="宋体" w:cs="宋体"/>
                <w:bCs/>
                <w:color w:val="auto"/>
                <w:szCs w:val="21"/>
                <w:highlight w:val="none"/>
              </w:rPr>
              <w:t>具有一级建筑师</w:t>
            </w:r>
            <w:r>
              <w:rPr>
                <w:rFonts w:hint="eastAsia" w:ascii="宋体" w:hAnsi="宋体" w:cs="宋体"/>
                <w:bCs/>
                <w:color w:val="auto"/>
                <w:szCs w:val="21"/>
                <w:highlight w:val="none"/>
              </w:rPr>
              <w:t>证书</w:t>
            </w:r>
            <w:r>
              <w:rPr>
                <w:rFonts w:ascii="宋体" w:hAnsi="宋体" w:cs="宋体"/>
                <w:bCs/>
                <w:color w:val="auto"/>
                <w:szCs w:val="21"/>
                <w:highlight w:val="none"/>
              </w:rPr>
              <w:t>或工程类中级（或以上）</w:t>
            </w:r>
            <w:r>
              <w:rPr>
                <w:rFonts w:hint="eastAsia" w:ascii="宋体" w:hAnsi="宋体" w:cs="宋体"/>
                <w:bCs/>
                <w:color w:val="auto"/>
                <w:szCs w:val="21"/>
                <w:highlight w:val="none"/>
              </w:rPr>
              <w:t>技术</w:t>
            </w:r>
            <w:r>
              <w:rPr>
                <w:rFonts w:ascii="宋体" w:hAnsi="宋体" w:cs="宋体"/>
                <w:bCs/>
                <w:color w:val="auto"/>
                <w:szCs w:val="21"/>
                <w:highlight w:val="none"/>
              </w:rPr>
              <w:t>职称</w:t>
            </w:r>
            <w:r>
              <w:rPr>
                <w:rFonts w:hint="eastAsia" w:ascii="宋体" w:hAnsi="宋体" w:cs="宋体"/>
                <w:bCs/>
                <w:color w:val="auto"/>
                <w:szCs w:val="21"/>
                <w:highlight w:val="none"/>
              </w:rPr>
              <w:t>或从事相关专业工作满8年（或以上）。</w:t>
            </w:r>
          </w:p>
        </w:tc>
      </w:tr>
      <w:tr w14:paraId="797D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95" w:type="pct"/>
            <w:vMerge w:val="continue"/>
            <w:tcBorders>
              <w:left w:val="single" w:color="auto" w:sz="4" w:space="0"/>
              <w:right w:val="single" w:color="auto" w:sz="4" w:space="0"/>
            </w:tcBorders>
            <w:vAlign w:val="center"/>
          </w:tcPr>
          <w:p w14:paraId="316A4490">
            <w:pPr>
              <w:rPr>
                <w:rFonts w:ascii="宋体" w:hAnsi="宋体" w:cs="宋体"/>
                <w:color w:val="000000" w:themeColor="text1"/>
                <w:sz w:val="24"/>
                <w:szCs w:val="24"/>
                <w:highlight w:val="none"/>
                <w14:textFill>
                  <w14:solidFill>
                    <w14:schemeClr w14:val="tx1"/>
                  </w14:solidFill>
                </w14:textFill>
              </w:rPr>
            </w:pPr>
          </w:p>
        </w:tc>
        <w:tc>
          <w:tcPr>
            <w:tcW w:w="1120" w:type="pct"/>
            <w:tcBorders>
              <w:top w:val="single" w:color="auto" w:sz="4" w:space="0"/>
              <w:left w:val="nil"/>
              <w:bottom w:val="single" w:color="auto" w:sz="4" w:space="0"/>
              <w:right w:val="single" w:color="auto" w:sz="4" w:space="0"/>
            </w:tcBorders>
            <w:vAlign w:val="center"/>
          </w:tcPr>
          <w:p w14:paraId="6D82E695">
            <w:pPr>
              <w:jc w:val="center"/>
              <w:rPr>
                <w:rFonts w:hint="eastAsia" w:ascii="宋体" w:hAnsi="宋体" w:cs="宋体"/>
                <w:bCs/>
                <w:color w:val="000000" w:themeColor="text1"/>
                <w:sz w:val="24"/>
                <w:szCs w:val="24"/>
                <w:highlight w:val="none"/>
                <w14:textFill>
                  <w14:solidFill>
                    <w14:schemeClr w14:val="tx1"/>
                  </w14:solidFill>
                </w14:textFill>
              </w:rPr>
            </w:pPr>
            <w:r>
              <w:rPr>
                <w:rFonts w:hint="default" w:ascii="宋体" w:hAnsi="宋体" w:cs="宋体"/>
                <w:b w:val="0"/>
                <w:bCs/>
                <w:color w:val="000000" w:themeColor="text1"/>
                <w:sz w:val="24"/>
                <w:szCs w:val="24"/>
                <w:highlight w:val="none"/>
                <w14:textFill>
                  <w14:solidFill>
                    <w14:schemeClr w14:val="tx1"/>
                  </w14:solidFill>
                </w14:textFill>
              </w:rPr>
              <w:t>造价管理人员</w:t>
            </w:r>
          </w:p>
        </w:tc>
        <w:tc>
          <w:tcPr>
            <w:tcW w:w="472" w:type="pct"/>
            <w:tcBorders>
              <w:top w:val="single" w:color="auto" w:sz="4" w:space="0"/>
              <w:left w:val="nil"/>
              <w:bottom w:val="single" w:color="auto" w:sz="4" w:space="0"/>
              <w:right w:val="single" w:color="auto" w:sz="4" w:space="0"/>
            </w:tcBorders>
            <w:vAlign w:val="center"/>
          </w:tcPr>
          <w:p w14:paraId="06F37D54">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default" w:ascii="宋体" w:hAnsi="宋体" w:cs="宋体"/>
                <w:bCs/>
                <w:color w:val="000000" w:themeColor="text1"/>
                <w:sz w:val="24"/>
                <w:szCs w:val="24"/>
                <w:highlight w:val="none"/>
                <w14:textFill>
                  <w14:solidFill>
                    <w14:schemeClr w14:val="tx1"/>
                  </w14:solidFill>
                </w14:textFill>
              </w:rPr>
              <w:t>人</w:t>
            </w:r>
          </w:p>
        </w:tc>
        <w:tc>
          <w:tcPr>
            <w:tcW w:w="1358" w:type="pct"/>
            <w:tcBorders>
              <w:top w:val="single" w:color="auto" w:sz="4" w:space="0"/>
              <w:left w:val="nil"/>
              <w:bottom w:val="single" w:color="auto" w:sz="4" w:space="0"/>
              <w:right w:val="single" w:color="auto" w:sz="4" w:space="0"/>
            </w:tcBorders>
            <w:vAlign w:val="center"/>
          </w:tcPr>
          <w:p w14:paraId="23CB9CC5">
            <w:pPr>
              <w:ind w:left="0" w:leftChars="0" w:firstLine="0" w:firstLineChars="0"/>
              <w:jc w:val="center"/>
              <w:rPr>
                <w:rFonts w:hint="default" w:ascii="宋体" w:hAnsi="宋体" w:cs="宋体"/>
                <w:bCs/>
                <w:color w:val="000000" w:themeColor="text1"/>
                <w:sz w:val="24"/>
                <w:szCs w:val="24"/>
                <w:highlight w:val="none"/>
                <w14:textFill>
                  <w14:solidFill>
                    <w14:schemeClr w14:val="tx1"/>
                  </w14:solidFill>
                </w14:textFill>
              </w:rPr>
            </w:pPr>
          </w:p>
        </w:tc>
        <w:tc>
          <w:tcPr>
            <w:tcW w:w="1452" w:type="pct"/>
            <w:tcBorders>
              <w:top w:val="single" w:color="auto" w:sz="4" w:space="0"/>
              <w:left w:val="nil"/>
              <w:bottom w:val="single" w:color="auto" w:sz="4" w:space="0"/>
              <w:right w:val="single" w:color="auto" w:sz="4" w:space="0"/>
            </w:tcBorders>
            <w:vAlign w:val="center"/>
          </w:tcPr>
          <w:p w14:paraId="495BF4FF">
            <w:pPr>
              <w:adjustRightInd w:val="0"/>
              <w:snapToGrid w:val="0"/>
              <w:jc w:val="center"/>
              <w:rPr>
                <w:rFonts w:ascii="宋体" w:hAnsi="宋体" w:cs="宋体"/>
                <w:bCs/>
                <w:color w:val="000000" w:themeColor="text1"/>
                <w:sz w:val="24"/>
                <w:szCs w:val="24"/>
                <w:highlight w:val="none"/>
                <w14:textFill>
                  <w14:solidFill>
                    <w14:schemeClr w14:val="tx1"/>
                  </w14:solidFill>
                </w14:textFill>
              </w:rPr>
            </w:pPr>
            <w:r>
              <w:rPr>
                <w:rFonts w:ascii="宋体" w:hAnsi="宋体" w:cs="宋体"/>
                <w:bCs/>
                <w:color w:val="auto"/>
                <w:szCs w:val="21"/>
                <w:highlight w:val="none"/>
              </w:rPr>
              <w:t>具有一级造价工程师证书或工程类</w:t>
            </w:r>
            <w:r>
              <w:rPr>
                <w:rFonts w:hint="eastAsia" w:ascii="宋体" w:hAnsi="宋体" w:cs="宋体"/>
                <w:bCs/>
                <w:color w:val="auto"/>
                <w:szCs w:val="21"/>
                <w:highlight w:val="none"/>
              </w:rPr>
              <w:t>或工程经济类</w:t>
            </w:r>
            <w:r>
              <w:rPr>
                <w:rFonts w:ascii="宋体" w:hAnsi="宋体" w:cs="宋体"/>
                <w:bCs/>
                <w:color w:val="auto"/>
                <w:szCs w:val="21"/>
                <w:highlight w:val="none"/>
              </w:rPr>
              <w:t>中级（或以上）</w:t>
            </w:r>
            <w:r>
              <w:rPr>
                <w:rFonts w:hint="eastAsia" w:ascii="宋体" w:hAnsi="宋体" w:cs="宋体"/>
                <w:bCs/>
                <w:color w:val="auto"/>
                <w:szCs w:val="21"/>
                <w:highlight w:val="none"/>
              </w:rPr>
              <w:t>技术</w:t>
            </w:r>
            <w:r>
              <w:rPr>
                <w:rFonts w:ascii="宋体" w:hAnsi="宋体" w:cs="宋体"/>
                <w:bCs/>
                <w:color w:val="auto"/>
                <w:szCs w:val="21"/>
                <w:highlight w:val="none"/>
              </w:rPr>
              <w:t>职称</w:t>
            </w:r>
            <w:r>
              <w:rPr>
                <w:rFonts w:hint="eastAsia" w:ascii="宋体" w:hAnsi="宋体" w:cs="宋体"/>
                <w:bCs/>
                <w:color w:val="auto"/>
                <w:szCs w:val="21"/>
                <w:highlight w:val="none"/>
              </w:rPr>
              <w:t>或从事相关专业工作满8年（或以上）。</w:t>
            </w:r>
          </w:p>
        </w:tc>
      </w:tr>
      <w:tr w14:paraId="1ABD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95" w:type="pct"/>
            <w:vMerge w:val="continue"/>
            <w:tcBorders>
              <w:left w:val="single" w:color="auto" w:sz="4" w:space="0"/>
              <w:right w:val="single" w:color="auto" w:sz="4" w:space="0"/>
            </w:tcBorders>
            <w:vAlign w:val="center"/>
          </w:tcPr>
          <w:p w14:paraId="46519E3E">
            <w:pPr>
              <w:rPr>
                <w:rFonts w:ascii="宋体" w:hAnsi="宋体" w:cs="宋体"/>
                <w:color w:val="000000" w:themeColor="text1"/>
                <w:sz w:val="24"/>
                <w:szCs w:val="24"/>
                <w:highlight w:val="none"/>
                <w14:textFill>
                  <w14:solidFill>
                    <w14:schemeClr w14:val="tx1"/>
                  </w14:solidFill>
                </w14:textFill>
              </w:rPr>
            </w:pPr>
          </w:p>
        </w:tc>
        <w:tc>
          <w:tcPr>
            <w:tcW w:w="1120" w:type="pct"/>
            <w:tcBorders>
              <w:top w:val="single" w:color="auto" w:sz="4" w:space="0"/>
              <w:left w:val="nil"/>
              <w:bottom w:val="single" w:color="auto" w:sz="4" w:space="0"/>
              <w:right w:val="single" w:color="auto" w:sz="4" w:space="0"/>
            </w:tcBorders>
            <w:vAlign w:val="center"/>
          </w:tcPr>
          <w:p w14:paraId="04E62320">
            <w:pPr>
              <w:jc w:val="center"/>
              <w:rPr>
                <w:rFonts w:hint="eastAsia" w:ascii="宋体" w:hAnsi="宋体" w:cs="宋体"/>
                <w:bCs/>
                <w:color w:val="000000" w:themeColor="text1"/>
                <w:sz w:val="24"/>
                <w:szCs w:val="24"/>
                <w:highlight w:val="none"/>
                <w14:textFill>
                  <w14:solidFill>
                    <w14:schemeClr w14:val="tx1"/>
                  </w14:solidFill>
                </w14:textFill>
              </w:rPr>
            </w:pPr>
            <w:r>
              <w:rPr>
                <w:rFonts w:hint="default" w:ascii="宋体" w:hAnsi="宋体" w:cs="宋体"/>
                <w:b w:val="0"/>
                <w:bCs/>
                <w:color w:val="000000" w:themeColor="text1"/>
                <w:sz w:val="24"/>
                <w:szCs w:val="24"/>
                <w:highlight w:val="none"/>
                <w14:textFill>
                  <w14:solidFill>
                    <w14:schemeClr w14:val="tx1"/>
                  </w14:solidFill>
                </w14:textFill>
              </w:rPr>
              <w:t>报批报建管理人员</w:t>
            </w:r>
          </w:p>
        </w:tc>
        <w:tc>
          <w:tcPr>
            <w:tcW w:w="472" w:type="pct"/>
            <w:tcBorders>
              <w:top w:val="single" w:color="auto" w:sz="4" w:space="0"/>
              <w:left w:val="nil"/>
              <w:bottom w:val="single" w:color="auto" w:sz="4" w:space="0"/>
              <w:right w:val="single" w:color="auto" w:sz="4" w:space="0"/>
            </w:tcBorders>
            <w:vAlign w:val="center"/>
          </w:tcPr>
          <w:p w14:paraId="42BB2456">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default" w:ascii="宋体" w:hAnsi="宋体" w:cs="宋体"/>
                <w:bCs/>
                <w:color w:val="000000" w:themeColor="text1"/>
                <w:sz w:val="24"/>
                <w:szCs w:val="24"/>
                <w:highlight w:val="none"/>
                <w14:textFill>
                  <w14:solidFill>
                    <w14:schemeClr w14:val="tx1"/>
                  </w14:solidFill>
                </w14:textFill>
              </w:rPr>
              <w:t>人</w:t>
            </w:r>
          </w:p>
        </w:tc>
        <w:tc>
          <w:tcPr>
            <w:tcW w:w="1358" w:type="pct"/>
            <w:tcBorders>
              <w:top w:val="single" w:color="auto" w:sz="4" w:space="0"/>
              <w:left w:val="nil"/>
              <w:bottom w:val="single" w:color="auto" w:sz="4" w:space="0"/>
              <w:right w:val="single" w:color="auto" w:sz="4" w:space="0"/>
            </w:tcBorders>
            <w:vAlign w:val="center"/>
          </w:tcPr>
          <w:p w14:paraId="743A953A">
            <w:pPr>
              <w:ind w:left="0" w:leftChars="0" w:firstLine="0" w:firstLineChars="0"/>
              <w:jc w:val="center"/>
              <w:rPr>
                <w:rFonts w:hint="default" w:ascii="宋体" w:hAnsi="宋体" w:cs="宋体"/>
                <w:bCs/>
                <w:color w:val="000000" w:themeColor="text1"/>
                <w:sz w:val="24"/>
                <w:szCs w:val="24"/>
                <w:highlight w:val="none"/>
                <w14:textFill>
                  <w14:solidFill>
                    <w14:schemeClr w14:val="tx1"/>
                  </w14:solidFill>
                </w14:textFill>
              </w:rPr>
            </w:pPr>
          </w:p>
        </w:tc>
        <w:tc>
          <w:tcPr>
            <w:tcW w:w="1452" w:type="pct"/>
            <w:tcBorders>
              <w:top w:val="single" w:color="auto" w:sz="4" w:space="0"/>
              <w:left w:val="nil"/>
              <w:bottom w:val="single" w:color="auto" w:sz="4" w:space="0"/>
              <w:right w:val="single" w:color="auto" w:sz="4" w:space="0"/>
            </w:tcBorders>
            <w:vAlign w:val="center"/>
          </w:tcPr>
          <w:p w14:paraId="10F427F0">
            <w:pPr>
              <w:adjustRightInd w:val="0"/>
              <w:snapToGrid w:val="0"/>
              <w:jc w:val="center"/>
              <w:rPr>
                <w:rFonts w:ascii="宋体" w:hAnsi="宋体" w:cs="宋体"/>
                <w:bCs/>
                <w:color w:val="000000" w:themeColor="text1"/>
                <w:sz w:val="24"/>
                <w:szCs w:val="24"/>
                <w:highlight w:val="none"/>
                <w14:textFill>
                  <w14:solidFill>
                    <w14:schemeClr w14:val="tx1"/>
                  </w14:solidFill>
                </w14:textFill>
              </w:rPr>
            </w:pPr>
            <w:r>
              <w:rPr>
                <w:rFonts w:ascii="宋体" w:hAnsi="宋体" w:cs="宋体"/>
                <w:bCs/>
                <w:color w:val="auto"/>
                <w:szCs w:val="21"/>
                <w:highlight w:val="none"/>
              </w:rPr>
              <w:t>具有咨询工程师（投资）证书或工程</w:t>
            </w:r>
            <w:r>
              <w:rPr>
                <w:rFonts w:hint="eastAsia" w:ascii="宋体" w:hAnsi="宋体" w:cs="宋体"/>
                <w:bCs/>
                <w:color w:val="auto"/>
                <w:szCs w:val="21"/>
                <w:highlight w:val="none"/>
              </w:rPr>
              <w:t>类或工程经济类</w:t>
            </w:r>
            <w:r>
              <w:rPr>
                <w:rFonts w:ascii="宋体" w:hAnsi="宋体" w:cs="宋体"/>
                <w:bCs/>
                <w:color w:val="auto"/>
                <w:szCs w:val="21"/>
                <w:highlight w:val="none"/>
              </w:rPr>
              <w:t>中级（或以上）</w:t>
            </w:r>
            <w:r>
              <w:rPr>
                <w:rFonts w:hint="eastAsia" w:ascii="宋体" w:hAnsi="宋体" w:cs="宋体"/>
                <w:bCs/>
                <w:color w:val="auto"/>
                <w:szCs w:val="21"/>
                <w:highlight w:val="none"/>
              </w:rPr>
              <w:t>技术</w:t>
            </w:r>
            <w:r>
              <w:rPr>
                <w:rFonts w:ascii="宋体" w:hAnsi="宋体" w:cs="宋体"/>
                <w:bCs/>
                <w:color w:val="auto"/>
                <w:szCs w:val="21"/>
                <w:highlight w:val="none"/>
              </w:rPr>
              <w:t>职称</w:t>
            </w:r>
            <w:r>
              <w:rPr>
                <w:rFonts w:hint="eastAsia" w:ascii="宋体" w:hAnsi="宋体" w:cs="宋体"/>
                <w:bCs/>
                <w:color w:val="auto"/>
                <w:szCs w:val="21"/>
                <w:highlight w:val="none"/>
              </w:rPr>
              <w:t>，或从事相关专业工作满8年（或以上）。</w:t>
            </w:r>
          </w:p>
        </w:tc>
      </w:tr>
      <w:tr w14:paraId="0B41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716" w:type="pct"/>
            <w:gridSpan w:val="2"/>
            <w:tcBorders>
              <w:left w:val="single" w:color="auto" w:sz="4" w:space="0"/>
              <w:right w:val="single" w:color="auto" w:sz="4" w:space="0"/>
            </w:tcBorders>
            <w:vAlign w:val="center"/>
          </w:tcPr>
          <w:p w14:paraId="77F8F59D">
            <w:pPr>
              <w:jc w:val="center"/>
              <w:rPr>
                <w:rFonts w:ascii="宋体" w:hAnsi="宋体" w:cs="宋体"/>
                <w:bCs/>
                <w:color w:val="000000" w:themeColor="text1"/>
                <w:sz w:val="24"/>
                <w:szCs w:val="24"/>
                <w:highlight w:val="none"/>
                <w14:textFill>
                  <w14:solidFill>
                    <w14:schemeClr w14:val="tx1"/>
                  </w14:solidFill>
                </w14:textFill>
              </w:rPr>
            </w:pPr>
            <w:r>
              <w:rPr>
                <w:rFonts w:hint="default" w:ascii="宋体" w:hAnsi="宋体" w:cs="宋体"/>
                <w:bCs/>
                <w:color w:val="000000" w:themeColor="text1"/>
                <w:sz w:val="24"/>
                <w:szCs w:val="24"/>
                <w:highlight w:val="none"/>
                <w14:textFill>
                  <w14:solidFill>
                    <w14:schemeClr w14:val="tx1"/>
                  </w14:solidFill>
                </w14:textFill>
              </w:rPr>
              <w:t>合计</w:t>
            </w:r>
          </w:p>
        </w:tc>
        <w:tc>
          <w:tcPr>
            <w:tcW w:w="472" w:type="pct"/>
            <w:tcBorders>
              <w:top w:val="single" w:color="auto" w:sz="4" w:space="0"/>
              <w:left w:val="nil"/>
              <w:bottom w:val="single" w:color="auto" w:sz="4" w:space="0"/>
              <w:right w:val="single" w:color="auto" w:sz="4" w:space="0"/>
            </w:tcBorders>
            <w:vAlign w:val="center"/>
          </w:tcPr>
          <w:p w14:paraId="79EE1D15">
            <w:pPr>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 xml:space="preserve"> </w:t>
            </w:r>
            <w:r>
              <w:rPr>
                <w:rFonts w:hint="default" w:ascii="宋体" w:hAnsi="宋体" w:cs="宋体"/>
                <w:bCs/>
                <w:color w:val="000000" w:themeColor="text1"/>
                <w:sz w:val="24"/>
                <w:szCs w:val="24"/>
                <w:highlight w:val="none"/>
                <w14:textFill>
                  <w14:solidFill>
                    <w14:schemeClr w14:val="tx1"/>
                  </w14:solidFill>
                </w14:textFill>
              </w:rPr>
              <w:t>人</w:t>
            </w:r>
          </w:p>
        </w:tc>
        <w:tc>
          <w:tcPr>
            <w:tcW w:w="1358" w:type="pct"/>
            <w:tcBorders>
              <w:top w:val="single" w:color="auto" w:sz="4" w:space="0"/>
              <w:left w:val="nil"/>
              <w:bottom w:val="single" w:color="auto" w:sz="4" w:space="0"/>
              <w:right w:val="single" w:color="auto" w:sz="4" w:space="0"/>
            </w:tcBorders>
            <w:vAlign w:val="center"/>
          </w:tcPr>
          <w:p w14:paraId="434AEDD0">
            <w:pPr>
              <w:ind w:left="0" w:leftChars="0" w:firstLine="0" w:firstLineChars="0"/>
              <w:jc w:val="center"/>
              <w:rPr>
                <w:rFonts w:hint="eastAsia" w:ascii="宋体" w:hAnsi="宋体" w:eastAsia="宋体" w:cs="宋体"/>
                <w:bCs/>
                <w:color w:val="000000" w:themeColor="text1"/>
                <w:sz w:val="24"/>
                <w:szCs w:val="24"/>
                <w:highlight w:val="none"/>
                <w:lang w:eastAsia="zh"/>
                <w14:textFill>
                  <w14:solidFill>
                    <w14:schemeClr w14:val="tx1"/>
                  </w14:solidFill>
                </w14:textFill>
                <w:woUserID w:val="2"/>
              </w:rPr>
            </w:pPr>
            <w:r>
              <w:rPr>
                <w:rFonts w:hint="eastAsia" w:ascii="宋体" w:hAnsi="宋体" w:cs="宋体"/>
                <w:bCs/>
                <w:color w:val="000000" w:themeColor="text1"/>
                <w:sz w:val="24"/>
                <w:szCs w:val="24"/>
                <w:highlight w:val="none"/>
                <w:lang w:eastAsia="zh"/>
                <w14:textFill>
                  <w14:solidFill>
                    <w14:schemeClr w14:val="tx1"/>
                  </w14:solidFill>
                </w14:textFill>
                <w:woUserID w:val="2"/>
              </w:rPr>
              <w:t>/</w:t>
            </w:r>
          </w:p>
        </w:tc>
        <w:tc>
          <w:tcPr>
            <w:tcW w:w="1452" w:type="pct"/>
            <w:tcBorders>
              <w:top w:val="single" w:color="auto" w:sz="4" w:space="0"/>
              <w:left w:val="nil"/>
              <w:bottom w:val="single" w:color="auto" w:sz="4" w:space="0"/>
              <w:right w:val="single" w:color="auto" w:sz="4" w:space="0"/>
            </w:tcBorders>
            <w:vAlign w:val="center"/>
          </w:tcPr>
          <w:p w14:paraId="0AF18EEF">
            <w:pPr>
              <w:jc w:val="center"/>
              <w:rPr>
                <w:rFonts w:hint="eastAsia" w:ascii="宋体" w:hAnsi="宋体" w:cs="宋体"/>
                <w:bCs/>
                <w:color w:val="000000" w:themeColor="text1"/>
                <w:sz w:val="24"/>
                <w:szCs w:val="24"/>
                <w:highlight w:val="none"/>
                <w:lang w:eastAsia="zh"/>
                <w14:textFill>
                  <w14:solidFill>
                    <w14:schemeClr w14:val="tx1"/>
                  </w14:solidFill>
                </w14:textFill>
                <w:woUserID w:val="2"/>
              </w:rPr>
            </w:pPr>
            <w:r>
              <w:rPr>
                <w:rFonts w:hint="eastAsia" w:ascii="宋体" w:hAnsi="宋体" w:cs="宋体"/>
                <w:bCs/>
                <w:color w:val="000000" w:themeColor="text1"/>
                <w:sz w:val="24"/>
                <w:szCs w:val="24"/>
                <w:highlight w:val="none"/>
                <w:lang w:eastAsia="zh"/>
                <w14:textFill>
                  <w14:solidFill>
                    <w14:schemeClr w14:val="tx1"/>
                  </w14:solidFill>
                </w14:textFill>
                <w:woUserID w:val="2"/>
              </w:rPr>
              <w:t>/</w:t>
            </w:r>
          </w:p>
        </w:tc>
      </w:tr>
      <w:tr w14:paraId="380C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780C06B">
            <w:pPr>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注：1、上述人员不得互相兼任。</w:t>
            </w:r>
          </w:p>
          <w:p w14:paraId="70E024F1">
            <w:pPr>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若提供一级建筑师证书、一级造价工程师证书、咨询工程师（投资）证书的，以执业资格证为准，不提供不得分；实施分级前的注册造价工程师自动划分为一级注册造价工程师，详见住房和城乡建设部关于修改《工程造价咨询企业管理办法》《注册造价工程师管理办法》的决定（中华人民共和国住房和城乡建设部令第50号）。提供实施分级前的注册造价工程师证书的，还需同时提供相关网站查询的网页信息截图打印件，注册单位需是本单位，且状态为“正常”或在有效期内。</w:t>
            </w:r>
          </w:p>
          <w:p w14:paraId="6CB07271">
            <w:pPr>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3、若提供工程类或工程经济类技术职称证书的，相关专业以职称证书所载专业为准（如职称证书未体现对应专业，须提供大学本科及以上学历毕业证书，并以毕业证书所载专业为准）。不提供不得分；</w:t>
            </w:r>
          </w:p>
          <w:p w14:paraId="4CE3B804">
            <w:pPr>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4、若提供从事相关专业工作经验证明材料的，不提供不得分：</w:t>
            </w:r>
          </w:p>
          <w:p w14:paraId="7A47DD7C">
            <w:pPr>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相关专业以提供的大学本科及以上学历毕业证书所载专业为准。（其中设计管理人员相关专业是指：建筑工程类、工程设计类、工程管理类等相关专业；合同造价管理人员相关专业是指：工程造价类、工程管理类、工程经济类等相关专业；报批报建管理人员相关专业是指：工程投资类、城乡规划类、建筑工程类、工程管理类、工程经济类等的相关专业）</w:t>
            </w:r>
          </w:p>
          <w:p w14:paraId="0C42D399">
            <w:pPr>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（2）工作年限以大学本科及以上学历毕业证书发证日期至投标截止日期为准。</w:t>
            </w:r>
          </w:p>
        </w:tc>
      </w:tr>
    </w:tbl>
    <w:p w14:paraId="1EA0A9C6">
      <w:pPr>
        <w:pStyle w:val="16"/>
        <w:rPr>
          <w:highlight w:val="none"/>
        </w:rPr>
      </w:pPr>
    </w:p>
    <w:sectPr>
      <w:pgSz w:w="11906" w:h="16838"/>
      <w:pgMar w:top="1440" w:right="1797" w:bottom="1440" w:left="1797" w:header="851" w:footer="992" w:gutter="0"/>
      <w:cols w:space="720" w:num="1"/>
      <w:titlePg/>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042FF">
    <w:pPr>
      <w:pStyle w:val="11"/>
      <w:jc w:val="center"/>
    </w:pPr>
    <w:r>
      <w:fldChar w:fldCharType="begin"/>
    </w:r>
    <w:r>
      <w:instrText xml:space="preserve"> PAGE   \* MERGEFORMAT </w:instrText>
    </w:r>
    <w:r>
      <w:fldChar w:fldCharType="separate"/>
    </w:r>
    <w:r>
      <w:t>14</w:t>
    </w:r>
    <w:r>
      <w:fldChar w:fldCharType="end"/>
    </w:r>
  </w:p>
  <w:p w14:paraId="06B96249">
    <w:pPr>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74BE">
    <w:pPr>
      <w:pStyle w:val="11"/>
      <w:jc w:val="center"/>
    </w:pPr>
  </w:p>
  <w:p w14:paraId="58337B79">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4553C">
    <w:pPr>
      <w:pStyle w:val="11"/>
      <w:jc w:val="center"/>
    </w:pPr>
    <w:r>
      <w:fldChar w:fldCharType="begin"/>
    </w:r>
    <w:r>
      <w:instrText xml:space="preserve"> PAGE   \* MERGEFORMAT </w:instrText>
    </w:r>
    <w:r>
      <w:fldChar w:fldCharType="separate"/>
    </w:r>
    <w:r>
      <w:t>1</w:t>
    </w:r>
    <w:r>
      <w:fldChar w:fldCharType="end"/>
    </w:r>
  </w:p>
  <w:p w14:paraId="576DB4EE">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E91A1">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D1D87">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lvl>
    <w:lvl w:ilvl="1" w:tentative="0">
      <w:start w:val="1"/>
      <w:numFmt w:val="decimal"/>
      <w:lvlText w:val="%2、"/>
      <w:lvlJc w:val="left"/>
      <w:pPr>
        <w:tabs>
          <w:tab w:val="left" w:pos="720"/>
        </w:tabs>
        <w:ind w:left="720" w:hanging="720"/>
      </w:p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3006059"/>
    <w:multiLevelType w:val="multilevel"/>
    <w:tmpl w:val="23006059"/>
    <w:lvl w:ilvl="0" w:tentative="0">
      <w:start w:val="3"/>
      <w:numFmt w:val="decimal"/>
      <w:lvlText w:val="%1."/>
      <w:lvlJc w:val="left"/>
      <w:pPr>
        <w:tabs>
          <w:tab w:val="left" w:pos="480"/>
        </w:tabs>
        <w:ind w:left="480" w:hanging="480"/>
      </w:pPr>
      <w:rPr>
        <w:rFonts w:hint="default" w:cs="Times New Roman"/>
      </w:rPr>
    </w:lvl>
    <w:lvl w:ilvl="1" w:tentative="0">
      <w:start w:val="1"/>
      <w:numFmt w:val="decimal"/>
      <w:lvlText w:val="%1.%2."/>
      <w:lvlJc w:val="left"/>
      <w:pPr>
        <w:tabs>
          <w:tab w:val="left" w:pos="1080"/>
        </w:tabs>
        <w:ind w:left="1080" w:hanging="720"/>
      </w:pPr>
      <w:rPr>
        <w:rFonts w:hint="default" w:cs="Times New Roman"/>
        <w:b/>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2160"/>
        </w:tabs>
        <w:ind w:left="2160" w:hanging="1080"/>
      </w:pPr>
      <w:rPr>
        <w:rFonts w:hint="default" w:cs="Times New Roman"/>
      </w:rPr>
    </w:lvl>
    <w:lvl w:ilvl="4" w:tentative="0">
      <w:start w:val="1"/>
      <w:numFmt w:val="decimal"/>
      <w:lvlText w:val="%1.%2.%3.%4.%5."/>
      <w:lvlJc w:val="left"/>
      <w:pPr>
        <w:tabs>
          <w:tab w:val="left" w:pos="2880"/>
        </w:tabs>
        <w:ind w:left="2880" w:hanging="1440"/>
      </w:pPr>
      <w:rPr>
        <w:rFonts w:hint="default" w:cs="Times New Roman"/>
      </w:rPr>
    </w:lvl>
    <w:lvl w:ilvl="5" w:tentative="0">
      <w:start w:val="1"/>
      <w:numFmt w:val="decimal"/>
      <w:lvlText w:val="%1.%2.%3.%4.%5.%6."/>
      <w:lvlJc w:val="left"/>
      <w:pPr>
        <w:tabs>
          <w:tab w:val="left" w:pos="3240"/>
        </w:tabs>
        <w:ind w:left="3240" w:hanging="1440"/>
      </w:pPr>
      <w:rPr>
        <w:rFonts w:hint="default" w:cs="Times New Roman"/>
      </w:rPr>
    </w:lvl>
    <w:lvl w:ilvl="6" w:tentative="0">
      <w:start w:val="1"/>
      <w:numFmt w:val="decimal"/>
      <w:lvlText w:val="%1.%2.%3.%4.%5.%6.%7."/>
      <w:lvlJc w:val="left"/>
      <w:pPr>
        <w:tabs>
          <w:tab w:val="left" w:pos="3960"/>
        </w:tabs>
        <w:ind w:left="3960" w:hanging="1800"/>
      </w:pPr>
      <w:rPr>
        <w:rFonts w:hint="default" w:cs="Times New Roman"/>
      </w:rPr>
    </w:lvl>
    <w:lvl w:ilvl="7" w:tentative="0">
      <w:start w:val="1"/>
      <w:numFmt w:val="decimal"/>
      <w:lvlText w:val="%1.%2.%3.%4.%5.%6.%7.%8."/>
      <w:lvlJc w:val="left"/>
      <w:pPr>
        <w:tabs>
          <w:tab w:val="left" w:pos="4680"/>
        </w:tabs>
        <w:ind w:left="4680" w:hanging="2160"/>
      </w:pPr>
      <w:rPr>
        <w:rFonts w:hint="default" w:cs="Times New Roman"/>
      </w:rPr>
    </w:lvl>
    <w:lvl w:ilvl="8" w:tentative="0">
      <w:start w:val="1"/>
      <w:numFmt w:val="decimal"/>
      <w:lvlText w:val="%1.%2.%3.%4.%5.%6.%7.%8.%9."/>
      <w:lvlJc w:val="left"/>
      <w:pPr>
        <w:tabs>
          <w:tab w:val="left" w:pos="5040"/>
        </w:tabs>
        <w:ind w:left="5040" w:hanging="2160"/>
      </w:pPr>
      <w:rPr>
        <w:rFonts w:hint="default" w:cs="Times New Roman"/>
      </w:rPr>
    </w:lvl>
  </w:abstractNum>
  <w:abstractNum w:abstractNumId="2">
    <w:nsid w:val="247E23CD"/>
    <w:multiLevelType w:val="multilevel"/>
    <w:tmpl w:val="247E23CD"/>
    <w:lvl w:ilvl="0" w:tentative="0">
      <w:start w:val="1"/>
      <w:numFmt w:val="japaneseCounting"/>
      <w:lvlText w:val="第%1节"/>
      <w:lvlJc w:val="left"/>
      <w:pPr>
        <w:tabs>
          <w:tab w:val="left" w:pos="1080"/>
        </w:tabs>
        <w:ind w:left="1080" w:hanging="108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3"/>
      <w:numFmt w:val="decimal"/>
      <w:lvlText w:val="%3"/>
      <w:lvlJc w:val="left"/>
      <w:pPr>
        <w:tabs>
          <w:tab w:val="left" w:pos="1305"/>
        </w:tabs>
        <w:ind w:left="1305" w:hanging="465"/>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6"/>
      <w:numFmt w:val="japaneseCounting"/>
      <w:lvlText w:val="%5、"/>
      <w:lvlJc w:val="left"/>
      <w:pPr>
        <w:tabs>
          <w:tab w:val="left" w:pos="2580"/>
        </w:tabs>
        <w:ind w:left="2580" w:hanging="900"/>
      </w:pPr>
      <w:rPr>
        <w:rFonts w:hint="default"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32D26926"/>
    <w:multiLevelType w:val="multilevel"/>
    <w:tmpl w:val="32D26926"/>
    <w:lvl w:ilvl="0" w:tentative="0">
      <w:start w:val="2"/>
      <w:numFmt w:val="decimal"/>
      <w:lvlText w:val="%1."/>
      <w:lvlJc w:val="left"/>
      <w:pPr>
        <w:tabs>
          <w:tab w:val="left" w:pos="480"/>
        </w:tabs>
        <w:ind w:left="480" w:hanging="480"/>
      </w:pPr>
      <w:rPr>
        <w:rFonts w:hint="default" w:cs="Times New Roman"/>
      </w:rPr>
    </w:lvl>
    <w:lvl w:ilvl="1" w:tentative="0">
      <w:start w:val="1"/>
      <w:numFmt w:val="decimal"/>
      <w:lvlText w:val="%1.%2."/>
      <w:lvlJc w:val="left"/>
      <w:pPr>
        <w:tabs>
          <w:tab w:val="left" w:pos="1080"/>
        </w:tabs>
        <w:ind w:left="1080" w:hanging="720"/>
      </w:pPr>
      <w:rPr>
        <w:rFonts w:hint="default" w:cs="Times New Roman"/>
        <w:b/>
        <w:bCs w:val="0"/>
      </w:rPr>
    </w:lvl>
    <w:lvl w:ilvl="2" w:tentative="0">
      <w:start w:val="1"/>
      <w:numFmt w:val="decimal"/>
      <w:lvlText w:val="%1.%2.%3."/>
      <w:lvlJc w:val="left"/>
      <w:pPr>
        <w:tabs>
          <w:tab w:val="left" w:pos="1004"/>
        </w:tabs>
        <w:ind w:left="1004" w:hanging="720"/>
      </w:pPr>
      <w:rPr>
        <w:rFonts w:hint="default" w:cs="Times New Roman"/>
        <w:b w:val="0"/>
        <w:bCs w:val="0"/>
      </w:rPr>
    </w:lvl>
    <w:lvl w:ilvl="3" w:tentative="0">
      <w:start w:val="1"/>
      <w:numFmt w:val="decimal"/>
      <w:lvlText w:val="%1.%2.%3.%4."/>
      <w:lvlJc w:val="left"/>
      <w:pPr>
        <w:tabs>
          <w:tab w:val="left" w:pos="2160"/>
        </w:tabs>
        <w:ind w:left="2160" w:hanging="1080"/>
      </w:pPr>
      <w:rPr>
        <w:rFonts w:hint="default" w:cs="Times New Roman"/>
      </w:rPr>
    </w:lvl>
    <w:lvl w:ilvl="4" w:tentative="0">
      <w:start w:val="1"/>
      <w:numFmt w:val="decimal"/>
      <w:lvlText w:val="%1.%2.%3.%4.%5."/>
      <w:lvlJc w:val="left"/>
      <w:pPr>
        <w:tabs>
          <w:tab w:val="left" w:pos="2880"/>
        </w:tabs>
        <w:ind w:left="2880" w:hanging="1440"/>
      </w:pPr>
      <w:rPr>
        <w:rFonts w:hint="default" w:cs="Times New Roman"/>
      </w:rPr>
    </w:lvl>
    <w:lvl w:ilvl="5" w:tentative="0">
      <w:start w:val="1"/>
      <w:numFmt w:val="decimal"/>
      <w:lvlText w:val="%1.%2.%3.%4.%5.%6."/>
      <w:lvlJc w:val="left"/>
      <w:pPr>
        <w:tabs>
          <w:tab w:val="left" w:pos="3240"/>
        </w:tabs>
        <w:ind w:left="3240" w:hanging="1440"/>
      </w:pPr>
      <w:rPr>
        <w:rFonts w:hint="default" w:cs="Times New Roman"/>
      </w:rPr>
    </w:lvl>
    <w:lvl w:ilvl="6" w:tentative="0">
      <w:start w:val="1"/>
      <w:numFmt w:val="decimal"/>
      <w:lvlText w:val="%1.%2.%3.%4.%5.%6.%7."/>
      <w:lvlJc w:val="left"/>
      <w:pPr>
        <w:tabs>
          <w:tab w:val="left" w:pos="3960"/>
        </w:tabs>
        <w:ind w:left="3960" w:hanging="1800"/>
      </w:pPr>
      <w:rPr>
        <w:rFonts w:hint="default" w:cs="Times New Roman"/>
      </w:rPr>
    </w:lvl>
    <w:lvl w:ilvl="7" w:tentative="0">
      <w:start w:val="1"/>
      <w:numFmt w:val="decimal"/>
      <w:lvlText w:val="%1.%2.%3.%4.%5.%6.%7.%8."/>
      <w:lvlJc w:val="left"/>
      <w:pPr>
        <w:tabs>
          <w:tab w:val="left" w:pos="4680"/>
        </w:tabs>
        <w:ind w:left="4680" w:hanging="2160"/>
      </w:pPr>
      <w:rPr>
        <w:rFonts w:hint="default" w:cs="Times New Roman"/>
      </w:rPr>
    </w:lvl>
    <w:lvl w:ilvl="8" w:tentative="0">
      <w:start w:val="1"/>
      <w:numFmt w:val="decimal"/>
      <w:lvlText w:val="%1.%2.%3.%4.%5.%6.%7.%8.%9."/>
      <w:lvlJc w:val="left"/>
      <w:pPr>
        <w:tabs>
          <w:tab w:val="left" w:pos="5040"/>
        </w:tabs>
        <w:ind w:left="5040" w:hanging="2160"/>
      </w:pPr>
      <w:rPr>
        <w:rFonts w:hint="default" w:cs="Times New Roman"/>
      </w:rPr>
    </w:lvl>
  </w:abstractNum>
  <w:abstractNum w:abstractNumId="4">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87"/>
        </w:tabs>
        <w:ind w:left="1287"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67DC8DB5"/>
    <w:multiLevelType w:val="singleLevel"/>
    <w:tmpl w:val="67DC8DB5"/>
    <w:lvl w:ilvl="0" w:tentative="0">
      <w:start w:val="2"/>
      <w:numFmt w:val="decimal"/>
      <w:suff w:val="nothing"/>
      <w:lvlText w:val="%1、"/>
      <w:lvlJc w:val="left"/>
      <w:pPr>
        <w:ind w:left="1440" w:firstLine="0"/>
      </w:pPr>
    </w:lvl>
  </w:abstractNum>
  <w:num w:numId="1">
    <w:abstractNumId w:val="4"/>
  </w:num>
  <w:num w:numId="2">
    <w:abstractNumId w:val="2"/>
  </w:num>
  <w:num w:numId="3">
    <w:abstractNumId w:val="3"/>
  </w:num>
  <w:num w:numId="4">
    <w:abstractNumId w:val="1"/>
  </w:num>
  <w:num w:numId="5">
    <w:abstractNumId w:val="5"/>
  </w:num>
  <w:num w:numId="6">
    <w:abstractNumId w:val="0"/>
    <w:lvlOverride w:ilvl="0">
      <w:startOverride w:val="1"/>
    </w:lvlOverride>
  </w:num>
  <w:num w:numId="7">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ODczNzVhZGNkOGQxNmZhODVlZTliZGJmOWNkMGUifQ=="/>
  </w:docVars>
  <w:rsids>
    <w:rsidRoot w:val="00172A27"/>
    <w:rsid w:val="0000102F"/>
    <w:rsid w:val="0001228D"/>
    <w:rsid w:val="000122F6"/>
    <w:rsid w:val="0002241D"/>
    <w:rsid w:val="0003123F"/>
    <w:rsid w:val="00046B6C"/>
    <w:rsid w:val="00056DCD"/>
    <w:rsid w:val="00065580"/>
    <w:rsid w:val="000760AC"/>
    <w:rsid w:val="00086844"/>
    <w:rsid w:val="00086CA9"/>
    <w:rsid w:val="00091A8A"/>
    <w:rsid w:val="00093F4B"/>
    <w:rsid w:val="000A05B5"/>
    <w:rsid w:val="000A6D63"/>
    <w:rsid w:val="000B36F0"/>
    <w:rsid w:val="000C0EC0"/>
    <w:rsid w:val="000C7025"/>
    <w:rsid w:val="000E6D4D"/>
    <w:rsid w:val="00103075"/>
    <w:rsid w:val="00112130"/>
    <w:rsid w:val="00112C27"/>
    <w:rsid w:val="001268A8"/>
    <w:rsid w:val="00132254"/>
    <w:rsid w:val="00143E45"/>
    <w:rsid w:val="00152B62"/>
    <w:rsid w:val="0016171D"/>
    <w:rsid w:val="00164E9B"/>
    <w:rsid w:val="00167675"/>
    <w:rsid w:val="00172A27"/>
    <w:rsid w:val="00184B37"/>
    <w:rsid w:val="0018658F"/>
    <w:rsid w:val="00190062"/>
    <w:rsid w:val="001A7EF8"/>
    <w:rsid w:val="001B24D3"/>
    <w:rsid w:val="001C5B72"/>
    <w:rsid w:val="001C6B81"/>
    <w:rsid w:val="001C759C"/>
    <w:rsid w:val="001D3772"/>
    <w:rsid w:val="001D5881"/>
    <w:rsid w:val="001E4E52"/>
    <w:rsid w:val="001F3E3E"/>
    <w:rsid w:val="001F4266"/>
    <w:rsid w:val="001F51DF"/>
    <w:rsid w:val="0020232F"/>
    <w:rsid w:val="00212FA3"/>
    <w:rsid w:val="00213C6E"/>
    <w:rsid w:val="00215A50"/>
    <w:rsid w:val="0021728E"/>
    <w:rsid w:val="00224B4A"/>
    <w:rsid w:val="00237979"/>
    <w:rsid w:val="00246A06"/>
    <w:rsid w:val="00262AAE"/>
    <w:rsid w:val="002633D2"/>
    <w:rsid w:val="00271318"/>
    <w:rsid w:val="002A3F6A"/>
    <w:rsid w:val="002A69D1"/>
    <w:rsid w:val="002C4137"/>
    <w:rsid w:val="002D339F"/>
    <w:rsid w:val="002D5148"/>
    <w:rsid w:val="002D676B"/>
    <w:rsid w:val="003067DE"/>
    <w:rsid w:val="003126A2"/>
    <w:rsid w:val="003254AA"/>
    <w:rsid w:val="00334345"/>
    <w:rsid w:val="003418B3"/>
    <w:rsid w:val="00343ABC"/>
    <w:rsid w:val="00344AE5"/>
    <w:rsid w:val="00345F1F"/>
    <w:rsid w:val="003507F7"/>
    <w:rsid w:val="003522A6"/>
    <w:rsid w:val="00353061"/>
    <w:rsid w:val="00364E5B"/>
    <w:rsid w:val="00387160"/>
    <w:rsid w:val="0038742D"/>
    <w:rsid w:val="003974DA"/>
    <w:rsid w:val="003A02CC"/>
    <w:rsid w:val="003A7D48"/>
    <w:rsid w:val="003B18BF"/>
    <w:rsid w:val="003C1A5C"/>
    <w:rsid w:val="003C4A54"/>
    <w:rsid w:val="003D3A29"/>
    <w:rsid w:val="003E7CEE"/>
    <w:rsid w:val="003F0015"/>
    <w:rsid w:val="003F2E70"/>
    <w:rsid w:val="003F6262"/>
    <w:rsid w:val="003F658F"/>
    <w:rsid w:val="00400438"/>
    <w:rsid w:val="0040168E"/>
    <w:rsid w:val="00403BDF"/>
    <w:rsid w:val="00423A3A"/>
    <w:rsid w:val="0042528F"/>
    <w:rsid w:val="004343BF"/>
    <w:rsid w:val="00443389"/>
    <w:rsid w:val="00444827"/>
    <w:rsid w:val="004454DD"/>
    <w:rsid w:val="00451C4E"/>
    <w:rsid w:val="00453962"/>
    <w:rsid w:val="00456ACF"/>
    <w:rsid w:val="00466F1A"/>
    <w:rsid w:val="00470027"/>
    <w:rsid w:val="00472078"/>
    <w:rsid w:val="0048391C"/>
    <w:rsid w:val="004943EA"/>
    <w:rsid w:val="004A1FBF"/>
    <w:rsid w:val="004A567E"/>
    <w:rsid w:val="004A6960"/>
    <w:rsid w:val="004A75E3"/>
    <w:rsid w:val="004B4D3C"/>
    <w:rsid w:val="004B6576"/>
    <w:rsid w:val="004C3D69"/>
    <w:rsid w:val="004C4508"/>
    <w:rsid w:val="004D3A30"/>
    <w:rsid w:val="004E417B"/>
    <w:rsid w:val="004E5ED1"/>
    <w:rsid w:val="00501C02"/>
    <w:rsid w:val="0052035D"/>
    <w:rsid w:val="00550937"/>
    <w:rsid w:val="005555CF"/>
    <w:rsid w:val="005624EA"/>
    <w:rsid w:val="00574A04"/>
    <w:rsid w:val="0057795C"/>
    <w:rsid w:val="00593912"/>
    <w:rsid w:val="005A68F9"/>
    <w:rsid w:val="005B3BAE"/>
    <w:rsid w:val="005B63B9"/>
    <w:rsid w:val="005B63D9"/>
    <w:rsid w:val="005D5987"/>
    <w:rsid w:val="005F3C5D"/>
    <w:rsid w:val="00600432"/>
    <w:rsid w:val="006161FE"/>
    <w:rsid w:val="006163D3"/>
    <w:rsid w:val="00616EEC"/>
    <w:rsid w:val="0064292D"/>
    <w:rsid w:val="00643568"/>
    <w:rsid w:val="00654400"/>
    <w:rsid w:val="006666A1"/>
    <w:rsid w:val="0067293D"/>
    <w:rsid w:val="0067651B"/>
    <w:rsid w:val="006779F3"/>
    <w:rsid w:val="00690BD4"/>
    <w:rsid w:val="00696595"/>
    <w:rsid w:val="00696697"/>
    <w:rsid w:val="00696D43"/>
    <w:rsid w:val="006A322C"/>
    <w:rsid w:val="006A673F"/>
    <w:rsid w:val="006A77EB"/>
    <w:rsid w:val="006B1B0B"/>
    <w:rsid w:val="006E6AAA"/>
    <w:rsid w:val="006F1526"/>
    <w:rsid w:val="006F2515"/>
    <w:rsid w:val="007013B8"/>
    <w:rsid w:val="0071631E"/>
    <w:rsid w:val="007218AD"/>
    <w:rsid w:val="007377D6"/>
    <w:rsid w:val="00741597"/>
    <w:rsid w:val="00746109"/>
    <w:rsid w:val="00776563"/>
    <w:rsid w:val="00777430"/>
    <w:rsid w:val="0078401B"/>
    <w:rsid w:val="0079239E"/>
    <w:rsid w:val="007A11B8"/>
    <w:rsid w:val="007A5C4E"/>
    <w:rsid w:val="007B1176"/>
    <w:rsid w:val="007B74D6"/>
    <w:rsid w:val="007D3E07"/>
    <w:rsid w:val="007F0561"/>
    <w:rsid w:val="00803684"/>
    <w:rsid w:val="0082303B"/>
    <w:rsid w:val="00826997"/>
    <w:rsid w:val="00832645"/>
    <w:rsid w:val="00833C5C"/>
    <w:rsid w:val="00835350"/>
    <w:rsid w:val="00835CD8"/>
    <w:rsid w:val="00843705"/>
    <w:rsid w:val="008473A1"/>
    <w:rsid w:val="00852270"/>
    <w:rsid w:val="00857C6F"/>
    <w:rsid w:val="008629A1"/>
    <w:rsid w:val="00862DE5"/>
    <w:rsid w:val="00870A24"/>
    <w:rsid w:val="00882AAE"/>
    <w:rsid w:val="00892125"/>
    <w:rsid w:val="008A3F45"/>
    <w:rsid w:val="008A6C0C"/>
    <w:rsid w:val="008B04AB"/>
    <w:rsid w:val="008B2FCE"/>
    <w:rsid w:val="008B3A6F"/>
    <w:rsid w:val="008B62C1"/>
    <w:rsid w:val="008B6FAE"/>
    <w:rsid w:val="008C0FFC"/>
    <w:rsid w:val="008E5575"/>
    <w:rsid w:val="00904E96"/>
    <w:rsid w:val="00914F6D"/>
    <w:rsid w:val="0092505A"/>
    <w:rsid w:val="00925C9B"/>
    <w:rsid w:val="009266EB"/>
    <w:rsid w:val="009310EA"/>
    <w:rsid w:val="0093689A"/>
    <w:rsid w:val="009373C9"/>
    <w:rsid w:val="009407AC"/>
    <w:rsid w:val="009421CB"/>
    <w:rsid w:val="00945AC7"/>
    <w:rsid w:val="00951EDE"/>
    <w:rsid w:val="00957399"/>
    <w:rsid w:val="00963543"/>
    <w:rsid w:val="009734E3"/>
    <w:rsid w:val="009A5677"/>
    <w:rsid w:val="009B5C42"/>
    <w:rsid w:val="009C1F10"/>
    <w:rsid w:val="009E4BC5"/>
    <w:rsid w:val="009E75FC"/>
    <w:rsid w:val="009E7B71"/>
    <w:rsid w:val="009E7F65"/>
    <w:rsid w:val="00A14866"/>
    <w:rsid w:val="00A34B6E"/>
    <w:rsid w:val="00A51A01"/>
    <w:rsid w:val="00A5312F"/>
    <w:rsid w:val="00A71DB2"/>
    <w:rsid w:val="00A96A76"/>
    <w:rsid w:val="00AA55F4"/>
    <w:rsid w:val="00AB01EA"/>
    <w:rsid w:val="00AB57A2"/>
    <w:rsid w:val="00AC4407"/>
    <w:rsid w:val="00AC4498"/>
    <w:rsid w:val="00AD0C75"/>
    <w:rsid w:val="00AD7DBA"/>
    <w:rsid w:val="00AF01E5"/>
    <w:rsid w:val="00AF5811"/>
    <w:rsid w:val="00AF76B1"/>
    <w:rsid w:val="00B145B0"/>
    <w:rsid w:val="00B16585"/>
    <w:rsid w:val="00B313EA"/>
    <w:rsid w:val="00B35314"/>
    <w:rsid w:val="00B41E49"/>
    <w:rsid w:val="00B426B9"/>
    <w:rsid w:val="00B51739"/>
    <w:rsid w:val="00B548C3"/>
    <w:rsid w:val="00B742CE"/>
    <w:rsid w:val="00B752E1"/>
    <w:rsid w:val="00B833A4"/>
    <w:rsid w:val="00B87174"/>
    <w:rsid w:val="00B903A1"/>
    <w:rsid w:val="00B90B72"/>
    <w:rsid w:val="00BA129C"/>
    <w:rsid w:val="00BA7203"/>
    <w:rsid w:val="00BB3D89"/>
    <w:rsid w:val="00BC0F61"/>
    <w:rsid w:val="00BD61AF"/>
    <w:rsid w:val="00BE0B46"/>
    <w:rsid w:val="00BE7B1C"/>
    <w:rsid w:val="00BF1741"/>
    <w:rsid w:val="00C002AC"/>
    <w:rsid w:val="00C00B66"/>
    <w:rsid w:val="00C201F8"/>
    <w:rsid w:val="00C21444"/>
    <w:rsid w:val="00C43425"/>
    <w:rsid w:val="00C55970"/>
    <w:rsid w:val="00C61005"/>
    <w:rsid w:val="00C67D67"/>
    <w:rsid w:val="00C80F38"/>
    <w:rsid w:val="00C81523"/>
    <w:rsid w:val="00C84B0A"/>
    <w:rsid w:val="00C90477"/>
    <w:rsid w:val="00C96B56"/>
    <w:rsid w:val="00CC071D"/>
    <w:rsid w:val="00CD00EF"/>
    <w:rsid w:val="00CD1251"/>
    <w:rsid w:val="00CD2C27"/>
    <w:rsid w:val="00CE57BE"/>
    <w:rsid w:val="00CE6A3A"/>
    <w:rsid w:val="00D00CEA"/>
    <w:rsid w:val="00D020D9"/>
    <w:rsid w:val="00D04A4C"/>
    <w:rsid w:val="00D10CFB"/>
    <w:rsid w:val="00D139B6"/>
    <w:rsid w:val="00D27849"/>
    <w:rsid w:val="00D319FE"/>
    <w:rsid w:val="00D3350C"/>
    <w:rsid w:val="00D421C0"/>
    <w:rsid w:val="00D45AA5"/>
    <w:rsid w:val="00D476A0"/>
    <w:rsid w:val="00D62395"/>
    <w:rsid w:val="00D66696"/>
    <w:rsid w:val="00D762FC"/>
    <w:rsid w:val="00D9736E"/>
    <w:rsid w:val="00DA6EB3"/>
    <w:rsid w:val="00DD3BF8"/>
    <w:rsid w:val="00DD7CD3"/>
    <w:rsid w:val="00DE1965"/>
    <w:rsid w:val="00DE79AE"/>
    <w:rsid w:val="00E129A9"/>
    <w:rsid w:val="00E22B7F"/>
    <w:rsid w:val="00E364DF"/>
    <w:rsid w:val="00E419C8"/>
    <w:rsid w:val="00E52C0B"/>
    <w:rsid w:val="00E72670"/>
    <w:rsid w:val="00E911C7"/>
    <w:rsid w:val="00E91AD1"/>
    <w:rsid w:val="00E96BDE"/>
    <w:rsid w:val="00EA415B"/>
    <w:rsid w:val="00EA4A8F"/>
    <w:rsid w:val="00EB40E6"/>
    <w:rsid w:val="00EC1E70"/>
    <w:rsid w:val="00EC1FED"/>
    <w:rsid w:val="00ED5214"/>
    <w:rsid w:val="00ED61F0"/>
    <w:rsid w:val="00EE2CDD"/>
    <w:rsid w:val="00EE66AE"/>
    <w:rsid w:val="00F019F1"/>
    <w:rsid w:val="00F12DBC"/>
    <w:rsid w:val="00F348CE"/>
    <w:rsid w:val="00F37EC8"/>
    <w:rsid w:val="00F47E62"/>
    <w:rsid w:val="00F51A0C"/>
    <w:rsid w:val="00F52F26"/>
    <w:rsid w:val="00F703A4"/>
    <w:rsid w:val="00F73881"/>
    <w:rsid w:val="00F759FF"/>
    <w:rsid w:val="00F761EB"/>
    <w:rsid w:val="00F76BD5"/>
    <w:rsid w:val="00FA6321"/>
    <w:rsid w:val="00FA69A7"/>
    <w:rsid w:val="00FB336E"/>
    <w:rsid w:val="00FC02BF"/>
    <w:rsid w:val="00FD42AF"/>
    <w:rsid w:val="00FE693F"/>
    <w:rsid w:val="00FF714C"/>
    <w:rsid w:val="0106194F"/>
    <w:rsid w:val="0107423A"/>
    <w:rsid w:val="0122333F"/>
    <w:rsid w:val="012F214F"/>
    <w:rsid w:val="0139075E"/>
    <w:rsid w:val="015558C7"/>
    <w:rsid w:val="01600E1A"/>
    <w:rsid w:val="01A05033"/>
    <w:rsid w:val="01AB7064"/>
    <w:rsid w:val="01CB7252"/>
    <w:rsid w:val="01ED1741"/>
    <w:rsid w:val="02263013"/>
    <w:rsid w:val="023210FB"/>
    <w:rsid w:val="02497325"/>
    <w:rsid w:val="025E31E2"/>
    <w:rsid w:val="02641657"/>
    <w:rsid w:val="026B1AD1"/>
    <w:rsid w:val="029505D8"/>
    <w:rsid w:val="02980747"/>
    <w:rsid w:val="02A97A3F"/>
    <w:rsid w:val="02BA2D29"/>
    <w:rsid w:val="02BD74B6"/>
    <w:rsid w:val="02C202BD"/>
    <w:rsid w:val="02E820A6"/>
    <w:rsid w:val="02FC0103"/>
    <w:rsid w:val="03221C89"/>
    <w:rsid w:val="03604D29"/>
    <w:rsid w:val="03CD5847"/>
    <w:rsid w:val="03E318E6"/>
    <w:rsid w:val="0420176C"/>
    <w:rsid w:val="04275B39"/>
    <w:rsid w:val="04354CFF"/>
    <w:rsid w:val="04EB5271"/>
    <w:rsid w:val="050661A3"/>
    <w:rsid w:val="050B7881"/>
    <w:rsid w:val="051F1D13"/>
    <w:rsid w:val="053D5341"/>
    <w:rsid w:val="05450A7D"/>
    <w:rsid w:val="05472067"/>
    <w:rsid w:val="05585C69"/>
    <w:rsid w:val="05622325"/>
    <w:rsid w:val="056917EA"/>
    <w:rsid w:val="05885431"/>
    <w:rsid w:val="05AE1F53"/>
    <w:rsid w:val="05E23C3A"/>
    <w:rsid w:val="0623667A"/>
    <w:rsid w:val="06293F01"/>
    <w:rsid w:val="06407BB9"/>
    <w:rsid w:val="06460750"/>
    <w:rsid w:val="06510394"/>
    <w:rsid w:val="069260B0"/>
    <w:rsid w:val="06A72108"/>
    <w:rsid w:val="06B84C89"/>
    <w:rsid w:val="06CE4708"/>
    <w:rsid w:val="06F23CF7"/>
    <w:rsid w:val="070E6657"/>
    <w:rsid w:val="07590427"/>
    <w:rsid w:val="07694159"/>
    <w:rsid w:val="07AE69DC"/>
    <w:rsid w:val="07C502E7"/>
    <w:rsid w:val="07CA6054"/>
    <w:rsid w:val="0806363E"/>
    <w:rsid w:val="083D7D2C"/>
    <w:rsid w:val="088F2603"/>
    <w:rsid w:val="08D362AA"/>
    <w:rsid w:val="09322E28"/>
    <w:rsid w:val="09A53DED"/>
    <w:rsid w:val="09C75823"/>
    <w:rsid w:val="0A2B5A73"/>
    <w:rsid w:val="0A3D70C1"/>
    <w:rsid w:val="0A731AE8"/>
    <w:rsid w:val="0A987BF2"/>
    <w:rsid w:val="0AA01B21"/>
    <w:rsid w:val="0AA51080"/>
    <w:rsid w:val="0AA8696B"/>
    <w:rsid w:val="0AC06424"/>
    <w:rsid w:val="0AD85CB4"/>
    <w:rsid w:val="0AE0655C"/>
    <w:rsid w:val="0AE94F67"/>
    <w:rsid w:val="0AF024C1"/>
    <w:rsid w:val="0B0D44BE"/>
    <w:rsid w:val="0B163F8B"/>
    <w:rsid w:val="0B1C0F00"/>
    <w:rsid w:val="0B2D1BA1"/>
    <w:rsid w:val="0B5B068D"/>
    <w:rsid w:val="0B750464"/>
    <w:rsid w:val="0BA73FA0"/>
    <w:rsid w:val="0BAF6F5A"/>
    <w:rsid w:val="0BB91287"/>
    <w:rsid w:val="0BBB49B6"/>
    <w:rsid w:val="0BC25A23"/>
    <w:rsid w:val="0BC340CB"/>
    <w:rsid w:val="0BD74AFF"/>
    <w:rsid w:val="0BEC3400"/>
    <w:rsid w:val="0BF96EB9"/>
    <w:rsid w:val="0C047AD7"/>
    <w:rsid w:val="0C0E410A"/>
    <w:rsid w:val="0C2967EA"/>
    <w:rsid w:val="0C593A82"/>
    <w:rsid w:val="0C803E4C"/>
    <w:rsid w:val="0C9475FE"/>
    <w:rsid w:val="0CBC5BEC"/>
    <w:rsid w:val="0CC51EAD"/>
    <w:rsid w:val="0CD570BA"/>
    <w:rsid w:val="0D07503F"/>
    <w:rsid w:val="0D8633EB"/>
    <w:rsid w:val="0D9B47A1"/>
    <w:rsid w:val="0DA046B0"/>
    <w:rsid w:val="0DD1544E"/>
    <w:rsid w:val="0E042D51"/>
    <w:rsid w:val="0E402878"/>
    <w:rsid w:val="0E5125E3"/>
    <w:rsid w:val="0E694D9A"/>
    <w:rsid w:val="0E8E4A47"/>
    <w:rsid w:val="0EAE5FE5"/>
    <w:rsid w:val="0EEA4204"/>
    <w:rsid w:val="0F3B6457"/>
    <w:rsid w:val="0F4108C6"/>
    <w:rsid w:val="0F493208"/>
    <w:rsid w:val="0F854FAC"/>
    <w:rsid w:val="0FA15475"/>
    <w:rsid w:val="0FC77C0D"/>
    <w:rsid w:val="0FE95FC4"/>
    <w:rsid w:val="10056A3D"/>
    <w:rsid w:val="100E2639"/>
    <w:rsid w:val="101C23F1"/>
    <w:rsid w:val="10263ACB"/>
    <w:rsid w:val="1029510E"/>
    <w:rsid w:val="10543A56"/>
    <w:rsid w:val="10714363"/>
    <w:rsid w:val="108A31F2"/>
    <w:rsid w:val="109F2385"/>
    <w:rsid w:val="10DD5F39"/>
    <w:rsid w:val="11374659"/>
    <w:rsid w:val="11505F7F"/>
    <w:rsid w:val="11866919"/>
    <w:rsid w:val="118D7AA5"/>
    <w:rsid w:val="11B33958"/>
    <w:rsid w:val="11ED1C8A"/>
    <w:rsid w:val="12046807"/>
    <w:rsid w:val="120C558C"/>
    <w:rsid w:val="12563475"/>
    <w:rsid w:val="125A3098"/>
    <w:rsid w:val="12630E20"/>
    <w:rsid w:val="126D5819"/>
    <w:rsid w:val="12B74E3C"/>
    <w:rsid w:val="12D2446A"/>
    <w:rsid w:val="13286CF2"/>
    <w:rsid w:val="132F7351"/>
    <w:rsid w:val="1339201A"/>
    <w:rsid w:val="13E16E25"/>
    <w:rsid w:val="13E21D8C"/>
    <w:rsid w:val="13F07784"/>
    <w:rsid w:val="13FC250C"/>
    <w:rsid w:val="143D3A7B"/>
    <w:rsid w:val="145230BF"/>
    <w:rsid w:val="146B3EC1"/>
    <w:rsid w:val="148D4105"/>
    <w:rsid w:val="149919CE"/>
    <w:rsid w:val="14B05917"/>
    <w:rsid w:val="15085510"/>
    <w:rsid w:val="151D4F8C"/>
    <w:rsid w:val="15260DB8"/>
    <w:rsid w:val="15406A83"/>
    <w:rsid w:val="154F3AB9"/>
    <w:rsid w:val="15582B76"/>
    <w:rsid w:val="158A4D84"/>
    <w:rsid w:val="159F1C42"/>
    <w:rsid w:val="15AC1077"/>
    <w:rsid w:val="15AF6820"/>
    <w:rsid w:val="15CD24B9"/>
    <w:rsid w:val="15E33E43"/>
    <w:rsid w:val="1602490D"/>
    <w:rsid w:val="16127B71"/>
    <w:rsid w:val="161906FE"/>
    <w:rsid w:val="163E29BA"/>
    <w:rsid w:val="16630021"/>
    <w:rsid w:val="166A2DED"/>
    <w:rsid w:val="1688661B"/>
    <w:rsid w:val="16C32FBA"/>
    <w:rsid w:val="16CE0F8C"/>
    <w:rsid w:val="170331C2"/>
    <w:rsid w:val="1752258F"/>
    <w:rsid w:val="17581A59"/>
    <w:rsid w:val="17731DA8"/>
    <w:rsid w:val="17AF741D"/>
    <w:rsid w:val="17B65080"/>
    <w:rsid w:val="17DE0DDD"/>
    <w:rsid w:val="18013808"/>
    <w:rsid w:val="18185E37"/>
    <w:rsid w:val="181E3E1D"/>
    <w:rsid w:val="18261691"/>
    <w:rsid w:val="1833667B"/>
    <w:rsid w:val="1858521B"/>
    <w:rsid w:val="186877C1"/>
    <w:rsid w:val="187674E5"/>
    <w:rsid w:val="18975B96"/>
    <w:rsid w:val="18EE35C1"/>
    <w:rsid w:val="190A6FBD"/>
    <w:rsid w:val="19197809"/>
    <w:rsid w:val="195B5960"/>
    <w:rsid w:val="197D20DA"/>
    <w:rsid w:val="19D10CAA"/>
    <w:rsid w:val="19FF5E48"/>
    <w:rsid w:val="1A0F62F7"/>
    <w:rsid w:val="1A146A8E"/>
    <w:rsid w:val="1A192F74"/>
    <w:rsid w:val="1A4212B4"/>
    <w:rsid w:val="1A645527"/>
    <w:rsid w:val="1A666411"/>
    <w:rsid w:val="1A840CB2"/>
    <w:rsid w:val="1A8E4A9F"/>
    <w:rsid w:val="1A9B4D50"/>
    <w:rsid w:val="1A9C7B00"/>
    <w:rsid w:val="1B37098E"/>
    <w:rsid w:val="1B38491A"/>
    <w:rsid w:val="1B6F37FF"/>
    <w:rsid w:val="1B79482D"/>
    <w:rsid w:val="1B7A185A"/>
    <w:rsid w:val="1B956693"/>
    <w:rsid w:val="1B9D49A9"/>
    <w:rsid w:val="1BA1469B"/>
    <w:rsid w:val="1BB2457A"/>
    <w:rsid w:val="1BC84325"/>
    <w:rsid w:val="1BD5721A"/>
    <w:rsid w:val="1C196838"/>
    <w:rsid w:val="1C2D327F"/>
    <w:rsid w:val="1C696DE0"/>
    <w:rsid w:val="1CB16C86"/>
    <w:rsid w:val="1CCB706E"/>
    <w:rsid w:val="1D2105D0"/>
    <w:rsid w:val="1D87057D"/>
    <w:rsid w:val="1D9C7AAC"/>
    <w:rsid w:val="1DC846FD"/>
    <w:rsid w:val="1DDB42DB"/>
    <w:rsid w:val="1DE41CEF"/>
    <w:rsid w:val="1DFF40C7"/>
    <w:rsid w:val="1E727E7D"/>
    <w:rsid w:val="1E782E10"/>
    <w:rsid w:val="1E9F530F"/>
    <w:rsid w:val="1EC96758"/>
    <w:rsid w:val="1ECE382A"/>
    <w:rsid w:val="1ED130A4"/>
    <w:rsid w:val="1F815E94"/>
    <w:rsid w:val="1FA0629B"/>
    <w:rsid w:val="1FB13CA5"/>
    <w:rsid w:val="1FB5670F"/>
    <w:rsid w:val="1FB658B5"/>
    <w:rsid w:val="1FFA72F7"/>
    <w:rsid w:val="20006A4D"/>
    <w:rsid w:val="200E5FD3"/>
    <w:rsid w:val="2010611D"/>
    <w:rsid w:val="202E4B37"/>
    <w:rsid w:val="20336CE1"/>
    <w:rsid w:val="20481AD0"/>
    <w:rsid w:val="206D676A"/>
    <w:rsid w:val="206F7F09"/>
    <w:rsid w:val="20A35244"/>
    <w:rsid w:val="20A632F1"/>
    <w:rsid w:val="20AA02A3"/>
    <w:rsid w:val="20AC166C"/>
    <w:rsid w:val="20B32574"/>
    <w:rsid w:val="20BE4D41"/>
    <w:rsid w:val="20C55758"/>
    <w:rsid w:val="20CB4038"/>
    <w:rsid w:val="20E74A12"/>
    <w:rsid w:val="21040105"/>
    <w:rsid w:val="21493229"/>
    <w:rsid w:val="2165257E"/>
    <w:rsid w:val="21805BD1"/>
    <w:rsid w:val="21D06DAC"/>
    <w:rsid w:val="21F922B4"/>
    <w:rsid w:val="222666D0"/>
    <w:rsid w:val="22607543"/>
    <w:rsid w:val="22641FBC"/>
    <w:rsid w:val="227937EB"/>
    <w:rsid w:val="227940EE"/>
    <w:rsid w:val="2284080B"/>
    <w:rsid w:val="22987F3F"/>
    <w:rsid w:val="22E01647"/>
    <w:rsid w:val="230031B6"/>
    <w:rsid w:val="2329559F"/>
    <w:rsid w:val="233B2820"/>
    <w:rsid w:val="233B717F"/>
    <w:rsid w:val="233D40F4"/>
    <w:rsid w:val="2345062C"/>
    <w:rsid w:val="234E296F"/>
    <w:rsid w:val="2360493F"/>
    <w:rsid w:val="236077FB"/>
    <w:rsid w:val="238729EC"/>
    <w:rsid w:val="239642D1"/>
    <w:rsid w:val="23A541BC"/>
    <w:rsid w:val="23BD1504"/>
    <w:rsid w:val="23CD191B"/>
    <w:rsid w:val="23D36B8E"/>
    <w:rsid w:val="23E15CA6"/>
    <w:rsid w:val="24042DBF"/>
    <w:rsid w:val="244F348C"/>
    <w:rsid w:val="245A5B88"/>
    <w:rsid w:val="246C722E"/>
    <w:rsid w:val="24872E8C"/>
    <w:rsid w:val="24995CCC"/>
    <w:rsid w:val="249E45DA"/>
    <w:rsid w:val="24C227E8"/>
    <w:rsid w:val="24C44D51"/>
    <w:rsid w:val="24C5523E"/>
    <w:rsid w:val="24D97218"/>
    <w:rsid w:val="24F26548"/>
    <w:rsid w:val="252D68FB"/>
    <w:rsid w:val="253A2BEA"/>
    <w:rsid w:val="254B69AF"/>
    <w:rsid w:val="254E7A6B"/>
    <w:rsid w:val="256F3175"/>
    <w:rsid w:val="257116C9"/>
    <w:rsid w:val="258B467F"/>
    <w:rsid w:val="258C3F14"/>
    <w:rsid w:val="259241AF"/>
    <w:rsid w:val="25BB0B9A"/>
    <w:rsid w:val="25D12B88"/>
    <w:rsid w:val="26053B22"/>
    <w:rsid w:val="262B46D7"/>
    <w:rsid w:val="262C4813"/>
    <w:rsid w:val="26473CF9"/>
    <w:rsid w:val="26AF251A"/>
    <w:rsid w:val="26BC7A25"/>
    <w:rsid w:val="26CC69F6"/>
    <w:rsid w:val="26DA3B18"/>
    <w:rsid w:val="26DB714D"/>
    <w:rsid w:val="2714580F"/>
    <w:rsid w:val="272D0B1E"/>
    <w:rsid w:val="273C6854"/>
    <w:rsid w:val="274D5A19"/>
    <w:rsid w:val="27501AE0"/>
    <w:rsid w:val="276B5E99"/>
    <w:rsid w:val="27745FFE"/>
    <w:rsid w:val="277B5942"/>
    <w:rsid w:val="27920360"/>
    <w:rsid w:val="27943FC8"/>
    <w:rsid w:val="27BC02DD"/>
    <w:rsid w:val="27BF78B7"/>
    <w:rsid w:val="280316BA"/>
    <w:rsid w:val="283C4A1C"/>
    <w:rsid w:val="28823C31"/>
    <w:rsid w:val="28930031"/>
    <w:rsid w:val="28940EA2"/>
    <w:rsid w:val="28946685"/>
    <w:rsid w:val="28AF6730"/>
    <w:rsid w:val="28BE1B0B"/>
    <w:rsid w:val="28E219C5"/>
    <w:rsid w:val="29207652"/>
    <w:rsid w:val="294610CF"/>
    <w:rsid w:val="299829B8"/>
    <w:rsid w:val="29D72491"/>
    <w:rsid w:val="2A081A74"/>
    <w:rsid w:val="2A125F7E"/>
    <w:rsid w:val="2A195B16"/>
    <w:rsid w:val="2A2D5D7A"/>
    <w:rsid w:val="2A51371E"/>
    <w:rsid w:val="2A5A750E"/>
    <w:rsid w:val="2A770820"/>
    <w:rsid w:val="2A836C7B"/>
    <w:rsid w:val="2A8C25E8"/>
    <w:rsid w:val="2A9226AA"/>
    <w:rsid w:val="2AB06A52"/>
    <w:rsid w:val="2ABA73D7"/>
    <w:rsid w:val="2AC004A5"/>
    <w:rsid w:val="2ACB6CBC"/>
    <w:rsid w:val="2B047820"/>
    <w:rsid w:val="2B2F6A18"/>
    <w:rsid w:val="2B3F4688"/>
    <w:rsid w:val="2B444CC8"/>
    <w:rsid w:val="2B670B69"/>
    <w:rsid w:val="2B796B52"/>
    <w:rsid w:val="2BA37FCF"/>
    <w:rsid w:val="2BBE2608"/>
    <w:rsid w:val="2BBE31DF"/>
    <w:rsid w:val="2BEB1AF2"/>
    <w:rsid w:val="2BFC4E6B"/>
    <w:rsid w:val="2C131E96"/>
    <w:rsid w:val="2C576226"/>
    <w:rsid w:val="2C6454FB"/>
    <w:rsid w:val="2C7E169A"/>
    <w:rsid w:val="2C97576A"/>
    <w:rsid w:val="2C9D3EA1"/>
    <w:rsid w:val="2C9F1604"/>
    <w:rsid w:val="2CBE6D2C"/>
    <w:rsid w:val="2CBE7E22"/>
    <w:rsid w:val="2CE02256"/>
    <w:rsid w:val="2D000AFE"/>
    <w:rsid w:val="2D110BC4"/>
    <w:rsid w:val="2D1339AB"/>
    <w:rsid w:val="2D37158D"/>
    <w:rsid w:val="2D3A336F"/>
    <w:rsid w:val="2D4F5ED5"/>
    <w:rsid w:val="2D5726DA"/>
    <w:rsid w:val="2D9B000B"/>
    <w:rsid w:val="2DAA5689"/>
    <w:rsid w:val="2DCD42C6"/>
    <w:rsid w:val="2DE545CD"/>
    <w:rsid w:val="2E151C01"/>
    <w:rsid w:val="2E4D22B9"/>
    <w:rsid w:val="2E607376"/>
    <w:rsid w:val="2E8C6EB7"/>
    <w:rsid w:val="2EC23D6E"/>
    <w:rsid w:val="2ED46654"/>
    <w:rsid w:val="2EE934C8"/>
    <w:rsid w:val="2F081A65"/>
    <w:rsid w:val="2F1132FB"/>
    <w:rsid w:val="2F1649CD"/>
    <w:rsid w:val="2F1B26FE"/>
    <w:rsid w:val="2F637F47"/>
    <w:rsid w:val="2F7B047E"/>
    <w:rsid w:val="2F854E58"/>
    <w:rsid w:val="2FB06428"/>
    <w:rsid w:val="2FCBCFE4"/>
    <w:rsid w:val="2FED05B4"/>
    <w:rsid w:val="302F20D0"/>
    <w:rsid w:val="303E7470"/>
    <w:rsid w:val="306707D9"/>
    <w:rsid w:val="30951A10"/>
    <w:rsid w:val="309A1BD8"/>
    <w:rsid w:val="30B2754E"/>
    <w:rsid w:val="30BF083E"/>
    <w:rsid w:val="30C070AE"/>
    <w:rsid w:val="30DA0543"/>
    <w:rsid w:val="30E505C0"/>
    <w:rsid w:val="3106256D"/>
    <w:rsid w:val="31121F8E"/>
    <w:rsid w:val="312A215B"/>
    <w:rsid w:val="314E3347"/>
    <w:rsid w:val="315A3D6B"/>
    <w:rsid w:val="317269D0"/>
    <w:rsid w:val="317F2E1B"/>
    <w:rsid w:val="31AE0A1A"/>
    <w:rsid w:val="31C151FE"/>
    <w:rsid w:val="32436460"/>
    <w:rsid w:val="32557751"/>
    <w:rsid w:val="326172B9"/>
    <w:rsid w:val="328C61E1"/>
    <w:rsid w:val="32942866"/>
    <w:rsid w:val="329723E5"/>
    <w:rsid w:val="32BC3341"/>
    <w:rsid w:val="32BD72BE"/>
    <w:rsid w:val="32D83F61"/>
    <w:rsid w:val="32DA1EE6"/>
    <w:rsid w:val="332361A1"/>
    <w:rsid w:val="33395BEB"/>
    <w:rsid w:val="335B0C09"/>
    <w:rsid w:val="33604EA1"/>
    <w:rsid w:val="338A3196"/>
    <w:rsid w:val="338C52DE"/>
    <w:rsid w:val="33A9178C"/>
    <w:rsid w:val="33D22789"/>
    <w:rsid w:val="341A133F"/>
    <w:rsid w:val="34445ADA"/>
    <w:rsid w:val="347A05F7"/>
    <w:rsid w:val="349D0FF5"/>
    <w:rsid w:val="349F0FE8"/>
    <w:rsid w:val="34D02F95"/>
    <w:rsid w:val="34FA1E45"/>
    <w:rsid w:val="353A1D44"/>
    <w:rsid w:val="355A0CAF"/>
    <w:rsid w:val="35906B1C"/>
    <w:rsid w:val="35D61A6B"/>
    <w:rsid w:val="35DF4405"/>
    <w:rsid w:val="35F216A1"/>
    <w:rsid w:val="35F533AE"/>
    <w:rsid w:val="366A3954"/>
    <w:rsid w:val="368C3FCA"/>
    <w:rsid w:val="36A11315"/>
    <w:rsid w:val="36A719BC"/>
    <w:rsid w:val="36DC4374"/>
    <w:rsid w:val="36FA06B6"/>
    <w:rsid w:val="37152F66"/>
    <w:rsid w:val="37295284"/>
    <w:rsid w:val="374E1055"/>
    <w:rsid w:val="37707585"/>
    <w:rsid w:val="377C04EB"/>
    <w:rsid w:val="37807A03"/>
    <w:rsid w:val="37B50441"/>
    <w:rsid w:val="37EC274D"/>
    <w:rsid w:val="382258AB"/>
    <w:rsid w:val="38300D02"/>
    <w:rsid w:val="38351114"/>
    <w:rsid w:val="38472EE9"/>
    <w:rsid w:val="38551279"/>
    <w:rsid w:val="38602906"/>
    <w:rsid w:val="38696297"/>
    <w:rsid w:val="386C75CF"/>
    <w:rsid w:val="387309A8"/>
    <w:rsid w:val="38740160"/>
    <w:rsid w:val="387B30D0"/>
    <w:rsid w:val="389D3684"/>
    <w:rsid w:val="38E075A3"/>
    <w:rsid w:val="390258F0"/>
    <w:rsid w:val="39050DB8"/>
    <w:rsid w:val="39063BB9"/>
    <w:rsid w:val="392B4E9C"/>
    <w:rsid w:val="39793F93"/>
    <w:rsid w:val="397A4778"/>
    <w:rsid w:val="398713AE"/>
    <w:rsid w:val="39B926A0"/>
    <w:rsid w:val="39BA7625"/>
    <w:rsid w:val="39C734F2"/>
    <w:rsid w:val="3A276EF1"/>
    <w:rsid w:val="3A526256"/>
    <w:rsid w:val="3A54011F"/>
    <w:rsid w:val="3A73406D"/>
    <w:rsid w:val="3AC21DDE"/>
    <w:rsid w:val="3AEC4C63"/>
    <w:rsid w:val="3AEE63BB"/>
    <w:rsid w:val="3B0E497A"/>
    <w:rsid w:val="3B38787F"/>
    <w:rsid w:val="3B882580"/>
    <w:rsid w:val="3B9D352A"/>
    <w:rsid w:val="3B9F3D38"/>
    <w:rsid w:val="3BA61E91"/>
    <w:rsid w:val="3BAC1EC3"/>
    <w:rsid w:val="3BAF3381"/>
    <w:rsid w:val="3BD44686"/>
    <w:rsid w:val="3BD45745"/>
    <w:rsid w:val="3BD66A3C"/>
    <w:rsid w:val="3BEE6889"/>
    <w:rsid w:val="3BFD59CB"/>
    <w:rsid w:val="3C3E2F5F"/>
    <w:rsid w:val="3C642299"/>
    <w:rsid w:val="3CA8487C"/>
    <w:rsid w:val="3CB754AD"/>
    <w:rsid w:val="3CB97375"/>
    <w:rsid w:val="3CEA6FE4"/>
    <w:rsid w:val="3D12700A"/>
    <w:rsid w:val="3D263451"/>
    <w:rsid w:val="3D332912"/>
    <w:rsid w:val="3D5605D9"/>
    <w:rsid w:val="3DB913D6"/>
    <w:rsid w:val="3E1C2E2C"/>
    <w:rsid w:val="3E1D0952"/>
    <w:rsid w:val="3E2C42BA"/>
    <w:rsid w:val="3E34610E"/>
    <w:rsid w:val="3E5117D4"/>
    <w:rsid w:val="3E522867"/>
    <w:rsid w:val="3E6C21F3"/>
    <w:rsid w:val="3E6F4200"/>
    <w:rsid w:val="3EBB3548"/>
    <w:rsid w:val="3EE67AE9"/>
    <w:rsid w:val="3EEA2F2A"/>
    <w:rsid w:val="3F382A92"/>
    <w:rsid w:val="3F5A13B7"/>
    <w:rsid w:val="3F605988"/>
    <w:rsid w:val="3F710797"/>
    <w:rsid w:val="3F747685"/>
    <w:rsid w:val="3FAA0C67"/>
    <w:rsid w:val="3FE008DC"/>
    <w:rsid w:val="3FEF0801"/>
    <w:rsid w:val="40181E7D"/>
    <w:rsid w:val="402669C1"/>
    <w:rsid w:val="4037641D"/>
    <w:rsid w:val="4063215B"/>
    <w:rsid w:val="406D2F2D"/>
    <w:rsid w:val="4070758D"/>
    <w:rsid w:val="4081482E"/>
    <w:rsid w:val="40AA12BF"/>
    <w:rsid w:val="40B2636B"/>
    <w:rsid w:val="40B309AD"/>
    <w:rsid w:val="40DB51B2"/>
    <w:rsid w:val="4114603C"/>
    <w:rsid w:val="41450250"/>
    <w:rsid w:val="415164D7"/>
    <w:rsid w:val="416219B8"/>
    <w:rsid w:val="41C21261"/>
    <w:rsid w:val="41D30E43"/>
    <w:rsid w:val="41DB14A6"/>
    <w:rsid w:val="41EC6FB9"/>
    <w:rsid w:val="42110F5E"/>
    <w:rsid w:val="426D295C"/>
    <w:rsid w:val="42750764"/>
    <w:rsid w:val="427523C8"/>
    <w:rsid w:val="428E2587"/>
    <w:rsid w:val="42ED1D32"/>
    <w:rsid w:val="42FD3550"/>
    <w:rsid w:val="430D55AE"/>
    <w:rsid w:val="432F33B6"/>
    <w:rsid w:val="435A7168"/>
    <w:rsid w:val="437B6009"/>
    <w:rsid w:val="43920971"/>
    <w:rsid w:val="439E20E8"/>
    <w:rsid w:val="43E002F4"/>
    <w:rsid w:val="441F07C3"/>
    <w:rsid w:val="44413307"/>
    <w:rsid w:val="444E008A"/>
    <w:rsid w:val="447C0B09"/>
    <w:rsid w:val="44A265A1"/>
    <w:rsid w:val="44C41B05"/>
    <w:rsid w:val="44C64722"/>
    <w:rsid w:val="44E410B9"/>
    <w:rsid w:val="44E623E5"/>
    <w:rsid w:val="44EA5FD0"/>
    <w:rsid w:val="450356B0"/>
    <w:rsid w:val="45234018"/>
    <w:rsid w:val="457F7C35"/>
    <w:rsid w:val="45A83C2E"/>
    <w:rsid w:val="45D01477"/>
    <w:rsid w:val="46491FE2"/>
    <w:rsid w:val="464C74BA"/>
    <w:rsid w:val="464F0B0E"/>
    <w:rsid w:val="46855087"/>
    <w:rsid w:val="468D0046"/>
    <w:rsid w:val="46BD6D90"/>
    <w:rsid w:val="46CE7097"/>
    <w:rsid w:val="46D8472C"/>
    <w:rsid w:val="46DE2A42"/>
    <w:rsid w:val="46E26BDC"/>
    <w:rsid w:val="46EC5C48"/>
    <w:rsid w:val="46F32827"/>
    <w:rsid w:val="47215957"/>
    <w:rsid w:val="47340CD8"/>
    <w:rsid w:val="473443C9"/>
    <w:rsid w:val="476535A2"/>
    <w:rsid w:val="477438EE"/>
    <w:rsid w:val="47D51743"/>
    <w:rsid w:val="47E0075A"/>
    <w:rsid w:val="47F1346F"/>
    <w:rsid w:val="482667EC"/>
    <w:rsid w:val="487C7F7F"/>
    <w:rsid w:val="48A13FD6"/>
    <w:rsid w:val="48ED08FB"/>
    <w:rsid w:val="49261A9B"/>
    <w:rsid w:val="492E5F8C"/>
    <w:rsid w:val="49503CD6"/>
    <w:rsid w:val="496737C2"/>
    <w:rsid w:val="499330D2"/>
    <w:rsid w:val="499E5693"/>
    <w:rsid w:val="49A132F4"/>
    <w:rsid w:val="49DD1F53"/>
    <w:rsid w:val="49F70BF1"/>
    <w:rsid w:val="4A4D153C"/>
    <w:rsid w:val="4AC1603F"/>
    <w:rsid w:val="4AD128C3"/>
    <w:rsid w:val="4ADC0231"/>
    <w:rsid w:val="4B287338"/>
    <w:rsid w:val="4B2F2F37"/>
    <w:rsid w:val="4B414D01"/>
    <w:rsid w:val="4B4738EB"/>
    <w:rsid w:val="4B4D0B09"/>
    <w:rsid w:val="4B4E5749"/>
    <w:rsid w:val="4B9B15C2"/>
    <w:rsid w:val="4BBB22ED"/>
    <w:rsid w:val="4BCE406E"/>
    <w:rsid w:val="4C1A1B59"/>
    <w:rsid w:val="4C26614C"/>
    <w:rsid w:val="4C2E615F"/>
    <w:rsid w:val="4C334152"/>
    <w:rsid w:val="4C516396"/>
    <w:rsid w:val="4C5D4E8F"/>
    <w:rsid w:val="4C703D9C"/>
    <w:rsid w:val="4C810AAF"/>
    <w:rsid w:val="4CAD018A"/>
    <w:rsid w:val="4CC26314"/>
    <w:rsid w:val="4CDD47C4"/>
    <w:rsid w:val="4CE616F2"/>
    <w:rsid w:val="4CFB3938"/>
    <w:rsid w:val="4D265B82"/>
    <w:rsid w:val="4D2B56C8"/>
    <w:rsid w:val="4D3F48E6"/>
    <w:rsid w:val="4D486336"/>
    <w:rsid w:val="4D5F0AD0"/>
    <w:rsid w:val="4DAE7141"/>
    <w:rsid w:val="4DBA7B11"/>
    <w:rsid w:val="4DE35905"/>
    <w:rsid w:val="4DF34BA1"/>
    <w:rsid w:val="4DFF3297"/>
    <w:rsid w:val="4E0D5922"/>
    <w:rsid w:val="4E2C16F1"/>
    <w:rsid w:val="4E30194B"/>
    <w:rsid w:val="4E36783E"/>
    <w:rsid w:val="4E6E4CE3"/>
    <w:rsid w:val="4E791BD4"/>
    <w:rsid w:val="4E826606"/>
    <w:rsid w:val="4E840A91"/>
    <w:rsid w:val="4E8D453C"/>
    <w:rsid w:val="4E9F664B"/>
    <w:rsid w:val="4EA43F43"/>
    <w:rsid w:val="4EA7676D"/>
    <w:rsid w:val="4EAE248E"/>
    <w:rsid w:val="4ED03497"/>
    <w:rsid w:val="4F1A55E3"/>
    <w:rsid w:val="4F1D0883"/>
    <w:rsid w:val="4F29749D"/>
    <w:rsid w:val="4F3A382D"/>
    <w:rsid w:val="4F587A3C"/>
    <w:rsid w:val="4F6C29B9"/>
    <w:rsid w:val="4F7264A7"/>
    <w:rsid w:val="4FBD3295"/>
    <w:rsid w:val="4FD72AF8"/>
    <w:rsid w:val="4FD87AF9"/>
    <w:rsid w:val="4FE132F4"/>
    <w:rsid w:val="4FE20A4D"/>
    <w:rsid w:val="507D5FF3"/>
    <w:rsid w:val="50BB45C2"/>
    <w:rsid w:val="50E7320E"/>
    <w:rsid w:val="50FC03D8"/>
    <w:rsid w:val="50FD07A0"/>
    <w:rsid w:val="51006F43"/>
    <w:rsid w:val="510357A6"/>
    <w:rsid w:val="51040284"/>
    <w:rsid w:val="512E6B4D"/>
    <w:rsid w:val="51333DC7"/>
    <w:rsid w:val="513623BF"/>
    <w:rsid w:val="513D1C7C"/>
    <w:rsid w:val="5140188A"/>
    <w:rsid w:val="515B23FF"/>
    <w:rsid w:val="515E6E0A"/>
    <w:rsid w:val="516344D5"/>
    <w:rsid w:val="51B66C9C"/>
    <w:rsid w:val="51D34548"/>
    <w:rsid w:val="51D56A37"/>
    <w:rsid w:val="51E813A5"/>
    <w:rsid w:val="51FF4D53"/>
    <w:rsid w:val="52026474"/>
    <w:rsid w:val="52122C4D"/>
    <w:rsid w:val="52186EE1"/>
    <w:rsid w:val="52371899"/>
    <w:rsid w:val="52646AA8"/>
    <w:rsid w:val="52690C71"/>
    <w:rsid w:val="526D37FE"/>
    <w:rsid w:val="526F23B0"/>
    <w:rsid w:val="527914DB"/>
    <w:rsid w:val="52890B7B"/>
    <w:rsid w:val="52CB517F"/>
    <w:rsid w:val="52D66DAF"/>
    <w:rsid w:val="52ED3368"/>
    <w:rsid w:val="53122541"/>
    <w:rsid w:val="5318496F"/>
    <w:rsid w:val="53614C01"/>
    <w:rsid w:val="53C21688"/>
    <w:rsid w:val="53C727D4"/>
    <w:rsid w:val="53C952DF"/>
    <w:rsid w:val="53D602CD"/>
    <w:rsid w:val="542604B5"/>
    <w:rsid w:val="543E02E6"/>
    <w:rsid w:val="5449029B"/>
    <w:rsid w:val="5467344B"/>
    <w:rsid w:val="5479152A"/>
    <w:rsid w:val="54952ADF"/>
    <w:rsid w:val="54AE0739"/>
    <w:rsid w:val="54DA32C1"/>
    <w:rsid w:val="54E274B8"/>
    <w:rsid w:val="550A5F70"/>
    <w:rsid w:val="55254864"/>
    <w:rsid w:val="553D4C83"/>
    <w:rsid w:val="55466840"/>
    <w:rsid w:val="557B202D"/>
    <w:rsid w:val="55BE36B7"/>
    <w:rsid w:val="56072F84"/>
    <w:rsid w:val="562573D2"/>
    <w:rsid w:val="564D55CB"/>
    <w:rsid w:val="56520E8D"/>
    <w:rsid w:val="569E1586"/>
    <w:rsid w:val="56A278E0"/>
    <w:rsid w:val="56AB29C9"/>
    <w:rsid w:val="570971CD"/>
    <w:rsid w:val="57212DA0"/>
    <w:rsid w:val="57270FDD"/>
    <w:rsid w:val="57411DDB"/>
    <w:rsid w:val="5780229B"/>
    <w:rsid w:val="57954AD3"/>
    <w:rsid w:val="57961D03"/>
    <w:rsid w:val="57B7551B"/>
    <w:rsid w:val="57C2639A"/>
    <w:rsid w:val="57FE25F7"/>
    <w:rsid w:val="5830405E"/>
    <w:rsid w:val="58317108"/>
    <w:rsid w:val="583D58CF"/>
    <w:rsid w:val="584F7D14"/>
    <w:rsid w:val="589C2BD2"/>
    <w:rsid w:val="58D73D1F"/>
    <w:rsid w:val="59013BFE"/>
    <w:rsid w:val="59253811"/>
    <w:rsid w:val="592A3654"/>
    <w:rsid w:val="5965713C"/>
    <w:rsid w:val="59A061CE"/>
    <w:rsid w:val="59B85CA7"/>
    <w:rsid w:val="5A17412E"/>
    <w:rsid w:val="5A225816"/>
    <w:rsid w:val="5A281CE4"/>
    <w:rsid w:val="5A2F2822"/>
    <w:rsid w:val="5A3C472F"/>
    <w:rsid w:val="5A3F00FB"/>
    <w:rsid w:val="5A4B5F09"/>
    <w:rsid w:val="5A793A18"/>
    <w:rsid w:val="5AC04A97"/>
    <w:rsid w:val="5AED4856"/>
    <w:rsid w:val="5AEF6B62"/>
    <w:rsid w:val="5B512ECA"/>
    <w:rsid w:val="5BB70D26"/>
    <w:rsid w:val="5BC16D4D"/>
    <w:rsid w:val="5BD943E2"/>
    <w:rsid w:val="5BE341EC"/>
    <w:rsid w:val="5C11481A"/>
    <w:rsid w:val="5C1747A5"/>
    <w:rsid w:val="5C335DC8"/>
    <w:rsid w:val="5C3704BC"/>
    <w:rsid w:val="5C681C34"/>
    <w:rsid w:val="5C78647D"/>
    <w:rsid w:val="5C894B1F"/>
    <w:rsid w:val="5CE70E47"/>
    <w:rsid w:val="5CEC0652"/>
    <w:rsid w:val="5D230BCC"/>
    <w:rsid w:val="5D3B541C"/>
    <w:rsid w:val="5D4E6355"/>
    <w:rsid w:val="5D777C27"/>
    <w:rsid w:val="5D7A5C14"/>
    <w:rsid w:val="5D901775"/>
    <w:rsid w:val="5D944D66"/>
    <w:rsid w:val="5D99E504"/>
    <w:rsid w:val="5DE77224"/>
    <w:rsid w:val="5DE91502"/>
    <w:rsid w:val="5E3749EE"/>
    <w:rsid w:val="5E60628D"/>
    <w:rsid w:val="5E6769BB"/>
    <w:rsid w:val="5E8E0F7C"/>
    <w:rsid w:val="5EFA5987"/>
    <w:rsid w:val="5F040F0C"/>
    <w:rsid w:val="5F105DFC"/>
    <w:rsid w:val="5FA56D00"/>
    <w:rsid w:val="60045CA7"/>
    <w:rsid w:val="60492328"/>
    <w:rsid w:val="6051493D"/>
    <w:rsid w:val="605A586C"/>
    <w:rsid w:val="606B679F"/>
    <w:rsid w:val="608D787A"/>
    <w:rsid w:val="60BB2995"/>
    <w:rsid w:val="61190304"/>
    <w:rsid w:val="61722DE0"/>
    <w:rsid w:val="61B2119A"/>
    <w:rsid w:val="61EC2135"/>
    <w:rsid w:val="621603F8"/>
    <w:rsid w:val="621E52A3"/>
    <w:rsid w:val="624368A9"/>
    <w:rsid w:val="62516678"/>
    <w:rsid w:val="62C4482D"/>
    <w:rsid w:val="62DA2F7A"/>
    <w:rsid w:val="62E26F8D"/>
    <w:rsid w:val="637E56E5"/>
    <w:rsid w:val="6384309D"/>
    <w:rsid w:val="63FA5093"/>
    <w:rsid w:val="64316E84"/>
    <w:rsid w:val="648C3D82"/>
    <w:rsid w:val="64A665BA"/>
    <w:rsid w:val="64BC69C3"/>
    <w:rsid w:val="64BD5616"/>
    <w:rsid w:val="64CB5671"/>
    <w:rsid w:val="64D23251"/>
    <w:rsid w:val="64F7527C"/>
    <w:rsid w:val="64FB6D74"/>
    <w:rsid w:val="6510121A"/>
    <w:rsid w:val="65183849"/>
    <w:rsid w:val="651E09EE"/>
    <w:rsid w:val="6540624A"/>
    <w:rsid w:val="65485490"/>
    <w:rsid w:val="655917AE"/>
    <w:rsid w:val="657111EE"/>
    <w:rsid w:val="659D012A"/>
    <w:rsid w:val="659E1D59"/>
    <w:rsid w:val="65C932C5"/>
    <w:rsid w:val="65D5329D"/>
    <w:rsid w:val="65E224A2"/>
    <w:rsid w:val="65F70316"/>
    <w:rsid w:val="65F7B4DA"/>
    <w:rsid w:val="65FA13F5"/>
    <w:rsid w:val="6618540E"/>
    <w:rsid w:val="66575E4B"/>
    <w:rsid w:val="666C6098"/>
    <w:rsid w:val="66805552"/>
    <w:rsid w:val="66AA05EC"/>
    <w:rsid w:val="66AB6F68"/>
    <w:rsid w:val="66B04694"/>
    <w:rsid w:val="66E6282B"/>
    <w:rsid w:val="66FA1203"/>
    <w:rsid w:val="6703DC79"/>
    <w:rsid w:val="6709317F"/>
    <w:rsid w:val="67095D94"/>
    <w:rsid w:val="67177D85"/>
    <w:rsid w:val="6746270A"/>
    <w:rsid w:val="674675E6"/>
    <w:rsid w:val="67640B0A"/>
    <w:rsid w:val="67857E7C"/>
    <w:rsid w:val="68004247"/>
    <w:rsid w:val="68235BAE"/>
    <w:rsid w:val="686838BA"/>
    <w:rsid w:val="68C04E97"/>
    <w:rsid w:val="68DD23C6"/>
    <w:rsid w:val="68EE05B8"/>
    <w:rsid w:val="68FD5D51"/>
    <w:rsid w:val="690748F3"/>
    <w:rsid w:val="69380A4F"/>
    <w:rsid w:val="693E62C2"/>
    <w:rsid w:val="695D56AB"/>
    <w:rsid w:val="696A1BBC"/>
    <w:rsid w:val="69931944"/>
    <w:rsid w:val="69B367CA"/>
    <w:rsid w:val="69E22463"/>
    <w:rsid w:val="69EC0848"/>
    <w:rsid w:val="6A03688E"/>
    <w:rsid w:val="6A310251"/>
    <w:rsid w:val="6A313818"/>
    <w:rsid w:val="6A4714B4"/>
    <w:rsid w:val="6A4A693C"/>
    <w:rsid w:val="6A505FC0"/>
    <w:rsid w:val="6A690E44"/>
    <w:rsid w:val="6A71244B"/>
    <w:rsid w:val="6A8079FC"/>
    <w:rsid w:val="6A89267A"/>
    <w:rsid w:val="6AA40BB9"/>
    <w:rsid w:val="6AA81420"/>
    <w:rsid w:val="6ABA0094"/>
    <w:rsid w:val="6ABC5687"/>
    <w:rsid w:val="6AD71D05"/>
    <w:rsid w:val="6AF64B3F"/>
    <w:rsid w:val="6B1C480C"/>
    <w:rsid w:val="6B53517A"/>
    <w:rsid w:val="6B7C7D92"/>
    <w:rsid w:val="6B84525A"/>
    <w:rsid w:val="6BA25945"/>
    <w:rsid w:val="6C382C77"/>
    <w:rsid w:val="6C4E79B1"/>
    <w:rsid w:val="6C5BDF83"/>
    <w:rsid w:val="6C6D57E5"/>
    <w:rsid w:val="6CA44702"/>
    <w:rsid w:val="6CD11A12"/>
    <w:rsid w:val="6CDB133D"/>
    <w:rsid w:val="6CE313BB"/>
    <w:rsid w:val="6CED1048"/>
    <w:rsid w:val="6CF35522"/>
    <w:rsid w:val="6D1975AE"/>
    <w:rsid w:val="6D27585C"/>
    <w:rsid w:val="6D517EB8"/>
    <w:rsid w:val="6D71630B"/>
    <w:rsid w:val="6D7D2861"/>
    <w:rsid w:val="6DB76D4D"/>
    <w:rsid w:val="6DC357B6"/>
    <w:rsid w:val="6DDB607F"/>
    <w:rsid w:val="6DEC7C8E"/>
    <w:rsid w:val="6E296CAA"/>
    <w:rsid w:val="6E375EA9"/>
    <w:rsid w:val="6E9660AC"/>
    <w:rsid w:val="6E9D356B"/>
    <w:rsid w:val="6EA840D5"/>
    <w:rsid w:val="6EAEEFA3"/>
    <w:rsid w:val="6EBFCC57"/>
    <w:rsid w:val="6EEE586F"/>
    <w:rsid w:val="6EF462BE"/>
    <w:rsid w:val="6F0B79A5"/>
    <w:rsid w:val="6F2F1719"/>
    <w:rsid w:val="6F3340E2"/>
    <w:rsid w:val="6F3F05E6"/>
    <w:rsid w:val="6F6F68CA"/>
    <w:rsid w:val="6F8544C5"/>
    <w:rsid w:val="6FBA7CCB"/>
    <w:rsid w:val="6FC36BC8"/>
    <w:rsid w:val="6FDF96BF"/>
    <w:rsid w:val="6FE84821"/>
    <w:rsid w:val="6FFFC109"/>
    <w:rsid w:val="700A74CA"/>
    <w:rsid w:val="7015415A"/>
    <w:rsid w:val="701B3791"/>
    <w:rsid w:val="70245EA3"/>
    <w:rsid w:val="70DA1F90"/>
    <w:rsid w:val="714C24DB"/>
    <w:rsid w:val="717B15A2"/>
    <w:rsid w:val="71830048"/>
    <w:rsid w:val="71CC328F"/>
    <w:rsid w:val="71E343A6"/>
    <w:rsid w:val="71E95381"/>
    <w:rsid w:val="72295991"/>
    <w:rsid w:val="73253C4A"/>
    <w:rsid w:val="7333195C"/>
    <w:rsid w:val="73565667"/>
    <w:rsid w:val="737C0B02"/>
    <w:rsid w:val="739A22C4"/>
    <w:rsid w:val="73E43F50"/>
    <w:rsid w:val="7418021D"/>
    <w:rsid w:val="74485068"/>
    <w:rsid w:val="74570778"/>
    <w:rsid w:val="745B5755"/>
    <w:rsid w:val="74602094"/>
    <w:rsid w:val="747821E2"/>
    <w:rsid w:val="74812D82"/>
    <w:rsid w:val="748634AA"/>
    <w:rsid w:val="74AB31F3"/>
    <w:rsid w:val="74AE1FB3"/>
    <w:rsid w:val="74D00440"/>
    <w:rsid w:val="74E868AE"/>
    <w:rsid w:val="74FB1026"/>
    <w:rsid w:val="750352B4"/>
    <w:rsid w:val="75240087"/>
    <w:rsid w:val="752417BB"/>
    <w:rsid w:val="752751AC"/>
    <w:rsid w:val="754A5A92"/>
    <w:rsid w:val="755502A6"/>
    <w:rsid w:val="75700507"/>
    <w:rsid w:val="7589137F"/>
    <w:rsid w:val="758E5FB4"/>
    <w:rsid w:val="75A768A8"/>
    <w:rsid w:val="75DD366D"/>
    <w:rsid w:val="75F009DD"/>
    <w:rsid w:val="762C32D1"/>
    <w:rsid w:val="76724AA0"/>
    <w:rsid w:val="767F5541"/>
    <w:rsid w:val="7684139B"/>
    <w:rsid w:val="768D5393"/>
    <w:rsid w:val="76F554C0"/>
    <w:rsid w:val="76F6620E"/>
    <w:rsid w:val="76FD4A52"/>
    <w:rsid w:val="77142421"/>
    <w:rsid w:val="773806EB"/>
    <w:rsid w:val="776A506A"/>
    <w:rsid w:val="777E1909"/>
    <w:rsid w:val="77A07C19"/>
    <w:rsid w:val="77B15E6D"/>
    <w:rsid w:val="77B9711C"/>
    <w:rsid w:val="77CC6810"/>
    <w:rsid w:val="77E36780"/>
    <w:rsid w:val="782E2D42"/>
    <w:rsid w:val="78426C9A"/>
    <w:rsid w:val="78607BA9"/>
    <w:rsid w:val="788C1051"/>
    <w:rsid w:val="78945DD9"/>
    <w:rsid w:val="789716E8"/>
    <w:rsid w:val="789F308D"/>
    <w:rsid w:val="79066F79"/>
    <w:rsid w:val="790858EF"/>
    <w:rsid w:val="790E7013"/>
    <w:rsid w:val="790F1190"/>
    <w:rsid w:val="79425F2C"/>
    <w:rsid w:val="7987585E"/>
    <w:rsid w:val="79A6440E"/>
    <w:rsid w:val="79DF3B43"/>
    <w:rsid w:val="7A075F04"/>
    <w:rsid w:val="7A2E67FE"/>
    <w:rsid w:val="7A396538"/>
    <w:rsid w:val="7A6039AB"/>
    <w:rsid w:val="7A7D7FAA"/>
    <w:rsid w:val="7AFA5142"/>
    <w:rsid w:val="7AFB7592"/>
    <w:rsid w:val="7AFDB705"/>
    <w:rsid w:val="7B0225BE"/>
    <w:rsid w:val="7B1F2F32"/>
    <w:rsid w:val="7B2901C9"/>
    <w:rsid w:val="7B323485"/>
    <w:rsid w:val="7B92597C"/>
    <w:rsid w:val="7B95331A"/>
    <w:rsid w:val="7BCA60AF"/>
    <w:rsid w:val="7BFC4DB5"/>
    <w:rsid w:val="7C0A3B66"/>
    <w:rsid w:val="7C38473F"/>
    <w:rsid w:val="7C5321AC"/>
    <w:rsid w:val="7C613F85"/>
    <w:rsid w:val="7C97597D"/>
    <w:rsid w:val="7CAE4A75"/>
    <w:rsid w:val="7CF50700"/>
    <w:rsid w:val="7D2505AB"/>
    <w:rsid w:val="7D441FB6"/>
    <w:rsid w:val="7D51326A"/>
    <w:rsid w:val="7D5E4E2C"/>
    <w:rsid w:val="7D873161"/>
    <w:rsid w:val="7DAC1B90"/>
    <w:rsid w:val="7DCC1044"/>
    <w:rsid w:val="7E0253AE"/>
    <w:rsid w:val="7E1A5FDF"/>
    <w:rsid w:val="7E233DF0"/>
    <w:rsid w:val="7E274FE1"/>
    <w:rsid w:val="7E6FA41A"/>
    <w:rsid w:val="7E9D75D0"/>
    <w:rsid w:val="7EA57709"/>
    <w:rsid w:val="7EA63BD0"/>
    <w:rsid w:val="7EB00B64"/>
    <w:rsid w:val="7EBB342A"/>
    <w:rsid w:val="7EE06E1E"/>
    <w:rsid w:val="7EEA5E15"/>
    <w:rsid w:val="7EEFD3B8"/>
    <w:rsid w:val="7EF63CF0"/>
    <w:rsid w:val="7EFB5B72"/>
    <w:rsid w:val="7F3A712E"/>
    <w:rsid w:val="7F881E44"/>
    <w:rsid w:val="7FD2164F"/>
    <w:rsid w:val="7FDB6321"/>
    <w:rsid w:val="7FE6C41B"/>
    <w:rsid w:val="9BAF8842"/>
    <w:rsid w:val="A6FF6566"/>
    <w:rsid w:val="AD8B9581"/>
    <w:rsid w:val="BFA38157"/>
    <w:rsid w:val="C7DE35DD"/>
    <w:rsid w:val="D3FB9849"/>
    <w:rsid w:val="DFC75C30"/>
    <w:rsid w:val="DFDEF9D9"/>
    <w:rsid w:val="DFF1467F"/>
    <w:rsid w:val="DFF7C321"/>
    <w:rsid w:val="DFFFF882"/>
    <w:rsid w:val="E3BD2F24"/>
    <w:rsid w:val="EAFF5FC1"/>
    <w:rsid w:val="F1EB71E5"/>
    <w:rsid w:val="F8A48887"/>
    <w:rsid w:val="FBF7855E"/>
    <w:rsid w:val="FC9F0480"/>
    <w:rsid w:val="FCB743AF"/>
    <w:rsid w:val="FF358FD8"/>
    <w:rsid w:val="FF3EAA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locked/>
    <w:uiPriority w:val="99"/>
    <w:pPr>
      <w:numPr>
        <w:ilvl w:val="1"/>
        <w:numId w:val="1"/>
      </w:numPr>
      <w:spacing w:before="260"/>
      <w:jc w:val="left"/>
      <w:outlineLvl w:val="1"/>
    </w:pPr>
    <w:rPr>
      <w:rFonts w:ascii="宋体" w:hAnsi="Arial"/>
      <w:kern w:val="0"/>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next w:val="1"/>
    <w:link w:val="31"/>
    <w:qFormat/>
    <w:uiPriority w:val="0"/>
    <w:pPr>
      <w:jc w:val="left"/>
    </w:pPr>
  </w:style>
  <w:style w:type="paragraph" w:styleId="5">
    <w:name w:val="Body Text"/>
    <w:basedOn w:val="1"/>
    <w:next w:val="6"/>
    <w:qFormat/>
    <w:uiPriority w:val="0"/>
    <w:rPr>
      <w:rFonts w:ascii="仿宋_GB2312" w:eastAsia="仿宋_GB2312"/>
      <w:sz w:val="28"/>
    </w:rPr>
  </w:style>
  <w:style w:type="paragraph" w:styleId="6">
    <w:name w:val="Subtitle"/>
    <w:basedOn w:val="1"/>
    <w:next w:val="1"/>
    <w:qFormat/>
    <w:locked/>
    <w:uiPriority w:val="0"/>
    <w:pPr>
      <w:spacing w:before="240" w:after="60" w:line="312" w:lineRule="auto"/>
      <w:jc w:val="center"/>
      <w:outlineLvl w:val="1"/>
    </w:pPr>
    <w:rPr>
      <w:rFonts w:ascii="Cambria" w:hAnsi="Cambria"/>
      <w:b/>
      <w:bCs/>
      <w:kern w:val="28"/>
      <w:sz w:val="32"/>
      <w:szCs w:val="32"/>
    </w:rPr>
  </w:style>
  <w:style w:type="paragraph" w:styleId="7">
    <w:name w:val="Body Text Indent"/>
    <w:basedOn w:val="1"/>
    <w:qFormat/>
    <w:uiPriority w:val="0"/>
    <w:pPr>
      <w:spacing w:line="440" w:lineRule="exact"/>
      <w:ind w:firstLine="488" w:firstLineChars="200"/>
    </w:pPr>
    <w:rPr>
      <w:rFonts w:ascii="仿宋_GB2312" w:eastAsia="仿宋_GB2312"/>
      <w:spacing w:val="7"/>
      <w:sz w:val="23"/>
    </w:rPr>
  </w:style>
  <w:style w:type="paragraph" w:styleId="8">
    <w:name w:val="Plain Text"/>
    <w:basedOn w:val="1"/>
    <w:link w:val="28"/>
    <w:qFormat/>
    <w:uiPriority w:val="0"/>
    <w:pPr>
      <w:spacing w:line="580" w:lineRule="exact"/>
      <w:ind w:right="-197" w:firstLine="560" w:firstLineChars="200"/>
    </w:pPr>
    <w:rPr>
      <w:rFonts w:ascii="黑体" w:hAnsi="Courier New" w:eastAsia="黑体"/>
      <w:kern w:val="0"/>
      <w:sz w:val="20"/>
      <w:szCs w:val="20"/>
    </w:rPr>
  </w:style>
  <w:style w:type="paragraph" w:styleId="9">
    <w:name w:val="Body Text Indent 2"/>
    <w:basedOn w:val="1"/>
    <w:link w:val="29"/>
    <w:qFormat/>
    <w:uiPriority w:val="0"/>
    <w:pPr>
      <w:spacing w:after="120" w:line="480" w:lineRule="auto"/>
      <w:ind w:left="420" w:leftChars="200"/>
    </w:pPr>
    <w:rPr>
      <w:szCs w:val="24"/>
    </w:rPr>
  </w:style>
  <w:style w:type="paragraph" w:styleId="10">
    <w:name w:val="Balloon Text"/>
    <w:basedOn w:val="1"/>
    <w:semiHidden/>
    <w:qFormat/>
    <w:uiPriority w:val="0"/>
    <w:rPr>
      <w:sz w:val="18"/>
      <w:szCs w:val="18"/>
    </w:rPr>
  </w:style>
  <w:style w:type="paragraph" w:styleId="11">
    <w:name w:val="footer"/>
    <w:basedOn w:val="1"/>
    <w:link w:val="30"/>
    <w:qFormat/>
    <w:uiPriority w:val="99"/>
    <w:pPr>
      <w:tabs>
        <w:tab w:val="center" w:pos="4153"/>
        <w:tab w:val="right" w:pos="8306"/>
      </w:tabs>
      <w:snapToGrid w:val="0"/>
      <w:jc w:val="left"/>
    </w:pPr>
    <w:rPr>
      <w:rFonts w:ascii="Calibri" w:hAnsi="Calibri"/>
      <w:kern w:val="0"/>
      <w:sz w:val="18"/>
      <w:szCs w:val="18"/>
    </w:rPr>
  </w:style>
  <w:style w:type="paragraph" w:styleId="12">
    <w:name w:val="envelope return"/>
    <w:basedOn w:val="1"/>
    <w:qFormat/>
    <w:uiPriority w:val="0"/>
    <w:pPr>
      <w:snapToGrid w:val="0"/>
    </w:pPr>
    <w:rPr>
      <w:rFonts w:ascii="Arial" w:hAnsi="Arial"/>
      <w:szCs w:val="24"/>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Body Text 2"/>
    <w:basedOn w:val="1"/>
    <w:qFormat/>
    <w:uiPriority w:val="0"/>
    <w:rPr>
      <w:sz w:val="44"/>
    </w:rPr>
  </w:style>
  <w:style w:type="paragraph" w:styleId="15">
    <w:name w:val="annotation subject"/>
    <w:basedOn w:val="4"/>
    <w:next w:val="4"/>
    <w:link w:val="32"/>
    <w:qFormat/>
    <w:uiPriority w:val="0"/>
    <w:rPr>
      <w:b/>
      <w:bCs/>
    </w:rPr>
  </w:style>
  <w:style w:type="paragraph" w:styleId="16">
    <w:name w:val="Body Text First Indent"/>
    <w:basedOn w:val="5"/>
    <w:qFormat/>
    <w:uiPriority w:val="0"/>
    <w:pPr>
      <w:spacing w:after="120" w:afterLines="0"/>
      <w:ind w:firstLine="420" w:firstLineChars="100"/>
    </w:pPr>
    <w:rPr>
      <w:rFonts w:ascii="Times New Roman" w:eastAsia="宋体"/>
      <w:sz w:val="21"/>
      <w:lang w:val="en-US" w:eastAsia="zh-CN"/>
    </w:rPr>
  </w:style>
  <w:style w:type="paragraph" w:styleId="17">
    <w:name w:val="Body Text First Indent 2"/>
    <w:basedOn w:val="7"/>
    <w:qFormat/>
    <w:uiPriority w:val="0"/>
    <w:pPr>
      <w:ind w:left="200" w:firstLine="200"/>
    </w:pPr>
    <w:rPr>
      <w:rFonts w:ascii="Calibri"/>
      <w:color w:val="0D0D0D"/>
      <w:szCs w:val="24"/>
      <w:lang w:eastAsia="en-US"/>
    </w:rPr>
  </w:style>
  <w:style w:type="character" w:styleId="20">
    <w:name w:val="page number"/>
    <w:qFormat/>
    <w:uiPriority w:val="0"/>
    <w:rPr>
      <w:rFonts w:cs="Times New Roman"/>
    </w:rPr>
  </w:style>
  <w:style w:type="character" w:styleId="21">
    <w:name w:val="annotation reference"/>
    <w:basedOn w:val="19"/>
    <w:qFormat/>
    <w:uiPriority w:val="0"/>
    <w:rPr>
      <w:sz w:val="21"/>
      <w:szCs w:val="21"/>
    </w:rPr>
  </w:style>
  <w:style w:type="paragraph" w:customStyle="1" w:styleId="22">
    <w:name w:val="正文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纯文本1"/>
    <w:basedOn w:val="1"/>
    <w:qFormat/>
    <w:uiPriority w:val="0"/>
    <w:pPr>
      <w:spacing w:line="580" w:lineRule="exact"/>
      <w:ind w:right="-197" w:firstLine="560" w:firstLineChars="200"/>
    </w:pPr>
    <w:rPr>
      <w:rFonts w:ascii="黑体" w:hAnsi="Courier New" w:eastAsia="黑体"/>
      <w:sz w:val="28"/>
      <w:szCs w:val="20"/>
    </w:rPr>
  </w:style>
  <w:style w:type="paragraph" w:customStyle="1" w:styleId="24">
    <w:name w:val="正文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报告正文A"/>
    <w:basedOn w:val="1"/>
    <w:qFormat/>
    <w:uiPriority w:val="0"/>
    <w:pPr>
      <w:widowControl/>
      <w:adjustRightInd w:val="0"/>
      <w:snapToGrid w:val="0"/>
      <w:spacing w:line="360" w:lineRule="auto"/>
      <w:ind w:firstLine="200" w:firstLineChars="200"/>
    </w:pPr>
    <w:rPr>
      <w:rFonts w:eastAsia="仿宋_GB2312"/>
      <w:kern w:val="0"/>
      <w:sz w:val="28"/>
      <w:szCs w:val="28"/>
    </w:rPr>
  </w:style>
  <w:style w:type="paragraph" w:customStyle="1" w:styleId="26">
    <w:name w:val="Char1 Char Char Char"/>
    <w:basedOn w:val="1"/>
    <w:qFormat/>
    <w:uiPriority w:val="0"/>
    <w:rPr>
      <w:b/>
      <w:bCs/>
      <w:sz w:val="36"/>
      <w:szCs w:val="32"/>
    </w:rPr>
  </w:style>
  <w:style w:type="character" w:customStyle="1" w:styleId="27">
    <w:name w:val="页眉 字符"/>
    <w:link w:val="13"/>
    <w:qFormat/>
    <w:locked/>
    <w:uiPriority w:val="0"/>
    <w:rPr>
      <w:rFonts w:cs="Times New Roman"/>
      <w:sz w:val="18"/>
      <w:szCs w:val="18"/>
    </w:rPr>
  </w:style>
  <w:style w:type="character" w:customStyle="1" w:styleId="28">
    <w:name w:val="纯文本 字符"/>
    <w:link w:val="8"/>
    <w:qFormat/>
    <w:locked/>
    <w:uiPriority w:val="0"/>
    <w:rPr>
      <w:rFonts w:ascii="黑体" w:hAnsi="Courier New" w:eastAsia="黑体" w:cs="黑体"/>
      <w:sz w:val="20"/>
      <w:szCs w:val="20"/>
    </w:rPr>
  </w:style>
  <w:style w:type="character" w:customStyle="1" w:styleId="29">
    <w:name w:val="正文文本缩进 2 字符"/>
    <w:link w:val="9"/>
    <w:qFormat/>
    <w:uiPriority w:val="0"/>
    <w:rPr>
      <w:rFonts w:ascii="Times New Roman" w:hAnsi="Times New Roman"/>
      <w:kern w:val="2"/>
      <w:sz w:val="21"/>
      <w:szCs w:val="24"/>
    </w:rPr>
  </w:style>
  <w:style w:type="character" w:customStyle="1" w:styleId="30">
    <w:name w:val="页脚 字符"/>
    <w:link w:val="11"/>
    <w:qFormat/>
    <w:locked/>
    <w:uiPriority w:val="99"/>
    <w:rPr>
      <w:rFonts w:cs="Times New Roman"/>
      <w:sz w:val="18"/>
      <w:szCs w:val="18"/>
    </w:rPr>
  </w:style>
  <w:style w:type="character" w:customStyle="1" w:styleId="31">
    <w:name w:val="批注文字 字符"/>
    <w:basedOn w:val="19"/>
    <w:link w:val="4"/>
    <w:qFormat/>
    <w:uiPriority w:val="0"/>
    <w:rPr>
      <w:kern w:val="2"/>
      <w:sz w:val="21"/>
      <w:szCs w:val="21"/>
    </w:rPr>
  </w:style>
  <w:style w:type="character" w:customStyle="1" w:styleId="32">
    <w:name w:val="批注主题 字符"/>
    <w:basedOn w:val="31"/>
    <w:link w:val="15"/>
    <w:qFormat/>
    <w:uiPriority w:val="0"/>
    <w:rPr>
      <w:b/>
      <w:bCs/>
      <w:kern w:val="2"/>
      <w:sz w:val="21"/>
      <w:szCs w:val="21"/>
    </w:rPr>
  </w:style>
  <w:style w:type="paragraph" w:customStyle="1" w:styleId="3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样式 标题 2 + Times New Roman 四号 非加粗 段前: 5 磅 段后: 0 磅 行距: 固定值 20..."/>
    <w:basedOn w:val="2"/>
    <w:qFormat/>
    <w:uiPriority w:val="99"/>
    <w:pPr>
      <w:spacing w:before="100" w:after="0" w:line="400" w:lineRule="exact"/>
    </w:pPr>
    <w:rPr>
      <w:rFonts w:ascii="Times New Roman" w:hAnsi="Times New Roman" w:eastAsia="黑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14114</Words>
  <Characters>14619</Characters>
  <Lines>68</Lines>
  <Paragraphs>19</Paragraphs>
  <TotalTime>0</TotalTime>
  <ScaleCrop>false</ScaleCrop>
  <LinksUpToDate>false</LinksUpToDate>
  <CharactersWithSpaces>15925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2025-03-22T18:52:00Z</dcterms:created>
  <dc:creator>Administrator</dc:creator>
  <cp:lastModifiedBy>cmh</cp:lastModifiedBy>
  <cp:lastPrinted>2019-06-08T23:35:00Z</cp:lastPrinted>
  <dcterms:modified xsi:type="dcterms:W3CDTF">2025-08-14T02:49:38Z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0E95262883E94175A93390CD420A8E8B_13</vt:lpwstr>
  </property>
  <property fmtid="{D5CDD505-2E9C-101B-9397-08002B2CF9AE}" pid="4" name="KSOTemplateDocerSaveRecord">
    <vt:lpwstr>eyJoZGlkIjoiZjA2ZTA3YTFkYmMyOTFlZWM0NGExMGNjY2FkNDI1MTMiLCJ1c2VySWQiOiI0MjI4Njk3NTYifQ==</vt:lpwstr>
  </property>
  <property fmtid="{D5CDD505-2E9C-101B-9397-08002B2CF9AE}" pid="5" name="woTemplateTypoMode" linkTarget="0">
    <vt:lpwstr>web</vt:lpwstr>
  </property>
  <property fmtid="{D5CDD505-2E9C-101B-9397-08002B2CF9AE}" pid="6" name="woTemplate" linkTarget="0">
    <vt:i4>1</vt:i4>
  </property>
</Properties>
</file>