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D83DF">
      <w:pPr>
        <w:jc w:val="right"/>
        <w:rPr>
          <w:rFonts w:ascii="宋体" w:hAnsi="宋体"/>
          <w:color w:val="auto"/>
          <w:sz w:val="36"/>
          <w:szCs w:val="36"/>
          <w:highlight w:val="none"/>
        </w:rPr>
      </w:pPr>
      <w:bookmarkStart w:id="0" w:name="_Toc288578279"/>
      <w:bookmarkStart w:id="1" w:name="_Toc197843635"/>
      <w:bookmarkStart w:id="2" w:name="_Toc251569647"/>
    </w:p>
    <w:p w14:paraId="7B5C0B09">
      <w:pPr>
        <w:jc w:val="center"/>
        <w:rPr>
          <w:rFonts w:hint="eastAsia" w:ascii="宋体" w:hAnsi="宋体"/>
          <w:b/>
          <w:color w:val="auto"/>
          <w:sz w:val="52"/>
          <w:szCs w:val="52"/>
          <w:highlight w:val="none"/>
          <w:lang w:eastAsia="zh-CN"/>
        </w:rPr>
      </w:pPr>
    </w:p>
    <w:p w14:paraId="018DB204">
      <w:pPr>
        <w:pStyle w:val="26"/>
        <w:ind w:left="0" w:leftChars="0" w:firstLine="0" w:firstLineChars="0"/>
        <w:jc w:val="center"/>
        <w:rPr>
          <w:rFonts w:hint="default" w:ascii="宋体" w:hAnsi="宋体"/>
          <w:color w:val="auto"/>
          <w:sz w:val="32"/>
          <w:szCs w:val="32"/>
          <w:highlight w:val="none"/>
          <w:lang w:val="en-US"/>
        </w:rPr>
      </w:pPr>
      <w:r>
        <w:rPr>
          <w:rFonts w:hint="eastAsia" w:ascii="宋体" w:hAnsi="宋体" w:cs="宋体"/>
          <w:b/>
          <w:bCs/>
          <w:color w:val="auto"/>
          <w:sz w:val="52"/>
          <w:szCs w:val="52"/>
          <w:highlight w:val="none"/>
          <w:lang w:eastAsia="zh-CN"/>
        </w:rPr>
        <w:t xml:space="preserve"> 广州市黄埔区云埔街火村社区莲潭经济合作社城中村改造项目复建安置地块工程</w:t>
      </w:r>
      <w:r>
        <w:rPr>
          <w:rFonts w:hint="eastAsia" w:ascii="宋体" w:hAnsi="宋体"/>
          <w:b/>
          <w:color w:val="auto"/>
          <w:sz w:val="52"/>
          <w:szCs w:val="52"/>
          <w:highlight w:val="none"/>
          <w:lang w:eastAsia="zh-CN"/>
        </w:rPr>
        <w:t>检测监测</w:t>
      </w:r>
      <w:r>
        <w:rPr>
          <w:rFonts w:hint="eastAsia" w:ascii="宋体" w:hAnsi="宋体"/>
          <w:b/>
          <w:color w:val="auto"/>
          <w:sz w:val="52"/>
          <w:szCs w:val="52"/>
          <w:highlight w:val="none"/>
          <w:lang w:val="en-US" w:eastAsia="zh-CN"/>
        </w:rPr>
        <w:t>服务</w:t>
      </w:r>
    </w:p>
    <w:p w14:paraId="4C96FC48">
      <w:pPr>
        <w:jc w:val="center"/>
        <w:rPr>
          <w:rFonts w:ascii="宋体" w:hAnsi="宋体"/>
          <w:color w:val="auto"/>
          <w:sz w:val="32"/>
          <w:szCs w:val="32"/>
          <w:highlight w:val="none"/>
          <w:u w:val="single"/>
        </w:rPr>
      </w:pPr>
    </w:p>
    <w:p w14:paraId="01CBFB7F">
      <w:pPr>
        <w:jc w:val="center"/>
        <w:rPr>
          <w:rFonts w:ascii="宋体" w:hAnsi="宋体"/>
          <w:color w:val="auto"/>
          <w:sz w:val="32"/>
          <w:szCs w:val="32"/>
          <w:highlight w:val="none"/>
          <w:u w:val="single"/>
        </w:rPr>
      </w:pPr>
    </w:p>
    <w:p w14:paraId="7AFF5AAE">
      <w:pPr>
        <w:pStyle w:val="24"/>
        <w:rPr>
          <w:rFonts w:ascii="宋体" w:hAnsi="宋体"/>
          <w:color w:val="auto"/>
          <w:sz w:val="32"/>
          <w:szCs w:val="32"/>
          <w:highlight w:val="none"/>
          <w:u w:val="single"/>
        </w:rPr>
      </w:pPr>
    </w:p>
    <w:p w14:paraId="15B98775">
      <w:pPr>
        <w:rPr>
          <w:rFonts w:ascii="宋体" w:hAnsi="宋体"/>
          <w:color w:val="auto"/>
          <w:sz w:val="32"/>
          <w:szCs w:val="32"/>
          <w:highlight w:val="none"/>
          <w:u w:val="single"/>
        </w:rPr>
      </w:pPr>
    </w:p>
    <w:p w14:paraId="33856EA0">
      <w:pPr>
        <w:pStyle w:val="24"/>
        <w:rPr>
          <w:color w:val="auto"/>
          <w:highlight w:val="none"/>
        </w:rPr>
      </w:pPr>
    </w:p>
    <w:p w14:paraId="0FE15570">
      <w:pPr>
        <w:jc w:val="center"/>
        <w:rPr>
          <w:rFonts w:ascii="宋体" w:hAnsi="宋体"/>
          <w:color w:val="auto"/>
          <w:sz w:val="32"/>
          <w:szCs w:val="32"/>
          <w:highlight w:val="none"/>
          <w:u w:val="single"/>
        </w:rPr>
      </w:pPr>
    </w:p>
    <w:p w14:paraId="1A31BD65">
      <w:pPr>
        <w:jc w:val="center"/>
        <w:rPr>
          <w:rFonts w:ascii="宋体" w:hAnsi="宋体"/>
          <w:b/>
          <w:bCs/>
          <w:color w:val="auto"/>
          <w:sz w:val="72"/>
          <w:szCs w:val="72"/>
          <w:highlight w:val="none"/>
        </w:rPr>
      </w:pPr>
      <w:r>
        <w:rPr>
          <w:rFonts w:hint="eastAsia" w:ascii="宋体" w:hAnsi="宋体"/>
          <w:b/>
          <w:bCs/>
          <w:color w:val="auto"/>
          <w:sz w:val="72"/>
          <w:szCs w:val="72"/>
          <w:highlight w:val="none"/>
        </w:rPr>
        <w:t>招标文件</w:t>
      </w:r>
    </w:p>
    <w:p w14:paraId="40494B4D">
      <w:pPr>
        <w:jc w:val="center"/>
        <w:rPr>
          <w:rFonts w:ascii="宋体" w:hAnsi="宋体"/>
          <w:color w:val="auto"/>
          <w:sz w:val="32"/>
          <w:szCs w:val="32"/>
          <w:highlight w:val="none"/>
          <w:u w:val="single"/>
        </w:rPr>
      </w:pPr>
    </w:p>
    <w:p w14:paraId="4ABB995F">
      <w:pPr>
        <w:pStyle w:val="26"/>
        <w:ind w:left="0" w:leftChars="0" w:firstLine="0" w:firstLineChars="0"/>
        <w:rPr>
          <w:rFonts w:ascii="宋体" w:hAnsi="宋体"/>
          <w:color w:val="auto"/>
          <w:sz w:val="32"/>
          <w:szCs w:val="32"/>
          <w:highlight w:val="none"/>
          <w:u w:val="single"/>
        </w:rPr>
      </w:pPr>
    </w:p>
    <w:p w14:paraId="48277F86">
      <w:pPr>
        <w:rPr>
          <w:rFonts w:ascii="宋体" w:hAnsi="宋体"/>
          <w:color w:val="auto"/>
          <w:sz w:val="32"/>
          <w:szCs w:val="32"/>
          <w:highlight w:val="none"/>
          <w:u w:val="single"/>
        </w:rPr>
      </w:pPr>
    </w:p>
    <w:p w14:paraId="7BF8AE4F">
      <w:pPr>
        <w:rPr>
          <w:rFonts w:ascii="宋体" w:hAnsi="宋体"/>
          <w:color w:val="auto"/>
          <w:sz w:val="32"/>
          <w:szCs w:val="32"/>
          <w:highlight w:val="none"/>
          <w:u w:val="single"/>
        </w:rPr>
      </w:pPr>
    </w:p>
    <w:p w14:paraId="5E3BAD80">
      <w:pPr>
        <w:jc w:val="center"/>
        <w:rPr>
          <w:rFonts w:ascii="宋体" w:hAnsi="宋体"/>
          <w:color w:val="auto"/>
          <w:sz w:val="32"/>
          <w:szCs w:val="32"/>
          <w:highlight w:val="none"/>
          <w:u w:val="single"/>
        </w:rPr>
      </w:pPr>
    </w:p>
    <w:p w14:paraId="5382A4B6">
      <w:pPr>
        <w:spacing w:line="480" w:lineRule="auto"/>
        <w:ind w:right="-1" w:firstLine="2108" w:firstLineChars="700"/>
        <w:jc w:val="left"/>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招标单位：</w:t>
      </w:r>
      <w:r>
        <w:rPr>
          <w:rFonts w:hint="eastAsia" w:ascii="宋体" w:hAnsi="宋体"/>
          <w:b/>
          <w:bCs/>
          <w:color w:val="auto"/>
          <w:sz w:val="30"/>
          <w:szCs w:val="30"/>
          <w:highlight w:val="none"/>
          <w:lang w:eastAsia="zh-CN"/>
        </w:rPr>
        <w:t>广州开城联晟城市开发投资有限公司</w:t>
      </w:r>
    </w:p>
    <w:p w14:paraId="0916A6A8">
      <w:pPr>
        <w:tabs>
          <w:tab w:val="left" w:pos="6575"/>
        </w:tabs>
        <w:spacing w:line="360" w:lineRule="auto"/>
        <w:ind w:firstLine="2108" w:firstLineChars="700"/>
        <w:jc w:val="left"/>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招标代理：</w:t>
      </w:r>
      <w:r>
        <w:rPr>
          <w:rFonts w:hint="eastAsia" w:ascii="宋体" w:hAnsi="宋体"/>
          <w:b/>
          <w:bCs/>
          <w:color w:val="auto"/>
          <w:sz w:val="30"/>
          <w:szCs w:val="30"/>
          <w:highlight w:val="none"/>
          <w:lang w:eastAsia="zh-CN"/>
        </w:rPr>
        <w:t>广州高新工程顾问有限公司</w:t>
      </w:r>
    </w:p>
    <w:p w14:paraId="6E9CE2D7">
      <w:pPr>
        <w:tabs>
          <w:tab w:val="left" w:pos="6575"/>
        </w:tabs>
        <w:spacing w:line="360" w:lineRule="auto"/>
        <w:ind w:firstLine="2108" w:firstLineChars="700"/>
        <w:jc w:val="left"/>
        <w:rPr>
          <w:rFonts w:ascii="黑体" w:hAnsi="黑体" w:eastAsia="黑体" w:cs="宋体"/>
          <w:b/>
          <w:bCs/>
          <w:color w:val="auto"/>
          <w:kern w:val="0"/>
          <w:sz w:val="32"/>
          <w:szCs w:val="32"/>
          <w:highlight w:val="none"/>
        </w:rPr>
      </w:pPr>
      <w:r>
        <w:rPr>
          <w:rFonts w:hint="eastAsia" w:ascii="宋体" w:hAnsi="宋体"/>
          <w:b/>
          <w:bCs/>
          <w:color w:val="auto"/>
          <w:sz w:val="30"/>
          <w:szCs w:val="30"/>
          <w:highlight w:val="none"/>
        </w:rPr>
        <w:t>日    期：202</w:t>
      </w:r>
      <w:r>
        <w:rPr>
          <w:rFonts w:hint="eastAsia" w:ascii="宋体" w:hAnsi="宋体"/>
          <w:b/>
          <w:bCs/>
          <w:color w:val="auto"/>
          <w:sz w:val="30"/>
          <w:szCs w:val="30"/>
          <w:highlight w:val="none"/>
          <w:lang w:val="en-US" w:eastAsia="zh-CN"/>
        </w:rPr>
        <w:t>5</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8</w:t>
      </w:r>
      <w:r>
        <w:rPr>
          <w:rFonts w:hint="eastAsia" w:ascii="宋体" w:hAnsi="宋体"/>
          <w:b/>
          <w:bCs/>
          <w:color w:val="auto"/>
          <w:sz w:val="30"/>
          <w:szCs w:val="30"/>
          <w:highlight w:val="none"/>
        </w:rPr>
        <w:t>月</w:t>
      </w:r>
    </w:p>
    <w:p w14:paraId="187D7CD2">
      <w:pPr>
        <w:spacing w:line="360" w:lineRule="auto"/>
        <w:jc w:val="center"/>
        <w:rPr>
          <w:rFonts w:hint="eastAsia" w:ascii="宋体" w:hAnsi="宋体"/>
          <w:bCs/>
          <w:color w:val="auto"/>
          <w:sz w:val="52"/>
          <w:highlight w:val="none"/>
        </w:rPr>
        <w:sectPr>
          <w:footerReference r:id="rId3" w:type="even"/>
          <w:pgSz w:w="11906" w:h="16838"/>
          <w:pgMar w:top="1440" w:right="1080" w:bottom="1440" w:left="1080" w:header="851" w:footer="1020"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pgNumType w:start="1"/>
          <w:cols w:space="720" w:num="1"/>
          <w:docGrid w:type="lines" w:linePitch="312" w:charSpace="0"/>
        </w:sectPr>
      </w:pPr>
    </w:p>
    <w:p w14:paraId="0524A3AC">
      <w:pPr>
        <w:spacing w:line="360" w:lineRule="auto"/>
        <w:jc w:val="center"/>
        <w:rPr>
          <w:rFonts w:ascii="宋体" w:hAnsi="宋体"/>
          <w:bCs/>
          <w:color w:val="auto"/>
          <w:sz w:val="52"/>
          <w:highlight w:val="none"/>
        </w:rPr>
      </w:pPr>
      <w:r>
        <w:rPr>
          <w:rFonts w:hint="eastAsia" w:ascii="宋体" w:hAnsi="宋体"/>
          <w:bCs/>
          <w:color w:val="auto"/>
          <w:sz w:val="52"/>
          <w:highlight w:val="none"/>
        </w:rPr>
        <w:t>重要提示</w:t>
      </w:r>
    </w:p>
    <w:p w14:paraId="4960CB02">
      <w:pPr>
        <w:spacing w:line="360" w:lineRule="auto"/>
        <w:ind w:firstLine="537" w:firstLineChars="224"/>
        <w:jc w:val="center"/>
        <w:rPr>
          <w:rFonts w:ascii="宋体" w:hAnsi="宋体"/>
          <w:bCs/>
          <w:color w:val="auto"/>
          <w:sz w:val="24"/>
          <w:highlight w:val="none"/>
        </w:rPr>
      </w:pPr>
    </w:p>
    <w:p w14:paraId="6855EA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本项目实施电子招投标，投标人应先认真阅读</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网站最新发布的指引</w:t>
      </w:r>
      <w:r>
        <w:rPr>
          <w:rFonts w:hint="eastAsia" w:ascii="宋体" w:hAnsi="宋体"/>
          <w:color w:val="auto"/>
          <w:sz w:val="24"/>
          <w:highlight w:val="none"/>
        </w:rPr>
        <w:t>。</w:t>
      </w:r>
    </w:p>
    <w:p w14:paraId="03980A78">
      <w:pPr>
        <w:jc w:val="center"/>
        <w:rPr>
          <w:rFonts w:ascii="宋体" w:hAnsi="宋体"/>
          <w:b/>
          <w:color w:val="auto"/>
          <w:sz w:val="28"/>
          <w:szCs w:val="28"/>
          <w:highlight w:val="none"/>
        </w:rPr>
      </w:pPr>
    </w:p>
    <w:p w14:paraId="1CFEBF4B">
      <w:pPr>
        <w:spacing w:line="360" w:lineRule="auto"/>
        <w:ind w:firstLine="1164" w:firstLineChars="224"/>
        <w:jc w:val="center"/>
        <w:rPr>
          <w:rFonts w:ascii="宋体" w:hAnsi="宋体"/>
          <w:bCs/>
          <w:color w:val="auto"/>
          <w:sz w:val="52"/>
          <w:highlight w:val="none"/>
        </w:rPr>
        <w:sectPr>
          <w:footerReference r:id="rId4" w:type="default"/>
          <w:pgSz w:w="11906" w:h="16838"/>
          <w:pgMar w:top="1440" w:right="1080" w:bottom="1440" w:left="1080" w:header="851" w:footer="1020"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pgNumType w:start="1"/>
          <w:cols w:space="720" w:num="1"/>
          <w:docGrid w:type="lines" w:linePitch="312" w:charSpace="0"/>
        </w:sectPr>
      </w:pPr>
    </w:p>
    <w:p w14:paraId="0A927163">
      <w:pPr>
        <w:jc w:val="center"/>
        <w:rPr>
          <w:rFonts w:ascii="宋体" w:hAnsi="宋体"/>
          <w:b/>
          <w:bCs/>
          <w:color w:val="auto"/>
          <w:sz w:val="48"/>
          <w:szCs w:val="48"/>
          <w:highlight w:val="none"/>
        </w:rPr>
      </w:pPr>
      <w:r>
        <w:rPr>
          <w:rFonts w:hint="eastAsia" w:ascii="宋体" w:hAnsi="宋体"/>
          <w:b/>
          <w:bCs/>
          <w:color w:val="auto"/>
          <w:sz w:val="48"/>
          <w:szCs w:val="48"/>
          <w:highlight w:val="none"/>
        </w:rPr>
        <w:t>目录</w:t>
      </w:r>
    </w:p>
    <w:p w14:paraId="4F9E6B49">
      <w:pPr>
        <w:pStyle w:val="23"/>
        <w:tabs>
          <w:tab w:val="right" w:leader="dot" w:pos="9062"/>
        </w:tabs>
        <w:rPr>
          <w:rFonts w:asciiTheme="minorHAnsi" w:hAnsiTheme="minorHAnsi" w:eastAsiaTheme="minorEastAsia" w:cstheme="minorBidi"/>
          <w:color w:val="auto"/>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"1-3" \h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"_Toc118553966" </w:instrText>
      </w:r>
      <w:r>
        <w:rPr>
          <w:color w:val="auto"/>
          <w:highlight w:val="none"/>
        </w:rPr>
        <w:fldChar w:fldCharType="separate"/>
      </w:r>
      <w:r>
        <w:rPr>
          <w:rStyle w:val="31"/>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_Toc118553966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95984BF">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"_Toc118553967" </w:instrText>
      </w:r>
      <w:r>
        <w:rPr>
          <w:color w:val="auto"/>
          <w:highlight w:val="none"/>
        </w:rPr>
        <w:fldChar w:fldCharType="separate"/>
      </w:r>
      <w:r>
        <w:rPr>
          <w:rStyle w:val="31"/>
          <w:rFonts w:hint="eastAsia"/>
          <w:color w:val="auto"/>
          <w:highlight w:val="none"/>
        </w:rPr>
        <w:t>第一章</w:t>
      </w:r>
      <w:r>
        <w:rPr>
          <w:rStyle w:val="31"/>
          <w:color w:val="auto"/>
          <w:highlight w:val="none"/>
        </w:rPr>
        <w:t xml:space="preserve">  </w:t>
      </w:r>
      <w:r>
        <w:rPr>
          <w:rStyle w:val="31"/>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_Toc118553967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0642A425">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"_Toc118553968" </w:instrText>
      </w:r>
      <w:r>
        <w:rPr>
          <w:color w:val="auto"/>
          <w:highlight w:val="none"/>
        </w:rPr>
        <w:fldChar w:fldCharType="separate"/>
      </w:r>
      <w:r>
        <w:rPr>
          <w:rStyle w:val="31"/>
          <w:rFonts w:hint="eastAsia"/>
          <w:color w:val="auto"/>
          <w:highlight w:val="none"/>
        </w:rPr>
        <w:t>第二章</w:t>
      </w:r>
      <w:r>
        <w:rPr>
          <w:rStyle w:val="31"/>
          <w:color w:val="auto"/>
          <w:highlight w:val="none"/>
        </w:rPr>
        <w:t xml:space="preserve">  </w:t>
      </w:r>
      <w:r>
        <w:rPr>
          <w:rStyle w:val="31"/>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_Toc118553968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007961C">
      <w:pPr>
        <w:pStyle w:val="24"/>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"_Toc118553969" </w:instrText>
      </w:r>
      <w:r>
        <w:rPr>
          <w:color w:val="auto"/>
          <w:highlight w:val="none"/>
        </w:rPr>
        <w:fldChar w:fldCharType="separate"/>
      </w:r>
      <w:r>
        <w:rPr>
          <w:rStyle w:val="31"/>
          <w:rFonts w:hint="eastAsia" w:ascii="宋体" w:hAnsi="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_Toc118553969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5B9EB48">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"_Toc118553970" </w:instrText>
      </w:r>
      <w:r>
        <w:rPr>
          <w:color w:val="auto"/>
          <w:highlight w:val="none"/>
        </w:rPr>
        <w:fldChar w:fldCharType="separate"/>
      </w:r>
      <w:r>
        <w:rPr>
          <w:rStyle w:val="31"/>
          <w:color w:val="auto"/>
          <w:highlight w:val="none"/>
        </w:rPr>
        <w:t xml:space="preserve">1. </w:t>
      </w:r>
      <w:r>
        <w:rPr>
          <w:rStyle w:val="31"/>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_Toc118553970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74A5E0F">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"_Toc118553971" </w:instrText>
      </w:r>
      <w:r>
        <w:rPr>
          <w:color w:val="auto"/>
          <w:highlight w:val="none"/>
        </w:rPr>
        <w:fldChar w:fldCharType="separate"/>
      </w:r>
      <w:r>
        <w:rPr>
          <w:rStyle w:val="31"/>
          <w:color w:val="auto"/>
          <w:highlight w:val="none"/>
        </w:rPr>
        <w:t xml:space="preserve">2. </w:t>
      </w:r>
      <w:r>
        <w:rPr>
          <w:rStyle w:val="31"/>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_Toc118553971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17AE55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"_Toc118553972" </w:instrText>
      </w:r>
      <w:r>
        <w:rPr>
          <w:color w:val="auto"/>
          <w:highlight w:val="none"/>
        </w:rPr>
        <w:fldChar w:fldCharType="separate"/>
      </w:r>
      <w:r>
        <w:rPr>
          <w:rStyle w:val="31"/>
          <w:color w:val="auto"/>
          <w:highlight w:val="none"/>
        </w:rPr>
        <w:t xml:space="preserve">3. </w:t>
      </w:r>
      <w:r>
        <w:rPr>
          <w:rStyle w:val="31"/>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_Toc118553972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96B6F5D">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"_Toc118553973" </w:instrText>
      </w:r>
      <w:r>
        <w:rPr>
          <w:color w:val="auto"/>
          <w:highlight w:val="none"/>
        </w:rPr>
        <w:fldChar w:fldCharType="separate"/>
      </w:r>
      <w:r>
        <w:rPr>
          <w:rStyle w:val="31"/>
          <w:color w:val="auto"/>
          <w:highlight w:val="none"/>
        </w:rPr>
        <w:t xml:space="preserve">4. </w:t>
      </w:r>
      <w:r>
        <w:rPr>
          <w:rStyle w:val="31"/>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_Toc118553973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F8A1702">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"_Toc118553974" </w:instrText>
      </w:r>
      <w:r>
        <w:rPr>
          <w:color w:val="auto"/>
          <w:highlight w:val="none"/>
        </w:rPr>
        <w:fldChar w:fldCharType="separate"/>
      </w:r>
      <w:r>
        <w:rPr>
          <w:rStyle w:val="31"/>
          <w:color w:val="auto"/>
          <w:highlight w:val="none"/>
        </w:rPr>
        <w:t xml:space="preserve">5. </w:t>
      </w:r>
      <w:r>
        <w:rPr>
          <w:rStyle w:val="31"/>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_Toc118553974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2BFE9FE">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"_Toc118553975" </w:instrText>
      </w:r>
      <w:r>
        <w:rPr>
          <w:color w:val="auto"/>
          <w:highlight w:val="none"/>
        </w:rPr>
        <w:fldChar w:fldCharType="separate"/>
      </w:r>
      <w:r>
        <w:rPr>
          <w:rStyle w:val="31"/>
          <w:color w:val="auto"/>
          <w:highlight w:val="none"/>
        </w:rPr>
        <w:t xml:space="preserve">6. </w:t>
      </w:r>
      <w:r>
        <w:rPr>
          <w:rStyle w:val="31"/>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_Toc118553975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899901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"_Toc118553976" </w:instrText>
      </w:r>
      <w:r>
        <w:rPr>
          <w:color w:val="auto"/>
          <w:highlight w:val="none"/>
        </w:rPr>
        <w:fldChar w:fldCharType="separate"/>
      </w:r>
      <w:r>
        <w:rPr>
          <w:rStyle w:val="31"/>
          <w:color w:val="auto"/>
          <w:highlight w:val="none"/>
        </w:rPr>
        <w:t xml:space="preserve">7. </w:t>
      </w:r>
      <w:r>
        <w:rPr>
          <w:rStyle w:val="31"/>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_Toc118553976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A6E6117">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"_Toc118553977" </w:instrText>
      </w:r>
      <w:r>
        <w:rPr>
          <w:color w:val="auto"/>
          <w:highlight w:val="none"/>
        </w:rPr>
        <w:fldChar w:fldCharType="separate"/>
      </w:r>
      <w:r>
        <w:rPr>
          <w:rStyle w:val="31"/>
          <w:color w:val="auto"/>
          <w:highlight w:val="none"/>
        </w:rPr>
        <w:t xml:space="preserve">8. </w:t>
      </w:r>
      <w:r>
        <w:rPr>
          <w:rStyle w:val="31"/>
          <w:rFonts w:hint="eastAsia"/>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_Toc118553977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96F577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"_Toc118553978" </w:instrText>
      </w:r>
      <w:r>
        <w:rPr>
          <w:color w:val="auto"/>
          <w:highlight w:val="none"/>
        </w:rPr>
        <w:fldChar w:fldCharType="separate"/>
      </w:r>
      <w:r>
        <w:rPr>
          <w:rStyle w:val="31"/>
          <w:color w:val="auto"/>
          <w:highlight w:val="none"/>
        </w:rPr>
        <w:t xml:space="preserve">9. </w:t>
      </w:r>
      <w:r>
        <w:rPr>
          <w:rStyle w:val="31"/>
          <w:rFonts w:hint="eastAsia"/>
          <w:color w:val="auto"/>
          <w:highlight w:val="none"/>
        </w:rPr>
        <w:t>是否采用电子招标投标</w:t>
      </w:r>
      <w:r>
        <w:rPr>
          <w:color w:val="auto"/>
          <w:highlight w:val="none"/>
        </w:rPr>
        <w:tab/>
      </w:r>
      <w:r>
        <w:rPr>
          <w:color w:val="auto"/>
          <w:highlight w:val="none"/>
        </w:rPr>
        <w:fldChar w:fldCharType="begin"/>
      </w:r>
      <w:r>
        <w:rPr>
          <w:color w:val="auto"/>
          <w:highlight w:val="none"/>
        </w:rPr>
        <w:instrText xml:space="preserve"> PAGEREF _Toc118553978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EAD1587">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"_Toc118553979" </w:instrText>
      </w:r>
      <w:r>
        <w:rPr>
          <w:color w:val="auto"/>
          <w:highlight w:val="none"/>
        </w:rPr>
        <w:fldChar w:fldCharType="separate"/>
      </w:r>
      <w:r>
        <w:rPr>
          <w:rStyle w:val="31"/>
          <w:color w:val="auto"/>
          <w:highlight w:val="none"/>
        </w:rPr>
        <w:t xml:space="preserve">10. </w:t>
      </w:r>
      <w:r>
        <w:rPr>
          <w:rStyle w:val="31"/>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_Toc118553979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621E66A5">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"_Toc118553980" </w:instrText>
      </w:r>
      <w:r>
        <w:rPr>
          <w:color w:val="auto"/>
          <w:highlight w:val="none"/>
        </w:rPr>
        <w:fldChar w:fldCharType="separate"/>
      </w:r>
      <w:r>
        <w:rPr>
          <w:rStyle w:val="31"/>
          <w:rFonts w:hint="eastAsia"/>
          <w:color w:val="auto"/>
          <w:highlight w:val="none"/>
        </w:rPr>
        <w:t>第三章</w:t>
      </w:r>
      <w:r>
        <w:rPr>
          <w:rStyle w:val="31"/>
          <w:color w:val="auto"/>
          <w:highlight w:val="none"/>
        </w:rPr>
        <w:t xml:space="preserve">  </w:t>
      </w:r>
      <w:r>
        <w:rPr>
          <w:rStyle w:val="31"/>
          <w:rFonts w:hint="eastAsia"/>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_Toc118553980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B965D92">
      <w:pPr>
        <w:pStyle w:val="24"/>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"_Toc118553981" </w:instrText>
      </w:r>
      <w:r>
        <w:rPr>
          <w:color w:val="auto"/>
          <w:highlight w:val="none"/>
        </w:rPr>
        <w:fldChar w:fldCharType="separate"/>
      </w:r>
      <w:r>
        <w:rPr>
          <w:rStyle w:val="31"/>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_Toc118553981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A75F90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"_Toc118553982" </w:instrText>
      </w:r>
      <w:r>
        <w:rPr>
          <w:color w:val="auto"/>
          <w:highlight w:val="none"/>
        </w:rPr>
        <w:fldChar w:fldCharType="separate"/>
      </w:r>
      <w:r>
        <w:rPr>
          <w:rStyle w:val="31"/>
          <w:rFonts w:hint="eastAsia"/>
          <w:color w:val="auto"/>
          <w:highlight w:val="none"/>
        </w:rPr>
        <w:t>附表一：形式评审表</w:t>
      </w:r>
      <w:r>
        <w:rPr>
          <w:color w:val="auto"/>
          <w:highlight w:val="none"/>
        </w:rPr>
        <w:tab/>
      </w:r>
      <w:r>
        <w:rPr>
          <w:color w:val="auto"/>
          <w:highlight w:val="none"/>
        </w:rPr>
        <w:fldChar w:fldCharType="begin"/>
      </w:r>
      <w:r>
        <w:rPr>
          <w:color w:val="auto"/>
          <w:highlight w:val="none"/>
        </w:rPr>
        <w:instrText xml:space="preserve"> PAGEREF _Toc118553982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4063BD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"_Toc118553983" </w:instrText>
      </w:r>
      <w:r>
        <w:rPr>
          <w:color w:val="auto"/>
          <w:highlight w:val="none"/>
        </w:rPr>
        <w:fldChar w:fldCharType="separate"/>
      </w:r>
      <w:r>
        <w:rPr>
          <w:rStyle w:val="31"/>
          <w:rFonts w:hint="eastAsia"/>
          <w:color w:val="auto"/>
          <w:highlight w:val="none"/>
        </w:rPr>
        <w:t>附表二：资格评审表</w:t>
      </w:r>
      <w:r>
        <w:rPr>
          <w:color w:val="auto"/>
          <w:highlight w:val="none"/>
        </w:rPr>
        <w:tab/>
      </w:r>
      <w:r>
        <w:rPr>
          <w:color w:val="auto"/>
          <w:highlight w:val="none"/>
        </w:rPr>
        <w:fldChar w:fldCharType="begin"/>
      </w:r>
      <w:r>
        <w:rPr>
          <w:color w:val="auto"/>
          <w:highlight w:val="none"/>
        </w:rPr>
        <w:instrText xml:space="preserve"> PAGEREF _Toc118553983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3F5F63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"_Toc118553984" </w:instrText>
      </w:r>
      <w:r>
        <w:rPr>
          <w:color w:val="auto"/>
          <w:highlight w:val="none"/>
        </w:rPr>
        <w:fldChar w:fldCharType="separate"/>
      </w:r>
      <w:r>
        <w:rPr>
          <w:rStyle w:val="31"/>
          <w:rFonts w:hint="eastAsia"/>
          <w:color w:val="auto"/>
          <w:highlight w:val="none"/>
        </w:rPr>
        <w:t>附表三：响应性评审表</w:t>
      </w:r>
      <w:r>
        <w:rPr>
          <w:color w:val="auto"/>
          <w:highlight w:val="none"/>
        </w:rPr>
        <w:tab/>
      </w:r>
      <w:r>
        <w:rPr>
          <w:color w:val="auto"/>
          <w:highlight w:val="none"/>
        </w:rPr>
        <w:fldChar w:fldCharType="begin"/>
      </w:r>
      <w:r>
        <w:rPr>
          <w:color w:val="auto"/>
          <w:highlight w:val="none"/>
        </w:rPr>
        <w:instrText xml:space="preserve"> PAGEREF _Toc118553984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7551F35">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"_Toc118553985" </w:instrText>
      </w:r>
      <w:r>
        <w:rPr>
          <w:color w:val="auto"/>
          <w:highlight w:val="none"/>
        </w:rPr>
        <w:fldChar w:fldCharType="separate"/>
      </w:r>
      <w:r>
        <w:rPr>
          <w:rStyle w:val="31"/>
          <w:rFonts w:hint="eastAsia"/>
          <w:color w:val="auto"/>
          <w:highlight w:val="none"/>
        </w:rPr>
        <w:t>附表四：综合评分表</w:t>
      </w:r>
      <w:r>
        <w:rPr>
          <w:color w:val="auto"/>
          <w:highlight w:val="none"/>
        </w:rPr>
        <w:tab/>
      </w:r>
      <w:r>
        <w:rPr>
          <w:color w:val="auto"/>
          <w:highlight w:val="none"/>
        </w:rPr>
        <w:fldChar w:fldCharType="begin"/>
      </w:r>
      <w:r>
        <w:rPr>
          <w:color w:val="auto"/>
          <w:highlight w:val="none"/>
        </w:rPr>
        <w:instrText xml:space="preserve"> PAGEREF _Toc118553985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026AAE0">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"_Toc118553986" </w:instrText>
      </w:r>
      <w:r>
        <w:rPr>
          <w:color w:val="auto"/>
          <w:highlight w:val="none"/>
        </w:rPr>
        <w:fldChar w:fldCharType="separate"/>
      </w:r>
      <w:r>
        <w:rPr>
          <w:rStyle w:val="31"/>
          <w:rFonts w:hint="eastAsia"/>
          <w:color w:val="auto"/>
          <w:highlight w:val="none"/>
        </w:rPr>
        <w:t>附表五：算术复核表</w:t>
      </w:r>
      <w:r>
        <w:rPr>
          <w:color w:val="auto"/>
          <w:highlight w:val="none"/>
        </w:rPr>
        <w:tab/>
      </w:r>
      <w:r>
        <w:rPr>
          <w:color w:val="auto"/>
          <w:highlight w:val="none"/>
        </w:rPr>
        <w:fldChar w:fldCharType="begin"/>
      </w:r>
      <w:r>
        <w:rPr>
          <w:color w:val="auto"/>
          <w:highlight w:val="none"/>
        </w:rPr>
        <w:instrText xml:space="preserve"> PAGEREF _Toc118553986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9F2330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"_Toc118553987" </w:instrText>
      </w:r>
      <w:r>
        <w:rPr>
          <w:color w:val="auto"/>
          <w:highlight w:val="none"/>
        </w:rPr>
        <w:fldChar w:fldCharType="separate"/>
      </w:r>
      <w:r>
        <w:rPr>
          <w:rStyle w:val="31"/>
          <w:rFonts w:hint="eastAsia"/>
          <w:bCs/>
          <w:color w:val="auto"/>
          <w:highlight w:val="none"/>
        </w:rPr>
        <w:t>附表六：</w:t>
      </w:r>
      <w:r>
        <w:rPr>
          <w:rStyle w:val="31"/>
          <w:rFonts w:hint="eastAsia"/>
          <w:color w:val="auto"/>
          <w:highlight w:val="none"/>
        </w:rPr>
        <w:t>报价得分计算表</w:t>
      </w:r>
      <w:r>
        <w:rPr>
          <w:color w:val="auto"/>
          <w:highlight w:val="none"/>
        </w:rPr>
        <w:tab/>
      </w:r>
      <w:r>
        <w:rPr>
          <w:color w:val="auto"/>
          <w:highlight w:val="none"/>
        </w:rPr>
        <w:fldChar w:fldCharType="begin"/>
      </w:r>
      <w:r>
        <w:rPr>
          <w:color w:val="auto"/>
          <w:highlight w:val="none"/>
        </w:rPr>
        <w:instrText xml:space="preserve"> PAGEREF _Toc118553987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7A252B7E">
      <w:pPr>
        <w:pStyle w:val="16"/>
        <w:tabs>
          <w:tab w:val="left" w:pos="1260"/>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"_Toc118553988" </w:instrText>
      </w:r>
      <w:r>
        <w:rPr>
          <w:color w:val="auto"/>
          <w:highlight w:val="none"/>
        </w:rPr>
        <w:fldChar w:fldCharType="separate"/>
      </w:r>
      <w:r>
        <w:rPr>
          <w:rStyle w:val="31"/>
          <w:color w:val="auto"/>
          <w:highlight w:val="none"/>
        </w:rPr>
        <w:t>1.</w:t>
      </w:r>
      <w:r>
        <w:rPr>
          <w:rFonts w:asciiTheme="minorHAnsi" w:hAnsiTheme="minorHAnsi" w:eastAsiaTheme="minorEastAsia" w:cstheme="minorBidi"/>
          <w:color w:val="auto"/>
          <w:highlight w:val="none"/>
        </w:rPr>
        <w:tab/>
      </w:r>
      <w:r>
        <w:rPr>
          <w:rStyle w:val="31"/>
          <w:rFonts w:hint="eastAsia"/>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_Toc118553988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0FC7A23">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"_Toc118553989" </w:instrText>
      </w:r>
      <w:r>
        <w:rPr>
          <w:color w:val="auto"/>
          <w:highlight w:val="none"/>
        </w:rPr>
        <w:fldChar w:fldCharType="separate"/>
      </w:r>
      <w:r>
        <w:rPr>
          <w:rStyle w:val="31"/>
          <w:color w:val="auto"/>
          <w:highlight w:val="none"/>
        </w:rPr>
        <w:t xml:space="preserve">2. </w:t>
      </w:r>
      <w:r>
        <w:rPr>
          <w:rStyle w:val="31"/>
          <w:rFonts w:hint="eastAsia"/>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_Toc118553989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D3F313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"_Toc118553990" </w:instrText>
      </w:r>
      <w:r>
        <w:rPr>
          <w:color w:val="auto"/>
          <w:highlight w:val="none"/>
        </w:rPr>
        <w:fldChar w:fldCharType="separate"/>
      </w:r>
      <w:r>
        <w:rPr>
          <w:rStyle w:val="31"/>
          <w:color w:val="auto"/>
          <w:highlight w:val="none"/>
        </w:rPr>
        <w:t xml:space="preserve">3. </w:t>
      </w:r>
      <w:r>
        <w:rPr>
          <w:rStyle w:val="31"/>
          <w:rFonts w:hint="eastAsia"/>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_Toc118553990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6725222">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"_Toc118553991" </w:instrText>
      </w:r>
      <w:r>
        <w:rPr>
          <w:color w:val="auto"/>
          <w:highlight w:val="none"/>
        </w:rPr>
        <w:fldChar w:fldCharType="separate"/>
      </w:r>
      <w:r>
        <w:rPr>
          <w:rStyle w:val="31"/>
          <w:rFonts w:hint="eastAsia"/>
          <w:color w:val="auto"/>
          <w:highlight w:val="none"/>
        </w:rPr>
        <w:t>第四章</w:t>
      </w:r>
      <w:r>
        <w:rPr>
          <w:rStyle w:val="31"/>
          <w:color w:val="auto"/>
          <w:highlight w:val="none"/>
        </w:rPr>
        <w:t xml:space="preserve">  </w:t>
      </w:r>
      <w:r>
        <w:rPr>
          <w:rStyle w:val="31"/>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_Toc118553991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25D7B200">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"_Toc118553992" </w:instrText>
      </w:r>
      <w:r>
        <w:rPr>
          <w:color w:val="auto"/>
          <w:highlight w:val="none"/>
        </w:rPr>
        <w:fldChar w:fldCharType="separate"/>
      </w:r>
      <w:r>
        <w:rPr>
          <w:rStyle w:val="31"/>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_Toc118553992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3625857A">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"_Toc118553993" </w:instrText>
      </w:r>
      <w:r>
        <w:rPr>
          <w:color w:val="auto"/>
          <w:highlight w:val="none"/>
        </w:rPr>
        <w:fldChar w:fldCharType="separate"/>
      </w:r>
      <w:r>
        <w:rPr>
          <w:rStyle w:val="31"/>
          <w:rFonts w:hint="eastAsia"/>
          <w:color w:val="auto"/>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_Toc118553993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F46359C">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"_Toc118553994" </w:instrText>
      </w:r>
      <w:r>
        <w:rPr>
          <w:color w:val="auto"/>
          <w:highlight w:val="none"/>
        </w:rPr>
        <w:fldChar w:fldCharType="separate"/>
      </w:r>
      <w:r>
        <w:rPr>
          <w:rStyle w:val="31"/>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_Toc118553994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049551B7">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"_Toc118553995" </w:instrText>
      </w:r>
      <w:r>
        <w:rPr>
          <w:color w:val="auto"/>
          <w:highlight w:val="none"/>
        </w:rPr>
        <w:fldChar w:fldCharType="separate"/>
      </w:r>
      <w:r>
        <w:rPr>
          <w:rStyle w:val="31"/>
          <w:rFonts w:hint="eastAsia"/>
          <w:color w:val="auto"/>
          <w:highlight w:val="none"/>
        </w:rPr>
        <w:t>第六章</w:t>
      </w:r>
      <w:r>
        <w:rPr>
          <w:rStyle w:val="31"/>
          <w:color w:val="auto"/>
          <w:highlight w:val="none"/>
        </w:rPr>
        <w:t xml:space="preserve">  </w:t>
      </w:r>
      <w:r>
        <w:rPr>
          <w:rStyle w:val="31"/>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_Toc118553995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74B9F261">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"_Toc118553996" </w:instrText>
      </w:r>
      <w:r>
        <w:rPr>
          <w:color w:val="auto"/>
          <w:highlight w:val="none"/>
        </w:rPr>
        <w:fldChar w:fldCharType="separate"/>
      </w:r>
      <w:r>
        <w:rPr>
          <w:rStyle w:val="31"/>
          <w:rFonts w:hint="eastAsia"/>
          <w:color w:val="auto"/>
          <w:highlight w:val="none"/>
        </w:rPr>
        <w:t>一、投标函及其附表</w:t>
      </w:r>
      <w:r>
        <w:rPr>
          <w:color w:val="auto"/>
          <w:highlight w:val="none"/>
        </w:rPr>
        <w:tab/>
      </w:r>
      <w:r>
        <w:rPr>
          <w:color w:val="auto"/>
          <w:highlight w:val="none"/>
        </w:rPr>
        <w:fldChar w:fldCharType="begin"/>
      </w:r>
      <w:r>
        <w:rPr>
          <w:color w:val="auto"/>
          <w:highlight w:val="none"/>
        </w:rPr>
        <w:instrText xml:space="preserve"> PAGEREF _Toc118553996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11C1487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"_Toc118553997" </w:instrText>
      </w:r>
      <w:r>
        <w:rPr>
          <w:color w:val="auto"/>
          <w:highlight w:val="none"/>
        </w:rPr>
        <w:fldChar w:fldCharType="separate"/>
      </w:r>
      <w:r>
        <w:rPr>
          <w:rStyle w:val="31"/>
          <w:rFonts w:hint="eastAsia"/>
          <w:color w:val="auto"/>
          <w:highlight w:val="none"/>
        </w:rPr>
        <w:t>二、法定代表人证明书及授权委托书</w:t>
      </w:r>
      <w:r>
        <w:rPr>
          <w:color w:val="auto"/>
          <w:highlight w:val="none"/>
        </w:rPr>
        <w:tab/>
      </w:r>
      <w:r>
        <w:rPr>
          <w:color w:val="auto"/>
          <w:highlight w:val="none"/>
        </w:rPr>
        <w:fldChar w:fldCharType="begin"/>
      </w:r>
      <w:r>
        <w:rPr>
          <w:color w:val="auto"/>
          <w:highlight w:val="none"/>
        </w:rPr>
        <w:instrText xml:space="preserve"> PAGEREF _Toc118553997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8DE4E95">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"_Toc118553998" </w:instrText>
      </w:r>
      <w:r>
        <w:rPr>
          <w:color w:val="auto"/>
          <w:highlight w:val="none"/>
        </w:rPr>
        <w:fldChar w:fldCharType="separate"/>
      </w:r>
      <w:r>
        <w:rPr>
          <w:rStyle w:val="31"/>
          <w:rFonts w:hint="eastAsia"/>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_Toc118553998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F3E52D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"_Toc118553999" </w:instrText>
      </w:r>
      <w:r>
        <w:rPr>
          <w:color w:val="auto"/>
          <w:highlight w:val="none"/>
        </w:rPr>
        <w:fldChar w:fldCharType="separate"/>
      </w:r>
      <w:r>
        <w:rPr>
          <w:rStyle w:val="31"/>
          <w:rFonts w:hint="eastAsia"/>
          <w:color w:val="auto"/>
          <w:highlight w:val="none"/>
        </w:rPr>
        <w:t>四、投标报价书</w:t>
      </w:r>
      <w:r>
        <w:rPr>
          <w:color w:val="auto"/>
          <w:highlight w:val="none"/>
        </w:rPr>
        <w:tab/>
      </w:r>
      <w:r>
        <w:rPr>
          <w:color w:val="auto"/>
          <w:highlight w:val="none"/>
        </w:rPr>
        <w:fldChar w:fldCharType="begin"/>
      </w:r>
      <w:r>
        <w:rPr>
          <w:color w:val="auto"/>
          <w:highlight w:val="none"/>
        </w:rPr>
        <w:instrText xml:space="preserve"> PAGEREF _Toc118553999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4F834EC4">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"_Toc118554000" </w:instrText>
      </w:r>
      <w:r>
        <w:rPr>
          <w:color w:val="auto"/>
          <w:highlight w:val="none"/>
        </w:rPr>
        <w:fldChar w:fldCharType="separate"/>
      </w:r>
      <w:r>
        <w:rPr>
          <w:rStyle w:val="31"/>
          <w:rFonts w:hint="eastAsia"/>
          <w:color w:val="auto"/>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_Toc118554000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6B92B41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"_Toc118554001" </w:instrText>
      </w:r>
      <w:r>
        <w:rPr>
          <w:color w:val="auto"/>
          <w:highlight w:val="none"/>
        </w:rPr>
        <w:fldChar w:fldCharType="separate"/>
      </w:r>
      <w:r>
        <w:rPr>
          <w:rStyle w:val="31"/>
          <w:rFonts w:hint="eastAsia"/>
          <w:color w:val="auto"/>
          <w:highlight w:val="none"/>
        </w:rPr>
        <w:t>六、类似项目业绩表</w:t>
      </w:r>
      <w:r>
        <w:rPr>
          <w:color w:val="auto"/>
          <w:highlight w:val="none"/>
        </w:rPr>
        <w:tab/>
      </w:r>
      <w:r>
        <w:rPr>
          <w:color w:val="auto"/>
          <w:highlight w:val="none"/>
        </w:rPr>
        <w:fldChar w:fldCharType="begin"/>
      </w:r>
      <w:r>
        <w:rPr>
          <w:color w:val="auto"/>
          <w:highlight w:val="none"/>
        </w:rPr>
        <w:instrText xml:space="preserve"> PAGEREF _Toc118554001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B1D5288">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"_Toc118554002" </w:instrText>
      </w:r>
      <w:r>
        <w:rPr>
          <w:color w:val="auto"/>
          <w:highlight w:val="none"/>
        </w:rPr>
        <w:fldChar w:fldCharType="separate"/>
      </w:r>
      <w:r>
        <w:rPr>
          <w:rStyle w:val="31"/>
          <w:rFonts w:hint="eastAsia"/>
          <w:color w:val="auto"/>
          <w:highlight w:val="none"/>
        </w:rPr>
        <w:t>七、投标人信誉证明材料</w:t>
      </w:r>
      <w:r>
        <w:rPr>
          <w:color w:val="auto"/>
          <w:highlight w:val="none"/>
        </w:rPr>
        <w:tab/>
      </w:r>
      <w:r>
        <w:rPr>
          <w:color w:val="auto"/>
          <w:highlight w:val="none"/>
        </w:rPr>
        <w:fldChar w:fldCharType="begin"/>
      </w:r>
      <w:r>
        <w:rPr>
          <w:color w:val="auto"/>
          <w:highlight w:val="none"/>
        </w:rPr>
        <w:instrText xml:space="preserve"> PAGEREF _Toc118554002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58FF389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"_Toc118554003" </w:instrText>
      </w:r>
      <w:r>
        <w:rPr>
          <w:color w:val="auto"/>
          <w:highlight w:val="none"/>
        </w:rPr>
        <w:fldChar w:fldCharType="separate"/>
      </w:r>
      <w:r>
        <w:rPr>
          <w:rStyle w:val="31"/>
          <w:rFonts w:hint="eastAsia"/>
          <w:color w:val="auto"/>
          <w:highlight w:val="none"/>
        </w:rPr>
        <w:t>八、拟投入本项目的检测、监测人员资格证明材料</w:t>
      </w:r>
      <w:r>
        <w:rPr>
          <w:color w:val="auto"/>
          <w:highlight w:val="none"/>
        </w:rPr>
        <w:tab/>
      </w:r>
      <w:r>
        <w:rPr>
          <w:color w:val="auto"/>
          <w:highlight w:val="none"/>
        </w:rPr>
        <w:fldChar w:fldCharType="begin"/>
      </w:r>
      <w:r>
        <w:rPr>
          <w:color w:val="auto"/>
          <w:highlight w:val="none"/>
        </w:rPr>
        <w:instrText xml:space="preserve"> PAGEREF _Toc118554003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26D440D2">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"_Toc118554004" </w:instrText>
      </w:r>
      <w:r>
        <w:rPr>
          <w:color w:val="auto"/>
          <w:highlight w:val="none"/>
        </w:rPr>
        <w:fldChar w:fldCharType="separate"/>
      </w:r>
      <w:r>
        <w:rPr>
          <w:rStyle w:val="31"/>
          <w:rFonts w:hint="eastAsia"/>
          <w:color w:val="auto"/>
          <w:highlight w:val="none"/>
        </w:rPr>
        <w:t>九、拟投入本项目的主要检测、监测仪器设备一览表</w:t>
      </w:r>
      <w:r>
        <w:rPr>
          <w:color w:val="auto"/>
          <w:highlight w:val="none"/>
        </w:rPr>
        <w:tab/>
      </w:r>
      <w:r>
        <w:rPr>
          <w:color w:val="auto"/>
          <w:highlight w:val="none"/>
        </w:rPr>
        <w:fldChar w:fldCharType="begin"/>
      </w:r>
      <w:r>
        <w:rPr>
          <w:color w:val="auto"/>
          <w:highlight w:val="none"/>
        </w:rPr>
        <w:instrText xml:space="preserve"> PAGEREF _Toc118554004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751C656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"_Toc118554005" </w:instrText>
      </w:r>
      <w:r>
        <w:rPr>
          <w:color w:val="auto"/>
          <w:highlight w:val="none"/>
        </w:rPr>
        <w:fldChar w:fldCharType="separate"/>
      </w:r>
      <w:r>
        <w:rPr>
          <w:rStyle w:val="31"/>
          <w:rFonts w:hint="eastAsia"/>
          <w:color w:val="auto"/>
          <w:highlight w:val="none"/>
        </w:rPr>
        <w:t>十、检测、监测方案</w:t>
      </w:r>
      <w:r>
        <w:rPr>
          <w:color w:val="auto"/>
          <w:highlight w:val="none"/>
        </w:rPr>
        <w:tab/>
      </w:r>
      <w:r>
        <w:rPr>
          <w:color w:val="auto"/>
          <w:highlight w:val="none"/>
        </w:rPr>
        <w:fldChar w:fldCharType="begin"/>
      </w:r>
      <w:r>
        <w:rPr>
          <w:color w:val="auto"/>
          <w:highlight w:val="none"/>
        </w:rPr>
        <w:instrText xml:space="preserve"> PAGEREF _Toc118554005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603E01F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"_Toc118554006" </w:instrText>
      </w:r>
      <w:r>
        <w:rPr>
          <w:color w:val="auto"/>
          <w:highlight w:val="none"/>
        </w:rPr>
        <w:fldChar w:fldCharType="separate"/>
      </w:r>
      <w:r>
        <w:rPr>
          <w:rStyle w:val="31"/>
          <w:rFonts w:hint="eastAsia"/>
          <w:color w:val="auto"/>
          <w:highlight w:val="none"/>
        </w:rPr>
        <w:t>十一、其他资料</w:t>
      </w:r>
      <w:r>
        <w:rPr>
          <w:color w:val="auto"/>
          <w:highlight w:val="none"/>
        </w:rPr>
        <w:tab/>
      </w:r>
      <w:r>
        <w:rPr>
          <w:color w:val="auto"/>
          <w:highlight w:val="none"/>
        </w:rPr>
        <w:fldChar w:fldCharType="begin"/>
      </w:r>
      <w:r>
        <w:rPr>
          <w:color w:val="auto"/>
          <w:highlight w:val="none"/>
        </w:rPr>
        <w:instrText xml:space="preserve"> PAGEREF _Toc118554006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5E025608">
      <w:pPr>
        <w:spacing w:line="360" w:lineRule="auto"/>
        <w:ind w:firstLine="420" w:firstLineChars="200"/>
        <w:rPr>
          <w:rFonts w:ascii="宋体" w:hAnsi="宋体"/>
          <w:color w:val="auto"/>
          <w:highlight w:val="none"/>
        </w:rPr>
      </w:pPr>
      <w:r>
        <w:rPr>
          <w:rFonts w:ascii="宋体" w:hAnsi="宋体"/>
          <w:color w:val="auto"/>
          <w:szCs w:val="28"/>
          <w:highlight w:val="none"/>
        </w:rPr>
        <w:fldChar w:fldCharType="end"/>
      </w:r>
      <w:r>
        <w:rPr>
          <w:rFonts w:ascii="宋体" w:hAnsi="宋体"/>
          <w:color w:val="auto"/>
          <w:highlight w:val="none"/>
        </w:rPr>
        <w:br w:type="page"/>
      </w:r>
    </w:p>
    <w:p w14:paraId="603C59B1">
      <w:pPr>
        <w:pStyle w:val="4"/>
        <w:ind w:firstLine="470"/>
        <w:rPr>
          <w:color w:val="auto"/>
          <w:highlight w:val="none"/>
        </w:rPr>
      </w:pPr>
      <w:bookmarkStart w:id="3" w:name="_Toc118553966"/>
      <w:r>
        <w:rPr>
          <w:rFonts w:hint="eastAsia"/>
          <w:color w:val="auto"/>
          <w:highlight w:val="none"/>
        </w:rPr>
        <w:t>第一卷</w:t>
      </w:r>
      <w:bookmarkEnd w:id="3"/>
    </w:p>
    <w:p w14:paraId="04B37AF8">
      <w:pPr>
        <w:pStyle w:val="4"/>
        <w:rPr>
          <w:color w:val="auto"/>
          <w:sz w:val="28"/>
          <w:highlight w:val="none"/>
        </w:rPr>
      </w:pPr>
      <w:bookmarkStart w:id="4" w:name="_Toc118553967"/>
      <w:bookmarkStart w:id="5" w:name="_Toc533357306"/>
      <w:r>
        <w:rPr>
          <w:rFonts w:hint="eastAsia"/>
          <w:color w:val="auto"/>
          <w:highlight w:val="none"/>
        </w:rPr>
        <w:t>第一章  招标公告</w:t>
      </w:r>
      <w:bookmarkEnd w:id="4"/>
    </w:p>
    <w:p w14:paraId="0F87E6EC">
      <w:pPr>
        <w:spacing w:line="360" w:lineRule="auto"/>
        <w:jc w:val="center"/>
        <w:rPr>
          <w:rFonts w:ascii="宋体" w:hAnsi="宋体"/>
          <w:color w:val="auto"/>
          <w:sz w:val="24"/>
          <w:szCs w:val="24"/>
          <w:highlight w:val="none"/>
        </w:rPr>
      </w:pPr>
      <w:r>
        <w:rPr>
          <w:rFonts w:hint="eastAsia" w:ascii="宋体" w:hAnsi="宋体"/>
          <w:bCs/>
          <w:color w:val="auto"/>
          <w:sz w:val="24"/>
          <w:szCs w:val="24"/>
          <w:highlight w:val="none"/>
        </w:rPr>
        <w:t>（另册）</w:t>
      </w:r>
    </w:p>
    <w:p w14:paraId="563596C1">
      <w:pPr>
        <w:spacing w:line="360" w:lineRule="auto"/>
        <w:ind w:left="3986" w:firstLine="421"/>
        <w:rPr>
          <w:rFonts w:ascii="宋体" w:hAnsi="宋体"/>
          <w:color w:val="auto"/>
          <w:highlight w:val="none"/>
        </w:rPr>
      </w:pPr>
    </w:p>
    <w:p w14:paraId="636D83C3">
      <w:pPr>
        <w:pStyle w:val="4"/>
        <w:rPr>
          <w:color w:val="auto"/>
          <w:sz w:val="28"/>
          <w:highlight w:val="none"/>
        </w:rPr>
      </w:pPr>
      <w:bookmarkStart w:id="6" w:name="_Toc514099629"/>
      <w:bookmarkStart w:id="7" w:name="_Toc511557031"/>
      <w:r>
        <w:rPr>
          <w:rFonts w:hint="eastAsia"/>
          <w:color w:val="auto"/>
          <w:highlight w:val="none"/>
        </w:rPr>
        <w:br w:type="page"/>
      </w:r>
      <w:bookmarkEnd w:id="5"/>
      <w:bookmarkEnd w:id="6"/>
      <w:bookmarkEnd w:id="7"/>
      <w:bookmarkStart w:id="8" w:name="_Toc352691455"/>
      <w:bookmarkEnd w:id="8"/>
      <w:bookmarkStart w:id="9" w:name="_Toc144974481"/>
      <w:bookmarkEnd w:id="9"/>
      <w:bookmarkStart w:id="10" w:name="_Toc384308187"/>
      <w:bookmarkEnd w:id="10"/>
      <w:bookmarkStart w:id="11" w:name="_Toc152042289"/>
      <w:bookmarkEnd w:id="11"/>
      <w:bookmarkStart w:id="12" w:name="_Toc247513935"/>
      <w:bookmarkEnd w:id="12"/>
      <w:bookmarkStart w:id="13" w:name="_Toc152042288"/>
      <w:bookmarkEnd w:id="13"/>
      <w:bookmarkStart w:id="14" w:name="_Toc361508563"/>
      <w:bookmarkEnd w:id="14"/>
      <w:bookmarkStart w:id="15" w:name="_Toc144974480"/>
      <w:bookmarkEnd w:id="15"/>
      <w:bookmarkStart w:id="16" w:name="_Toc384308185"/>
      <w:bookmarkEnd w:id="16"/>
      <w:bookmarkStart w:id="17" w:name="_Toc247527536"/>
      <w:bookmarkEnd w:id="17"/>
      <w:bookmarkStart w:id="18" w:name="_Toc247527535"/>
      <w:bookmarkEnd w:id="18"/>
      <w:bookmarkStart w:id="19" w:name="_Toc361508562"/>
      <w:bookmarkEnd w:id="19"/>
      <w:bookmarkStart w:id="20" w:name="_Toc300834929"/>
      <w:bookmarkEnd w:id="20"/>
      <w:bookmarkStart w:id="21" w:name="_Toc300834930"/>
      <w:bookmarkEnd w:id="21"/>
      <w:bookmarkStart w:id="22" w:name="_Toc10785"/>
      <w:bookmarkEnd w:id="22"/>
      <w:bookmarkStart w:id="23" w:name="_Toc152045512"/>
      <w:bookmarkEnd w:id="23"/>
      <w:bookmarkStart w:id="24" w:name="_Toc30817"/>
      <w:bookmarkEnd w:id="24"/>
      <w:bookmarkStart w:id="25" w:name="_Toc247513934"/>
      <w:bookmarkEnd w:id="25"/>
      <w:bookmarkStart w:id="26" w:name="_Toc369531495"/>
      <w:bookmarkEnd w:id="26"/>
      <w:bookmarkStart w:id="27" w:name="_Toc384308188"/>
      <w:bookmarkEnd w:id="27"/>
      <w:bookmarkStart w:id="28" w:name="_Toc17972"/>
      <w:bookmarkEnd w:id="28"/>
      <w:bookmarkStart w:id="29" w:name="_Toc352691456"/>
      <w:bookmarkEnd w:id="29"/>
      <w:bookmarkStart w:id="30" w:name="_Toc369531498"/>
      <w:bookmarkEnd w:id="30"/>
      <w:bookmarkStart w:id="31" w:name="_Toc300834927"/>
      <w:bookmarkEnd w:id="31"/>
      <w:bookmarkStart w:id="32" w:name="_Toc361508560"/>
      <w:bookmarkEnd w:id="32"/>
      <w:bookmarkStart w:id="33" w:name="_Toc369531497"/>
      <w:bookmarkEnd w:id="33"/>
      <w:bookmarkStart w:id="34" w:name="_Toc352691453"/>
      <w:bookmarkEnd w:id="34"/>
      <w:bookmarkStart w:id="35" w:name="_Toc152045513"/>
      <w:bookmarkEnd w:id="35"/>
      <w:bookmarkStart w:id="36" w:name="_Toc118553968"/>
      <w:r>
        <w:rPr>
          <w:rFonts w:hint="eastAsia"/>
          <w:color w:val="auto"/>
          <w:highlight w:val="none"/>
        </w:rPr>
        <w:t>第二章  投标人须知</w:t>
      </w:r>
      <w:bookmarkEnd w:id="36"/>
    </w:p>
    <w:p w14:paraId="2B465CFB">
      <w:pPr>
        <w:pStyle w:val="5"/>
        <w:rPr>
          <w:rFonts w:ascii="宋体" w:hAnsi="宋体"/>
          <w:color w:val="auto"/>
          <w:highlight w:val="none"/>
        </w:rPr>
      </w:pPr>
      <w:bookmarkStart w:id="37" w:name="_Toc118553969"/>
      <w:bookmarkStart w:id="38" w:name="_Toc533357307"/>
      <w:r>
        <w:rPr>
          <w:rFonts w:hint="eastAsia" w:ascii="宋体" w:hAnsi="宋体"/>
          <w:color w:val="auto"/>
          <w:highlight w:val="none"/>
        </w:rPr>
        <w:t>投标人须知前附表</w:t>
      </w:r>
      <w:bookmarkEnd w:id="37"/>
      <w:bookmarkEnd w:id="38"/>
    </w:p>
    <w:tbl>
      <w:tblPr>
        <w:tblStyle w:val="27"/>
        <w:tblpPr w:leftFromText="180" w:rightFromText="180" w:vertAnchor="text" w:horzAnchor="page" w:tblpX="1001" w:tblpY="9"/>
        <w:tblOverlap w:val="never"/>
        <w:tblW w:w="1022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6"/>
        <w:gridCol w:w="2160"/>
        <w:gridCol w:w="7200"/>
      </w:tblGrid>
      <w:tr w14:paraId="24452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866" w:type="dxa"/>
            <w:tcBorders>
              <w:top w:val="single" w:color="auto" w:sz="4" w:space="0"/>
            </w:tcBorders>
            <w:vAlign w:val="center"/>
          </w:tcPr>
          <w:p w14:paraId="7D284040">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2160" w:type="dxa"/>
            <w:tcBorders>
              <w:top w:val="single" w:color="auto" w:sz="4" w:space="0"/>
            </w:tcBorders>
            <w:vAlign w:val="center"/>
          </w:tcPr>
          <w:p w14:paraId="524ADD67">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7200" w:type="dxa"/>
            <w:tcBorders>
              <w:top w:val="single" w:color="auto" w:sz="4" w:space="0"/>
            </w:tcBorders>
            <w:vAlign w:val="center"/>
          </w:tcPr>
          <w:p w14:paraId="79CAFDD7">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编列内容</w:t>
            </w:r>
          </w:p>
        </w:tc>
      </w:tr>
      <w:tr w14:paraId="7F508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FB323F8">
            <w:pPr>
              <w:snapToGrid w:val="0"/>
              <w:spacing w:line="276" w:lineRule="auto"/>
              <w:jc w:val="center"/>
              <w:rPr>
                <w:rFonts w:ascii="宋体" w:hAnsi="宋体"/>
                <w:color w:val="auto"/>
                <w:szCs w:val="21"/>
                <w:highlight w:val="none"/>
              </w:rPr>
            </w:pPr>
            <w:r>
              <w:rPr>
                <w:rFonts w:ascii="宋体" w:hAnsi="宋体"/>
                <w:color w:val="auto"/>
                <w:szCs w:val="21"/>
                <w:highlight w:val="none"/>
              </w:rPr>
              <w:t>1.1.2</w:t>
            </w:r>
          </w:p>
        </w:tc>
        <w:tc>
          <w:tcPr>
            <w:tcW w:w="2160" w:type="dxa"/>
            <w:vAlign w:val="center"/>
          </w:tcPr>
          <w:p w14:paraId="1917BA7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招标人</w:t>
            </w:r>
          </w:p>
        </w:tc>
        <w:tc>
          <w:tcPr>
            <w:tcW w:w="7200" w:type="dxa"/>
            <w:vAlign w:val="center"/>
          </w:tcPr>
          <w:p w14:paraId="64994091">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广州开城联晟城市开发投资有限公司</w:t>
            </w:r>
          </w:p>
          <w:p w14:paraId="13DEFDC9">
            <w:pPr>
              <w:rPr>
                <w:rFonts w:hint="eastAsia" w:ascii="宋体" w:hAnsi="宋体" w:eastAsia="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广州市黄埔区知凤街9号知识大厦7楼01-06室</w:t>
            </w:r>
          </w:p>
          <w:p w14:paraId="53552EBD">
            <w:pPr>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陈工、张工</w:t>
            </w:r>
          </w:p>
          <w:p w14:paraId="460D40A6">
            <w:pPr>
              <w:snapToGrid w:val="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020-31700409</w:t>
            </w:r>
          </w:p>
        </w:tc>
      </w:tr>
      <w:tr w14:paraId="5FE27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DAA9790">
            <w:pPr>
              <w:snapToGrid w:val="0"/>
              <w:spacing w:line="276" w:lineRule="auto"/>
              <w:jc w:val="center"/>
              <w:rPr>
                <w:rFonts w:ascii="宋体" w:hAnsi="宋体"/>
                <w:color w:val="auto"/>
                <w:szCs w:val="21"/>
                <w:highlight w:val="none"/>
              </w:rPr>
            </w:pPr>
            <w:r>
              <w:rPr>
                <w:rFonts w:ascii="宋体" w:hAnsi="宋体"/>
                <w:color w:val="auto"/>
                <w:szCs w:val="21"/>
                <w:highlight w:val="none"/>
              </w:rPr>
              <w:t>1.1.3</w:t>
            </w:r>
          </w:p>
        </w:tc>
        <w:tc>
          <w:tcPr>
            <w:tcW w:w="2160" w:type="dxa"/>
            <w:vAlign w:val="center"/>
          </w:tcPr>
          <w:p w14:paraId="150D7029">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招标代理机构</w:t>
            </w:r>
          </w:p>
        </w:tc>
        <w:tc>
          <w:tcPr>
            <w:tcW w:w="7200" w:type="dxa"/>
            <w:vAlign w:val="center"/>
          </w:tcPr>
          <w:p w14:paraId="5E599918">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广州高新工程顾问有限公司</w:t>
            </w:r>
          </w:p>
          <w:p w14:paraId="36A0F3D9">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 w:val="21"/>
                <w:szCs w:val="21"/>
                <w:highlight w:val="none"/>
                <w:u w:val="single"/>
                <w:lang w:eastAsia="zh-CN"/>
              </w:rPr>
              <w:t>广州天河区华观路1933号A栋503</w:t>
            </w:r>
          </w:p>
          <w:p w14:paraId="11AA00EE">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 w:val="21"/>
                <w:szCs w:val="21"/>
                <w:highlight w:val="none"/>
                <w:u w:val="single"/>
                <w:lang w:val="en-US" w:eastAsia="zh-CN"/>
              </w:rPr>
              <w:t>罗工</w:t>
            </w:r>
          </w:p>
          <w:p w14:paraId="11F08973">
            <w:pPr>
              <w:snapToGrid w:val="0"/>
              <w:rPr>
                <w:rFonts w:ascii="宋体" w:hAnsi="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 w:val="21"/>
                <w:szCs w:val="21"/>
                <w:highlight w:val="none"/>
                <w:u w:val="single"/>
                <w:lang w:eastAsia="zh-CN"/>
              </w:rPr>
              <w:t>020-85530825-619</w:t>
            </w:r>
            <w:r>
              <w:rPr>
                <w:rFonts w:hint="eastAsia" w:ascii="宋体" w:hAnsi="宋体" w:cs="宋体"/>
                <w:color w:val="auto"/>
                <w:szCs w:val="21"/>
                <w:highlight w:val="none"/>
                <w:u w:val="single"/>
              </w:rPr>
              <w:t xml:space="preserve"> </w:t>
            </w:r>
          </w:p>
        </w:tc>
      </w:tr>
      <w:tr w14:paraId="79CE22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7D7B8DE">
            <w:pPr>
              <w:snapToGrid w:val="0"/>
              <w:spacing w:line="276" w:lineRule="auto"/>
              <w:jc w:val="center"/>
              <w:rPr>
                <w:rFonts w:ascii="宋体" w:hAnsi="宋体"/>
                <w:color w:val="auto"/>
                <w:szCs w:val="21"/>
                <w:highlight w:val="none"/>
              </w:rPr>
            </w:pPr>
            <w:r>
              <w:rPr>
                <w:rFonts w:ascii="宋体" w:hAnsi="宋体"/>
                <w:color w:val="auto"/>
                <w:szCs w:val="21"/>
                <w:highlight w:val="none"/>
              </w:rPr>
              <w:t>1.1.4</w:t>
            </w:r>
          </w:p>
        </w:tc>
        <w:tc>
          <w:tcPr>
            <w:tcW w:w="2160" w:type="dxa"/>
            <w:vAlign w:val="center"/>
          </w:tcPr>
          <w:p w14:paraId="7EF6E5A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招标项目名称</w:t>
            </w:r>
          </w:p>
        </w:tc>
        <w:tc>
          <w:tcPr>
            <w:tcW w:w="7200" w:type="dxa"/>
            <w:vAlign w:val="center"/>
          </w:tcPr>
          <w:p w14:paraId="6AD0C202">
            <w:pPr>
              <w:snapToGrid w:val="0"/>
              <w:spacing w:line="276"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广州市黄埔区云埔街火村社区莲潭经济合作社城中村改造项目复建安置地块工程检测监测</w:t>
            </w:r>
            <w:r>
              <w:rPr>
                <w:rFonts w:hint="eastAsia" w:ascii="宋体" w:hAnsi="宋体"/>
                <w:color w:val="auto"/>
                <w:szCs w:val="21"/>
                <w:highlight w:val="none"/>
                <w:lang w:val="en-US" w:eastAsia="zh-CN"/>
              </w:rPr>
              <w:t>服务</w:t>
            </w:r>
          </w:p>
        </w:tc>
      </w:tr>
      <w:tr w14:paraId="41685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3C12E92">
            <w:pPr>
              <w:snapToGrid w:val="0"/>
              <w:spacing w:line="276" w:lineRule="auto"/>
              <w:jc w:val="center"/>
              <w:rPr>
                <w:rFonts w:ascii="宋体" w:hAnsi="宋体"/>
                <w:color w:val="auto"/>
                <w:szCs w:val="21"/>
                <w:highlight w:val="none"/>
              </w:rPr>
            </w:pPr>
            <w:r>
              <w:rPr>
                <w:rFonts w:ascii="宋体" w:hAnsi="宋体"/>
                <w:color w:val="auto"/>
                <w:szCs w:val="21"/>
                <w:highlight w:val="none"/>
              </w:rPr>
              <w:t>1.1.5</w:t>
            </w:r>
          </w:p>
        </w:tc>
        <w:tc>
          <w:tcPr>
            <w:tcW w:w="2160" w:type="dxa"/>
            <w:vAlign w:val="center"/>
          </w:tcPr>
          <w:p w14:paraId="1083F2A9">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项目建设地点</w:t>
            </w:r>
          </w:p>
        </w:tc>
        <w:tc>
          <w:tcPr>
            <w:tcW w:w="7200" w:type="dxa"/>
            <w:vAlign w:val="center"/>
          </w:tcPr>
          <w:p w14:paraId="50679C8D">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3159A4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27CEBA8">
            <w:pPr>
              <w:snapToGrid w:val="0"/>
              <w:spacing w:line="276" w:lineRule="auto"/>
              <w:jc w:val="center"/>
              <w:rPr>
                <w:rFonts w:ascii="宋体" w:hAnsi="宋体"/>
                <w:color w:val="auto"/>
                <w:szCs w:val="21"/>
                <w:highlight w:val="none"/>
              </w:rPr>
            </w:pPr>
            <w:r>
              <w:rPr>
                <w:rFonts w:ascii="宋体" w:hAnsi="宋体"/>
                <w:color w:val="auto"/>
                <w:szCs w:val="21"/>
                <w:highlight w:val="none"/>
              </w:rPr>
              <w:t>1.1.6</w:t>
            </w:r>
          </w:p>
        </w:tc>
        <w:tc>
          <w:tcPr>
            <w:tcW w:w="2160" w:type="dxa"/>
            <w:vAlign w:val="center"/>
          </w:tcPr>
          <w:p w14:paraId="228E9A2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项目建设规模</w:t>
            </w:r>
          </w:p>
        </w:tc>
        <w:tc>
          <w:tcPr>
            <w:tcW w:w="7200" w:type="dxa"/>
            <w:vAlign w:val="center"/>
          </w:tcPr>
          <w:p w14:paraId="3BF5230A">
            <w:pPr>
              <w:snapToGrid w:val="0"/>
              <w:spacing w:line="276" w:lineRule="auto"/>
              <w:ind w:right="106"/>
              <w:jc w:val="left"/>
              <w:rPr>
                <w:rFonts w:ascii="宋体" w:hAnsi="宋体"/>
                <w:color w:val="auto"/>
                <w:szCs w:val="21"/>
                <w:highlight w:val="none"/>
              </w:rPr>
            </w:pPr>
            <w:r>
              <w:rPr>
                <w:rFonts w:hint="eastAsia" w:ascii="宋体" w:hAnsi="宋体"/>
                <w:color w:val="auto"/>
                <w:szCs w:val="21"/>
                <w:highlight w:val="none"/>
              </w:rPr>
              <w:t>详见招标公告</w:t>
            </w:r>
          </w:p>
        </w:tc>
      </w:tr>
      <w:tr w14:paraId="28122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FB37EDF">
            <w:pPr>
              <w:snapToGrid w:val="0"/>
              <w:spacing w:line="276" w:lineRule="auto"/>
              <w:jc w:val="center"/>
              <w:rPr>
                <w:rFonts w:ascii="宋体" w:hAnsi="宋体"/>
                <w:color w:val="auto"/>
                <w:szCs w:val="21"/>
                <w:highlight w:val="none"/>
              </w:rPr>
            </w:pPr>
            <w:r>
              <w:rPr>
                <w:rFonts w:ascii="宋体" w:hAnsi="宋体"/>
                <w:color w:val="auto"/>
                <w:szCs w:val="21"/>
                <w:highlight w:val="none"/>
              </w:rPr>
              <w:t>1.1.7</w:t>
            </w:r>
          </w:p>
        </w:tc>
        <w:tc>
          <w:tcPr>
            <w:tcW w:w="2160" w:type="dxa"/>
            <w:vAlign w:val="center"/>
          </w:tcPr>
          <w:p w14:paraId="2DA955C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工程项目施工预计开工日期和建设周期</w:t>
            </w:r>
          </w:p>
        </w:tc>
        <w:tc>
          <w:tcPr>
            <w:tcW w:w="7200" w:type="dxa"/>
            <w:vAlign w:val="center"/>
          </w:tcPr>
          <w:p w14:paraId="78B5D228">
            <w:pPr>
              <w:snapToGrid w:val="0"/>
              <w:spacing w:line="276" w:lineRule="auto"/>
              <w:rPr>
                <w:rFonts w:ascii="宋体" w:hAnsi="宋体"/>
                <w:color w:val="auto"/>
                <w:szCs w:val="21"/>
                <w:highlight w:val="none"/>
              </w:rPr>
            </w:pPr>
            <w:r>
              <w:rPr>
                <w:rFonts w:hint="eastAsia" w:ascii="宋体" w:hAnsi="宋体" w:cs="宋体"/>
                <w:color w:val="auto"/>
                <w:szCs w:val="21"/>
                <w:highlight w:val="none"/>
              </w:rPr>
              <w:t>/</w:t>
            </w:r>
          </w:p>
        </w:tc>
      </w:tr>
      <w:tr w14:paraId="75FFBC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4EED1BE">
            <w:pPr>
              <w:snapToGrid w:val="0"/>
              <w:spacing w:line="276" w:lineRule="auto"/>
              <w:jc w:val="center"/>
              <w:rPr>
                <w:rFonts w:ascii="宋体" w:hAnsi="宋体"/>
                <w:color w:val="auto"/>
                <w:szCs w:val="21"/>
                <w:highlight w:val="none"/>
              </w:rPr>
            </w:pPr>
            <w:r>
              <w:rPr>
                <w:rFonts w:ascii="宋体" w:hAnsi="宋体"/>
                <w:color w:val="auto"/>
                <w:szCs w:val="21"/>
                <w:highlight w:val="none"/>
              </w:rPr>
              <w:t>1.1.8</w:t>
            </w:r>
          </w:p>
        </w:tc>
        <w:tc>
          <w:tcPr>
            <w:tcW w:w="2160" w:type="dxa"/>
            <w:vAlign w:val="center"/>
          </w:tcPr>
          <w:p w14:paraId="6F63839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建筑安装工程费</w:t>
            </w:r>
            <w:r>
              <w:rPr>
                <w:rFonts w:ascii="宋体" w:hAnsi="宋体"/>
                <w:color w:val="auto"/>
                <w:szCs w:val="21"/>
                <w:highlight w:val="none"/>
              </w:rPr>
              <w:t>/</w:t>
            </w:r>
            <w:r>
              <w:rPr>
                <w:rFonts w:hint="eastAsia" w:ascii="宋体" w:hAnsi="宋体"/>
                <w:color w:val="auto"/>
                <w:szCs w:val="21"/>
                <w:highlight w:val="none"/>
              </w:rPr>
              <w:t>工程概算</w:t>
            </w:r>
          </w:p>
        </w:tc>
        <w:tc>
          <w:tcPr>
            <w:tcW w:w="7200" w:type="dxa"/>
            <w:vAlign w:val="center"/>
          </w:tcPr>
          <w:p w14:paraId="4B30B1C7">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22AC7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DAF8FC3">
            <w:pPr>
              <w:snapToGrid w:val="0"/>
              <w:spacing w:line="276" w:lineRule="auto"/>
              <w:jc w:val="center"/>
              <w:rPr>
                <w:rFonts w:ascii="宋体" w:hAnsi="宋体"/>
                <w:color w:val="auto"/>
                <w:szCs w:val="21"/>
                <w:highlight w:val="none"/>
              </w:rPr>
            </w:pPr>
            <w:r>
              <w:rPr>
                <w:rFonts w:ascii="宋体" w:hAnsi="宋体"/>
                <w:color w:val="auto"/>
                <w:szCs w:val="21"/>
                <w:highlight w:val="none"/>
              </w:rPr>
              <w:t>1.2.1</w:t>
            </w:r>
          </w:p>
        </w:tc>
        <w:tc>
          <w:tcPr>
            <w:tcW w:w="2160" w:type="dxa"/>
            <w:vAlign w:val="center"/>
          </w:tcPr>
          <w:p w14:paraId="612C70E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资金来源及比例</w:t>
            </w:r>
          </w:p>
        </w:tc>
        <w:tc>
          <w:tcPr>
            <w:tcW w:w="7200" w:type="dxa"/>
            <w:vAlign w:val="center"/>
          </w:tcPr>
          <w:p w14:paraId="1A3C0B49">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35C802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4343CD0">
            <w:pPr>
              <w:snapToGrid w:val="0"/>
              <w:spacing w:line="276" w:lineRule="auto"/>
              <w:jc w:val="center"/>
              <w:rPr>
                <w:rFonts w:ascii="宋体" w:hAnsi="宋体"/>
                <w:color w:val="auto"/>
                <w:szCs w:val="21"/>
                <w:highlight w:val="none"/>
              </w:rPr>
            </w:pPr>
            <w:r>
              <w:rPr>
                <w:rFonts w:ascii="宋体" w:hAnsi="宋体"/>
                <w:color w:val="auto"/>
                <w:szCs w:val="21"/>
                <w:highlight w:val="none"/>
              </w:rPr>
              <w:t>1.2.2</w:t>
            </w:r>
          </w:p>
        </w:tc>
        <w:tc>
          <w:tcPr>
            <w:tcW w:w="2160" w:type="dxa"/>
            <w:vAlign w:val="center"/>
          </w:tcPr>
          <w:p w14:paraId="6143764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资金落实情况</w:t>
            </w:r>
          </w:p>
        </w:tc>
        <w:tc>
          <w:tcPr>
            <w:tcW w:w="7200" w:type="dxa"/>
            <w:vAlign w:val="center"/>
          </w:tcPr>
          <w:p w14:paraId="59168680">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549E1D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4E8EFAE">
            <w:pPr>
              <w:snapToGrid w:val="0"/>
              <w:spacing w:line="276" w:lineRule="auto"/>
              <w:jc w:val="center"/>
              <w:rPr>
                <w:rFonts w:ascii="宋体" w:hAnsi="宋体"/>
                <w:color w:val="auto"/>
                <w:szCs w:val="21"/>
                <w:highlight w:val="none"/>
              </w:rPr>
            </w:pPr>
            <w:r>
              <w:rPr>
                <w:rFonts w:ascii="宋体" w:hAnsi="宋体"/>
                <w:color w:val="auto"/>
                <w:szCs w:val="21"/>
                <w:highlight w:val="none"/>
              </w:rPr>
              <w:t>1.3.1</w:t>
            </w:r>
          </w:p>
        </w:tc>
        <w:tc>
          <w:tcPr>
            <w:tcW w:w="2160" w:type="dxa"/>
            <w:vAlign w:val="center"/>
          </w:tcPr>
          <w:p w14:paraId="7692ECD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招标范围</w:t>
            </w:r>
          </w:p>
        </w:tc>
        <w:tc>
          <w:tcPr>
            <w:tcW w:w="7200" w:type="dxa"/>
            <w:vAlign w:val="center"/>
          </w:tcPr>
          <w:p w14:paraId="0D0533C5">
            <w:pPr>
              <w:snapToGrid w:val="0"/>
              <w:spacing w:line="276" w:lineRule="auto"/>
              <w:ind w:right="106"/>
              <w:jc w:val="left"/>
              <w:rPr>
                <w:rFonts w:ascii="宋体" w:hAnsi="宋体"/>
                <w:color w:val="auto"/>
                <w:szCs w:val="21"/>
                <w:highlight w:val="none"/>
              </w:rPr>
            </w:pPr>
            <w:r>
              <w:rPr>
                <w:rFonts w:hint="eastAsia" w:ascii="宋体" w:hAnsi="宋体"/>
                <w:color w:val="auto"/>
                <w:szCs w:val="21"/>
                <w:highlight w:val="none"/>
              </w:rPr>
              <w:t>详见招标公告</w:t>
            </w:r>
          </w:p>
        </w:tc>
      </w:tr>
      <w:tr w14:paraId="3156E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866" w:type="dxa"/>
            <w:vAlign w:val="center"/>
          </w:tcPr>
          <w:p w14:paraId="4A5648FD">
            <w:pPr>
              <w:snapToGrid w:val="0"/>
              <w:spacing w:line="276" w:lineRule="auto"/>
              <w:jc w:val="center"/>
              <w:rPr>
                <w:rFonts w:ascii="宋体" w:hAnsi="宋体"/>
                <w:color w:val="auto"/>
                <w:szCs w:val="21"/>
                <w:highlight w:val="none"/>
              </w:rPr>
            </w:pPr>
            <w:r>
              <w:rPr>
                <w:rFonts w:ascii="宋体" w:hAnsi="宋体"/>
                <w:color w:val="auto"/>
                <w:szCs w:val="21"/>
                <w:highlight w:val="none"/>
              </w:rPr>
              <w:t>1.3.2</w:t>
            </w:r>
          </w:p>
        </w:tc>
        <w:tc>
          <w:tcPr>
            <w:tcW w:w="2160" w:type="dxa"/>
            <w:vAlign w:val="center"/>
          </w:tcPr>
          <w:p w14:paraId="20B6CE5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7200" w:type="dxa"/>
            <w:vAlign w:val="center"/>
          </w:tcPr>
          <w:p w14:paraId="5A9BA935">
            <w:pPr>
              <w:snapToGrid w:val="0"/>
              <w:spacing w:line="276" w:lineRule="auto"/>
              <w:ind w:right="106"/>
              <w:jc w:val="left"/>
              <w:rPr>
                <w:rFonts w:ascii="宋体" w:hAnsi="宋体"/>
                <w:color w:val="auto"/>
                <w:szCs w:val="21"/>
                <w:highlight w:val="none"/>
                <w:u w:val="single"/>
              </w:rPr>
            </w:pPr>
            <w:r>
              <w:rPr>
                <w:rFonts w:hint="eastAsia" w:ascii="宋体" w:hAnsi="宋体"/>
                <w:color w:val="auto"/>
                <w:szCs w:val="21"/>
                <w:highlight w:val="none"/>
                <w:u w:val="single"/>
                <w:lang w:eastAsia="zh-CN"/>
              </w:rPr>
              <w:t>本工程的具体开工日期以甲方通知为准。乙方必须配合本项目现场工期进度，服务周期需按甲方要求，实际工期根据项目实际施工进度进行调整，检测/监测工作进度必须满足现场施工和甲方的要求</w:t>
            </w:r>
            <w:r>
              <w:rPr>
                <w:rFonts w:hint="eastAsia" w:ascii="宋体" w:hAnsi="宋体"/>
                <w:color w:val="auto"/>
                <w:szCs w:val="21"/>
                <w:highlight w:val="none"/>
                <w:u w:val="single"/>
              </w:rPr>
              <w:t>。</w:t>
            </w:r>
          </w:p>
        </w:tc>
      </w:tr>
      <w:tr w14:paraId="56A3D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A570FD5">
            <w:pPr>
              <w:snapToGrid w:val="0"/>
              <w:spacing w:line="276" w:lineRule="auto"/>
              <w:jc w:val="center"/>
              <w:rPr>
                <w:rFonts w:ascii="宋体" w:hAnsi="宋体"/>
                <w:color w:val="auto"/>
                <w:szCs w:val="21"/>
                <w:highlight w:val="none"/>
              </w:rPr>
            </w:pPr>
            <w:r>
              <w:rPr>
                <w:rFonts w:ascii="宋体" w:hAnsi="宋体"/>
                <w:color w:val="auto"/>
                <w:szCs w:val="21"/>
                <w:highlight w:val="none"/>
              </w:rPr>
              <w:t>1.3.3</w:t>
            </w:r>
          </w:p>
        </w:tc>
        <w:tc>
          <w:tcPr>
            <w:tcW w:w="2160" w:type="dxa"/>
            <w:vAlign w:val="center"/>
          </w:tcPr>
          <w:p w14:paraId="5DD77C9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质量标准</w:t>
            </w:r>
          </w:p>
        </w:tc>
        <w:tc>
          <w:tcPr>
            <w:tcW w:w="7200" w:type="dxa"/>
            <w:vAlign w:val="center"/>
          </w:tcPr>
          <w:p w14:paraId="4DC544F9">
            <w:pPr>
              <w:pStyle w:val="2"/>
              <w:snapToGrid w:val="0"/>
              <w:spacing w:line="276" w:lineRule="auto"/>
              <w:ind w:firstLine="0"/>
              <w:rPr>
                <w:rFonts w:ascii="宋体" w:hAnsi="宋体" w:cs="宋体"/>
                <w:color w:val="auto"/>
                <w:szCs w:val="21"/>
                <w:highlight w:val="none"/>
              </w:rPr>
            </w:pPr>
            <w:r>
              <w:rPr>
                <w:rFonts w:hint="eastAsia" w:ascii="宋体" w:hAnsi="宋体"/>
                <w:color w:val="auto"/>
                <w:szCs w:val="21"/>
                <w:highlight w:val="none"/>
              </w:rPr>
              <w:t>符合国家及省、市有关检测标准。</w:t>
            </w:r>
          </w:p>
        </w:tc>
      </w:tr>
      <w:tr w14:paraId="5DA6A9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6C188AF">
            <w:pPr>
              <w:snapToGrid w:val="0"/>
              <w:spacing w:line="276" w:lineRule="auto"/>
              <w:jc w:val="center"/>
              <w:rPr>
                <w:rFonts w:ascii="宋体" w:hAnsi="宋体"/>
                <w:color w:val="auto"/>
                <w:szCs w:val="21"/>
                <w:highlight w:val="none"/>
              </w:rPr>
            </w:pPr>
            <w:r>
              <w:rPr>
                <w:rFonts w:ascii="宋体" w:hAnsi="宋体"/>
                <w:color w:val="auto"/>
                <w:szCs w:val="21"/>
                <w:highlight w:val="none"/>
              </w:rPr>
              <w:t>1.4.1</w:t>
            </w:r>
          </w:p>
        </w:tc>
        <w:tc>
          <w:tcPr>
            <w:tcW w:w="2160" w:type="dxa"/>
            <w:vAlign w:val="center"/>
          </w:tcPr>
          <w:p w14:paraId="6F621D1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投标人资质条件、能力、信誉</w:t>
            </w:r>
          </w:p>
        </w:tc>
        <w:tc>
          <w:tcPr>
            <w:tcW w:w="7200" w:type="dxa"/>
            <w:vAlign w:val="center"/>
          </w:tcPr>
          <w:p w14:paraId="0ABFFE8E">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）资质要求：见招标公告投标人资格要求。</w:t>
            </w:r>
          </w:p>
          <w:p w14:paraId="56C602B1">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）财务要求：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4FD71A55">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）业绩要求：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54CACE94">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）信誉要求：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4590171D">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）项目负责人的资格要求：见招标公告投标人资格要求。</w:t>
            </w:r>
          </w:p>
          <w:p w14:paraId="3EB504E1">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）其他主要人员要求：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119C7D2C">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）试验检测仪器设备要求：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10C70474">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）其他要求：见招标公告投标人资格要求。</w:t>
            </w:r>
          </w:p>
        </w:tc>
      </w:tr>
      <w:tr w14:paraId="77E39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E289F7E">
            <w:pPr>
              <w:snapToGrid w:val="0"/>
              <w:spacing w:line="276" w:lineRule="auto"/>
              <w:jc w:val="center"/>
              <w:rPr>
                <w:rFonts w:ascii="宋体" w:hAnsi="宋体"/>
                <w:color w:val="auto"/>
                <w:szCs w:val="21"/>
                <w:highlight w:val="none"/>
              </w:rPr>
            </w:pPr>
            <w:r>
              <w:rPr>
                <w:rFonts w:ascii="宋体" w:hAnsi="宋体"/>
                <w:color w:val="auto"/>
                <w:szCs w:val="21"/>
                <w:highlight w:val="none"/>
              </w:rPr>
              <w:t>1.4.2</w:t>
            </w:r>
          </w:p>
        </w:tc>
        <w:tc>
          <w:tcPr>
            <w:tcW w:w="2160" w:type="dxa"/>
            <w:vAlign w:val="center"/>
          </w:tcPr>
          <w:p w14:paraId="7BC28EF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7200" w:type="dxa"/>
            <w:vAlign w:val="center"/>
          </w:tcPr>
          <w:p w14:paraId="27D2C737">
            <w:pPr>
              <w:snapToGrid w:val="0"/>
              <w:spacing w:line="276" w:lineRule="auto"/>
              <w:ind w:right="-238"/>
              <w:rPr>
                <w:rFonts w:ascii="宋体" w:hAnsi="宋体"/>
                <w:color w:val="auto"/>
                <w:szCs w:val="21"/>
                <w:highlight w:val="none"/>
              </w:rPr>
            </w:pPr>
            <w:r>
              <w:rPr>
                <w:rFonts w:hint="eastAsia" w:ascii="宋体" w:hAnsi="宋体" w:cs="宋体"/>
                <w:color w:val="auto"/>
                <w:position w:val="3"/>
                <w:szCs w:val="21"/>
                <w:highlight w:val="none"/>
              </w:rPr>
              <w:sym w:font="Wingdings 2" w:char="00A3"/>
            </w:r>
            <w:r>
              <w:rPr>
                <w:rFonts w:hint="eastAsia" w:ascii="宋体" w:hAnsi="宋体" w:cs="宋体"/>
                <w:color w:val="auto"/>
                <w:position w:val="3"/>
                <w:szCs w:val="21"/>
                <w:highlight w:val="none"/>
              </w:rPr>
              <w:t>不接受</w:t>
            </w:r>
          </w:p>
          <w:p w14:paraId="6939DC07">
            <w:pPr>
              <w:spacing w:line="276"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接受，应满足下列要求：详见招标公告</w:t>
            </w:r>
          </w:p>
        </w:tc>
      </w:tr>
      <w:tr w14:paraId="3818B1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C4157F1">
            <w:pPr>
              <w:snapToGrid w:val="0"/>
              <w:spacing w:line="276" w:lineRule="auto"/>
              <w:jc w:val="center"/>
              <w:rPr>
                <w:rFonts w:ascii="宋体" w:hAnsi="宋体"/>
                <w:color w:val="auto"/>
                <w:szCs w:val="21"/>
                <w:highlight w:val="none"/>
              </w:rPr>
            </w:pPr>
            <w:r>
              <w:rPr>
                <w:rFonts w:ascii="宋体" w:hAnsi="宋体"/>
                <w:color w:val="auto"/>
                <w:szCs w:val="21"/>
                <w:highlight w:val="none"/>
              </w:rPr>
              <w:t>1.4.3</w:t>
            </w:r>
          </w:p>
        </w:tc>
        <w:tc>
          <w:tcPr>
            <w:tcW w:w="2160" w:type="dxa"/>
            <w:vAlign w:val="center"/>
          </w:tcPr>
          <w:p w14:paraId="2AC4EF3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投标人不得存在的其他情形</w:t>
            </w:r>
          </w:p>
        </w:tc>
        <w:tc>
          <w:tcPr>
            <w:tcW w:w="7200" w:type="dxa"/>
            <w:vAlign w:val="center"/>
          </w:tcPr>
          <w:p w14:paraId="4D5373F0">
            <w:pPr>
              <w:topLinePunct/>
              <w:snapToGrid w:val="0"/>
              <w:spacing w:line="276" w:lineRule="auto"/>
              <w:rPr>
                <w:rFonts w:ascii="宋体" w:hAnsi="宋体"/>
                <w:color w:val="auto"/>
                <w:szCs w:val="21"/>
                <w:highlight w:val="none"/>
              </w:rPr>
            </w:pPr>
            <w:r>
              <w:rPr>
                <w:rFonts w:hint="eastAsia" w:ascii="宋体" w:hAnsi="宋体"/>
                <w:color w:val="auto"/>
                <w:szCs w:val="21"/>
                <w:highlight w:val="none"/>
                <w:lang w:val="en-US" w:eastAsia="zh-CN"/>
              </w:rPr>
              <w:t>/</w:t>
            </w:r>
          </w:p>
        </w:tc>
      </w:tr>
      <w:tr w14:paraId="2FDE78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94311BC">
            <w:pPr>
              <w:snapToGrid w:val="0"/>
              <w:spacing w:line="276" w:lineRule="auto"/>
              <w:jc w:val="center"/>
              <w:rPr>
                <w:rFonts w:ascii="宋体" w:hAnsi="宋体"/>
                <w:color w:val="auto"/>
                <w:szCs w:val="21"/>
                <w:highlight w:val="none"/>
              </w:rPr>
            </w:pPr>
            <w:r>
              <w:rPr>
                <w:rFonts w:ascii="宋体" w:hAnsi="宋体"/>
                <w:color w:val="auto"/>
                <w:szCs w:val="21"/>
                <w:highlight w:val="none"/>
              </w:rPr>
              <w:t>1.9.1</w:t>
            </w:r>
          </w:p>
        </w:tc>
        <w:tc>
          <w:tcPr>
            <w:tcW w:w="2160" w:type="dxa"/>
            <w:vAlign w:val="center"/>
          </w:tcPr>
          <w:p w14:paraId="56C5E8B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踏勘现场</w:t>
            </w:r>
          </w:p>
        </w:tc>
        <w:tc>
          <w:tcPr>
            <w:tcW w:w="7200" w:type="dxa"/>
            <w:vAlign w:val="center"/>
          </w:tcPr>
          <w:p w14:paraId="1334748B">
            <w:pPr>
              <w:pStyle w:val="13"/>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不组织，</w:t>
            </w:r>
            <w:r>
              <w:rPr>
                <w:rFonts w:hint="eastAsia" w:hAnsi="宋体"/>
                <w:color w:val="auto"/>
                <w:sz w:val="21"/>
                <w:szCs w:val="21"/>
                <w:highlight w:val="none"/>
                <w:u w:val="single"/>
              </w:rPr>
              <w:t>由投标人自行现场考察。</w:t>
            </w:r>
          </w:p>
          <w:p w14:paraId="4136480B">
            <w:pPr>
              <w:pStyle w:val="13"/>
              <w:topLinePunct/>
              <w:snapToGrid w:val="0"/>
              <w:spacing w:line="276" w:lineRule="auto"/>
              <w:rPr>
                <w:rFonts w:hAnsi="宋体"/>
                <w:color w:val="auto"/>
                <w:sz w:val="21"/>
                <w:szCs w:val="21"/>
                <w:highlight w:val="none"/>
              </w:rPr>
            </w:pPr>
            <w:r>
              <w:rPr>
                <w:rFonts w:hint="eastAsia" w:hAnsi="宋体"/>
                <w:color w:val="auto"/>
                <w:sz w:val="21"/>
                <w:szCs w:val="21"/>
                <w:highlight w:val="none"/>
              </w:rPr>
              <w:t>□组织，踏勘时间：</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p w14:paraId="6CC14EE1">
            <w:pPr>
              <w:pStyle w:val="13"/>
              <w:topLinePunct/>
              <w:snapToGrid w:val="0"/>
              <w:spacing w:line="276" w:lineRule="auto"/>
              <w:ind w:firstLine="840" w:firstLineChars="400"/>
              <w:rPr>
                <w:rFonts w:hAnsi="宋体"/>
                <w:color w:val="auto"/>
                <w:sz w:val="21"/>
                <w:szCs w:val="21"/>
                <w:highlight w:val="none"/>
              </w:rPr>
            </w:pPr>
            <w:r>
              <w:rPr>
                <w:rFonts w:hint="eastAsia" w:hAnsi="宋体"/>
                <w:color w:val="auto"/>
                <w:sz w:val="21"/>
                <w:szCs w:val="21"/>
                <w:highlight w:val="none"/>
              </w:rPr>
              <w:t>踏勘集中地点：</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32667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7DEA542">
            <w:pPr>
              <w:snapToGrid w:val="0"/>
              <w:spacing w:line="276" w:lineRule="auto"/>
              <w:jc w:val="center"/>
              <w:rPr>
                <w:rFonts w:ascii="宋体" w:hAnsi="宋体"/>
                <w:color w:val="auto"/>
                <w:szCs w:val="21"/>
                <w:highlight w:val="none"/>
              </w:rPr>
            </w:pPr>
            <w:r>
              <w:rPr>
                <w:rFonts w:ascii="宋体" w:hAnsi="宋体"/>
                <w:color w:val="auto"/>
                <w:szCs w:val="21"/>
                <w:highlight w:val="none"/>
              </w:rPr>
              <w:t>1.10.1</w:t>
            </w:r>
          </w:p>
        </w:tc>
        <w:tc>
          <w:tcPr>
            <w:tcW w:w="2160" w:type="dxa"/>
            <w:vAlign w:val="center"/>
          </w:tcPr>
          <w:p w14:paraId="5CB307D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投标预备会</w:t>
            </w:r>
          </w:p>
        </w:tc>
        <w:tc>
          <w:tcPr>
            <w:tcW w:w="7200" w:type="dxa"/>
            <w:vAlign w:val="center"/>
          </w:tcPr>
          <w:p w14:paraId="2C2193A3">
            <w:pPr>
              <w:pStyle w:val="13"/>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不召开</w:t>
            </w:r>
          </w:p>
          <w:p w14:paraId="06B164DA">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□召开，召开时间：</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6649A594">
            <w:pPr>
              <w:snapToGrid w:val="0"/>
              <w:spacing w:line="276" w:lineRule="auto"/>
              <w:ind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召开地点：</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0C94D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14:paraId="079BE103">
            <w:pPr>
              <w:snapToGrid w:val="0"/>
              <w:spacing w:line="276" w:lineRule="auto"/>
              <w:jc w:val="center"/>
              <w:rPr>
                <w:rFonts w:ascii="宋体" w:hAnsi="宋体"/>
                <w:color w:val="auto"/>
                <w:szCs w:val="21"/>
                <w:highlight w:val="none"/>
              </w:rPr>
            </w:pPr>
            <w:r>
              <w:rPr>
                <w:rFonts w:ascii="宋体" w:hAnsi="宋体"/>
                <w:color w:val="auto"/>
                <w:szCs w:val="21"/>
                <w:highlight w:val="none"/>
              </w:rPr>
              <w:t>1.10.2</w:t>
            </w:r>
          </w:p>
        </w:tc>
        <w:tc>
          <w:tcPr>
            <w:tcW w:w="2160" w:type="dxa"/>
            <w:vMerge w:val="restart"/>
            <w:vAlign w:val="center"/>
          </w:tcPr>
          <w:p w14:paraId="420C5F5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投标人在投标预备会前提出问题</w:t>
            </w:r>
          </w:p>
        </w:tc>
        <w:tc>
          <w:tcPr>
            <w:tcW w:w="7200" w:type="dxa"/>
            <w:vAlign w:val="center"/>
          </w:tcPr>
          <w:p w14:paraId="2E2E82C6">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时间：</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68031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5A75444E">
            <w:pPr>
              <w:snapToGrid w:val="0"/>
              <w:spacing w:line="276" w:lineRule="auto"/>
              <w:jc w:val="center"/>
              <w:rPr>
                <w:rFonts w:ascii="宋体" w:hAnsi="宋体"/>
                <w:color w:val="auto"/>
                <w:szCs w:val="21"/>
                <w:highlight w:val="none"/>
              </w:rPr>
            </w:pPr>
          </w:p>
        </w:tc>
        <w:tc>
          <w:tcPr>
            <w:tcW w:w="2160" w:type="dxa"/>
            <w:vMerge w:val="continue"/>
            <w:vAlign w:val="center"/>
          </w:tcPr>
          <w:p w14:paraId="76C3B045">
            <w:pPr>
              <w:snapToGrid w:val="0"/>
              <w:spacing w:line="276" w:lineRule="auto"/>
              <w:jc w:val="center"/>
              <w:rPr>
                <w:rFonts w:ascii="宋体" w:hAnsi="宋体"/>
                <w:color w:val="auto"/>
                <w:szCs w:val="21"/>
                <w:highlight w:val="none"/>
              </w:rPr>
            </w:pPr>
          </w:p>
        </w:tc>
        <w:tc>
          <w:tcPr>
            <w:tcW w:w="7200" w:type="dxa"/>
            <w:vAlign w:val="center"/>
          </w:tcPr>
          <w:p w14:paraId="6AB738F4">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形式：</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3BD1C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AEFFFA4">
            <w:pPr>
              <w:snapToGrid w:val="0"/>
              <w:spacing w:line="276" w:lineRule="auto"/>
              <w:jc w:val="center"/>
              <w:rPr>
                <w:rFonts w:ascii="宋体" w:hAnsi="宋体"/>
                <w:color w:val="auto"/>
                <w:szCs w:val="21"/>
                <w:highlight w:val="none"/>
              </w:rPr>
            </w:pPr>
            <w:r>
              <w:rPr>
                <w:rFonts w:ascii="宋体" w:hAnsi="宋体"/>
                <w:color w:val="auto"/>
                <w:szCs w:val="21"/>
                <w:highlight w:val="none"/>
              </w:rPr>
              <w:t>1.10.3</w:t>
            </w:r>
          </w:p>
        </w:tc>
        <w:tc>
          <w:tcPr>
            <w:tcW w:w="2160" w:type="dxa"/>
            <w:vAlign w:val="center"/>
          </w:tcPr>
          <w:p w14:paraId="3FB47CF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7200" w:type="dxa"/>
            <w:vAlign w:val="center"/>
          </w:tcPr>
          <w:p w14:paraId="0595D16A">
            <w:pPr>
              <w:snapToGrid w:val="0"/>
              <w:spacing w:line="276" w:lineRule="auto"/>
              <w:rPr>
                <w:rFonts w:ascii="宋体" w:hAnsi="宋体"/>
                <w:color w:val="auto"/>
                <w:szCs w:val="21"/>
                <w:highlight w:val="none"/>
              </w:rPr>
            </w:pP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r>
              <w:rPr>
                <w:rFonts w:ascii="宋体" w:hAnsi="宋体"/>
                <w:color w:val="auto"/>
                <w:szCs w:val="21"/>
                <w:highlight w:val="none"/>
              </w:rPr>
              <w:t xml:space="preserve"> </w:t>
            </w:r>
            <w:r>
              <w:rPr>
                <w:rFonts w:hint="eastAsia" w:ascii="宋体" w:hAnsi="宋体"/>
                <w:color w:val="auto"/>
                <w:szCs w:val="21"/>
                <w:highlight w:val="none"/>
              </w:rPr>
              <w:t>（此为投标预备会的答疑澄清）</w:t>
            </w:r>
          </w:p>
        </w:tc>
      </w:tr>
      <w:tr w14:paraId="04C954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8C8B261">
            <w:pPr>
              <w:snapToGrid w:val="0"/>
              <w:spacing w:line="276" w:lineRule="auto"/>
              <w:jc w:val="center"/>
              <w:rPr>
                <w:rFonts w:ascii="宋体" w:hAnsi="宋体"/>
                <w:color w:val="auto"/>
                <w:szCs w:val="21"/>
                <w:highlight w:val="none"/>
              </w:rPr>
            </w:pPr>
            <w:r>
              <w:rPr>
                <w:rFonts w:ascii="宋体" w:hAnsi="宋体"/>
                <w:color w:val="auto"/>
                <w:szCs w:val="21"/>
                <w:highlight w:val="none"/>
              </w:rPr>
              <w:t>1.12.1</w:t>
            </w:r>
          </w:p>
        </w:tc>
        <w:tc>
          <w:tcPr>
            <w:tcW w:w="2160" w:type="dxa"/>
            <w:vAlign w:val="center"/>
          </w:tcPr>
          <w:p w14:paraId="27F9BD8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实质性要求和条件</w:t>
            </w:r>
          </w:p>
        </w:tc>
        <w:tc>
          <w:tcPr>
            <w:tcW w:w="7200" w:type="dxa"/>
            <w:vAlign w:val="center"/>
          </w:tcPr>
          <w:p w14:paraId="068ED86F">
            <w:pPr>
              <w:pStyle w:val="13"/>
              <w:topLinePunct/>
              <w:snapToGrid w:val="0"/>
              <w:spacing w:line="276" w:lineRule="auto"/>
              <w:rPr>
                <w:rFonts w:hAnsi="宋体"/>
                <w:color w:val="auto"/>
                <w:sz w:val="21"/>
                <w:szCs w:val="21"/>
                <w:highlight w:val="none"/>
              </w:rPr>
            </w:pP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414233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8699C00">
            <w:pPr>
              <w:snapToGrid w:val="0"/>
              <w:spacing w:line="276" w:lineRule="auto"/>
              <w:jc w:val="center"/>
              <w:rPr>
                <w:rFonts w:ascii="宋体" w:hAnsi="宋体"/>
                <w:color w:val="auto"/>
                <w:szCs w:val="21"/>
                <w:highlight w:val="none"/>
              </w:rPr>
            </w:pPr>
            <w:r>
              <w:rPr>
                <w:rFonts w:ascii="宋体" w:hAnsi="宋体"/>
                <w:color w:val="auto"/>
                <w:szCs w:val="21"/>
                <w:highlight w:val="none"/>
              </w:rPr>
              <w:t>1.12.3</w:t>
            </w:r>
          </w:p>
        </w:tc>
        <w:tc>
          <w:tcPr>
            <w:tcW w:w="2160" w:type="dxa"/>
            <w:vAlign w:val="center"/>
          </w:tcPr>
          <w:p w14:paraId="31BCB14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偏差</w:t>
            </w:r>
          </w:p>
        </w:tc>
        <w:tc>
          <w:tcPr>
            <w:tcW w:w="7200" w:type="dxa"/>
            <w:vAlign w:val="center"/>
          </w:tcPr>
          <w:p w14:paraId="7A038462">
            <w:pPr>
              <w:snapToGrid w:val="0"/>
              <w:spacing w:line="276"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不允许</w:t>
            </w:r>
          </w:p>
          <w:p w14:paraId="02278A52">
            <w:pPr>
              <w:pStyle w:val="13"/>
              <w:topLinePunct/>
              <w:snapToGrid w:val="0"/>
              <w:spacing w:line="276" w:lineRule="auto"/>
              <w:rPr>
                <w:rFonts w:hAnsi="宋体"/>
                <w:color w:val="auto"/>
                <w:sz w:val="21"/>
                <w:szCs w:val="21"/>
                <w:highlight w:val="none"/>
              </w:rPr>
            </w:pPr>
            <w:r>
              <w:rPr>
                <w:rFonts w:hint="eastAsia" w:hAnsi="宋体"/>
                <w:color w:val="auto"/>
                <w:sz w:val="21"/>
                <w:szCs w:val="21"/>
                <w:highlight w:val="none"/>
              </w:rPr>
              <w:t>□允许，偏差范围：</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p w14:paraId="6B125F9C">
            <w:pPr>
              <w:pStyle w:val="13"/>
              <w:topLinePunct/>
              <w:snapToGrid w:val="0"/>
              <w:spacing w:line="276" w:lineRule="auto"/>
              <w:ind w:firstLine="840" w:firstLineChars="400"/>
              <w:rPr>
                <w:rFonts w:hAnsi="宋体"/>
                <w:color w:val="auto"/>
                <w:sz w:val="21"/>
                <w:szCs w:val="21"/>
                <w:highlight w:val="none"/>
              </w:rPr>
            </w:pPr>
            <w:r>
              <w:rPr>
                <w:rFonts w:hint="eastAsia" w:hAnsi="宋体"/>
                <w:color w:val="auto"/>
                <w:sz w:val="21"/>
                <w:szCs w:val="21"/>
                <w:highlight w:val="none"/>
              </w:rPr>
              <w:t>偏差幅度：</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414F7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0455F83F">
            <w:pPr>
              <w:snapToGrid w:val="0"/>
              <w:spacing w:line="276" w:lineRule="auto"/>
              <w:jc w:val="center"/>
              <w:rPr>
                <w:rFonts w:ascii="宋体" w:hAnsi="宋体"/>
                <w:color w:val="auto"/>
                <w:szCs w:val="21"/>
                <w:highlight w:val="none"/>
              </w:rPr>
            </w:pPr>
            <w:r>
              <w:rPr>
                <w:rFonts w:ascii="宋体" w:hAnsi="宋体"/>
                <w:color w:val="auto"/>
                <w:szCs w:val="21"/>
                <w:highlight w:val="none"/>
              </w:rPr>
              <w:t>2.1</w:t>
            </w:r>
          </w:p>
        </w:tc>
        <w:tc>
          <w:tcPr>
            <w:tcW w:w="2160" w:type="dxa"/>
            <w:vAlign w:val="center"/>
          </w:tcPr>
          <w:p w14:paraId="6A33FC6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构成招标文件的其他资料</w:t>
            </w:r>
          </w:p>
        </w:tc>
        <w:tc>
          <w:tcPr>
            <w:tcW w:w="7200" w:type="dxa"/>
            <w:vAlign w:val="center"/>
          </w:tcPr>
          <w:p w14:paraId="389D66A4">
            <w:pPr>
              <w:snapToGrid w:val="0"/>
              <w:spacing w:line="276" w:lineRule="auto"/>
              <w:rPr>
                <w:rFonts w:ascii="宋体" w:hAnsi="宋体"/>
                <w:color w:val="auto"/>
                <w:szCs w:val="21"/>
                <w:highlight w:val="none"/>
              </w:rPr>
            </w:pP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28C4E0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866" w:type="dxa"/>
            <w:vMerge w:val="restart"/>
            <w:vAlign w:val="center"/>
          </w:tcPr>
          <w:p w14:paraId="1C1F405C">
            <w:pPr>
              <w:snapToGrid w:val="0"/>
              <w:spacing w:line="276" w:lineRule="auto"/>
              <w:jc w:val="center"/>
              <w:rPr>
                <w:rFonts w:ascii="宋体" w:hAnsi="宋体"/>
                <w:color w:val="auto"/>
                <w:szCs w:val="21"/>
                <w:highlight w:val="none"/>
              </w:rPr>
            </w:pPr>
            <w:r>
              <w:rPr>
                <w:rFonts w:ascii="宋体" w:hAnsi="宋体"/>
                <w:color w:val="auto"/>
                <w:szCs w:val="21"/>
                <w:highlight w:val="none"/>
              </w:rPr>
              <w:t>2.2.1</w:t>
            </w:r>
          </w:p>
        </w:tc>
        <w:tc>
          <w:tcPr>
            <w:tcW w:w="2160" w:type="dxa"/>
            <w:vMerge w:val="restart"/>
            <w:vAlign w:val="center"/>
          </w:tcPr>
          <w:p w14:paraId="2D00FCC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投标人要求澄清招标文件</w:t>
            </w:r>
          </w:p>
        </w:tc>
        <w:tc>
          <w:tcPr>
            <w:tcW w:w="7200" w:type="dxa"/>
            <w:vAlign w:val="center"/>
          </w:tcPr>
          <w:p w14:paraId="05660259">
            <w:pPr>
              <w:snapToGrid w:val="0"/>
              <w:spacing w:line="276" w:lineRule="auto"/>
              <w:rPr>
                <w:rFonts w:ascii="宋体" w:hAnsi="宋体"/>
                <w:color w:val="auto"/>
                <w:szCs w:val="21"/>
                <w:highlight w:val="none"/>
              </w:rPr>
            </w:pPr>
            <w:r>
              <w:rPr>
                <w:rFonts w:hint="eastAsia" w:ascii="宋体" w:hAnsi="宋体"/>
                <w:color w:val="auto"/>
                <w:szCs w:val="21"/>
                <w:highlight w:val="none"/>
              </w:rPr>
              <w:t>时间：投标人在递交投标文件截止时间</w:t>
            </w:r>
            <w:r>
              <w:rPr>
                <w:rFonts w:ascii="宋体" w:hAnsi="宋体"/>
                <w:color w:val="auto"/>
                <w:szCs w:val="21"/>
                <w:highlight w:val="none"/>
              </w:rPr>
              <w:t>18</w:t>
            </w:r>
            <w:r>
              <w:rPr>
                <w:rFonts w:hint="eastAsia" w:ascii="宋体" w:hAnsi="宋体"/>
                <w:color w:val="auto"/>
                <w:szCs w:val="21"/>
                <w:highlight w:val="none"/>
              </w:rPr>
              <w:t>天前提出；</w:t>
            </w:r>
          </w:p>
        </w:tc>
      </w:tr>
      <w:tr w14:paraId="066634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03F3AA72">
            <w:pPr>
              <w:snapToGrid w:val="0"/>
              <w:spacing w:line="276" w:lineRule="auto"/>
              <w:jc w:val="center"/>
              <w:rPr>
                <w:rFonts w:ascii="宋体" w:hAnsi="宋体"/>
                <w:color w:val="auto"/>
                <w:szCs w:val="21"/>
                <w:highlight w:val="none"/>
              </w:rPr>
            </w:pPr>
          </w:p>
        </w:tc>
        <w:tc>
          <w:tcPr>
            <w:tcW w:w="2160" w:type="dxa"/>
            <w:vMerge w:val="continue"/>
            <w:vAlign w:val="center"/>
          </w:tcPr>
          <w:p w14:paraId="4B692BC9">
            <w:pPr>
              <w:snapToGrid w:val="0"/>
              <w:spacing w:line="276" w:lineRule="auto"/>
              <w:jc w:val="center"/>
              <w:rPr>
                <w:rFonts w:ascii="宋体" w:hAnsi="宋体"/>
                <w:color w:val="auto"/>
                <w:szCs w:val="21"/>
                <w:highlight w:val="none"/>
              </w:rPr>
            </w:pPr>
          </w:p>
        </w:tc>
        <w:tc>
          <w:tcPr>
            <w:tcW w:w="7200" w:type="dxa"/>
            <w:vAlign w:val="center"/>
          </w:tcPr>
          <w:p w14:paraId="5091D51E">
            <w:pPr>
              <w:pStyle w:val="2"/>
              <w:snapToGrid w:val="0"/>
              <w:spacing w:line="276" w:lineRule="auto"/>
              <w:ind w:right="174" w:rightChars="83" w:firstLine="0"/>
              <w:rPr>
                <w:rFonts w:ascii="宋体" w:hAnsi="宋体" w:cs="宋体"/>
                <w:color w:val="auto"/>
                <w:szCs w:val="21"/>
                <w:highlight w:val="none"/>
              </w:rPr>
            </w:pPr>
            <w:r>
              <w:rPr>
                <w:rFonts w:hint="eastAsia" w:ascii="宋体" w:hAnsi="宋体"/>
                <w:color w:val="auto"/>
                <w:szCs w:val="21"/>
                <w:highlight w:val="none"/>
              </w:rPr>
              <w:t>形式：</w:t>
            </w:r>
            <w:r>
              <w:rPr>
                <w:rFonts w:hint="eastAsia" w:ascii="宋体" w:hAnsi="宋体" w:cs="宋体"/>
                <w:color w:val="auto"/>
                <w:szCs w:val="21"/>
                <w:highlight w:val="none"/>
              </w:rPr>
              <w:t>招标答疑采用网上答疑方式进行。投标人若对招标文件（包括图纸、合同版本、最高投标限价等）有疑问的，可在规定的时间内通过</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网站将问题提交给招标人或招标代理人。</w:t>
            </w:r>
          </w:p>
          <w:p w14:paraId="3A60D14A">
            <w:pPr>
              <w:pStyle w:val="2"/>
              <w:snapToGrid w:val="0"/>
              <w:spacing w:line="276" w:lineRule="auto"/>
              <w:ind w:right="174" w:rightChars="83" w:firstLine="0"/>
              <w:rPr>
                <w:rFonts w:ascii="宋体" w:hAnsi="宋体" w:cs="宋体"/>
                <w:color w:val="auto"/>
                <w:szCs w:val="21"/>
                <w:highlight w:val="none"/>
              </w:rPr>
            </w:pPr>
            <w:r>
              <w:rPr>
                <w:rFonts w:hint="eastAsia" w:ascii="宋体" w:hAnsi="宋体" w:cs="宋体"/>
                <w:color w:val="auto"/>
                <w:szCs w:val="21"/>
                <w:highlight w:val="none"/>
              </w:rPr>
              <w:t>网上答疑的操作指南为：登陆</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进入“我是投标人”→进入“新建设工程交易平台”→进入“我的投标”→进入“招标答疑提问”→通过项目编号或名称找到所需的项目→在上述的答疑时间内点击“答疑提问”进入到提问区域→无记名或匿名提出问题</w:t>
            </w:r>
          </w:p>
        </w:tc>
      </w:tr>
      <w:tr w14:paraId="06645A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866" w:type="dxa"/>
            <w:vAlign w:val="center"/>
          </w:tcPr>
          <w:p w14:paraId="117EDF41">
            <w:pPr>
              <w:snapToGrid w:val="0"/>
              <w:spacing w:line="276" w:lineRule="auto"/>
              <w:jc w:val="center"/>
              <w:rPr>
                <w:rFonts w:ascii="宋体" w:hAnsi="宋体"/>
                <w:color w:val="auto"/>
                <w:szCs w:val="21"/>
                <w:highlight w:val="none"/>
              </w:rPr>
            </w:pPr>
            <w:r>
              <w:rPr>
                <w:rFonts w:ascii="宋体" w:hAnsi="宋体"/>
                <w:color w:val="auto"/>
                <w:szCs w:val="21"/>
                <w:highlight w:val="none"/>
              </w:rPr>
              <w:t>2.2.2</w:t>
            </w:r>
          </w:p>
        </w:tc>
        <w:tc>
          <w:tcPr>
            <w:tcW w:w="2160" w:type="dxa"/>
            <w:vAlign w:val="center"/>
          </w:tcPr>
          <w:p w14:paraId="51011F8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7200" w:type="dxa"/>
            <w:vAlign w:val="center"/>
          </w:tcPr>
          <w:p w14:paraId="689CE3EF">
            <w:pPr>
              <w:snapToGrid w:val="0"/>
              <w:spacing w:line="276" w:lineRule="auto"/>
              <w:rPr>
                <w:rFonts w:ascii="宋体" w:hAnsi="宋体"/>
                <w:color w:val="auto"/>
                <w:szCs w:val="21"/>
                <w:highlight w:val="none"/>
              </w:rPr>
            </w:pPr>
            <w:r>
              <w:rPr>
                <w:rFonts w:hint="eastAsia" w:ascii="宋体" w:hAnsi="宋体"/>
                <w:color w:val="auto"/>
                <w:szCs w:val="21"/>
                <w:highlight w:val="none"/>
              </w:rPr>
              <w:t>在递交投标文件截止时间</w:t>
            </w:r>
            <w:r>
              <w:rPr>
                <w:rFonts w:ascii="宋体" w:hAnsi="宋体"/>
                <w:color w:val="auto"/>
                <w:szCs w:val="21"/>
                <w:highlight w:val="none"/>
              </w:rPr>
              <w:t>15</w:t>
            </w:r>
            <w:r>
              <w:rPr>
                <w:rFonts w:hint="eastAsia" w:ascii="宋体" w:hAnsi="宋体"/>
                <w:color w:val="auto"/>
                <w:szCs w:val="21"/>
                <w:highlight w:val="none"/>
              </w:rPr>
              <w:t>天前；在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网站通过“建设工程-项目查询（日程安排、答疑纪要）”专区网上公开发布。</w:t>
            </w:r>
          </w:p>
        </w:tc>
      </w:tr>
      <w:tr w14:paraId="1BE46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866" w:type="dxa"/>
            <w:vMerge w:val="restart"/>
            <w:vAlign w:val="center"/>
          </w:tcPr>
          <w:p w14:paraId="35D0B825">
            <w:pPr>
              <w:snapToGrid w:val="0"/>
              <w:spacing w:line="276" w:lineRule="auto"/>
              <w:jc w:val="center"/>
              <w:rPr>
                <w:rFonts w:ascii="宋体" w:hAnsi="宋体"/>
                <w:color w:val="auto"/>
                <w:szCs w:val="21"/>
                <w:highlight w:val="none"/>
              </w:rPr>
            </w:pPr>
            <w:r>
              <w:rPr>
                <w:rFonts w:ascii="宋体" w:hAnsi="宋体"/>
                <w:color w:val="auto"/>
                <w:szCs w:val="21"/>
                <w:highlight w:val="none"/>
              </w:rPr>
              <w:t>2.2.3</w:t>
            </w:r>
          </w:p>
        </w:tc>
        <w:tc>
          <w:tcPr>
            <w:tcW w:w="2160" w:type="dxa"/>
            <w:vMerge w:val="restart"/>
            <w:vAlign w:val="center"/>
          </w:tcPr>
          <w:p w14:paraId="1FCBFAB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投标人确认收到招标文件澄清</w:t>
            </w:r>
          </w:p>
        </w:tc>
        <w:tc>
          <w:tcPr>
            <w:tcW w:w="7200" w:type="dxa"/>
            <w:vAlign w:val="center"/>
          </w:tcPr>
          <w:p w14:paraId="20879390">
            <w:pPr>
              <w:spacing w:line="276" w:lineRule="auto"/>
              <w:rPr>
                <w:rFonts w:ascii="宋体" w:hAnsi="宋体"/>
                <w:color w:val="auto"/>
                <w:szCs w:val="21"/>
                <w:highlight w:val="none"/>
              </w:rPr>
            </w:pPr>
            <w:r>
              <w:rPr>
                <w:rFonts w:hint="eastAsia" w:ascii="宋体" w:hAnsi="宋体"/>
                <w:color w:val="auto"/>
                <w:szCs w:val="21"/>
                <w:highlight w:val="none"/>
              </w:rPr>
              <w:t>时间：发出即视作收到</w:t>
            </w:r>
          </w:p>
        </w:tc>
      </w:tr>
      <w:tr w14:paraId="18353E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27DA89C9">
            <w:pPr>
              <w:snapToGrid w:val="0"/>
              <w:spacing w:line="276" w:lineRule="auto"/>
              <w:jc w:val="center"/>
              <w:rPr>
                <w:rFonts w:ascii="宋体" w:hAnsi="宋体"/>
                <w:color w:val="auto"/>
                <w:szCs w:val="21"/>
                <w:highlight w:val="none"/>
              </w:rPr>
            </w:pPr>
          </w:p>
        </w:tc>
        <w:tc>
          <w:tcPr>
            <w:tcW w:w="2160" w:type="dxa"/>
            <w:vMerge w:val="continue"/>
            <w:vAlign w:val="center"/>
          </w:tcPr>
          <w:p w14:paraId="5BDC4B8E">
            <w:pPr>
              <w:snapToGrid w:val="0"/>
              <w:spacing w:line="276" w:lineRule="auto"/>
              <w:jc w:val="center"/>
              <w:rPr>
                <w:rFonts w:ascii="宋体" w:hAnsi="宋体"/>
                <w:color w:val="auto"/>
                <w:szCs w:val="21"/>
                <w:highlight w:val="none"/>
              </w:rPr>
            </w:pPr>
          </w:p>
        </w:tc>
        <w:tc>
          <w:tcPr>
            <w:tcW w:w="7200" w:type="dxa"/>
            <w:vAlign w:val="center"/>
          </w:tcPr>
          <w:p w14:paraId="52AC76A5">
            <w:pPr>
              <w:spacing w:line="400" w:lineRule="exact"/>
              <w:rPr>
                <w:rFonts w:ascii="宋体" w:hAnsi="宋体"/>
                <w:color w:val="auto"/>
                <w:szCs w:val="21"/>
                <w:highlight w:val="none"/>
              </w:rPr>
            </w:pPr>
            <w:r>
              <w:rPr>
                <w:rFonts w:hint="eastAsia" w:ascii="宋体" w:hAnsi="宋体"/>
                <w:color w:val="auto"/>
                <w:szCs w:val="21"/>
                <w:highlight w:val="none"/>
              </w:rPr>
              <w:t>形式：招标文件澄清（招标答疑纪要）一经在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网站发布，视作已发放给所有投标人。</w:t>
            </w:r>
          </w:p>
        </w:tc>
      </w:tr>
      <w:tr w14:paraId="3AAC1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39F84FB">
            <w:pPr>
              <w:snapToGrid w:val="0"/>
              <w:spacing w:line="276" w:lineRule="auto"/>
              <w:jc w:val="center"/>
              <w:rPr>
                <w:rFonts w:ascii="宋体" w:hAnsi="宋体"/>
                <w:color w:val="auto"/>
                <w:szCs w:val="21"/>
                <w:highlight w:val="none"/>
              </w:rPr>
            </w:pPr>
            <w:r>
              <w:rPr>
                <w:rFonts w:ascii="宋体" w:hAnsi="宋体"/>
                <w:color w:val="auto"/>
                <w:szCs w:val="21"/>
                <w:highlight w:val="none"/>
              </w:rPr>
              <w:t>2.3.1</w:t>
            </w:r>
          </w:p>
        </w:tc>
        <w:tc>
          <w:tcPr>
            <w:tcW w:w="2160" w:type="dxa"/>
            <w:vAlign w:val="center"/>
          </w:tcPr>
          <w:p w14:paraId="707E6E5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招标文件修改发出的形式</w:t>
            </w:r>
          </w:p>
        </w:tc>
        <w:tc>
          <w:tcPr>
            <w:tcW w:w="7200" w:type="dxa"/>
            <w:vAlign w:val="center"/>
          </w:tcPr>
          <w:p w14:paraId="79378AE5">
            <w:pPr>
              <w:snapToGrid w:val="0"/>
              <w:spacing w:line="276" w:lineRule="auto"/>
              <w:rPr>
                <w:rFonts w:ascii="宋体" w:hAnsi="宋体"/>
                <w:color w:val="auto"/>
                <w:szCs w:val="21"/>
                <w:highlight w:val="none"/>
              </w:rPr>
            </w:pPr>
            <w:r>
              <w:rPr>
                <w:rFonts w:hint="eastAsia" w:ascii="宋体" w:hAnsi="宋体"/>
                <w:color w:val="auto"/>
                <w:szCs w:val="21"/>
                <w:highlight w:val="none"/>
              </w:rPr>
              <w:t>以补充公告或项目答疑澄清的方式在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w:t>
            </w:r>
          </w:p>
        </w:tc>
      </w:tr>
      <w:tr w14:paraId="484CCA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866" w:type="dxa"/>
            <w:vMerge w:val="restart"/>
            <w:vAlign w:val="center"/>
          </w:tcPr>
          <w:p w14:paraId="44BA82ED">
            <w:pPr>
              <w:snapToGrid w:val="0"/>
              <w:spacing w:line="276" w:lineRule="auto"/>
              <w:jc w:val="center"/>
              <w:rPr>
                <w:rFonts w:ascii="宋体" w:hAnsi="宋体"/>
                <w:color w:val="auto"/>
                <w:szCs w:val="21"/>
                <w:highlight w:val="none"/>
              </w:rPr>
            </w:pPr>
            <w:r>
              <w:rPr>
                <w:rFonts w:ascii="宋体" w:hAnsi="宋体"/>
                <w:color w:val="auto"/>
                <w:szCs w:val="21"/>
                <w:highlight w:val="none"/>
              </w:rPr>
              <w:t>2.3.2</w:t>
            </w:r>
          </w:p>
        </w:tc>
        <w:tc>
          <w:tcPr>
            <w:tcW w:w="2160" w:type="dxa"/>
            <w:vMerge w:val="restart"/>
            <w:vAlign w:val="center"/>
          </w:tcPr>
          <w:p w14:paraId="23FF91C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投标人确认收到招标文件修改</w:t>
            </w:r>
          </w:p>
        </w:tc>
        <w:tc>
          <w:tcPr>
            <w:tcW w:w="7200" w:type="dxa"/>
            <w:vAlign w:val="center"/>
          </w:tcPr>
          <w:p w14:paraId="4932ABA5">
            <w:pPr>
              <w:spacing w:line="276" w:lineRule="auto"/>
              <w:rPr>
                <w:rFonts w:ascii="宋体" w:hAnsi="宋体"/>
                <w:color w:val="auto"/>
                <w:szCs w:val="21"/>
                <w:highlight w:val="none"/>
              </w:rPr>
            </w:pPr>
            <w:r>
              <w:rPr>
                <w:rFonts w:hint="eastAsia" w:ascii="宋体" w:hAnsi="宋体"/>
                <w:color w:val="auto"/>
                <w:szCs w:val="21"/>
                <w:highlight w:val="none"/>
              </w:rPr>
              <w:t>时间：发出即视作收到</w:t>
            </w:r>
          </w:p>
        </w:tc>
      </w:tr>
      <w:tr w14:paraId="06491E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866" w:type="dxa"/>
            <w:vMerge w:val="continue"/>
            <w:vAlign w:val="center"/>
          </w:tcPr>
          <w:p w14:paraId="756EF391">
            <w:pPr>
              <w:snapToGrid w:val="0"/>
              <w:spacing w:line="276" w:lineRule="auto"/>
              <w:jc w:val="center"/>
              <w:rPr>
                <w:rFonts w:ascii="宋体" w:hAnsi="宋体"/>
                <w:color w:val="auto"/>
                <w:szCs w:val="21"/>
                <w:highlight w:val="none"/>
              </w:rPr>
            </w:pPr>
          </w:p>
        </w:tc>
        <w:tc>
          <w:tcPr>
            <w:tcW w:w="2160" w:type="dxa"/>
            <w:vMerge w:val="continue"/>
            <w:vAlign w:val="center"/>
          </w:tcPr>
          <w:p w14:paraId="57BE0370">
            <w:pPr>
              <w:snapToGrid w:val="0"/>
              <w:spacing w:line="276" w:lineRule="auto"/>
              <w:jc w:val="center"/>
              <w:rPr>
                <w:rFonts w:ascii="宋体" w:hAnsi="宋体"/>
                <w:color w:val="auto"/>
                <w:szCs w:val="21"/>
                <w:highlight w:val="none"/>
              </w:rPr>
            </w:pPr>
          </w:p>
        </w:tc>
        <w:tc>
          <w:tcPr>
            <w:tcW w:w="7200" w:type="dxa"/>
            <w:vAlign w:val="center"/>
          </w:tcPr>
          <w:p w14:paraId="4A2B4BA0">
            <w:pPr>
              <w:spacing w:line="380" w:lineRule="exact"/>
              <w:rPr>
                <w:rFonts w:ascii="宋体" w:hAnsi="宋体"/>
                <w:color w:val="auto"/>
                <w:szCs w:val="21"/>
                <w:highlight w:val="none"/>
              </w:rPr>
            </w:pPr>
            <w:r>
              <w:rPr>
                <w:rFonts w:hint="eastAsia" w:ascii="宋体" w:hAnsi="宋体"/>
                <w:color w:val="auto"/>
                <w:szCs w:val="21"/>
                <w:highlight w:val="none"/>
              </w:rPr>
              <w:t>形式：招标文件修改一经在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网站发布，视作已发放给所有投标人，无需确认。潜在投标人应自行关注招标公告公布的网站公告，招标人不再一一通知。投标人因自身贻误行为导致投标失败的，责任自负。</w:t>
            </w:r>
          </w:p>
        </w:tc>
      </w:tr>
      <w:tr w14:paraId="16289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1E0BA7A">
            <w:pPr>
              <w:snapToGrid w:val="0"/>
              <w:spacing w:line="276" w:lineRule="auto"/>
              <w:jc w:val="center"/>
              <w:rPr>
                <w:rFonts w:ascii="宋体" w:hAnsi="宋体"/>
                <w:color w:val="auto"/>
                <w:szCs w:val="21"/>
                <w:highlight w:val="none"/>
              </w:rPr>
            </w:pPr>
            <w:r>
              <w:rPr>
                <w:rFonts w:ascii="宋体" w:hAnsi="宋体"/>
                <w:color w:val="auto"/>
                <w:szCs w:val="21"/>
                <w:highlight w:val="none"/>
              </w:rPr>
              <w:t>3.1.1</w:t>
            </w:r>
          </w:p>
        </w:tc>
        <w:tc>
          <w:tcPr>
            <w:tcW w:w="2160" w:type="dxa"/>
            <w:vAlign w:val="center"/>
          </w:tcPr>
          <w:p w14:paraId="3E38E7F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构成投标文件的其他资料</w:t>
            </w:r>
          </w:p>
        </w:tc>
        <w:tc>
          <w:tcPr>
            <w:tcW w:w="7200" w:type="dxa"/>
            <w:vAlign w:val="center"/>
          </w:tcPr>
          <w:p w14:paraId="766B097B">
            <w:pPr>
              <w:snapToGrid w:val="0"/>
              <w:spacing w:line="276" w:lineRule="auto"/>
              <w:rPr>
                <w:rFonts w:ascii="宋体" w:hAnsi="宋体"/>
                <w:color w:val="auto"/>
                <w:szCs w:val="21"/>
                <w:highlight w:val="none"/>
              </w:rPr>
            </w:pPr>
            <w:r>
              <w:rPr>
                <w:rFonts w:hint="eastAsia" w:ascii="宋体" w:hAnsi="宋体"/>
                <w:color w:val="auto"/>
                <w:szCs w:val="21"/>
                <w:highlight w:val="none"/>
              </w:rPr>
              <w:t>详见招标文件第六章投标文件格式</w:t>
            </w:r>
          </w:p>
        </w:tc>
      </w:tr>
      <w:tr w14:paraId="4D150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24DE566">
            <w:pPr>
              <w:snapToGrid w:val="0"/>
              <w:spacing w:line="276" w:lineRule="auto"/>
              <w:jc w:val="center"/>
              <w:rPr>
                <w:rFonts w:ascii="宋体" w:hAnsi="宋体"/>
                <w:color w:val="auto"/>
                <w:szCs w:val="21"/>
                <w:highlight w:val="none"/>
              </w:rPr>
            </w:pPr>
            <w:r>
              <w:rPr>
                <w:rFonts w:ascii="宋体" w:hAnsi="宋体"/>
                <w:color w:val="auto"/>
                <w:szCs w:val="21"/>
                <w:highlight w:val="none"/>
              </w:rPr>
              <w:t>3.2.1</w:t>
            </w:r>
          </w:p>
        </w:tc>
        <w:tc>
          <w:tcPr>
            <w:tcW w:w="2160" w:type="dxa"/>
            <w:vAlign w:val="center"/>
          </w:tcPr>
          <w:p w14:paraId="3FF9430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增值税税金的计算方法</w:t>
            </w:r>
          </w:p>
        </w:tc>
        <w:tc>
          <w:tcPr>
            <w:tcW w:w="7200" w:type="dxa"/>
            <w:vAlign w:val="center"/>
          </w:tcPr>
          <w:p w14:paraId="363AA106">
            <w:pPr>
              <w:snapToGrid w:val="0"/>
              <w:spacing w:line="276" w:lineRule="auto"/>
              <w:rPr>
                <w:rFonts w:ascii="宋体" w:hAnsi="宋体"/>
                <w:color w:val="auto"/>
                <w:szCs w:val="21"/>
                <w:highlight w:val="none"/>
              </w:rPr>
            </w:pPr>
            <w:r>
              <w:rPr>
                <w:rFonts w:hint="eastAsia" w:ascii="宋体" w:hAnsi="宋体"/>
                <w:color w:val="auto"/>
                <w:szCs w:val="21"/>
                <w:highlight w:val="none"/>
                <w:u w:val="single"/>
              </w:rPr>
              <w:t>一般计税方法计算</w:t>
            </w:r>
          </w:p>
        </w:tc>
      </w:tr>
      <w:tr w14:paraId="202FC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66" w:type="dxa"/>
            <w:vAlign w:val="center"/>
          </w:tcPr>
          <w:p w14:paraId="0829BD5B">
            <w:pPr>
              <w:snapToGrid w:val="0"/>
              <w:spacing w:line="276" w:lineRule="auto"/>
              <w:jc w:val="center"/>
              <w:rPr>
                <w:rFonts w:ascii="宋体" w:hAnsi="宋体"/>
                <w:color w:val="auto"/>
                <w:szCs w:val="21"/>
                <w:highlight w:val="none"/>
              </w:rPr>
            </w:pPr>
            <w:r>
              <w:rPr>
                <w:rFonts w:ascii="宋体" w:hAnsi="宋体"/>
                <w:color w:val="auto"/>
                <w:szCs w:val="21"/>
                <w:highlight w:val="none"/>
              </w:rPr>
              <w:t>3.2.3</w:t>
            </w:r>
          </w:p>
        </w:tc>
        <w:tc>
          <w:tcPr>
            <w:tcW w:w="2160" w:type="dxa"/>
            <w:vAlign w:val="center"/>
          </w:tcPr>
          <w:p w14:paraId="5D2B322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报价方式</w:t>
            </w:r>
          </w:p>
        </w:tc>
        <w:tc>
          <w:tcPr>
            <w:tcW w:w="7200" w:type="dxa"/>
            <w:vAlign w:val="center"/>
          </w:tcPr>
          <w:p w14:paraId="37943FDB">
            <w:pPr>
              <w:snapToGrid w:val="0"/>
              <w:spacing w:line="276" w:lineRule="auto"/>
              <w:rPr>
                <w:rFonts w:ascii="宋体" w:hAnsi="宋体"/>
                <w:color w:val="auto"/>
                <w:szCs w:val="21"/>
                <w:highlight w:val="none"/>
              </w:rPr>
            </w:pPr>
            <w:r>
              <w:rPr>
                <w:rFonts w:hint="eastAsia" w:ascii="宋体" w:hAnsi="宋体" w:cs="宋体"/>
                <w:color w:val="auto"/>
                <w:szCs w:val="21"/>
                <w:highlight w:val="none"/>
              </w:rPr>
              <w:t>本项目实行综合单价包干。（以元为单位，精确到小数点后2位）</w:t>
            </w:r>
          </w:p>
        </w:tc>
      </w:tr>
      <w:tr w14:paraId="4F117F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vAlign w:val="center"/>
          </w:tcPr>
          <w:p w14:paraId="01EF6874">
            <w:pPr>
              <w:snapToGrid w:val="0"/>
              <w:spacing w:line="276" w:lineRule="auto"/>
              <w:jc w:val="center"/>
              <w:rPr>
                <w:rFonts w:ascii="宋体" w:hAnsi="宋体"/>
                <w:color w:val="auto"/>
                <w:szCs w:val="21"/>
                <w:highlight w:val="none"/>
              </w:rPr>
            </w:pPr>
            <w:r>
              <w:rPr>
                <w:rFonts w:ascii="宋体" w:hAnsi="宋体"/>
                <w:color w:val="auto"/>
                <w:szCs w:val="21"/>
                <w:highlight w:val="none"/>
              </w:rPr>
              <w:t>3.2.4</w:t>
            </w:r>
          </w:p>
        </w:tc>
        <w:tc>
          <w:tcPr>
            <w:tcW w:w="2160" w:type="dxa"/>
            <w:vAlign w:val="center"/>
          </w:tcPr>
          <w:p w14:paraId="5FBFEF4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最高投标限价</w:t>
            </w:r>
          </w:p>
        </w:tc>
        <w:tc>
          <w:tcPr>
            <w:tcW w:w="7200" w:type="dxa"/>
            <w:vAlign w:val="center"/>
          </w:tcPr>
          <w:p w14:paraId="4D6D6FBD">
            <w:pPr>
              <w:snapToGrid w:val="0"/>
              <w:spacing w:line="400" w:lineRule="exact"/>
              <w:rPr>
                <w:rFonts w:ascii="宋体" w:hAnsi="宋体"/>
                <w:color w:val="auto"/>
                <w:szCs w:val="21"/>
                <w:highlight w:val="none"/>
              </w:rPr>
            </w:pPr>
            <w:r>
              <w:rPr>
                <w:rFonts w:hint="eastAsia" w:ascii="宋体" w:hAnsi="宋体"/>
                <w:color w:val="auto"/>
                <w:szCs w:val="21"/>
                <w:highlight w:val="none"/>
              </w:rPr>
              <w:t>□无</w:t>
            </w:r>
          </w:p>
          <w:p w14:paraId="6D6C74BE">
            <w:pPr>
              <w:spacing w:line="400" w:lineRule="exact"/>
              <w:rPr>
                <w:rFonts w:ascii="宋体" w:hAnsi="宋体" w:cs="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有，最高投标限价：人民币</w:t>
            </w:r>
            <w:r>
              <w:rPr>
                <w:rFonts w:hint="eastAsia" w:ascii="宋体" w:hAnsi="宋体" w:cs="Times New Roman"/>
                <w:color w:val="auto"/>
                <w:sz w:val="21"/>
                <w:szCs w:val="21"/>
                <w:highlight w:val="none"/>
                <w:u w:val="none"/>
                <w:lang w:val="en-US" w:eastAsia="zh-CN"/>
              </w:rPr>
              <w:t>10685855.10</w:t>
            </w:r>
            <w:r>
              <w:rPr>
                <w:rFonts w:hint="eastAsia" w:ascii="宋体" w:hAnsi="宋体"/>
                <w:color w:val="auto"/>
                <w:szCs w:val="21"/>
                <w:highlight w:val="none"/>
              </w:rPr>
              <w:t>元</w:t>
            </w:r>
            <w:r>
              <w:rPr>
                <w:rFonts w:hint="eastAsia" w:ascii="宋体" w:hAnsi="宋体"/>
                <w:color w:val="auto"/>
                <w:szCs w:val="21"/>
                <w:highlight w:val="none"/>
                <w:lang w:eastAsia="zh-CN"/>
              </w:rPr>
              <w:t>。</w:t>
            </w:r>
          </w:p>
          <w:p w14:paraId="2D623C76">
            <w:pPr>
              <w:tabs>
                <w:tab w:val="left" w:pos="7513"/>
              </w:tabs>
              <w:spacing w:line="400" w:lineRule="exact"/>
              <w:rPr>
                <w:rFonts w:ascii="宋体" w:hAnsi="宋体"/>
                <w:color w:val="auto"/>
                <w:szCs w:val="21"/>
                <w:highlight w:val="none"/>
              </w:rPr>
            </w:pPr>
            <w:r>
              <w:rPr>
                <w:rFonts w:hint="eastAsia" w:ascii="宋体" w:hAnsi="宋体"/>
                <w:color w:val="auto"/>
                <w:szCs w:val="21"/>
                <w:highlight w:val="none"/>
              </w:rPr>
              <w:t>本项目最高投标限价只作为招标的依据，投标金额及下浮率（%）作为签订合同的依据。中标价不作为竣工结算的依据。</w:t>
            </w:r>
          </w:p>
        </w:tc>
      </w:tr>
      <w:tr w14:paraId="4FFD7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tcBorders>
              <w:bottom w:val="single" w:color="auto" w:sz="4" w:space="0"/>
            </w:tcBorders>
            <w:vAlign w:val="center"/>
          </w:tcPr>
          <w:p w14:paraId="458A3B7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3.2.5</w:t>
            </w:r>
          </w:p>
        </w:tc>
        <w:tc>
          <w:tcPr>
            <w:tcW w:w="2160" w:type="dxa"/>
            <w:tcBorders>
              <w:bottom w:val="single" w:color="auto" w:sz="4" w:space="0"/>
            </w:tcBorders>
            <w:vAlign w:val="center"/>
          </w:tcPr>
          <w:p w14:paraId="5FC8DE7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投标报价的其他要求</w:t>
            </w:r>
          </w:p>
        </w:tc>
        <w:tc>
          <w:tcPr>
            <w:tcW w:w="7200" w:type="dxa"/>
            <w:tcBorders>
              <w:bottom w:val="single" w:color="auto" w:sz="4" w:space="0"/>
            </w:tcBorders>
            <w:vAlign w:val="center"/>
          </w:tcPr>
          <w:p w14:paraId="742D8C70">
            <w:pPr>
              <w:pStyle w:val="26"/>
              <w:spacing w:after="0" w:line="440" w:lineRule="exact"/>
              <w:ind w:left="0" w:leftChars="0" w:firstLine="375" w:firstLineChars="179"/>
              <w:rPr>
                <w:rFonts w:ascii="Calibri" w:hAnsi="Calibri"/>
                <w:color w:val="auto"/>
                <w:highlight w:val="none"/>
                <w:u w:val="single"/>
              </w:rPr>
            </w:pPr>
            <w:r>
              <w:rPr>
                <w:rFonts w:hint="eastAsia" w:ascii="Calibri" w:hAnsi="Calibri"/>
                <w:color w:val="auto"/>
                <w:highlight w:val="none"/>
                <w:u w:val="single"/>
              </w:rPr>
              <w:t>投标人必须详细审阅全部招标文件，充分考虑职责和义务，全面地理解招标文件对投标报价的要求，并按招标人提出的条件及内容进行报价。</w:t>
            </w:r>
          </w:p>
          <w:p w14:paraId="45C648AA">
            <w:pPr>
              <w:pStyle w:val="26"/>
              <w:spacing w:after="0" w:line="440" w:lineRule="exact"/>
              <w:ind w:left="0" w:leftChars="0" w:firstLine="375" w:firstLineChars="179"/>
              <w:rPr>
                <w:rFonts w:ascii="宋体" w:hAnsi="宋体" w:cs="宋体"/>
                <w:color w:val="auto"/>
                <w:highlight w:val="none"/>
                <w:u w:val="single"/>
              </w:rPr>
            </w:pPr>
            <w:r>
              <w:rPr>
                <w:rFonts w:hint="eastAsia" w:ascii="宋体" w:hAnsi="宋体" w:cs="宋体"/>
                <w:color w:val="auto"/>
                <w:highlight w:val="none"/>
                <w:u w:val="single"/>
              </w:rPr>
              <w:t>1、各投标人自行报价，投标报价超过最高投标限价的，一律视为废标。</w:t>
            </w:r>
          </w:p>
          <w:p w14:paraId="21A40FE0">
            <w:pPr>
              <w:pStyle w:val="26"/>
              <w:spacing w:after="0" w:line="440" w:lineRule="exact"/>
              <w:ind w:left="0" w:leftChars="0" w:firstLine="375" w:firstLineChars="179"/>
              <w:rPr>
                <w:rFonts w:ascii="宋体" w:hAnsi="宋体" w:cs="宋体"/>
                <w:color w:val="auto"/>
                <w:highlight w:val="none"/>
                <w:u w:val="single"/>
              </w:rPr>
            </w:pPr>
            <w:r>
              <w:rPr>
                <w:rFonts w:hint="eastAsia" w:ascii="宋体" w:hAnsi="宋体" w:cs="宋体"/>
                <w:color w:val="auto"/>
                <w:highlight w:val="none"/>
                <w:u w:val="single"/>
              </w:rPr>
              <w:t>2、投标报价及费用计算方式：</w:t>
            </w:r>
          </w:p>
          <w:p w14:paraId="4EC40A13">
            <w:pPr>
              <w:snapToGrid w:val="0"/>
              <w:spacing w:line="440" w:lineRule="exact"/>
              <w:ind w:left="399" w:leftChars="190" w:firstLine="0" w:firstLineChars="0"/>
              <w:rPr>
                <w:rFonts w:hint="eastAsia" w:ascii="Calibri" w:hAnsi="Calibri"/>
                <w:color w:val="auto"/>
                <w:highlight w:val="none"/>
                <w:u w:val="single"/>
              </w:rPr>
            </w:pPr>
            <w:r>
              <w:rPr>
                <w:rFonts w:hint="eastAsia" w:ascii="Calibri" w:hAnsi="Calibri"/>
                <w:color w:val="auto"/>
                <w:highlight w:val="none"/>
                <w:u w:val="single"/>
                <w:lang w:val="en-US" w:eastAsia="zh-CN"/>
              </w:rPr>
              <w:t>①</w:t>
            </w:r>
            <w:r>
              <w:rPr>
                <w:rFonts w:hint="eastAsia" w:ascii="Calibri" w:hAnsi="Calibri"/>
                <w:color w:val="auto"/>
                <w:highlight w:val="none"/>
                <w:u w:val="single"/>
              </w:rPr>
              <w:t>投标基准价为本项目检测监测清单根据相关计费文件</w:t>
            </w:r>
            <w:r>
              <w:rPr>
                <w:rFonts w:hint="eastAsia" w:ascii="Calibri" w:hAnsi="Calibri"/>
                <w:color w:val="auto"/>
                <w:highlight w:val="none"/>
                <w:u w:val="single"/>
                <w:lang w:eastAsia="zh-CN"/>
              </w:rPr>
              <w:t>计取</w:t>
            </w:r>
            <w:r>
              <w:rPr>
                <w:rFonts w:hint="eastAsia" w:ascii="Calibri" w:hAnsi="Calibri"/>
                <w:color w:val="auto"/>
                <w:highlight w:val="none"/>
                <w:u w:val="single"/>
              </w:rPr>
              <w:t>，即</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14247806.80</w:t>
            </w:r>
            <w:r>
              <w:rPr>
                <w:rFonts w:hint="eastAsia" w:ascii="Calibri" w:hAnsi="Calibri"/>
                <w:color w:val="auto"/>
                <w:highlight w:val="none"/>
                <w:u w:val="single"/>
              </w:rPr>
              <w:t>元；最高投标限价</w:t>
            </w:r>
            <w:r>
              <w:rPr>
                <w:rFonts w:hint="eastAsia" w:ascii="Calibri" w:hAnsi="Calibri"/>
                <w:color w:val="auto"/>
                <w:highlight w:val="none"/>
                <w:u w:val="single"/>
                <w:lang w:eastAsia="zh-CN"/>
              </w:rPr>
              <w:t>计取</w:t>
            </w:r>
            <w:r>
              <w:rPr>
                <w:rFonts w:hint="eastAsia" w:ascii="Calibri" w:hAnsi="Calibri"/>
                <w:color w:val="auto"/>
                <w:highlight w:val="none"/>
                <w:u w:val="single"/>
              </w:rPr>
              <w:t>为</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下浮</w:t>
            </w:r>
            <w:r>
              <w:rPr>
                <w:rFonts w:hint="eastAsia" w:ascii="宋体" w:hAnsi="宋体"/>
                <w:color w:val="auto"/>
                <w:szCs w:val="21"/>
                <w:highlight w:val="none"/>
                <w:u w:val="single"/>
                <w:lang w:val="en-US" w:eastAsia="zh-CN"/>
              </w:rPr>
              <w:t>25</w:t>
            </w:r>
            <w:r>
              <w:rPr>
                <w:rFonts w:hint="eastAsia" w:ascii="Calibri" w:hAnsi="Calibri"/>
                <w:color w:val="auto"/>
                <w:highlight w:val="none"/>
                <w:u w:val="single"/>
              </w:rPr>
              <w:t>%，即</w:t>
            </w:r>
            <w:r>
              <w:rPr>
                <w:rFonts w:hint="eastAsia" w:ascii="宋体" w:hAnsi="宋体" w:cs="Times New Roman"/>
                <w:color w:val="auto"/>
                <w:sz w:val="21"/>
                <w:szCs w:val="21"/>
                <w:highlight w:val="none"/>
                <w:u w:val="single"/>
                <w:lang w:val="en-US" w:eastAsia="zh-CN"/>
              </w:rPr>
              <w:t>10685855.10</w:t>
            </w:r>
            <w:r>
              <w:rPr>
                <w:rFonts w:hint="eastAsia" w:ascii="Calibri" w:hAnsi="Calibri"/>
                <w:color w:val="auto"/>
                <w:highlight w:val="none"/>
                <w:u w:val="single"/>
              </w:rPr>
              <w:t>元。</w:t>
            </w:r>
          </w:p>
          <w:p w14:paraId="2B519F02">
            <w:pPr>
              <w:snapToGrid w:val="0"/>
              <w:spacing w:line="440" w:lineRule="exact"/>
              <w:ind w:firstLine="420" w:firstLineChars="200"/>
              <w:rPr>
                <w:rFonts w:hint="eastAsia" w:ascii="宋体" w:hAnsi="宋体" w:cs="宋体"/>
                <w:color w:val="auto"/>
                <w:highlight w:val="none"/>
                <w:u w:val="single"/>
              </w:rPr>
            </w:pPr>
            <w:r>
              <w:rPr>
                <w:rFonts w:hint="eastAsia" w:ascii="Calibri" w:hAnsi="Calibri"/>
                <w:color w:val="auto"/>
                <w:highlight w:val="none"/>
                <w:u w:val="single"/>
                <w:lang w:val="en-US" w:eastAsia="zh-CN"/>
              </w:rPr>
              <w:t>②</w:t>
            </w:r>
            <w:r>
              <w:rPr>
                <w:rFonts w:hint="eastAsia" w:ascii="Calibri" w:hAnsi="Calibri"/>
                <w:color w:val="auto"/>
                <w:highlight w:val="none"/>
                <w:u w:val="single"/>
              </w:rPr>
              <w:t>投标下浮率以投标基准价为下浮基数。投标报价=</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*（1-投标下浮率）。投标下浮率=【1-（投标报价/</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）】×100%，（1-投标下浮率）与</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乘积不等于投标报价的，按</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*（1-投标下浮率）修正投标报价。投标总价及各项综合单价均按同等投标下浮率执行，投标报价（含下浮率）精确到小数点后两位。</w:t>
            </w:r>
          </w:p>
          <w:p w14:paraId="7092EC54">
            <w:pPr>
              <w:snapToGrid w:val="0"/>
              <w:spacing w:line="440" w:lineRule="exact"/>
              <w:ind w:firstLine="420" w:firstLineChars="200"/>
              <w:rPr>
                <w:color w:val="auto"/>
                <w:szCs w:val="21"/>
                <w:highlight w:val="none"/>
              </w:rPr>
            </w:pPr>
            <w:r>
              <w:rPr>
                <w:rFonts w:hint="eastAsia" w:ascii="宋体" w:hAnsi="宋体" w:cs="宋体"/>
                <w:color w:val="auto"/>
                <w:highlight w:val="none"/>
                <w:u w:val="single"/>
              </w:rPr>
              <w:t>3、成本警戒价为8548684.08元。（按最高投标限价的</w:t>
            </w:r>
            <w:r>
              <w:rPr>
                <w:rFonts w:hint="eastAsia" w:ascii="宋体" w:hAnsi="宋体" w:cs="宋体"/>
                <w:color w:val="auto"/>
                <w:highlight w:val="none"/>
                <w:u w:val="single"/>
                <w:lang w:val="en-US" w:eastAsia="zh-CN"/>
              </w:rPr>
              <w:t>80</w:t>
            </w:r>
            <w:r>
              <w:rPr>
                <w:rFonts w:hint="eastAsia" w:ascii="宋体" w:hAnsi="宋体" w:cs="宋体"/>
                <w:color w:val="auto"/>
                <w:highlight w:val="none"/>
                <w:u w:val="single"/>
              </w:rPr>
              <w:t>%设置）。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A12E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trPr>
        <w:tc>
          <w:tcPr>
            <w:tcW w:w="866" w:type="dxa"/>
            <w:tcBorders>
              <w:top w:val="single" w:color="auto" w:sz="4" w:space="0"/>
              <w:bottom w:val="single" w:color="auto" w:sz="4" w:space="0"/>
              <w:right w:val="single" w:color="auto" w:sz="4" w:space="0"/>
            </w:tcBorders>
            <w:vAlign w:val="center"/>
          </w:tcPr>
          <w:p w14:paraId="37960D2D">
            <w:pPr>
              <w:snapToGrid w:val="0"/>
              <w:spacing w:line="276" w:lineRule="auto"/>
              <w:jc w:val="center"/>
              <w:rPr>
                <w:rFonts w:ascii="宋体" w:hAnsi="宋体"/>
                <w:color w:val="auto"/>
                <w:szCs w:val="21"/>
                <w:highlight w:val="none"/>
              </w:rPr>
            </w:pPr>
            <w:r>
              <w:rPr>
                <w:rFonts w:ascii="宋体" w:hAnsi="宋体"/>
                <w:color w:val="auto"/>
                <w:szCs w:val="21"/>
                <w:highlight w:val="none"/>
              </w:rPr>
              <w:t>3.3.1</w:t>
            </w:r>
          </w:p>
        </w:tc>
        <w:tc>
          <w:tcPr>
            <w:tcW w:w="2160" w:type="dxa"/>
            <w:tcBorders>
              <w:top w:val="single" w:color="auto" w:sz="4" w:space="0"/>
              <w:left w:val="single" w:color="auto" w:sz="4" w:space="0"/>
              <w:bottom w:val="single" w:color="auto" w:sz="4" w:space="0"/>
              <w:right w:val="single" w:color="auto" w:sz="4" w:space="0"/>
            </w:tcBorders>
            <w:vAlign w:val="center"/>
          </w:tcPr>
          <w:p w14:paraId="70CEFF2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7200" w:type="dxa"/>
            <w:tcBorders>
              <w:top w:val="single" w:color="auto" w:sz="4" w:space="0"/>
              <w:left w:val="single" w:color="auto" w:sz="4" w:space="0"/>
              <w:bottom w:val="single" w:color="auto" w:sz="4" w:space="0"/>
            </w:tcBorders>
            <w:vAlign w:val="center"/>
          </w:tcPr>
          <w:p w14:paraId="10A9B060">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90</w:t>
            </w:r>
            <w:r>
              <w:rPr>
                <w:rFonts w:hint="eastAsia" w:ascii="宋体" w:hAnsi="宋体"/>
                <w:color w:val="auto"/>
                <w:szCs w:val="21"/>
                <w:highlight w:val="none"/>
                <w:u w:val="single"/>
              </w:rPr>
              <w:t>日历天（从提交投标截止之日起计算。如出现异议或投诉，则投标有效期自动延长至异议或投诉处理结束）。</w:t>
            </w:r>
          </w:p>
        </w:tc>
      </w:tr>
      <w:tr w14:paraId="71093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top w:val="single" w:color="auto" w:sz="4" w:space="0"/>
            </w:tcBorders>
            <w:vAlign w:val="center"/>
          </w:tcPr>
          <w:p w14:paraId="1B4F2F2B">
            <w:pPr>
              <w:snapToGrid w:val="0"/>
              <w:spacing w:line="276" w:lineRule="auto"/>
              <w:jc w:val="center"/>
              <w:rPr>
                <w:rFonts w:ascii="宋体" w:hAnsi="宋体"/>
                <w:color w:val="auto"/>
                <w:szCs w:val="21"/>
                <w:highlight w:val="none"/>
              </w:rPr>
            </w:pPr>
            <w:r>
              <w:rPr>
                <w:rFonts w:ascii="宋体" w:hAnsi="宋体"/>
                <w:color w:val="auto"/>
                <w:szCs w:val="21"/>
                <w:highlight w:val="none"/>
              </w:rPr>
              <w:t>3.4.1</w:t>
            </w:r>
          </w:p>
        </w:tc>
        <w:tc>
          <w:tcPr>
            <w:tcW w:w="2160" w:type="dxa"/>
            <w:tcBorders>
              <w:top w:val="single" w:color="auto" w:sz="4" w:space="0"/>
            </w:tcBorders>
            <w:vAlign w:val="center"/>
          </w:tcPr>
          <w:p w14:paraId="781FEC4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7200" w:type="dxa"/>
            <w:tcBorders>
              <w:top w:val="single" w:color="auto" w:sz="4" w:space="0"/>
            </w:tcBorders>
            <w:vAlign w:val="center"/>
          </w:tcPr>
          <w:p w14:paraId="3AF3716C">
            <w:pPr>
              <w:pStyle w:val="13"/>
              <w:rPr>
                <w:rFonts w:hAnsi="宋体"/>
                <w:color w:val="auto"/>
                <w:sz w:val="21"/>
                <w:szCs w:val="21"/>
                <w:highlight w:val="none"/>
                <w:u w:val="single"/>
              </w:rPr>
            </w:pPr>
            <w:r>
              <w:rPr>
                <w:rFonts w:hint="eastAsia" w:hAnsi="宋体"/>
                <w:color w:val="auto"/>
                <w:sz w:val="21"/>
                <w:szCs w:val="21"/>
                <w:highlight w:val="none"/>
                <w:u w:val="single"/>
              </w:rPr>
              <w:t>是否要求投标人递交投标保证金：</w:t>
            </w:r>
          </w:p>
          <w:p w14:paraId="77ED9F04">
            <w:pPr>
              <w:pStyle w:val="13"/>
              <w:rPr>
                <w:rFonts w:hAnsi="宋体"/>
                <w:color w:val="auto"/>
                <w:sz w:val="21"/>
                <w:szCs w:val="21"/>
                <w:highlight w:val="none"/>
                <w:u w:val="single"/>
              </w:rPr>
            </w:pPr>
            <w:r>
              <w:rPr>
                <w:rFonts w:hint="eastAsia" w:hAnsi="宋体"/>
                <w:color w:val="auto"/>
                <w:sz w:val="21"/>
                <w:szCs w:val="21"/>
                <w:highlight w:val="none"/>
                <w:u w:val="single"/>
              </w:rPr>
              <w:t>□不要求</w:t>
            </w:r>
          </w:p>
          <w:p w14:paraId="79756577">
            <w:pPr>
              <w:pStyle w:val="13"/>
              <w:rPr>
                <w:rFonts w:hAnsi="宋体"/>
                <w:color w:val="auto"/>
                <w:sz w:val="21"/>
                <w:szCs w:val="21"/>
                <w:highlight w:val="none"/>
                <w:u w:val="single"/>
              </w:rPr>
            </w:pPr>
            <w:r>
              <w:rPr>
                <w:rFonts w:hint="eastAsia" w:hAnsi="宋体"/>
                <w:color w:val="auto"/>
                <w:sz w:val="21"/>
                <w:szCs w:val="21"/>
                <w:highlight w:val="none"/>
                <w:u w:val="single"/>
              </w:rPr>
              <w:t>■要求，投标保证金的形式：投标保证金可采用现金、支票、投标保证保险、投标保函（银行或专业担保公司出具）的形式，须在递交投标文件截止时间前完成缴纳。</w:t>
            </w:r>
          </w:p>
          <w:p w14:paraId="37FE69C6">
            <w:pPr>
              <w:pStyle w:val="13"/>
              <w:rPr>
                <w:rFonts w:hint="default" w:hAnsi="宋体" w:eastAsia="宋体"/>
                <w:b/>
                <w:color w:val="auto"/>
                <w:sz w:val="21"/>
                <w:szCs w:val="21"/>
                <w:highlight w:val="none"/>
                <w:u w:val="single"/>
                <w:lang w:val="en-US" w:eastAsia="zh-CN"/>
              </w:rPr>
            </w:pPr>
            <w:r>
              <w:rPr>
                <w:rFonts w:hint="eastAsia" w:hAnsi="宋体"/>
                <w:b/>
                <w:color w:val="auto"/>
                <w:sz w:val="21"/>
                <w:szCs w:val="21"/>
                <w:highlight w:val="none"/>
                <w:u w:val="single"/>
              </w:rPr>
              <w:t>投标保证金额度：人民币</w:t>
            </w:r>
            <w:r>
              <w:rPr>
                <w:rFonts w:hint="eastAsia" w:hAnsi="宋体"/>
                <w:b/>
                <w:color w:val="auto"/>
                <w:sz w:val="21"/>
                <w:szCs w:val="21"/>
                <w:highlight w:val="none"/>
                <w:u w:val="single"/>
                <w:lang w:val="en-US" w:eastAsia="zh-CN"/>
              </w:rPr>
              <w:t>5</w:t>
            </w:r>
            <w:r>
              <w:rPr>
                <w:rFonts w:hint="eastAsia" w:hAnsi="宋体"/>
                <w:b/>
                <w:color w:val="auto"/>
                <w:sz w:val="21"/>
                <w:szCs w:val="21"/>
                <w:highlight w:val="none"/>
                <w:u w:val="single"/>
              </w:rPr>
              <w:t>万</w:t>
            </w:r>
            <w:r>
              <w:rPr>
                <w:rFonts w:hint="eastAsia" w:hAnsi="宋体"/>
                <w:b/>
                <w:color w:val="auto"/>
                <w:sz w:val="21"/>
                <w:szCs w:val="21"/>
                <w:highlight w:val="none"/>
                <w:u w:val="single"/>
                <w:lang w:val="en-US" w:eastAsia="zh-CN"/>
              </w:rPr>
              <w:t>元。</w:t>
            </w:r>
          </w:p>
          <w:p w14:paraId="622B33F7">
            <w:pPr>
              <w:rPr>
                <w:rFonts w:ascii="宋体" w:hAnsi="宋体" w:cs="宋体"/>
                <w:color w:val="auto"/>
                <w:szCs w:val="21"/>
                <w:highlight w:val="none"/>
                <w:u w:val="single"/>
              </w:rPr>
            </w:pPr>
            <w:r>
              <w:rPr>
                <w:rFonts w:hint="eastAsia" w:ascii="宋体" w:hAnsi="宋体"/>
                <w:b/>
                <w:color w:val="auto"/>
                <w:szCs w:val="21"/>
                <w:highlight w:val="none"/>
                <w:u w:val="single"/>
              </w:rPr>
              <w:t>投标保证金有效期：与投标有效期一致</w:t>
            </w:r>
          </w:p>
          <w:p w14:paraId="1BCBAD48">
            <w:pPr>
              <w:rPr>
                <w:rFonts w:ascii="宋体" w:hAnsi="宋体" w:cs="宋体"/>
                <w:color w:val="auto"/>
                <w:szCs w:val="21"/>
                <w:highlight w:val="none"/>
                <w:u w:val="single"/>
              </w:rPr>
            </w:pPr>
            <w:r>
              <w:rPr>
                <w:rFonts w:hint="eastAsia" w:ascii="宋体" w:hAnsi="宋体" w:cs="宋体"/>
                <w:color w:val="auto"/>
                <w:szCs w:val="21"/>
                <w:highlight w:val="none"/>
                <w:u w:val="single"/>
              </w:rPr>
              <w:t>1.如采用现金或者支票方式提交的，由</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代收。保证金从投标人基本账户转账至</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。其缴纳情况以开标时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数据库查询信息为准。缴纳时间：递交投标文件开始时至递交投标文件截止时间前。具体操作步骤参见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最新的投标保证金缴纳操作流程。</w:t>
            </w:r>
          </w:p>
          <w:p w14:paraId="5671FD1E">
            <w:pPr>
              <w:pStyle w:val="26"/>
              <w:ind w:left="0" w:leftChars="0" w:firstLine="0" w:firstLineChars="0"/>
              <w:rPr>
                <w:rFonts w:ascii="宋体" w:hAnsi="宋体"/>
                <w:color w:val="auto"/>
                <w:szCs w:val="21"/>
                <w:highlight w:val="none"/>
                <w:u w:val="single"/>
              </w:rPr>
            </w:pPr>
            <w:r>
              <w:rPr>
                <w:rFonts w:hint="eastAsia" w:ascii="宋体" w:hAnsi="宋体" w:cs="宋体"/>
                <w:color w:val="auto"/>
                <w:szCs w:val="21"/>
                <w:highlight w:val="none"/>
                <w:u w:val="single"/>
              </w:rPr>
              <w:t>2.如采用投标保函或投标保证保险的方式提交的，投标保函需开具给招标人；保证保险需开具给招标人（受益人也必须是招标人）。在开标前不需要提交纸质原件，投标人应在投标文件中提交投标保函或投标保险等的扫描件并加盖投标人电子印章。完成评标后，由中标候选人在中标候选人公示前提交纸质原件给招标代理单位，纸质原件将在网上公示。若以交易系统支持的电子保函或电子投标保证保险递交的，到账情况以开标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数据库查询信息为准。具体操作步骤参见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最新的建设工程电子投标保函操作指引。</w:t>
            </w:r>
          </w:p>
        </w:tc>
      </w:tr>
      <w:tr w14:paraId="74E738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top w:val="single" w:color="auto" w:sz="4" w:space="0"/>
            </w:tcBorders>
            <w:vAlign w:val="center"/>
          </w:tcPr>
          <w:p w14:paraId="12E85EC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3.5</w:t>
            </w:r>
          </w:p>
        </w:tc>
        <w:tc>
          <w:tcPr>
            <w:tcW w:w="2160" w:type="dxa"/>
            <w:tcBorders>
              <w:top w:val="single" w:color="auto" w:sz="4" w:space="0"/>
            </w:tcBorders>
            <w:vAlign w:val="center"/>
          </w:tcPr>
          <w:p w14:paraId="40B27D5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资格审查资料的特殊要求</w:t>
            </w:r>
          </w:p>
        </w:tc>
        <w:tc>
          <w:tcPr>
            <w:tcW w:w="7200" w:type="dxa"/>
            <w:tcBorders>
              <w:top w:val="single" w:color="auto" w:sz="4" w:space="0"/>
            </w:tcBorders>
            <w:vAlign w:val="center"/>
          </w:tcPr>
          <w:p w14:paraId="75162939">
            <w:pPr>
              <w:pStyle w:val="13"/>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□无</w:t>
            </w:r>
          </w:p>
          <w:p w14:paraId="2727FE52">
            <w:pPr>
              <w:pStyle w:val="13"/>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■有，具体要求：</w:t>
            </w:r>
          </w:p>
          <w:p w14:paraId="1A1BECAD">
            <w:pPr>
              <w:pStyle w:val="13"/>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1、本招标项目资格审查不要求提供“近年财务状况表”、“正在检测、监测和新承接的项目情况表”、“近年发生的诉讼及仲裁情况”、“拟委任的主要人员汇总表”、“拟投入本项目的主要试验检测仪器设备表”，以上内容不作为本项目资格审查的依据；</w:t>
            </w:r>
          </w:p>
          <w:p w14:paraId="50982509">
            <w:pPr>
              <w:pStyle w:val="13"/>
              <w:topLinePunct/>
              <w:snapToGrid w:val="0"/>
              <w:spacing w:line="276" w:lineRule="auto"/>
              <w:rPr>
                <w:rFonts w:hAnsi="宋体"/>
                <w:color w:val="auto"/>
                <w:sz w:val="21"/>
                <w:szCs w:val="21"/>
                <w:highlight w:val="none"/>
                <w:u w:val="single"/>
              </w:rPr>
            </w:pPr>
            <w:r>
              <w:rPr>
                <w:rFonts w:hint="eastAsia" w:hAnsi="宋体"/>
                <w:color w:val="auto"/>
                <w:spacing w:val="-1"/>
                <w:sz w:val="21"/>
                <w:szCs w:val="21"/>
                <w:highlight w:val="none"/>
              </w:rPr>
              <w:t>2、提交的资格审查资料要求详见招标文件第二章3.5款规定；</w:t>
            </w:r>
          </w:p>
        </w:tc>
      </w:tr>
      <w:tr w14:paraId="3F6D8A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866" w:type="dxa"/>
            <w:vAlign w:val="center"/>
          </w:tcPr>
          <w:p w14:paraId="2752C4E9">
            <w:pPr>
              <w:snapToGrid w:val="0"/>
              <w:spacing w:line="276" w:lineRule="auto"/>
              <w:jc w:val="center"/>
              <w:rPr>
                <w:rFonts w:ascii="宋体" w:hAnsi="宋体"/>
                <w:color w:val="auto"/>
                <w:szCs w:val="21"/>
                <w:highlight w:val="none"/>
              </w:rPr>
            </w:pPr>
            <w:r>
              <w:rPr>
                <w:rFonts w:ascii="宋体" w:hAnsi="宋体"/>
                <w:color w:val="auto"/>
                <w:szCs w:val="21"/>
                <w:highlight w:val="none"/>
              </w:rPr>
              <w:t>3.5.2</w:t>
            </w:r>
          </w:p>
        </w:tc>
        <w:tc>
          <w:tcPr>
            <w:tcW w:w="2160" w:type="dxa"/>
            <w:vAlign w:val="center"/>
          </w:tcPr>
          <w:p w14:paraId="026E9D4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近年财务状况的年份要求</w:t>
            </w:r>
          </w:p>
        </w:tc>
        <w:tc>
          <w:tcPr>
            <w:tcW w:w="7200" w:type="dxa"/>
            <w:vAlign w:val="center"/>
          </w:tcPr>
          <w:p w14:paraId="6100E2DD">
            <w:pPr>
              <w:spacing w:line="276" w:lineRule="auto"/>
              <w:ind w:firstLine="105" w:firstLineChars="50"/>
              <w:rPr>
                <w:rFonts w:ascii="宋体" w:hAnsi="宋体"/>
                <w:color w:val="auto"/>
                <w:szCs w:val="21"/>
                <w:highlight w:val="none"/>
                <w:u w:val="single"/>
              </w:rPr>
            </w:pPr>
            <w:r>
              <w:rPr>
                <w:rFonts w:hint="eastAsia" w:ascii="宋体" w:hAnsi="宋体"/>
                <w:color w:val="auto"/>
                <w:szCs w:val="21"/>
                <w:highlight w:val="none"/>
                <w:u w:val="single"/>
              </w:rPr>
              <w:t>/</w:t>
            </w:r>
            <w:r>
              <w:rPr>
                <w:rFonts w:hint="eastAsia" w:ascii="宋体" w:hAnsi="宋体"/>
                <w:color w:val="auto"/>
                <w:szCs w:val="21"/>
                <w:highlight w:val="none"/>
              </w:rPr>
              <w:t>年至</w:t>
            </w:r>
            <w:r>
              <w:rPr>
                <w:rFonts w:hint="eastAsia" w:ascii="宋体" w:hAnsi="宋体"/>
                <w:color w:val="auto"/>
                <w:szCs w:val="21"/>
                <w:highlight w:val="none"/>
                <w:u w:val="single"/>
              </w:rPr>
              <w:t>/</w:t>
            </w:r>
            <w:r>
              <w:rPr>
                <w:rFonts w:hint="eastAsia" w:ascii="宋体" w:hAnsi="宋体"/>
                <w:color w:val="auto"/>
                <w:szCs w:val="21"/>
                <w:highlight w:val="none"/>
              </w:rPr>
              <w:t>年</w:t>
            </w:r>
          </w:p>
        </w:tc>
      </w:tr>
      <w:tr w14:paraId="2A500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7E981BB">
            <w:pPr>
              <w:snapToGrid w:val="0"/>
              <w:spacing w:line="276" w:lineRule="auto"/>
              <w:jc w:val="center"/>
              <w:rPr>
                <w:rFonts w:ascii="宋体" w:hAnsi="宋体"/>
                <w:color w:val="auto"/>
                <w:szCs w:val="21"/>
                <w:highlight w:val="none"/>
              </w:rPr>
            </w:pPr>
            <w:r>
              <w:rPr>
                <w:rFonts w:ascii="宋体" w:hAnsi="宋体"/>
                <w:color w:val="auto"/>
                <w:szCs w:val="21"/>
                <w:highlight w:val="none"/>
              </w:rPr>
              <w:t>3.5.3</w:t>
            </w:r>
          </w:p>
        </w:tc>
        <w:tc>
          <w:tcPr>
            <w:tcW w:w="2160" w:type="dxa"/>
            <w:vAlign w:val="center"/>
          </w:tcPr>
          <w:p w14:paraId="13779D6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近年完成的类似项目情况的时间要求</w:t>
            </w:r>
          </w:p>
        </w:tc>
        <w:tc>
          <w:tcPr>
            <w:tcW w:w="7200" w:type="dxa"/>
            <w:vAlign w:val="center"/>
          </w:tcPr>
          <w:p w14:paraId="5473B378">
            <w:pPr>
              <w:spacing w:line="276" w:lineRule="auto"/>
              <w:ind w:firstLine="105" w:firstLineChars="50"/>
              <w:rPr>
                <w:rFonts w:ascii="宋体" w:hAnsi="宋体"/>
                <w:color w:val="auto"/>
                <w:szCs w:val="21"/>
                <w:highlight w:val="none"/>
              </w:rPr>
            </w:pP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rPr>
              <w:t>日至今</w:t>
            </w:r>
          </w:p>
        </w:tc>
      </w:tr>
      <w:tr w14:paraId="5EB980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866" w:type="dxa"/>
            <w:vAlign w:val="center"/>
          </w:tcPr>
          <w:p w14:paraId="71103D95">
            <w:pPr>
              <w:snapToGrid w:val="0"/>
              <w:spacing w:line="276" w:lineRule="auto"/>
              <w:jc w:val="center"/>
              <w:rPr>
                <w:rFonts w:ascii="宋体" w:hAnsi="宋体"/>
                <w:color w:val="auto"/>
                <w:szCs w:val="21"/>
                <w:highlight w:val="none"/>
              </w:rPr>
            </w:pPr>
            <w:r>
              <w:rPr>
                <w:rFonts w:ascii="宋体" w:hAnsi="宋体"/>
                <w:color w:val="auto"/>
                <w:szCs w:val="21"/>
                <w:highlight w:val="none"/>
              </w:rPr>
              <w:t>3.5.5</w:t>
            </w:r>
          </w:p>
        </w:tc>
        <w:tc>
          <w:tcPr>
            <w:tcW w:w="2160" w:type="dxa"/>
            <w:vAlign w:val="center"/>
          </w:tcPr>
          <w:p w14:paraId="44AC13C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近年发生的诉讼及仲裁情况的时间要求</w:t>
            </w:r>
          </w:p>
        </w:tc>
        <w:tc>
          <w:tcPr>
            <w:tcW w:w="7200" w:type="dxa"/>
            <w:vAlign w:val="center"/>
          </w:tcPr>
          <w:p w14:paraId="1DEAC61A">
            <w:pPr>
              <w:snapToGrid w:val="0"/>
              <w:spacing w:line="276" w:lineRule="auto"/>
              <w:ind w:firstLine="105" w:firstLineChars="50"/>
              <w:rPr>
                <w:rFonts w:ascii="宋体" w:hAnsi="宋体"/>
                <w:color w:val="auto"/>
                <w:szCs w:val="21"/>
                <w:highlight w:val="none"/>
              </w:rPr>
            </w:pPr>
            <w:r>
              <w:rPr>
                <w:rFonts w:ascii="宋体" w:hAnsi="宋体"/>
                <w:color w:val="auto"/>
                <w:szCs w:val="21"/>
                <w:highlight w:val="none"/>
                <w:u w:val="single"/>
              </w:rPr>
              <w:t>/</w:t>
            </w:r>
            <w:r>
              <w:rPr>
                <w:rFonts w:hint="eastAsia" w:ascii="宋体" w:hAnsi="宋体"/>
                <w:color w:val="auto"/>
                <w:szCs w:val="21"/>
                <w:highlight w:val="none"/>
              </w:rPr>
              <w:t>年</w:t>
            </w:r>
            <w:r>
              <w:rPr>
                <w:rFonts w:ascii="宋体" w:hAnsi="宋体"/>
                <w:color w:val="auto"/>
                <w:szCs w:val="21"/>
                <w:highlight w:val="none"/>
                <w:u w:val="single"/>
              </w:rPr>
              <w:t>/</w:t>
            </w:r>
            <w:r>
              <w:rPr>
                <w:rFonts w:hint="eastAsia" w:ascii="宋体" w:hAnsi="宋体"/>
                <w:color w:val="auto"/>
                <w:szCs w:val="21"/>
                <w:highlight w:val="none"/>
              </w:rPr>
              <w:t>月</w:t>
            </w:r>
            <w:r>
              <w:rPr>
                <w:rFonts w:ascii="宋体" w:hAnsi="宋体"/>
                <w:color w:val="auto"/>
                <w:szCs w:val="21"/>
                <w:highlight w:val="none"/>
                <w:u w:val="single"/>
              </w:rPr>
              <w:t>/</w:t>
            </w:r>
            <w:r>
              <w:rPr>
                <w:rFonts w:hint="eastAsia" w:ascii="宋体" w:hAnsi="宋体"/>
                <w:color w:val="auto"/>
                <w:szCs w:val="21"/>
                <w:highlight w:val="none"/>
              </w:rPr>
              <w:t>日至</w:t>
            </w:r>
            <w:r>
              <w:rPr>
                <w:rFonts w:ascii="宋体" w:hAnsi="宋体"/>
                <w:color w:val="auto"/>
                <w:szCs w:val="21"/>
                <w:highlight w:val="none"/>
                <w:u w:val="single"/>
              </w:rPr>
              <w:t>/</w:t>
            </w:r>
            <w:r>
              <w:rPr>
                <w:rFonts w:hint="eastAsia" w:ascii="宋体" w:hAnsi="宋体"/>
                <w:color w:val="auto"/>
                <w:szCs w:val="21"/>
                <w:highlight w:val="none"/>
              </w:rPr>
              <w:t>年</w:t>
            </w:r>
            <w:r>
              <w:rPr>
                <w:rFonts w:ascii="宋体" w:hAnsi="宋体"/>
                <w:color w:val="auto"/>
                <w:szCs w:val="21"/>
                <w:highlight w:val="none"/>
                <w:u w:val="single"/>
              </w:rPr>
              <w:t>/</w:t>
            </w:r>
            <w:r>
              <w:rPr>
                <w:rFonts w:hint="eastAsia" w:ascii="宋体" w:hAnsi="宋体"/>
                <w:color w:val="auto"/>
                <w:szCs w:val="21"/>
                <w:highlight w:val="none"/>
              </w:rPr>
              <w:t>月</w:t>
            </w:r>
            <w:r>
              <w:rPr>
                <w:rFonts w:ascii="宋体" w:hAnsi="宋体"/>
                <w:color w:val="auto"/>
                <w:szCs w:val="21"/>
                <w:highlight w:val="none"/>
                <w:u w:val="single"/>
              </w:rPr>
              <w:t>/</w:t>
            </w:r>
            <w:r>
              <w:rPr>
                <w:rFonts w:hint="eastAsia" w:ascii="宋体" w:hAnsi="宋体"/>
                <w:color w:val="auto"/>
                <w:szCs w:val="21"/>
                <w:highlight w:val="none"/>
              </w:rPr>
              <w:t>日</w:t>
            </w:r>
          </w:p>
        </w:tc>
      </w:tr>
      <w:tr w14:paraId="479BA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5E67DBF">
            <w:pPr>
              <w:snapToGrid w:val="0"/>
              <w:spacing w:line="276" w:lineRule="auto"/>
              <w:jc w:val="center"/>
              <w:rPr>
                <w:rFonts w:ascii="宋体" w:hAnsi="宋体"/>
                <w:color w:val="auto"/>
                <w:szCs w:val="21"/>
                <w:highlight w:val="none"/>
              </w:rPr>
            </w:pPr>
            <w:r>
              <w:rPr>
                <w:rFonts w:ascii="宋体" w:hAnsi="宋体"/>
                <w:color w:val="auto"/>
                <w:szCs w:val="21"/>
                <w:highlight w:val="none"/>
              </w:rPr>
              <w:t>3.6.1</w:t>
            </w:r>
          </w:p>
        </w:tc>
        <w:tc>
          <w:tcPr>
            <w:tcW w:w="2160" w:type="dxa"/>
            <w:vAlign w:val="center"/>
          </w:tcPr>
          <w:p w14:paraId="2DE092A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7200" w:type="dxa"/>
            <w:vAlign w:val="center"/>
          </w:tcPr>
          <w:p w14:paraId="0B77A1F7">
            <w:pPr>
              <w:pStyle w:val="13"/>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不允许</w:t>
            </w:r>
          </w:p>
          <w:p w14:paraId="1F6D4D7A">
            <w:pPr>
              <w:snapToGrid w:val="0"/>
              <w:spacing w:line="276" w:lineRule="auto"/>
              <w:rPr>
                <w:rFonts w:ascii="宋体" w:hAnsi="宋体"/>
                <w:color w:val="auto"/>
                <w:szCs w:val="21"/>
                <w:highlight w:val="none"/>
              </w:rPr>
            </w:pPr>
            <w:r>
              <w:rPr>
                <w:rFonts w:hint="eastAsia" w:ascii="宋体" w:hAnsi="宋体"/>
                <w:color w:val="auto"/>
                <w:szCs w:val="21"/>
                <w:highlight w:val="none"/>
              </w:rPr>
              <w:t>□允许</w:t>
            </w:r>
          </w:p>
        </w:tc>
      </w:tr>
      <w:tr w14:paraId="4FF99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866" w:type="dxa"/>
            <w:vAlign w:val="center"/>
          </w:tcPr>
          <w:p w14:paraId="0C319C26">
            <w:pPr>
              <w:snapToGrid w:val="0"/>
              <w:spacing w:line="276" w:lineRule="auto"/>
              <w:jc w:val="center"/>
              <w:rPr>
                <w:rFonts w:ascii="宋体" w:hAnsi="宋体"/>
                <w:color w:val="auto"/>
                <w:szCs w:val="21"/>
                <w:highlight w:val="none"/>
              </w:rPr>
            </w:pPr>
            <w:r>
              <w:rPr>
                <w:rFonts w:ascii="宋体" w:hAnsi="宋体"/>
                <w:color w:val="auto"/>
                <w:szCs w:val="21"/>
                <w:highlight w:val="none"/>
              </w:rPr>
              <w:t>3.7.3</w:t>
            </w:r>
          </w:p>
        </w:tc>
        <w:tc>
          <w:tcPr>
            <w:tcW w:w="2160" w:type="dxa"/>
            <w:vAlign w:val="center"/>
          </w:tcPr>
          <w:p w14:paraId="49DE6B5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投标文件所附证书证件要求</w:t>
            </w:r>
          </w:p>
        </w:tc>
        <w:tc>
          <w:tcPr>
            <w:tcW w:w="7200" w:type="dxa"/>
            <w:vAlign w:val="center"/>
          </w:tcPr>
          <w:p w14:paraId="2D02A2DE">
            <w:pPr>
              <w:snapToGrid w:val="0"/>
              <w:spacing w:line="276" w:lineRule="auto"/>
              <w:rPr>
                <w:rFonts w:ascii="宋体" w:hAnsi="宋体"/>
                <w:color w:val="auto"/>
                <w:szCs w:val="21"/>
                <w:highlight w:val="none"/>
                <w:u w:val="single"/>
              </w:rPr>
            </w:pPr>
            <w:r>
              <w:rPr>
                <w:rFonts w:hint="eastAsia" w:ascii="宋体" w:hAnsi="宋体"/>
                <w:color w:val="auto"/>
                <w:szCs w:val="21"/>
                <w:highlight w:val="none"/>
              </w:rPr>
              <w:t>证书证件需为</w:t>
            </w:r>
            <w:r>
              <w:rPr>
                <w:rFonts w:hint="eastAsia" w:ascii="宋体" w:hAnsi="宋体"/>
                <w:b/>
                <w:color w:val="auto"/>
                <w:szCs w:val="21"/>
                <w:highlight w:val="none"/>
              </w:rPr>
              <w:t>原件清晰扫描件</w:t>
            </w:r>
            <w:r>
              <w:rPr>
                <w:rFonts w:hint="eastAsia" w:ascii="宋体" w:hAnsi="宋体"/>
                <w:color w:val="auto"/>
                <w:szCs w:val="21"/>
                <w:highlight w:val="none"/>
              </w:rPr>
              <w:t>，并采用单位数字证书，按照招标文件要求在相应位置加盖电子印章。</w:t>
            </w:r>
          </w:p>
        </w:tc>
      </w:tr>
      <w:tr w14:paraId="02F870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6" w:hRule="atLeast"/>
        </w:trPr>
        <w:tc>
          <w:tcPr>
            <w:tcW w:w="866" w:type="dxa"/>
            <w:vAlign w:val="center"/>
          </w:tcPr>
          <w:p w14:paraId="5E141BC9">
            <w:pPr>
              <w:snapToGrid w:val="0"/>
              <w:spacing w:line="276" w:lineRule="auto"/>
              <w:jc w:val="center"/>
              <w:rPr>
                <w:rFonts w:ascii="宋体" w:hAnsi="宋体"/>
                <w:color w:val="auto"/>
                <w:szCs w:val="21"/>
                <w:highlight w:val="none"/>
              </w:rPr>
            </w:pPr>
            <w:r>
              <w:rPr>
                <w:rFonts w:ascii="宋体" w:hAnsi="宋体"/>
                <w:color w:val="auto"/>
                <w:szCs w:val="21"/>
                <w:highlight w:val="none"/>
              </w:rPr>
              <w:t>3.7.3</w:t>
            </w:r>
          </w:p>
        </w:tc>
        <w:tc>
          <w:tcPr>
            <w:tcW w:w="2160" w:type="dxa"/>
            <w:vAlign w:val="center"/>
          </w:tcPr>
          <w:p w14:paraId="706D599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投标文件签字或盖章要求</w:t>
            </w:r>
          </w:p>
        </w:tc>
        <w:tc>
          <w:tcPr>
            <w:tcW w:w="7200" w:type="dxa"/>
            <w:vAlign w:val="center"/>
          </w:tcPr>
          <w:p w14:paraId="51FC7B65">
            <w:pPr>
              <w:pStyle w:val="13"/>
              <w:topLinePunct/>
              <w:snapToGrid w:val="0"/>
              <w:spacing w:line="276" w:lineRule="auto"/>
              <w:ind w:right="174" w:rightChars="83"/>
              <w:rPr>
                <w:rFonts w:hAnsi="宋体" w:cs="宋体"/>
                <w:color w:val="auto"/>
                <w:sz w:val="21"/>
                <w:szCs w:val="21"/>
                <w:highlight w:val="none"/>
                <w:u w:val="single"/>
              </w:rPr>
            </w:pPr>
            <w:r>
              <w:rPr>
                <w:rFonts w:hint="eastAsia" w:hAnsi="宋体" w:cs="宋体"/>
                <w:color w:val="auto"/>
                <w:sz w:val="21"/>
                <w:szCs w:val="21"/>
                <w:highlight w:val="none"/>
                <w:u w:val="single"/>
              </w:rPr>
              <w:t>投标文件中需个人签字或盖章的，应加盖个人电子印章或在线下完成后扫描上传。投标文件按招标文件要求加盖单位电子印章。相关操作详见</w:t>
            </w:r>
            <w:r>
              <w:rPr>
                <w:rFonts w:hint="eastAsia" w:hAnsi="宋体" w:cs="宋体"/>
                <w:color w:val="auto"/>
                <w:sz w:val="21"/>
                <w:szCs w:val="21"/>
                <w:highlight w:val="none"/>
                <w:u w:val="single"/>
                <w:lang w:eastAsia="zh-CN"/>
              </w:rPr>
              <w:t>广州交易集团有限公司（广州公共资源交易中心）</w:t>
            </w:r>
            <w:r>
              <w:rPr>
                <w:rFonts w:hint="eastAsia" w:hAnsi="宋体" w:cs="宋体"/>
                <w:color w:val="auto"/>
                <w:sz w:val="21"/>
                <w:szCs w:val="21"/>
                <w:highlight w:val="none"/>
                <w:u w:val="single"/>
              </w:rPr>
              <w:t>网站最新发布的指引。</w:t>
            </w:r>
          </w:p>
        </w:tc>
      </w:tr>
      <w:tr w14:paraId="049DB8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866" w:type="dxa"/>
            <w:vAlign w:val="center"/>
          </w:tcPr>
          <w:p w14:paraId="5FCC9203">
            <w:pPr>
              <w:snapToGrid w:val="0"/>
              <w:spacing w:line="276" w:lineRule="auto"/>
              <w:jc w:val="center"/>
              <w:rPr>
                <w:rFonts w:ascii="宋体" w:hAnsi="宋体"/>
                <w:color w:val="auto"/>
                <w:szCs w:val="21"/>
                <w:highlight w:val="none"/>
              </w:rPr>
            </w:pPr>
            <w:r>
              <w:rPr>
                <w:rFonts w:ascii="宋体" w:hAnsi="宋体"/>
                <w:color w:val="auto"/>
                <w:szCs w:val="21"/>
                <w:highlight w:val="none"/>
              </w:rPr>
              <w:t>4.1.1</w:t>
            </w:r>
          </w:p>
        </w:tc>
        <w:tc>
          <w:tcPr>
            <w:tcW w:w="2160" w:type="dxa"/>
            <w:vAlign w:val="center"/>
          </w:tcPr>
          <w:p w14:paraId="3A03D90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投标文件加密要求</w:t>
            </w:r>
          </w:p>
        </w:tc>
        <w:tc>
          <w:tcPr>
            <w:tcW w:w="7200" w:type="dxa"/>
            <w:vAlign w:val="center"/>
          </w:tcPr>
          <w:p w14:paraId="14C2C31C">
            <w:pPr>
              <w:pStyle w:val="13"/>
              <w:topLinePunct/>
              <w:snapToGrid w:val="0"/>
              <w:spacing w:line="276" w:lineRule="auto"/>
              <w:rPr>
                <w:rFonts w:hAnsi="宋体"/>
                <w:color w:val="auto"/>
                <w:sz w:val="21"/>
                <w:szCs w:val="21"/>
                <w:highlight w:val="none"/>
                <w:u w:val="single"/>
              </w:rPr>
            </w:pPr>
            <w:r>
              <w:rPr>
                <w:rFonts w:hint="eastAsia" w:hAnsi="宋体"/>
                <w:color w:val="auto"/>
                <w:sz w:val="21"/>
                <w:szCs w:val="21"/>
                <w:highlight w:val="none"/>
              </w:rPr>
              <w:t>网上递交的电子投标文件须进行加密。具体操作</w:t>
            </w:r>
            <w:r>
              <w:rPr>
                <w:rFonts w:hint="eastAsia" w:hAnsi="宋体" w:cs="宋体"/>
                <w:color w:val="auto"/>
                <w:sz w:val="21"/>
                <w:szCs w:val="21"/>
                <w:highlight w:val="none"/>
                <w:u w:val="single"/>
              </w:rPr>
              <w:t>详见</w:t>
            </w:r>
            <w:r>
              <w:rPr>
                <w:rFonts w:hint="eastAsia" w:hAnsi="宋体" w:cs="宋体"/>
                <w:color w:val="auto"/>
                <w:sz w:val="21"/>
                <w:szCs w:val="21"/>
                <w:highlight w:val="none"/>
                <w:u w:val="single"/>
                <w:lang w:eastAsia="zh-CN"/>
              </w:rPr>
              <w:t>广州交易集团有限公司（广州公共资源交易中心）</w:t>
            </w:r>
            <w:r>
              <w:rPr>
                <w:rFonts w:hint="eastAsia" w:hAnsi="宋体" w:cs="宋体"/>
                <w:color w:val="auto"/>
                <w:sz w:val="21"/>
                <w:szCs w:val="21"/>
                <w:highlight w:val="none"/>
                <w:u w:val="single"/>
              </w:rPr>
              <w:t>网站最新发布的指引。</w:t>
            </w:r>
          </w:p>
        </w:tc>
      </w:tr>
      <w:tr w14:paraId="15C921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0" w:hRule="atLeast"/>
        </w:trPr>
        <w:tc>
          <w:tcPr>
            <w:tcW w:w="866" w:type="dxa"/>
            <w:vAlign w:val="center"/>
          </w:tcPr>
          <w:p w14:paraId="61C66EBA">
            <w:pPr>
              <w:snapToGrid w:val="0"/>
              <w:spacing w:line="276" w:lineRule="auto"/>
              <w:jc w:val="center"/>
              <w:rPr>
                <w:rFonts w:ascii="宋体" w:hAnsi="宋体"/>
                <w:color w:val="auto"/>
                <w:szCs w:val="21"/>
                <w:highlight w:val="none"/>
              </w:rPr>
            </w:pPr>
            <w:r>
              <w:rPr>
                <w:rFonts w:ascii="宋体" w:hAnsi="宋体"/>
                <w:color w:val="auto"/>
                <w:szCs w:val="21"/>
                <w:highlight w:val="none"/>
              </w:rPr>
              <w:t>4.1.2</w:t>
            </w:r>
          </w:p>
        </w:tc>
        <w:tc>
          <w:tcPr>
            <w:tcW w:w="2160" w:type="dxa"/>
            <w:tcBorders>
              <w:bottom w:val="single" w:color="auto" w:sz="4" w:space="0"/>
            </w:tcBorders>
            <w:vAlign w:val="center"/>
          </w:tcPr>
          <w:p w14:paraId="563FD141">
            <w:pPr>
              <w:snapToGrid w:val="0"/>
              <w:spacing w:line="276" w:lineRule="auto"/>
              <w:jc w:val="center"/>
              <w:rPr>
                <w:rFonts w:ascii="宋体" w:hAnsi="宋体"/>
                <w:color w:val="auto"/>
                <w:szCs w:val="21"/>
                <w:highlight w:val="none"/>
                <w:shd w:val="clear" w:color="FFFFFF" w:fill="D9D9D9"/>
              </w:rPr>
            </w:pPr>
            <w:r>
              <w:rPr>
                <w:rFonts w:hint="eastAsia" w:ascii="宋体" w:hAnsi="宋体"/>
                <w:color w:val="auto"/>
                <w:szCs w:val="21"/>
                <w:highlight w:val="none"/>
              </w:rPr>
              <w:t>封套上应载明的信息</w:t>
            </w:r>
          </w:p>
        </w:tc>
        <w:tc>
          <w:tcPr>
            <w:tcW w:w="7200" w:type="dxa"/>
            <w:tcBorders>
              <w:bottom w:val="single" w:color="auto" w:sz="4" w:space="0"/>
            </w:tcBorders>
            <w:vAlign w:val="center"/>
          </w:tcPr>
          <w:p w14:paraId="3A19A4E1">
            <w:pPr>
              <w:pStyle w:val="13"/>
              <w:topLinePunct/>
              <w:snapToGrid w:val="0"/>
              <w:rPr>
                <w:rFonts w:hAnsi="宋体"/>
                <w:color w:val="auto"/>
                <w:sz w:val="21"/>
                <w:szCs w:val="21"/>
                <w:highlight w:val="none"/>
              </w:rPr>
            </w:pPr>
            <w:r>
              <w:rPr>
                <w:rFonts w:hint="eastAsia" w:hAnsi="宋体"/>
                <w:color w:val="auto"/>
                <w:sz w:val="21"/>
                <w:szCs w:val="21"/>
                <w:highlight w:val="none"/>
              </w:rPr>
              <w:t>如有提交投标文件光盘备用，封套上应注明如下信息：</w:t>
            </w:r>
          </w:p>
          <w:p w14:paraId="280A4269">
            <w:pPr>
              <w:pStyle w:val="13"/>
              <w:topLinePunct/>
              <w:rPr>
                <w:rFonts w:hAnsi="宋体"/>
                <w:color w:val="auto"/>
                <w:sz w:val="21"/>
                <w:szCs w:val="21"/>
                <w:highlight w:val="none"/>
              </w:rPr>
            </w:pPr>
            <w:r>
              <w:rPr>
                <w:rFonts w:hint="eastAsia" w:hAnsi="宋体"/>
                <w:color w:val="auto"/>
                <w:sz w:val="21"/>
                <w:szCs w:val="21"/>
                <w:highlight w:val="none"/>
              </w:rPr>
              <w:t>招标人名称：</w:t>
            </w:r>
            <w:r>
              <w:rPr>
                <w:rFonts w:hint="eastAsia" w:hAnsi="宋体"/>
                <w:color w:val="auto"/>
                <w:sz w:val="21"/>
                <w:szCs w:val="21"/>
                <w:highlight w:val="none"/>
                <w:u w:val="single"/>
              </w:rPr>
              <w:t xml:space="preserve">                     </w:t>
            </w:r>
          </w:p>
          <w:p w14:paraId="402F9BEB">
            <w:pPr>
              <w:pStyle w:val="13"/>
              <w:topLinePunct/>
              <w:rPr>
                <w:rFonts w:hAnsi="宋体"/>
                <w:color w:val="auto"/>
                <w:sz w:val="21"/>
                <w:szCs w:val="21"/>
                <w:highlight w:val="none"/>
              </w:rPr>
            </w:pPr>
            <w:r>
              <w:rPr>
                <w:rFonts w:hint="eastAsia" w:hAnsi="宋体"/>
                <w:color w:val="auto"/>
                <w:sz w:val="21"/>
                <w:szCs w:val="21"/>
                <w:highlight w:val="none"/>
              </w:rPr>
              <w:t>招标人地址：</w:t>
            </w:r>
            <w:r>
              <w:rPr>
                <w:rFonts w:hint="eastAsia" w:hAnsi="宋体"/>
                <w:color w:val="auto"/>
                <w:sz w:val="21"/>
                <w:szCs w:val="21"/>
                <w:highlight w:val="none"/>
                <w:u w:val="single"/>
              </w:rPr>
              <w:t xml:space="preserve">                     </w:t>
            </w:r>
          </w:p>
          <w:p w14:paraId="58FCC2EA">
            <w:pPr>
              <w:pStyle w:val="13"/>
              <w:topLinePunct/>
              <w:rPr>
                <w:rFonts w:hAnsi="宋体"/>
                <w:color w:val="auto"/>
                <w:sz w:val="21"/>
                <w:szCs w:val="21"/>
                <w:highlight w:val="none"/>
              </w:rPr>
            </w:pPr>
            <w:r>
              <w:rPr>
                <w:rFonts w:hint="eastAsia" w:hAnsi="宋体"/>
                <w:color w:val="auto"/>
                <w:sz w:val="21"/>
                <w:szCs w:val="21"/>
                <w:highlight w:val="none"/>
                <w:lang w:eastAsia="zh-CN"/>
              </w:rPr>
              <w:t xml:space="preserve"> 广州市黄埔区云埔街火村社区莲潭经济合作社城中村改造项目复建安置地块工程检测监测</w:t>
            </w:r>
            <w:r>
              <w:rPr>
                <w:rFonts w:hint="eastAsia" w:ascii="宋体" w:hAnsi="宋体"/>
                <w:color w:val="auto"/>
                <w:sz w:val="21"/>
                <w:szCs w:val="21"/>
                <w:highlight w:val="none"/>
                <w:lang w:val="en-US" w:eastAsia="zh-CN"/>
              </w:rPr>
              <w:t>服务</w:t>
            </w:r>
            <w:r>
              <w:rPr>
                <w:rFonts w:hint="eastAsia" w:hAnsi="宋体"/>
                <w:color w:val="auto"/>
                <w:sz w:val="21"/>
                <w:szCs w:val="21"/>
                <w:highlight w:val="none"/>
              </w:rPr>
              <w:t>招标项目投标文件</w:t>
            </w:r>
          </w:p>
          <w:p w14:paraId="2E59DD78">
            <w:pPr>
              <w:pStyle w:val="13"/>
              <w:topLinePunct/>
              <w:rPr>
                <w:rFonts w:hAnsi="宋体"/>
                <w:color w:val="auto"/>
                <w:sz w:val="21"/>
                <w:szCs w:val="21"/>
                <w:highlight w:val="none"/>
              </w:rPr>
            </w:pPr>
            <w:r>
              <w:rPr>
                <w:rFonts w:hint="eastAsia" w:hAnsi="宋体"/>
                <w:color w:val="auto"/>
                <w:sz w:val="21"/>
                <w:szCs w:val="21"/>
                <w:highlight w:val="none"/>
              </w:rPr>
              <w:t>招标项目编号：</w:t>
            </w:r>
            <w:r>
              <w:rPr>
                <w:rFonts w:hint="eastAsia" w:hAnsi="宋体"/>
                <w:color w:val="auto"/>
                <w:sz w:val="21"/>
                <w:szCs w:val="21"/>
                <w:highlight w:val="none"/>
                <w:u w:val="single"/>
              </w:rPr>
              <w:t xml:space="preserve">                   </w:t>
            </w:r>
          </w:p>
          <w:p w14:paraId="11E6F9A8">
            <w:pPr>
              <w:pStyle w:val="13"/>
              <w:topLinePunct/>
              <w:snapToGrid w:val="0"/>
              <w:rPr>
                <w:rFonts w:hAnsi="宋体"/>
                <w:color w:val="auto"/>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时前不得开启</w:t>
            </w:r>
          </w:p>
        </w:tc>
      </w:tr>
      <w:tr w14:paraId="1BF551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866" w:type="dxa"/>
            <w:tcBorders>
              <w:right w:val="single" w:color="auto" w:sz="4" w:space="0"/>
            </w:tcBorders>
            <w:vAlign w:val="center"/>
          </w:tcPr>
          <w:p w14:paraId="7A791B5A">
            <w:pPr>
              <w:snapToGrid w:val="0"/>
              <w:spacing w:line="276" w:lineRule="auto"/>
              <w:jc w:val="center"/>
              <w:rPr>
                <w:rFonts w:ascii="宋体" w:hAnsi="宋体"/>
                <w:color w:val="auto"/>
                <w:szCs w:val="21"/>
                <w:highlight w:val="none"/>
              </w:rPr>
            </w:pPr>
            <w:r>
              <w:rPr>
                <w:rFonts w:ascii="宋体" w:hAnsi="宋体"/>
                <w:color w:val="auto"/>
                <w:szCs w:val="21"/>
                <w:highlight w:val="none"/>
              </w:rPr>
              <w:t>4.2.1</w:t>
            </w:r>
          </w:p>
        </w:tc>
        <w:tc>
          <w:tcPr>
            <w:tcW w:w="2160" w:type="dxa"/>
            <w:tcBorders>
              <w:top w:val="single" w:color="auto" w:sz="4" w:space="0"/>
              <w:left w:val="single" w:color="auto" w:sz="4" w:space="0"/>
              <w:bottom w:val="single" w:color="auto" w:sz="4" w:space="0"/>
              <w:right w:val="single" w:color="auto" w:sz="4" w:space="0"/>
            </w:tcBorders>
            <w:vAlign w:val="center"/>
          </w:tcPr>
          <w:p w14:paraId="15CCC672">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投标截止时间</w:t>
            </w:r>
          </w:p>
        </w:tc>
        <w:tc>
          <w:tcPr>
            <w:tcW w:w="7200" w:type="dxa"/>
            <w:tcBorders>
              <w:top w:val="single" w:color="auto" w:sz="4" w:space="0"/>
              <w:left w:val="single" w:color="auto" w:sz="4" w:space="0"/>
              <w:bottom w:val="single" w:color="auto" w:sz="4" w:space="0"/>
              <w:right w:val="single" w:color="auto" w:sz="4" w:space="0"/>
            </w:tcBorders>
            <w:vAlign w:val="center"/>
          </w:tcPr>
          <w:p w14:paraId="32DE1F02">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分（北京时间）</w:t>
            </w:r>
          </w:p>
          <w:p w14:paraId="2CEA9D2B">
            <w:pPr>
              <w:snapToGrid w:val="0"/>
              <w:spacing w:line="276" w:lineRule="auto"/>
              <w:rPr>
                <w:rFonts w:ascii="宋体" w:hAnsi="宋体"/>
                <w:color w:val="auto"/>
                <w:szCs w:val="21"/>
                <w:highlight w:val="none"/>
              </w:rPr>
            </w:pPr>
            <w:r>
              <w:rPr>
                <w:rFonts w:hint="eastAsia" w:ascii="宋体" w:hAnsi="宋体" w:cs="宋体"/>
                <w:color w:val="auto"/>
                <w:szCs w:val="21"/>
                <w:highlight w:val="none"/>
                <w:u w:val="single"/>
              </w:rPr>
              <w:t>（详见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网站信息）</w:t>
            </w:r>
          </w:p>
        </w:tc>
      </w:tr>
      <w:tr w14:paraId="79909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2" w:hRule="atLeast"/>
        </w:trPr>
        <w:tc>
          <w:tcPr>
            <w:tcW w:w="866" w:type="dxa"/>
            <w:vAlign w:val="center"/>
          </w:tcPr>
          <w:p w14:paraId="58793FA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4.2.2</w:t>
            </w:r>
          </w:p>
        </w:tc>
        <w:tc>
          <w:tcPr>
            <w:tcW w:w="2160" w:type="dxa"/>
            <w:vAlign w:val="center"/>
          </w:tcPr>
          <w:p w14:paraId="58135A3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递交电子投标文件交易平台</w:t>
            </w:r>
          </w:p>
        </w:tc>
        <w:tc>
          <w:tcPr>
            <w:tcW w:w="7200" w:type="dxa"/>
            <w:vAlign w:val="center"/>
          </w:tcPr>
          <w:p w14:paraId="51ED94B2">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1.递交方式：通过</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网站，网上递交电子投标文件。</w:t>
            </w:r>
          </w:p>
          <w:p w14:paraId="77354BDF">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2.递交投标文件的时间及地点是否有改变，请密切留意招标答疑纪要或补充公告（如有）的相关信息，具体时间及场地安排请各投标人密切留意</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公布本项目的日程安排，投标人可登录</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网站首页，点击“交易业务-建设工程”专栏中的“项目查询（日程安排、答疑纪要）”，输入项目编号或项目名称查询最新信息。</w:t>
            </w:r>
          </w:p>
        </w:tc>
      </w:tr>
      <w:tr w14:paraId="7476C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4011BB4">
            <w:pPr>
              <w:snapToGrid w:val="0"/>
              <w:spacing w:line="276" w:lineRule="auto"/>
              <w:jc w:val="center"/>
              <w:rPr>
                <w:rFonts w:ascii="宋体" w:hAnsi="宋体"/>
                <w:color w:val="auto"/>
                <w:szCs w:val="21"/>
                <w:highlight w:val="none"/>
              </w:rPr>
            </w:pPr>
            <w:r>
              <w:rPr>
                <w:rFonts w:ascii="宋体" w:hAnsi="宋体"/>
                <w:color w:val="auto"/>
                <w:szCs w:val="21"/>
                <w:highlight w:val="none"/>
              </w:rPr>
              <w:t>4.2.3</w:t>
            </w:r>
          </w:p>
        </w:tc>
        <w:tc>
          <w:tcPr>
            <w:tcW w:w="2160" w:type="dxa"/>
            <w:vAlign w:val="center"/>
          </w:tcPr>
          <w:p w14:paraId="64C0E99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投标文件是否退还</w:t>
            </w:r>
          </w:p>
        </w:tc>
        <w:tc>
          <w:tcPr>
            <w:tcW w:w="7200" w:type="dxa"/>
            <w:vAlign w:val="center"/>
          </w:tcPr>
          <w:p w14:paraId="2EAC6A05">
            <w:pPr>
              <w:pStyle w:val="13"/>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否</w:t>
            </w:r>
          </w:p>
          <w:p w14:paraId="7DEC999D">
            <w:pPr>
              <w:pStyle w:val="13"/>
              <w:topLinePunct/>
              <w:snapToGrid w:val="0"/>
              <w:spacing w:line="276" w:lineRule="auto"/>
              <w:rPr>
                <w:rFonts w:hAnsi="宋体"/>
                <w:color w:val="auto"/>
                <w:sz w:val="21"/>
                <w:szCs w:val="21"/>
                <w:highlight w:val="none"/>
              </w:rPr>
            </w:pPr>
            <w:r>
              <w:rPr>
                <w:rFonts w:hint="eastAsia" w:hAnsi="宋体"/>
                <w:color w:val="auto"/>
                <w:sz w:val="21"/>
                <w:szCs w:val="21"/>
                <w:highlight w:val="none"/>
              </w:rPr>
              <w:t>□是，退还时间：</w:t>
            </w:r>
          </w:p>
        </w:tc>
      </w:tr>
      <w:tr w14:paraId="0CA9CC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74AA411">
            <w:pPr>
              <w:snapToGrid w:val="0"/>
              <w:spacing w:line="276" w:lineRule="auto"/>
              <w:jc w:val="center"/>
              <w:rPr>
                <w:rFonts w:ascii="宋体" w:hAnsi="宋体"/>
                <w:color w:val="auto"/>
                <w:szCs w:val="21"/>
                <w:highlight w:val="none"/>
              </w:rPr>
            </w:pPr>
            <w:r>
              <w:rPr>
                <w:rFonts w:ascii="宋体" w:hAnsi="宋体"/>
                <w:color w:val="auto"/>
                <w:szCs w:val="21"/>
                <w:highlight w:val="none"/>
              </w:rPr>
              <w:t>5.1</w:t>
            </w:r>
          </w:p>
        </w:tc>
        <w:tc>
          <w:tcPr>
            <w:tcW w:w="2160" w:type="dxa"/>
            <w:vAlign w:val="center"/>
          </w:tcPr>
          <w:p w14:paraId="7959B7C2">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7200" w:type="dxa"/>
            <w:vAlign w:val="center"/>
          </w:tcPr>
          <w:p w14:paraId="2BC2D332">
            <w:pPr>
              <w:snapToGrid w:val="0"/>
              <w:spacing w:line="276" w:lineRule="auto"/>
              <w:rPr>
                <w:rFonts w:ascii="宋体" w:hAnsi="宋体"/>
                <w:color w:val="auto"/>
                <w:szCs w:val="21"/>
                <w:highlight w:val="none"/>
              </w:rPr>
            </w:pPr>
            <w:r>
              <w:rPr>
                <w:rFonts w:hint="eastAsia" w:ascii="宋体" w:hAnsi="宋体"/>
                <w:color w:val="auto"/>
                <w:szCs w:val="21"/>
                <w:highlight w:val="none"/>
              </w:rPr>
              <w:t>开标时间：同投标截止时间</w:t>
            </w:r>
          </w:p>
          <w:p w14:paraId="0F311FBD">
            <w:pPr>
              <w:snapToGrid w:val="0"/>
              <w:spacing w:line="276" w:lineRule="auto"/>
              <w:rPr>
                <w:rFonts w:ascii="宋体" w:hAnsi="宋体"/>
                <w:color w:val="auto"/>
                <w:szCs w:val="21"/>
                <w:highlight w:val="none"/>
              </w:rPr>
            </w:pPr>
            <w:r>
              <w:rPr>
                <w:rFonts w:hint="eastAsia" w:ascii="宋体" w:hAnsi="宋体"/>
                <w:color w:val="auto"/>
                <w:szCs w:val="21"/>
                <w:highlight w:val="none"/>
              </w:rPr>
              <w:t>开标地点：</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黄埔交易部（黄埔区水西路32号四楼）</w:t>
            </w:r>
            <w:r>
              <w:rPr>
                <w:rFonts w:hint="eastAsia" w:ascii="宋体" w:hAnsi="宋体" w:cs="宋体"/>
                <w:color w:val="auto"/>
                <w:szCs w:val="21"/>
                <w:highlight w:val="none"/>
              </w:rPr>
              <w:t>指定开标室，详见</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网站信息，并邀请所有投标人的法定代表人或其委托代理人准时参加。</w:t>
            </w:r>
            <w:r>
              <w:rPr>
                <w:rFonts w:hint="eastAsia" w:ascii="宋体" w:hAnsi="宋体" w:cs="宋体"/>
                <w:color w:val="auto"/>
                <w:szCs w:val="21"/>
                <w:highlight w:val="none"/>
                <w:u w:val="single"/>
              </w:rPr>
              <w:t>投标人也可选择参加在线开标，具体按照交易平台相关指南进行操作。详见：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网站最新指引。</w:t>
            </w:r>
            <w:r>
              <w:rPr>
                <w:rFonts w:hint="eastAsia" w:ascii="宋体" w:hAnsi="宋体" w:cs="宋体"/>
                <w:color w:val="auto"/>
                <w:szCs w:val="21"/>
                <w:highlight w:val="none"/>
              </w:rPr>
              <w:t>投标人代表有权出席开标会，也可以自主决定不参加开标会，若投标人代表对开标过程提出异议，该投标人代表须同时出示本人身份证原件。参加在线开标的，投标人应通过交易平台在线提出，招标人应通过交易平台答复，答复后方可结束开标。</w:t>
            </w:r>
          </w:p>
        </w:tc>
      </w:tr>
      <w:tr w14:paraId="14F98C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5" w:hRule="atLeast"/>
        </w:trPr>
        <w:tc>
          <w:tcPr>
            <w:tcW w:w="866" w:type="dxa"/>
            <w:vAlign w:val="center"/>
          </w:tcPr>
          <w:p w14:paraId="24BB48D9">
            <w:pPr>
              <w:snapToGrid w:val="0"/>
              <w:spacing w:line="276" w:lineRule="auto"/>
              <w:jc w:val="center"/>
              <w:rPr>
                <w:rFonts w:ascii="宋体" w:hAnsi="宋体"/>
                <w:color w:val="auto"/>
                <w:szCs w:val="21"/>
                <w:highlight w:val="none"/>
              </w:rPr>
            </w:pPr>
            <w:r>
              <w:rPr>
                <w:rFonts w:ascii="宋体" w:hAnsi="宋体"/>
                <w:color w:val="auto"/>
                <w:szCs w:val="21"/>
                <w:highlight w:val="none"/>
              </w:rPr>
              <w:t>5.2</w:t>
            </w:r>
          </w:p>
        </w:tc>
        <w:tc>
          <w:tcPr>
            <w:tcW w:w="2160" w:type="dxa"/>
            <w:vAlign w:val="center"/>
          </w:tcPr>
          <w:p w14:paraId="7265828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开标程序</w:t>
            </w:r>
          </w:p>
        </w:tc>
        <w:tc>
          <w:tcPr>
            <w:tcW w:w="7200" w:type="dxa"/>
            <w:vAlign w:val="center"/>
          </w:tcPr>
          <w:p w14:paraId="4E0ADF2F">
            <w:pPr>
              <w:snapToGrid w:val="0"/>
              <w:spacing w:line="276" w:lineRule="auto"/>
              <w:rPr>
                <w:rFonts w:ascii="宋体" w:hAnsi="宋体"/>
                <w:color w:val="auto"/>
                <w:szCs w:val="21"/>
                <w:highlight w:val="none"/>
              </w:rPr>
            </w:pPr>
            <w:r>
              <w:rPr>
                <w:rFonts w:hint="eastAsia" w:ascii="宋体" w:hAnsi="宋体"/>
                <w:color w:val="auto"/>
                <w:szCs w:val="21"/>
                <w:highlight w:val="none"/>
              </w:rPr>
              <w:t>电子招投标项目开标按下列程序进行：</w:t>
            </w:r>
          </w:p>
          <w:p w14:paraId="6EE78103">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5.2.1</w:t>
            </w:r>
            <w:r>
              <w:rPr>
                <w:rFonts w:hint="eastAsia" w:ascii="宋体" w:hAnsi="宋体"/>
                <w:color w:val="auto"/>
                <w:szCs w:val="21"/>
                <w:highlight w:val="none"/>
                <w:u w:val="single"/>
              </w:rPr>
              <w:t>主持人按下列程序进行开标：</w:t>
            </w:r>
          </w:p>
          <w:p w14:paraId="50F6D8A4">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）宣布开标纪律；</w:t>
            </w:r>
          </w:p>
          <w:p w14:paraId="1F1D9DEA">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）公布在投标截止时间前递交投标文件的投标人名称；</w:t>
            </w:r>
          </w:p>
          <w:p w14:paraId="3E9F3ED8">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）宣布开标人、唱标人、记录人、监标人等有关人员姓名；</w:t>
            </w:r>
          </w:p>
          <w:p w14:paraId="4B206C5E">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）投标人通过电子招标投标交易平台对已递交的电子投标文件进行解密，公布招标项目名称、投标人名称、投标保证金的递交情况、投标报价及其他内容，并记录在案；</w:t>
            </w:r>
          </w:p>
          <w:p w14:paraId="475C3A46">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）投标人代表、招标人代表、监标人、记录人等有关人员在开标记录上签字确认；若有关人员不签字的，不影响开标程序；</w:t>
            </w:r>
          </w:p>
          <w:p w14:paraId="5085D291">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6</w:t>
            </w:r>
            <w:r>
              <w:rPr>
                <w:rFonts w:hint="eastAsia" w:ascii="宋体" w:hAnsi="宋体"/>
                <w:color w:val="auto"/>
                <w:szCs w:val="21"/>
                <w:highlight w:val="none"/>
                <w:u w:val="single"/>
              </w:rPr>
              <w:t>）开标结束。</w:t>
            </w:r>
          </w:p>
          <w:p w14:paraId="27647577">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5.2.2</w:t>
            </w:r>
            <w:r>
              <w:rPr>
                <w:rFonts w:hint="eastAsia" w:ascii="宋体" w:hAnsi="宋体"/>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本项目要求投标人在投标截止时间后</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小时内解密其电子投标文件。</w:t>
            </w:r>
          </w:p>
          <w:p w14:paraId="64C077BE">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5.2.3</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tc>
      </w:tr>
      <w:tr w14:paraId="25AC2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866" w:type="dxa"/>
            <w:vAlign w:val="center"/>
          </w:tcPr>
          <w:p w14:paraId="3E44E8F9">
            <w:pPr>
              <w:snapToGrid w:val="0"/>
              <w:spacing w:line="276" w:lineRule="auto"/>
              <w:jc w:val="center"/>
              <w:rPr>
                <w:rFonts w:ascii="宋体" w:hAnsi="宋体"/>
                <w:color w:val="auto"/>
                <w:szCs w:val="21"/>
                <w:highlight w:val="none"/>
              </w:rPr>
            </w:pPr>
            <w:r>
              <w:rPr>
                <w:rFonts w:ascii="宋体" w:hAnsi="宋体"/>
                <w:color w:val="auto"/>
                <w:szCs w:val="21"/>
                <w:highlight w:val="none"/>
              </w:rPr>
              <w:t>6.1.1</w:t>
            </w:r>
          </w:p>
        </w:tc>
        <w:tc>
          <w:tcPr>
            <w:tcW w:w="2160" w:type="dxa"/>
            <w:vAlign w:val="center"/>
          </w:tcPr>
          <w:p w14:paraId="62424BA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7200" w:type="dxa"/>
            <w:vAlign w:val="center"/>
          </w:tcPr>
          <w:p w14:paraId="5C3A4146">
            <w:pPr>
              <w:snapToGrid w:val="0"/>
              <w:spacing w:line="276" w:lineRule="auto"/>
              <w:rPr>
                <w:rFonts w:ascii="宋体" w:hAnsi="宋体"/>
                <w:color w:val="auto"/>
                <w:szCs w:val="21"/>
                <w:highlight w:val="none"/>
              </w:rPr>
            </w:pPr>
            <w:r>
              <w:rPr>
                <w:rFonts w:hint="eastAsia" w:ascii="宋体" w:hAnsi="宋体"/>
                <w:color w:val="auto"/>
                <w:szCs w:val="21"/>
                <w:highlight w:val="none"/>
              </w:rPr>
              <w:t>评标委员会构成，由招标人依法组建。</w:t>
            </w:r>
          </w:p>
          <w:p w14:paraId="650407D9">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评标专家确定方式：从广东省综合评标评审专家库</w:t>
            </w:r>
            <w:r>
              <w:rPr>
                <w:rFonts w:hint="eastAsia" w:ascii="宋体" w:hAnsi="宋体" w:cs="宋体"/>
                <w:color w:val="auto"/>
                <w:szCs w:val="21"/>
                <w:highlight w:val="none"/>
              </w:rPr>
              <w:t>中随机抽取</w:t>
            </w:r>
            <w:r>
              <w:rPr>
                <w:rFonts w:hint="eastAsia" w:ascii="宋体" w:hAnsi="宋体" w:cs="宋体"/>
                <w:color w:val="auto"/>
                <w:szCs w:val="21"/>
                <w:highlight w:val="none"/>
                <w:lang w:eastAsia="zh-CN"/>
              </w:rPr>
              <w:t>。</w:t>
            </w:r>
          </w:p>
        </w:tc>
      </w:tr>
      <w:tr w14:paraId="0FA8D3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866" w:type="dxa"/>
            <w:vAlign w:val="center"/>
          </w:tcPr>
          <w:p w14:paraId="35E50487">
            <w:pPr>
              <w:snapToGrid w:val="0"/>
              <w:spacing w:line="276" w:lineRule="auto"/>
              <w:jc w:val="center"/>
              <w:rPr>
                <w:rFonts w:ascii="宋体" w:hAnsi="宋体"/>
                <w:color w:val="auto"/>
                <w:szCs w:val="21"/>
                <w:highlight w:val="none"/>
              </w:rPr>
            </w:pPr>
            <w:r>
              <w:rPr>
                <w:rFonts w:ascii="宋体" w:hAnsi="宋体"/>
                <w:color w:val="auto"/>
                <w:szCs w:val="21"/>
                <w:highlight w:val="none"/>
              </w:rPr>
              <w:t>6.3.2</w:t>
            </w:r>
          </w:p>
        </w:tc>
        <w:tc>
          <w:tcPr>
            <w:tcW w:w="2160" w:type="dxa"/>
            <w:vAlign w:val="center"/>
          </w:tcPr>
          <w:p w14:paraId="76FCEBD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评标委员会推荐中标候选人的人数</w:t>
            </w:r>
          </w:p>
        </w:tc>
        <w:tc>
          <w:tcPr>
            <w:tcW w:w="7200" w:type="dxa"/>
            <w:vAlign w:val="center"/>
          </w:tcPr>
          <w:p w14:paraId="22A5A73B">
            <w:pPr>
              <w:snapToGrid w:val="0"/>
              <w:spacing w:line="276" w:lineRule="auto"/>
              <w:rPr>
                <w:rFonts w:ascii="宋体" w:hAnsi="宋体"/>
                <w:color w:val="auto"/>
                <w:szCs w:val="21"/>
                <w:highlight w:val="none"/>
              </w:rPr>
            </w:pPr>
            <w:r>
              <w:rPr>
                <w:rFonts w:hint="eastAsia" w:ascii="宋体" w:hAnsi="宋体"/>
                <w:color w:val="auto"/>
                <w:szCs w:val="21"/>
                <w:highlight w:val="none"/>
              </w:rPr>
              <w:t>推荐中标候选人：</w:t>
            </w:r>
            <w:r>
              <w:rPr>
                <w:rFonts w:ascii="宋体" w:hAnsi="宋体"/>
                <w:color w:val="auto"/>
                <w:szCs w:val="21"/>
                <w:highlight w:val="none"/>
                <w:u w:val="single"/>
              </w:rPr>
              <w:t xml:space="preserve"> 3</w:t>
            </w:r>
            <w:r>
              <w:rPr>
                <w:rFonts w:hint="eastAsia" w:ascii="宋体" w:hAnsi="宋体"/>
                <w:color w:val="auto"/>
                <w:szCs w:val="21"/>
                <w:highlight w:val="none"/>
                <w:u w:val="single"/>
              </w:rPr>
              <w:t>人</w:t>
            </w:r>
          </w:p>
        </w:tc>
      </w:tr>
      <w:tr w14:paraId="6E7C3E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D2B7275">
            <w:pPr>
              <w:snapToGrid w:val="0"/>
              <w:spacing w:line="276" w:lineRule="auto"/>
              <w:jc w:val="center"/>
              <w:rPr>
                <w:rFonts w:ascii="宋体" w:hAnsi="宋体"/>
                <w:color w:val="auto"/>
                <w:szCs w:val="21"/>
                <w:highlight w:val="none"/>
              </w:rPr>
            </w:pPr>
            <w:r>
              <w:rPr>
                <w:rFonts w:ascii="宋体" w:hAnsi="宋体"/>
                <w:color w:val="auto"/>
                <w:szCs w:val="21"/>
                <w:highlight w:val="none"/>
              </w:rPr>
              <w:t>7.1</w:t>
            </w:r>
          </w:p>
        </w:tc>
        <w:tc>
          <w:tcPr>
            <w:tcW w:w="2160" w:type="dxa"/>
            <w:vAlign w:val="center"/>
          </w:tcPr>
          <w:p w14:paraId="0532640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中标候选人公示媒介及期限</w:t>
            </w:r>
          </w:p>
        </w:tc>
        <w:tc>
          <w:tcPr>
            <w:tcW w:w="7200" w:type="dxa"/>
            <w:vAlign w:val="center"/>
          </w:tcPr>
          <w:p w14:paraId="474EE59A">
            <w:pPr>
              <w:spacing w:line="400" w:lineRule="exact"/>
              <w:rPr>
                <w:rFonts w:ascii="宋体" w:hAnsi="宋体"/>
                <w:color w:val="auto"/>
                <w:szCs w:val="21"/>
                <w:highlight w:val="none"/>
              </w:rPr>
            </w:pPr>
            <w:r>
              <w:rPr>
                <w:rFonts w:hint="eastAsia" w:ascii="宋体" w:hAnsi="宋体"/>
                <w:color w:val="auto"/>
                <w:szCs w:val="21"/>
                <w:highlight w:val="none"/>
              </w:rPr>
              <w:t>公示媒介：</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网站、广东省招标投标监管网、中国招标投标公共服务平台</w:t>
            </w:r>
          </w:p>
          <w:p w14:paraId="19FB61E5">
            <w:pPr>
              <w:snapToGrid w:val="0"/>
              <w:spacing w:line="276" w:lineRule="auto"/>
              <w:ind w:right="106"/>
              <w:rPr>
                <w:rFonts w:ascii="宋体" w:hAnsi="宋体"/>
                <w:color w:val="auto"/>
                <w:szCs w:val="21"/>
                <w:highlight w:val="none"/>
              </w:rPr>
            </w:pPr>
            <w:r>
              <w:rPr>
                <w:rFonts w:hint="eastAsia" w:ascii="宋体" w:hAnsi="宋体"/>
                <w:color w:val="auto"/>
                <w:szCs w:val="21"/>
                <w:highlight w:val="none"/>
              </w:rPr>
              <w:t>公示期限：</w:t>
            </w:r>
            <w:r>
              <w:rPr>
                <w:rFonts w:ascii="宋体" w:hAnsi="宋体"/>
                <w:color w:val="auto"/>
                <w:szCs w:val="21"/>
                <w:highlight w:val="none"/>
                <w:u w:val="single"/>
              </w:rPr>
              <w:t>3</w:t>
            </w:r>
            <w:r>
              <w:rPr>
                <w:rFonts w:hint="eastAsia" w:ascii="宋体" w:hAnsi="宋体"/>
                <w:color w:val="auto"/>
                <w:szCs w:val="21"/>
                <w:highlight w:val="none"/>
              </w:rPr>
              <w:t>日</w:t>
            </w:r>
          </w:p>
        </w:tc>
      </w:tr>
      <w:tr w14:paraId="04B82B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185C9EE">
            <w:pPr>
              <w:snapToGrid w:val="0"/>
              <w:spacing w:line="276" w:lineRule="auto"/>
              <w:jc w:val="center"/>
              <w:rPr>
                <w:rFonts w:ascii="宋体" w:hAnsi="宋体"/>
                <w:color w:val="auto"/>
                <w:szCs w:val="21"/>
                <w:highlight w:val="none"/>
              </w:rPr>
            </w:pPr>
            <w:r>
              <w:rPr>
                <w:rFonts w:ascii="宋体" w:hAnsi="宋体"/>
                <w:color w:val="auto"/>
                <w:szCs w:val="21"/>
                <w:highlight w:val="none"/>
              </w:rPr>
              <w:t>7.4</w:t>
            </w:r>
          </w:p>
        </w:tc>
        <w:tc>
          <w:tcPr>
            <w:tcW w:w="2160" w:type="dxa"/>
            <w:vAlign w:val="center"/>
          </w:tcPr>
          <w:p w14:paraId="7737F37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7200" w:type="dxa"/>
            <w:vAlign w:val="center"/>
          </w:tcPr>
          <w:p w14:paraId="3BACEC0D">
            <w:pPr>
              <w:spacing w:line="276" w:lineRule="auto"/>
              <w:rPr>
                <w:rFonts w:ascii="宋体" w:hAnsi="宋体"/>
                <w:color w:val="auto"/>
                <w:szCs w:val="21"/>
                <w:highlight w:val="none"/>
              </w:rPr>
            </w:pPr>
            <w:r>
              <w:rPr>
                <w:rFonts w:hint="eastAsia" w:ascii="宋体" w:hAnsi="宋体"/>
                <w:color w:val="auto"/>
                <w:szCs w:val="21"/>
                <w:highlight w:val="none"/>
              </w:rPr>
              <w:t>□是</w:t>
            </w:r>
          </w:p>
          <w:p w14:paraId="0283E54E">
            <w:pPr>
              <w:spacing w:line="276" w:lineRule="auto"/>
              <w:rPr>
                <w:rFonts w:ascii="宋体" w:hAnsi="宋体"/>
                <w:color w:val="auto"/>
                <w:szCs w:val="21"/>
                <w:highlight w:val="none"/>
              </w:rPr>
            </w:pPr>
            <w:r>
              <w:rPr>
                <w:rFonts w:hint="eastAsia" w:ascii="宋体" w:hAnsi="宋体"/>
                <w:color w:val="auto"/>
                <w:szCs w:val="21"/>
                <w:highlight w:val="none"/>
              </w:rPr>
              <w:t>■否</w:t>
            </w:r>
          </w:p>
        </w:tc>
      </w:tr>
      <w:tr w14:paraId="627B0E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4" w:hRule="atLeast"/>
        </w:trPr>
        <w:tc>
          <w:tcPr>
            <w:tcW w:w="866" w:type="dxa"/>
            <w:vAlign w:val="center"/>
          </w:tcPr>
          <w:p w14:paraId="19707DCC">
            <w:pPr>
              <w:snapToGrid w:val="0"/>
              <w:spacing w:line="276" w:lineRule="auto"/>
              <w:jc w:val="center"/>
              <w:rPr>
                <w:rFonts w:ascii="宋体" w:hAnsi="宋体"/>
                <w:color w:val="auto"/>
                <w:szCs w:val="21"/>
                <w:highlight w:val="none"/>
              </w:rPr>
            </w:pPr>
            <w:r>
              <w:rPr>
                <w:rFonts w:ascii="宋体" w:hAnsi="宋体"/>
                <w:color w:val="auto"/>
                <w:szCs w:val="21"/>
                <w:highlight w:val="none"/>
              </w:rPr>
              <w:t>7.6.1</w:t>
            </w:r>
          </w:p>
        </w:tc>
        <w:tc>
          <w:tcPr>
            <w:tcW w:w="2160" w:type="dxa"/>
            <w:vAlign w:val="center"/>
          </w:tcPr>
          <w:p w14:paraId="3957982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履约保证金</w:t>
            </w:r>
          </w:p>
        </w:tc>
        <w:tc>
          <w:tcPr>
            <w:tcW w:w="7200" w:type="dxa"/>
            <w:vAlign w:val="center"/>
          </w:tcPr>
          <w:p w14:paraId="0422BCDF">
            <w:pPr>
              <w:topLinePunct/>
              <w:rPr>
                <w:rFonts w:hAnsi="宋体"/>
                <w:color w:val="auto"/>
                <w:sz w:val="21"/>
                <w:szCs w:val="21"/>
                <w:highlight w:val="none"/>
              </w:rPr>
            </w:pPr>
            <w:r>
              <w:rPr>
                <w:rFonts w:hint="eastAsia" w:hAnsi="宋体"/>
                <w:color w:val="auto"/>
                <w:sz w:val="21"/>
                <w:szCs w:val="21"/>
                <w:highlight w:val="none"/>
              </w:rPr>
              <w:t>是否要求中标人提交履约保证金：</w:t>
            </w:r>
          </w:p>
          <w:p w14:paraId="57F9F807">
            <w:pPr>
              <w:jc w:val="both"/>
              <w:rPr>
                <w:color w:val="auto"/>
                <w:highlight w:val="none"/>
              </w:rPr>
            </w:pPr>
            <w:r>
              <w:rPr>
                <w:rFonts w:hint="eastAsia" w:hAnsi="宋体"/>
                <w:color w:val="auto"/>
                <w:sz w:val="21"/>
                <w:szCs w:val="21"/>
                <w:highlight w:val="none"/>
              </w:rPr>
              <w:t>□不要求</w:t>
            </w:r>
          </w:p>
          <w:p w14:paraId="4DB05B07">
            <w:pPr>
              <w:jc w:val="both"/>
              <w:rPr>
                <w:rFonts w:hint="eastAsia" w:hAnsi="宋体"/>
                <w:color w:val="auto"/>
                <w:sz w:val="21"/>
                <w:szCs w:val="21"/>
                <w:highlight w:val="none"/>
              </w:rPr>
            </w:pPr>
            <w:r>
              <w:rPr>
                <w:rFonts w:hint="eastAsia" w:ascii="宋体" w:hAnsi="宋体"/>
                <w:color w:val="auto"/>
                <w:szCs w:val="21"/>
                <w:highlight w:val="none"/>
                <w:lang w:eastAsia="zh-CN"/>
              </w:rPr>
              <w:t>☑</w:t>
            </w:r>
            <w:r>
              <w:rPr>
                <w:rFonts w:hint="eastAsia" w:hAnsi="宋体"/>
                <w:color w:val="auto"/>
                <w:sz w:val="21"/>
                <w:szCs w:val="21"/>
                <w:highlight w:val="none"/>
              </w:rPr>
              <w:t>要求</w:t>
            </w:r>
          </w:p>
          <w:p w14:paraId="16D19040">
            <w:pPr>
              <w:topLinePunct/>
              <w:rPr>
                <w:rFonts w:hAnsi="宋体"/>
                <w:color w:val="auto"/>
                <w:sz w:val="21"/>
                <w:szCs w:val="21"/>
                <w:highlight w:val="none"/>
              </w:rPr>
            </w:pPr>
            <w:r>
              <w:rPr>
                <w:rFonts w:hint="eastAsia" w:ascii="宋体" w:hAnsi="宋体"/>
                <w:color w:val="auto"/>
                <w:szCs w:val="21"/>
                <w:highlight w:val="none"/>
                <w:u w:val="single"/>
              </w:rPr>
              <w:t>中标人自主选择提供</w:t>
            </w:r>
            <w:r>
              <w:rPr>
                <w:rFonts w:hint="eastAsia" w:ascii="宋体" w:hAnsi="宋体"/>
                <w:color w:val="auto"/>
                <w:szCs w:val="21"/>
                <w:highlight w:val="none"/>
                <w:u w:val="single"/>
                <w:lang w:val="en-US" w:eastAsia="zh-CN"/>
              </w:rPr>
              <w:t>符合合同约定的</w:t>
            </w:r>
            <w:r>
              <w:rPr>
                <w:rFonts w:hint="eastAsia" w:ascii="宋体" w:hAnsi="宋体"/>
                <w:color w:val="auto"/>
                <w:szCs w:val="21"/>
                <w:highlight w:val="none"/>
                <w:u w:val="single"/>
              </w:rPr>
              <w:t>履约担保的形式</w:t>
            </w:r>
            <w:r>
              <w:rPr>
                <w:rFonts w:hint="eastAsia" w:ascii="宋体" w:hAnsi="宋体"/>
                <w:color w:val="auto"/>
                <w:szCs w:val="21"/>
                <w:highlight w:val="none"/>
                <w:u w:val="single"/>
                <w:lang w:eastAsia="zh-CN"/>
              </w:rPr>
              <w:t>，提供的履约保证金金额为中标价款的10%。</w:t>
            </w:r>
          </w:p>
        </w:tc>
      </w:tr>
      <w:tr w14:paraId="1252D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vAlign w:val="center"/>
          </w:tcPr>
          <w:p w14:paraId="63685632">
            <w:pPr>
              <w:snapToGrid w:val="0"/>
              <w:spacing w:line="276" w:lineRule="auto"/>
              <w:jc w:val="center"/>
              <w:rPr>
                <w:rFonts w:ascii="宋体" w:hAnsi="宋体"/>
                <w:color w:val="auto"/>
                <w:szCs w:val="21"/>
                <w:highlight w:val="none"/>
              </w:rPr>
            </w:pPr>
            <w:r>
              <w:rPr>
                <w:rFonts w:ascii="宋体" w:hAnsi="宋体"/>
                <w:color w:val="auto"/>
                <w:szCs w:val="21"/>
                <w:highlight w:val="none"/>
              </w:rPr>
              <w:t>9</w:t>
            </w:r>
          </w:p>
        </w:tc>
        <w:tc>
          <w:tcPr>
            <w:tcW w:w="2160" w:type="dxa"/>
            <w:vAlign w:val="center"/>
          </w:tcPr>
          <w:p w14:paraId="509383E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是否采用电子招标投标</w:t>
            </w:r>
          </w:p>
        </w:tc>
        <w:tc>
          <w:tcPr>
            <w:tcW w:w="7200" w:type="dxa"/>
            <w:vAlign w:val="center"/>
          </w:tcPr>
          <w:p w14:paraId="5DDC0E54">
            <w:pP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否</w:t>
            </w:r>
          </w:p>
          <w:p w14:paraId="1FE62131">
            <w:pPr>
              <w:ind w:left="2099" w:leftChars="3" w:hanging="2093" w:hangingChars="997"/>
              <w:rPr>
                <w:rFonts w:ascii="宋体" w:hAnsi="宋体"/>
                <w:color w:val="auto"/>
                <w:szCs w:val="21"/>
                <w:highlight w:val="none"/>
              </w:rPr>
            </w:pPr>
            <w:r>
              <w:rPr>
                <w:rFonts w:hint="eastAsia" w:ascii="宋体" w:hAnsi="宋体"/>
                <w:color w:val="auto"/>
                <w:szCs w:val="21"/>
                <w:highlight w:val="none"/>
              </w:rPr>
              <w:t>■是，具体要求：</w:t>
            </w:r>
          </w:p>
          <w:p w14:paraId="33F2AA31">
            <w:pPr>
              <w:jc w:val="left"/>
              <w:rPr>
                <w:rFonts w:ascii="宋体" w:hAnsi="宋体"/>
                <w:color w:val="auto"/>
                <w:szCs w:val="21"/>
                <w:highlight w:val="none"/>
                <w:u w:val="single"/>
              </w:rPr>
            </w:pPr>
            <w:r>
              <w:rPr>
                <w:rFonts w:hint="eastAsia" w:ascii="宋体" w:hAnsi="宋体" w:cs="Courier New"/>
                <w:color w:val="auto"/>
                <w:szCs w:val="21"/>
                <w:highlight w:val="none"/>
                <w:u w:val="single"/>
              </w:rPr>
              <w:t>1.具体操作详见</w:t>
            </w:r>
            <w:r>
              <w:rPr>
                <w:rFonts w:hint="eastAsia" w:ascii="宋体" w:hAnsi="宋体" w:cs="Courier New"/>
                <w:color w:val="auto"/>
                <w:szCs w:val="21"/>
                <w:highlight w:val="none"/>
                <w:u w:val="single"/>
                <w:lang w:eastAsia="zh-CN"/>
              </w:rPr>
              <w:t>广州交易集团有限公司（广州公共资源交易中心）</w:t>
            </w:r>
            <w:r>
              <w:rPr>
                <w:rFonts w:hint="eastAsia" w:ascii="宋体" w:hAnsi="宋体" w:cs="Courier New"/>
                <w:color w:val="auto"/>
                <w:szCs w:val="21"/>
                <w:highlight w:val="none"/>
                <w:u w:val="single"/>
              </w:rPr>
              <w:t>网站最新发布的指引。</w:t>
            </w:r>
          </w:p>
          <w:p w14:paraId="54DB6F9C">
            <w:pPr>
              <w:rPr>
                <w:rFonts w:ascii="宋体" w:hAnsi="宋体" w:cs="Courier New"/>
                <w:color w:val="auto"/>
                <w:szCs w:val="21"/>
                <w:highlight w:val="none"/>
                <w:u w:val="single"/>
              </w:rPr>
            </w:pPr>
            <w:r>
              <w:rPr>
                <w:rFonts w:hint="eastAsia" w:ascii="宋体" w:hAnsi="宋体" w:cs="Courier New"/>
                <w:color w:val="auto"/>
                <w:szCs w:val="21"/>
                <w:highlight w:val="none"/>
                <w:u w:val="single"/>
              </w:rPr>
              <w:t>2.提交投标文件光盘备用</w:t>
            </w:r>
          </w:p>
          <w:p w14:paraId="556F8842">
            <w:pPr>
              <w:rPr>
                <w:rFonts w:ascii="宋体" w:hAnsi="宋体"/>
                <w:color w:val="auto"/>
                <w:szCs w:val="21"/>
                <w:highlight w:val="none"/>
                <w:u w:val="single"/>
              </w:rPr>
            </w:pPr>
            <w:r>
              <w:rPr>
                <w:rFonts w:hint="eastAsia" w:ascii="宋体" w:hAnsi="宋体"/>
                <w:color w:val="auto"/>
                <w:szCs w:val="21"/>
                <w:highlight w:val="none"/>
                <w:u w:val="single"/>
              </w:rPr>
              <w:t>投标人将按</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最新发布的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备用光盘。</w:t>
            </w:r>
          </w:p>
          <w:p w14:paraId="6AA8032D">
            <w:pPr>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补救方案</w:t>
            </w:r>
          </w:p>
          <w:p w14:paraId="48A8052C">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）投标文件解密失败的补救方案：</w:t>
            </w:r>
          </w:p>
          <w:p w14:paraId="3C0687E1">
            <w:pPr>
              <w:rPr>
                <w:rFonts w:ascii="宋体" w:hAnsi="宋体"/>
                <w:color w:val="auto"/>
                <w:szCs w:val="21"/>
                <w:highlight w:val="none"/>
                <w:u w:val="single"/>
              </w:rPr>
            </w:pPr>
            <w:r>
              <w:rPr>
                <w:rFonts w:hint="eastAsia" w:ascii="宋体" w:hAnsi="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6A0BAE86">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）评标时突发情况的补救方案</w:t>
            </w:r>
          </w:p>
          <w:p w14:paraId="0D4FA4F8">
            <w:pPr>
              <w:rPr>
                <w:rFonts w:ascii="宋体" w:hAnsi="宋体"/>
                <w:color w:val="auto"/>
                <w:szCs w:val="21"/>
                <w:highlight w:val="none"/>
                <w:u w:val="single"/>
              </w:rPr>
            </w:pPr>
            <w:r>
              <w:rPr>
                <w:rFonts w:hint="eastAsia" w:ascii="宋体" w:hAnsi="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63D4642B">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）除发生上述情况外，开标评标均以投标人通过交易平台网上递交的电子投标文件为准。</w:t>
            </w:r>
          </w:p>
        </w:tc>
      </w:tr>
      <w:tr w14:paraId="4C458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66" w:type="dxa"/>
            <w:vAlign w:val="center"/>
          </w:tcPr>
          <w:p w14:paraId="1F659B02">
            <w:pPr>
              <w:snapToGrid w:val="0"/>
              <w:spacing w:line="276" w:lineRule="auto"/>
              <w:jc w:val="center"/>
              <w:rPr>
                <w:rFonts w:ascii="宋体" w:hAnsi="宋体"/>
                <w:color w:val="auto"/>
                <w:szCs w:val="21"/>
                <w:highlight w:val="none"/>
              </w:rPr>
            </w:pPr>
            <w:r>
              <w:rPr>
                <w:rFonts w:ascii="宋体" w:hAnsi="宋体"/>
                <w:color w:val="auto"/>
                <w:szCs w:val="21"/>
                <w:highlight w:val="none"/>
              </w:rPr>
              <w:t>10</w:t>
            </w:r>
          </w:p>
        </w:tc>
        <w:tc>
          <w:tcPr>
            <w:tcW w:w="9360" w:type="dxa"/>
            <w:gridSpan w:val="2"/>
            <w:vAlign w:val="center"/>
          </w:tcPr>
          <w:p w14:paraId="7E18EFBB">
            <w:pPr>
              <w:snapToGrid w:val="0"/>
              <w:spacing w:line="276" w:lineRule="auto"/>
              <w:rPr>
                <w:rFonts w:ascii="宋体" w:hAnsi="宋体"/>
                <w:color w:val="auto"/>
                <w:szCs w:val="21"/>
                <w:highlight w:val="none"/>
              </w:rPr>
            </w:pPr>
            <w:r>
              <w:rPr>
                <w:rFonts w:hint="eastAsia" w:ascii="宋体" w:hAnsi="宋体"/>
                <w:color w:val="auto"/>
                <w:szCs w:val="21"/>
                <w:highlight w:val="none"/>
              </w:rPr>
              <w:t>需要补充的其他内容</w:t>
            </w:r>
          </w:p>
        </w:tc>
      </w:tr>
      <w:tr w14:paraId="115F00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00FAF27">
            <w:pPr>
              <w:snapToGrid w:val="0"/>
              <w:spacing w:line="276" w:lineRule="auto"/>
              <w:jc w:val="center"/>
              <w:rPr>
                <w:rFonts w:ascii="宋体" w:hAnsi="宋体"/>
                <w:color w:val="auto"/>
                <w:szCs w:val="21"/>
                <w:highlight w:val="none"/>
              </w:rPr>
            </w:pPr>
            <w:r>
              <w:rPr>
                <w:rFonts w:ascii="宋体" w:hAnsi="宋体"/>
                <w:color w:val="auto"/>
                <w:szCs w:val="21"/>
                <w:highlight w:val="none"/>
              </w:rPr>
              <w:t>10.1</w:t>
            </w:r>
          </w:p>
        </w:tc>
        <w:tc>
          <w:tcPr>
            <w:tcW w:w="2160" w:type="dxa"/>
            <w:vAlign w:val="center"/>
          </w:tcPr>
          <w:p w14:paraId="41D6A097">
            <w:pPr>
              <w:spacing w:line="276" w:lineRule="auto"/>
              <w:jc w:val="center"/>
              <w:rPr>
                <w:rFonts w:ascii="宋体" w:hAnsi="宋体"/>
                <w:color w:val="auto"/>
                <w:szCs w:val="21"/>
                <w:highlight w:val="none"/>
              </w:rPr>
            </w:pPr>
            <w:r>
              <w:rPr>
                <w:rFonts w:hint="eastAsia" w:ascii="宋体" w:hAnsi="宋体"/>
                <w:color w:val="auto"/>
                <w:szCs w:val="21"/>
                <w:highlight w:val="none"/>
              </w:rPr>
              <w:t>特别提示</w:t>
            </w:r>
          </w:p>
        </w:tc>
        <w:tc>
          <w:tcPr>
            <w:tcW w:w="7200" w:type="dxa"/>
            <w:vAlign w:val="center"/>
          </w:tcPr>
          <w:p w14:paraId="211FCE96">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70F9057D">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14:paraId="5DDC6102">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0C8016ED">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3.存在围标或串标情形的；</w:t>
            </w:r>
          </w:p>
          <w:p w14:paraId="1F2AE1A4">
            <w:pPr>
              <w:jc w:val="left"/>
              <w:rPr>
                <w:rFonts w:ascii="宋体" w:hAnsi="宋体"/>
                <w:color w:val="auto"/>
                <w:szCs w:val="21"/>
                <w:highlight w:val="none"/>
              </w:rPr>
            </w:pPr>
            <w:r>
              <w:rPr>
                <w:rFonts w:hint="eastAsia" w:ascii="宋体" w:hAnsi="宋体"/>
                <w:color w:val="auto"/>
                <w:szCs w:val="21"/>
                <w:highlight w:val="none"/>
              </w:rPr>
              <w:t>4.存在弄虚作假骗取中标情形的；</w:t>
            </w:r>
          </w:p>
        </w:tc>
      </w:tr>
      <w:tr w14:paraId="1378C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6" w:hRule="atLeast"/>
        </w:trPr>
        <w:tc>
          <w:tcPr>
            <w:tcW w:w="866" w:type="dxa"/>
            <w:vAlign w:val="center"/>
          </w:tcPr>
          <w:p w14:paraId="791DAB20">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2</w:t>
            </w:r>
          </w:p>
        </w:tc>
        <w:tc>
          <w:tcPr>
            <w:tcW w:w="2160" w:type="dxa"/>
            <w:vAlign w:val="center"/>
          </w:tcPr>
          <w:p w14:paraId="6DC71A19">
            <w:pPr>
              <w:widowControl/>
              <w:shd w:val="clear" w:color="auto" w:fill="FFFFFF"/>
              <w:adjustRightInd w:val="0"/>
              <w:spacing w:line="276" w:lineRule="auto"/>
              <w:jc w:val="center"/>
              <w:rPr>
                <w:rFonts w:ascii="宋体" w:hAnsi="宋体"/>
                <w:color w:val="auto"/>
                <w:szCs w:val="21"/>
                <w:highlight w:val="none"/>
              </w:rPr>
            </w:pPr>
            <w:r>
              <w:rPr>
                <w:rFonts w:hint="eastAsia" w:ascii="宋体" w:hAnsi="宋体"/>
                <w:color w:val="auto"/>
                <w:szCs w:val="21"/>
                <w:highlight w:val="none"/>
              </w:rPr>
              <w:t>招标失败情形</w:t>
            </w:r>
          </w:p>
        </w:tc>
        <w:tc>
          <w:tcPr>
            <w:tcW w:w="7200" w:type="dxa"/>
            <w:vAlign w:val="center"/>
          </w:tcPr>
          <w:p w14:paraId="5870CFB7">
            <w:pPr>
              <w:ind w:left="1" w:hanging="1"/>
              <w:rPr>
                <w:rFonts w:ascii="宋体" w:hAnsi="宋体"/>
                <w:color w:val="auto"/>
                <w:szCs w:val="21"/>
                <w:highlight w:val="none"/>
              </w:rPr>
            </w:pPr>
            <w:r>
              <w:rPr>
                <w:rFonts w:hint="eastAsia" w:ascii="宋体" w:hAnsi="宋体"/>
                <w:color w:val="auto"/>
                <w:szCs w:val="21"/>
                <w:highlight w:val="none"/>
              </w:rPr>
              <w:t>本项目采用资格后审方式</w:t>
            </w:r>
            <w:r>
              <w:rPr>
                <w:rFonts w:hint="eastAsia" w:ascii="宋体" w:hAnsi="宋体" w:cs="仿宋"/>
                <w:color w:val="auto"/>
                <w:szCs w:val="21"/>
                <w:highlight w:val="none"/>
              </w:rPr>
              <w:t>。若投标登记或递交投标文件或通过初步评审（含形式评审、资格评审、响应性评审）的合格投标人不足</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家的，</w:t>
            </w:r>
            <w:r>
              <w:rPr>
                <w:rFonts w:hint="eastAsia" w:ascii="宋体" w:hAnsi="宋体"/>
                <w:color w:val="auto"/>
                <w:szCs w:val="21"/>
                <w:highlight w:val="none"/>
                <w:u w:val="single"/>
              </w:rPr>
              <w:t>则该项目招标失败</w:t>
            </w:r>
            <w:r>
              <w:rPr>
                <w:rFonts w:hint="eastAsia" w:ascii="宋体" w:hAnsi="宋体" w:cs="仿宋"/>
                <w:color w:val="auto"/>
                <w:szCs w:val="21"/>
                <w:highlight w:val="none"/>
              </w:rPr>
              <w:t>。</w:t>
            </w:r>
            <w:r>
              <w:rPr>
                <w:rFonts w:hint="eastAsia" w:ascii="宋体" w:hAnsi="宋体" w:cs="宋体"/>
                <w:color w:val="auto"/>
                <w:szCs w:val="21"/>
                <w:highlight w:val="none"/>
              </w:rPr>
              <w:t>招标人分析招标失败原因，修正招标方案，重新组织招标。</w:t>
            </w:r>
          </w:p>
        </w:tc>
      </w:tr>
      <w:tr w14:paraId="7F720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866" w:type="dxa"/>
            <w:tcBorders>
              <w:bottom w:val="single" w:color="auto" w:sz="4" w:space="0"/>
            </w:tcBorders>
            <w:vAlign w:val="center"/>
          </w:tcPr>
          <w:p w14:paraId="77F09F57">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p>
        </w:tc>
        <w:tc>
          <w:tcPr>
            <w:tcW w:w="2160" w:type="dxa"/>
            <w:tcBorders>
              <w:bottom w:val="single" w:color="auto" w:sz="4" w:space="0"/>
            </w:tcBorders>
            <w:vAlign w:val="center"/>
          </w:tcPr>
          <w:p w14:paraId="79EF5520">
            <w:pPr>
              <w:spacing w:line="276" w:lineRule="auto"/>
              <w:jc w:val="center"/>
              <w:rPr>
                <w:rFonts w:ascii="宋体" w:hAnsi="宋体"/>
                <w:color w:val="auto"/>
                <w:szCs w:val="21"/>
                <w:highlight w:val="none"/>
              </w:rPr>
            </w:pPr>
            <w:r>
              <w:rPr>
                <w:rFonts w:hint="eastAsia" w:ascii="宋体" w:hAnsi="宋体"/>
                <w:color w:val="auto"/>
                <w:szCs w:val="21"/>
                <w:highlight w:val="none"/>
              </w:rPr>
              <w:t>其他费用</w:t>
            </w:r>
          </w:p>
        </w:tc>
        <w:tc>
          <w:tcPr>
            <w:tcW w:w="7200" w:type="dxa"/>
            <w:tcBorders>
              <w:bottom w:val="single" w:color="auto" w:sz="4" w:space="0"/>
            </w:tcBorders>
            <w:vAlign w:val="center"/>
          </w:tcPr>
          <w:p w14:paraId="43BE3BE5">
            <w:pPr>
              <w:pStyle w:val="127"/>
              <w:tabs>
                <w:tab w:val="left" w:pos="2100"/>
              </w:tabs>
              <w:spacing w:line="280" w:lineRule="exact"/>
              <w:ind w:right="92" w:rightChars="44"/>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lang w:eastAsia="zh-CN"/>
              </w:rPr>
              <w:t>中标人向广州交易集团有限公司（广州公共资源交易中心）缴纳交易服务费，其费用包含在中标人报价中，由广州交易集团有限公司（广州公共资源交易中心）向中标人开具发票。</w:t>
            </w:r>
          </w:p>
          <w:p w14:paraId="6DE9E016">
            <w:pPr>
              <w:pStyle w:val="26"/>
              <w:numPr>
                <w:ilvl w:val="0"/>
                <w:numId w:val="0"/>
              </w:numPr>
              <w:ind w:left="0" w:leftChars="0" w:firstLine="0" w:firstLineChars="0"/>
              <w:jc w:val="both"/>
              <w:rPr>
                <w:rFonts w:hint="default" w:eastAsia="宋体"/>
                <w:highlight w:val="none"/>
                <w:lang w:val="en-US"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中标人向招标代理单位缴纳代理费，其费用包含在中标人报价中，由招标代理单位向中标人开具发票。</w:t>
            </w:r>
          </w:p>
        </w:tc>
      </w:tr>
      <w:tr w14:paraId="1BE18A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14:paraId="52FCA291">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4</w:t>
            </w:r>
          </w:p>
        </w:tc>
        <w:tc>
          <w:tcPr>
            <w:tcW w:w="2160" w:type="dxa"/>
            <w:tcBorders>
              <w:bottom w:val="single" w:color="auto" w:sz="4" w:space="0"/>
            </w:tcBorders>
            <w:vAlign w:val="center"/>
          </w:tcPr>
          <w:p w14:paraId="09C72087">
            <w:pPr>
              <w:spacing w:line="276" w:lineRule="auto"/>
              <w:jc w:val="center"/>
              <w:rPr>
                <w:rFonts w:ascii="宋体" w:hAnsi="宋体"/>
                <w:color w:val="auto"/>
                <w:szCs w:val="21"/>
                <w:highlight w:val="none"/>
              </w:rPr>
            </w:pPr>
            <w:r>
              <w:rPr>
                <w:rFonts w:hint="eastAsia" w:ascii="宋体" w:hAnsi="宋体"/>
                <w:color w:val="auto"/>
                <w:szCs w:val="21"/>
                <w:highlight w:val="none"/>
              </w:rPr>
              <w:t>招标人拒绝接收其投标文件备用光盘情况</w:t>
            </w:r>
          </w:p>
        </w:tc>
        <w:tc>
          <w:tcPr>
            <w:tcW w:w="7200" w:type="dxa"/>
            <w:tcBorders>
              <w:bottom w:val="single" w:color="auto" w:sz="4" w:space="0"/>
            </w:tcBorders>
            <w:vAlign w:val="center"/>
          </w:tcPr>
          <w:p w14:paraId="1F4C58AC">
            <w:pPr>
              <w:pStyle w:val="2"/>
              <w:spacing w:line="240" w:lineRule="auto"/>
              <w:ind w:hanging="5"/>
              <w:rPr>
                <w:rFonts w:ascii="宋体" w:hAnsi="宋体"/>
                <w:color w:val="auto"/>
                <w:szCs w:val="21"/>
                <w:highlight w:val="none"/>
              </w:rPr>
            </w:pPr>
            <w:r>
              <w:rPr>
                <w:rFonts w:hint="eastAsia" w:ascii="宋体" w:hAnsi="宋体"/>
                <w:color w:val="auto"/>
                <w:szCs w:val="21"/>
                <w:highlight w:val="none"/>
              </w:rPr>
              <w:t>1.投标人在投标截止期后逾期或未在指定地点递交备用投标文件电子光盘的；</w:t>
            </w:r>
          </w:p>
          <w:p w14:paraId="199F010A">
            <w:pPr>
              <w:pStyle w:val="2"/>
              <w:spacing w:line="240" w:lineRule="auto"/>
              <w:ind w:hanging="5"/>
              <w:rPr>
                <w:rFonts w:ascii="宋体" w:hAnsi="宋体"/>
                <w:color w:val="auto"/>
                <w:szCs w:val="21"/>
                <w:highlight w:val="none"/>
              </w:rPr>
            </w:pPr>
            <w:r>
              <w:rPr>
                <w:rFonts w:hint="eastAsia" w:ascii="宋体" w:hAnsi="宋体"/>
                <w:color w:val="auto"/>
                <w:szCs w:val="21"/>
                <w:highlight w:val="none"/>
              </w:rPr>
              <w:t>2.投标人递交的备用投标文件电子光盘未按招标文件要求密封或未在密封处盖章的；</w:t>
            </w:r>
          </w:p>
          <w:p w14:paraId="5A4741AF">
            <w:pPr>
              <w:pStyle w:val="2"/>
              <w:spacing w:line="240" w:lineRule="auto"/>
              <w:ind w:hanging="5"/>
              <w:rPr>
                <w:rFonts w:ascii="宋体" w:hAnsi="宋体"/>
                <w:color w:val="auto"/>
                <w:szCs w:val="21"/>
                <w:highlight w:val="none"/>
              </w:rPr>
            </w:pPr>
            <w:r>
              <w:rPr>
                <w:rFonts w:hint="eastAsia" w:ascii="宋体" w:hAnsi="宋体"/>
                <w:color w:val="auto"/>
                <w:szCs w:val="21"/>
                <w:highlight w:val="none"/>
              </w:rPr>
              <w:t>3.投标人代表未凭法定代表人证明书原件、授权委托书原件（仅限于非法定代表人）、本人身份证原件按要求递交备用投标文件电子光盘的；</w:t>
            </w:r>
          </w:p>
        </w:tc>
      </w:tr>
      <w:tr w14:paraId="3E4AB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2" w:hRule="atLeast"/>
        </w:trPr>
        <w:tc>
          <w:tcPr>
            <w:tcW w:w="866" w:type="dxa"/>
            <w:vAlign w:val="center"/>
          </w:tcPr>
          <w:p w14:paraId="6AF612E8">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5</w:t>
            </w:r>
          </w:p>
        </w:tc>
        <w:tc>
          <w:tcPr>
            <w:tcW w:w="2160" w:type="dxa"/>
            <w:vAlign w:val="center"/>
          </w:tcPr>
          <w:p w14:paraId="18D0A589">
            <w:pPr>
              <w:widowControl/>
              <w:shd w:val="clear" w:color="auto" w:fill="FFFFFF"/>
              <w:adjustRightInd w:val="0"/>
              <w:spacing w:line="276" w:lineRule="auto"/>
              <w:jc w:val="center"/>
              <w:rPr>
                <w:rFonts w:ascii="宋体" w:hAnsi="宋体"/>
                <w:color w:val="auto"/>
                <w:szCs w:val="21"/>
                <w:highlight w:val="none"/>
              </w:rPr>
            </w:pPr>
            <w:r>
              <w:rPr>
                <w:rFonts w:hint="eastAsia" w:ascii="宋体" w:hAnsi="宋体"/>
                <w:color w:val="auto"/>
                <w:szCs w:val="21"/>
                <w:highlight w:val="none"/>
              </w:rPr>
              <w:t>其他</w:t>
            </w:r>
          </w:p>
        </w:tc>
        <w:tc>
          <w:tcPr>
            <w:tcW w:w="7200" w:type="dxa"/>
            <w:vAlign w:val="center"/>
          </w:tcPr>
          <w:p w14:paraId="1285EEF5">
            <w:pPr>
              <w:snapToGrid w:val="0"/>
              <w:spacing w:line="400" w:lineRule="exact"/>
              <w:rPr>
                <w:rFonts w:ascii="宋体" w:hAnsi="宋体"/>
                <w:color w:val="auto"/>
                <w:szCs w:val="21"/>
                <w:highlight w:val="none"/>
              </w:rPr>
            </w:pPr>
            <w:r>
              <w:rPr>
                <w:rFonts w:hint="eastAsia" w:ascii="宋体" w:hAnsi="宋体"/>
                <w:color w:val="auto"/>
                <w:szCs w:val="21"/>
                <w:highlight w:val="none"/>
              </w:rPr>
              <w:t>1.在产生中标候选人后，招标人将中标候选人的投标文件商务部分的电子版（报价清单、方案等涉及商业秘密的内容除外）在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网站公开。</w:t>
            </w:r>
          </w:p>
          <w:p w14:paraId="7DC44EF7">
            <w:pPr>
              <w:snapToGrid w:val="0"/>
              <w:spacing w:line="400" w:lineRule="exact"/>
              <w:rPr>
                <w:rFonts w:ascii="宋体" w:hAnsi="宋体"/>
                <w:color w:val="auto"/>
                <w:szCs w:val="21"/>
                <w:highlight w:val="none"/>
              </w:rPr>
            </w:pPr>
            <w:r>
              <w:rPr>
                <w:rFonts w:hint="eastAsia" w:ascii="宋体" w:hAnsi="宋体"/>
                <w:color w:val="auto"/>
                <w:szCs w:val="21"/>
                <w:highlight w:val="none"/>
              </w:rPr>
              <w:t>2.招标公告、招标文件、答疑纪要（如有）、图纸（如有）等招标资料全部发布在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网站，由投标人自行下载查阅。</w:t>
            </w:r>
          </w:p>
          <w:p w14:paraId="2853ADFC">
            <w:pPr>
              <w:snapToGrid w:val="0"/>
              <w:spacing w:line="400" w:lineRule="exact"/>
              <w:rPr>
                <w:rFonts w:ascii="宋体" w:hAnsi="宋体"/>
                <w:color w:val="auto"/>
                <w:szCs w:val="21"/>
                <w:highlight w:val="none"/>
              </w:rPr>
            </w:pPr>
            <w:r>
              <w:rPr>
                <w:rFonts w:hint="eastAsia" w:ascii="宋体" w:hAnsi="宋体"/>
                <w:color w:val="auto"/>
                <w:szCs w:val="21"/>
                <w:highlight w:val="none"/>
              </w:rPr>
              <w:t>3.投标截止时间、开标时间和地点：发布在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网站（具体点击“交易业务-建设工程”专栏中的“项目查询（日程安排、答疑纪要）”，输入项目编号或项目名称查询最新信息。）。</w:t>
            </w:r>
          </w:p>
          <w:p w14:paraId="0981419C">
            <w:pPr>
              <w:snapToGrid w:val="0"/>
              <w:spacing w:line="400" w:lineRule="exact"/>
              <w:rPr>
                <w:rFonts w:ascii="宋体" w:hAnsi="宋体"/>
                <w:color w:val="auto"/>
                <w:szCs w:val="21"/>
                <w:highlight w:val="none"/>
              </w:rPr>
            </w:pPr>
            <w:r>
              <w:rPr>
                <w:rFonts w:hint="eastAsia" w:ascii="宋体" w:hAnsi="宋体"/>
                <w:color w:val="auto"/>
                <w:szCs w:val="21"/>
                <w:highlight w:val="none"/>
              </w:rPr>
              <w:t>4.中标单位在中标通知书发出后3个工作日内，补送一正两副正式书面投标文件（加盖公章）及电子文件光盘给招标人。</w:t>
            </w:r>
          </w:p>
          <w:p w14:paraId="050E2BD0">
            <w:pPr>
              <w:pStyle w:val="2"/>
              <w:spacing w:line="400" w:lineRule="exact"/>
              <w:ind w:firstLine="0"/>
              <w:rPr>
                <w:rFonts w:ascii="宋体" w:hAnsi="宋体"/>
                <w:color w:val="auto"/>
                <w:szCs w:val="21"/>
                <w:highlight w:val="none"/>
              </w:rPr>
            </w:pPr>
            <w:r>
              <w:rPr>
                <w:rFonts w:hint="eastAsia" w:ascii="宋体" w:hAnsi="宋体"/>
                <w:color w:val="auto"/>
                <w:szCs w:val="21"/>
                <w:highlight w:val="none"/>
              </w:rPr>
              <w:t>5.招标人将核对以下内容：</w:t>
            </w:r>
          </w:p>
          <w:p w14:paraId="6029C8DA">
            <w:pPr>
              <w:pStyle w:val="2"/>
              <w:spacing w:line="400" w:lineRule="exact"/>
              <w:ind w:firstLine="0"/>
              <w:rPr>
                <w:rFonts w:ascii="宋体" w:hAnsi="宋体"/>
                <w:color w:val="auto"/>
                <w:szCs w:val="21"/>
                <w:highlight w:val="none"/>
              </w:rPr>
            </w:pPr>
            <w:r>
              <w:rPr>
                <w:rFonts w:hint="eastAsia" w:ascii="宋体" w:hAnsi="宋体"/>
                <w:color w:val="auto"/>
                <w:szCs w:val="21"/>
                <w:highlight w:val="none"/>
              </w:rPr>
              <w:t>（1）中标人及其项目负责人是否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w:t>
            </w:r>
          </w:p>
          <w:p w14:paraId="50B2AD2D">
            <w:pPr>
              <w:pStyle w:val="2"/>
              <w:spacing w:line="400" w:lineRule="exact"/>
              <w:ind w:firstLine="0"/>
              <w:rPr>
                <w:rFonts w:ascii="宋体" w:hAnsi="宋体"/>
                <w:color w:val="auto"/>
                <w:szCs w:val="21"/>
                <w:highlight w:val="none"/>
              </w:rPr>
            </w:pPr>
            <w:r>
              <w:rPr>
                <w:rFonts w:hint="eastAsia" w:ascii="宋体" w:hAnsi="宋体"/>
                <w:color w:val="auto"/>
                <w:szCs w:val="21"/>
                <w:highlight w:val="none"/>
              </w:rPr>
              <w:t>（2）中标人是否有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w:t>
            </w:r>
          </w:p>
          <w:p w14:paraId="275AB5CB">
            <w:pPr>
              <w:pStyle w:val="2"/>
              <w:spacing w:line="400" w:lineRule="exact"/>
              <w:ind w:firstLine="0"/>
              <w:rPr>
                <w:rFonts w:ascii="宋体" w:hAnsi="宋体"/>
                <w:color w:val="auto"/>
                <w:szCs w:val="21"/>
                <w:highlight w:val="none"/>
              </w:rPr>
            </w:pPr>
            <w:r>
              <w:rPr>
                <w:rFonts w:hint="eastAsia" w:ascii="宋体" w:hAnsi="宋体"/>
                <w:color w:val="auto"/>
                <w:szCs w:val="21"/>
                <w:highlight w:val="none"/>
              </w:rPr>
              <w:t>如核实存在上述任一情况，招标人有权取消中标人的中标资格或终止合同。</w:t>
            </w:r>
          </w:p>
        </w:tc>
      </w:tr>
      <w:tr w14:paraId="3AB616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1" w:hRule="atLeast"/>
        </w:trPr>
        <w:tc>
          <w:tcPr>
            <w:tcW w:w="866" w:type="dxa"/>
            <w:tcBorders>
              <w:bottom w:val="single" w:color="auto" w:sz="4" w:space="0"/>
            </w:tcBorders>
            <w:vAlign w:val="center"/>
          </w:tcPr>
          <w:p w14:paraId="26B6C794">
            <w:pPr>
              <w:snapToGrid w:val="0"/>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2160" w:type="dxa"/>
            <w:tcBorders>
              <w:bottom w:val="single" w:color="auto" w:sz="4" w:space="0"/>
            </w:tcBorders>
            <w:vAlign w:val="center"/>
          </w:tcPr>
          <w:p w14:paraId="2A3DC0A2">
            <w:pPr>
              <w:pStyle w:val="127"/>
              <w:spacing w:line="360" w:lineRule="auto"/>
              <w:jc w:val="center"/>
              <w:rPr>
                <w:rFonts w:hint="eastAsia" w:ascii="宋体" w:hAnsi="宋体"/>
                <w:color w:val="auto"/>
                <w:szCs w:val="21"/>
                <w:highlight w:val="none"/>
              </w:rPr>
            </w:pPr>
            <w:r>
              <w:rPr>
                <w:rFonts w:hint="eastAsia" w:ascii="宋体" w:hAnsi="宋体" w:eastAsia="宋体" w:cs="宋体"/>
                <w:color w:val="auto"/>
                <w:highlight w:val="none"/>
                <w:lang w:eastAsia="zh-CN"/>
              </w:rPr>
              <w:t>投标活动的有关人员社保证明</w:t>
            </w:r>
          </w:p>
        </w:tc>
        <w:tc>
          <w:tcPr>
            <w:tcW w:w="7200" w:type="dxa"/>
            <w:tcBorders>
              <w:bottom w:val="single" w:color="auto" w:sz="4" w:space="0"/>
            </w:tcBorders>
            <w:vAlign w:val="center"/>
          </w:tcPr>
          <w:p w14:paraId="52601BF3">
            <w:pPr>
              <w:pStyle w:val="127"/>
              <w:tabs>
                <w:tab w:val="left" w:pos="734"/>
                <w:tab w:val="left" w:pos="1365"/>
                <w:tab w:val="left" w:pos="1994"/>
                <w:tab w:val="left" w:pos="2623"/>
              </w:tabs>
              <w:spacing w:line="280" w:lineRule="exact"/>
              <w:ind w:left="63" w:leftChars="30" w:right="92" w:rightChars="44"/>
              <w:jc w:val="both"/>
              <w:rPr>
                <w:rFonts w:hint="eastAsia" w:ascii="宋体" w:hAnsi="宋体"/>
                <w:color w:val="auto"/>
                <w:szCs w:val="21"/>
                <w:highlight w:val="none"/>
              </w:rPr>
            </w:pPr>
            <w:r>
              <w:rPr>
                <w:rFonts w:hint="eastAsia" w:ascii="宋体" w:hAnsi="宋体" w:eastAsia="宋体" w:cs="宋体"/>
                <w:color w:val="auto"/>
                <w:highlight w:val="none"/>
                <w:lang w:eastAsia="zh-CN"/>
              </w:rPr>
              <w:t>各投标人中参加投标活动的有关人员(包括且不限于投标文件的编制人员、递交投标文件</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lang w:eastAsia="zh-CN"/>
              </w:rPr>
              <w:t>递交</w:t>
            </w:r>
            <w:r>
              <w:rPr>
                <w:rFonts w:hint="eastAsia" w:ascii="宋体" w:hAnsi="宋体" w:eastAsia="宋体" w:cs="宋体"/>
                <w:color w:val="auto"/>
                <w:highlight w:val="none"/>
                <w:lang w:val="en-US" w:eastAsia="zh-CN"/>
              </w:rPr>
              <w:t>备用光盘</w:t>
            </w:r>
            <w:r>
              <w:rPr>
                <w:rFonts w:hint="eastAsia" w:ascii="宋体" w:hAnsi="宋体" w:eastAsia="宋体" w:cs="宋体"/>
                <w:color w:val="auto"/>
                <w:highlight w:val="none"/>
                <w:lang w:eastAsia="zh-CN"/>
              </w:rPr>
              <w:t>的被授权委托人)均须提供社保证明材料。</w:t>
            </w:r>
          </w:p>
        </w:tc>
      </w:tr>
    </w:tbl>
    <w:p w14:paraId="2F464550">
      <w:pPr>
        <w:rPr>
          <w:rFonts w:ascii="宋体" w:hAnsi="宋体"/>
          <w:color w:val="auto"/>
          <w:highlight w:val="none"/>
        </w:rPr>
      </w:pPr>
    </w:p>
    <w:p w14:paraId="0525B479">
      <w:pPr>
        <w:pStyle w:val="6"/>
        <w:rPr>
          <w:color w:val="auto"/>
          <w:highlight w:val="none"/>
        </w:rPr>
      </w:pPr>
      <w:bookmarkStart w:id="39" w:name="_Toc533357308"/>
      <w:r>
        <w:rPr>
          <w:color w:val="auto"/>
          <w:highlight w:val="none"/>
        </w:rPr>
        <w:br w:type="page"/>
      </w:r>
      <w:bookmarkStart w:id="40" w:name="_Toc118553970"/>
      <w:r>
        <w:rPr>
          <w:color w:val="auto"/>
          <w:highlight w:val="none"/>
        </w:rPr>
        <w:t xml:space="preserve">1. </w:t>
      </w:r>
      <w:r>
        <w:rPr>
          <w:rFonts w:hint="eastAsia"/>
          <w:color w:val="auto"/>
          <w:highlight w:val="none"/>
        </w:rPr>
        <w:t>总则</w:t>
      </w:r>
      <w:bookmarkEnd w:id="39"/>
      <w:bookmarkEnd w:id="40"/>
    </w:p>
    <w:p w14:paraId="0669F26C">
      <w:pPr>
        <w:pStyle w:val="8"/>
        <w:rPr>
          <w:color w:val="auto"/>
          <w:highlight w:val="none"/>
        </w:rPr>
      </w:pPr>
      <w:r>
        <w:rPr>
          <w:color w:val="auto"/>
          <w:highlight w:val="none"/>
        </w:rPr>
        <w:t xml:space="preserve">1.1 </w:t>
      </w:r>
      <w:r>
        <w:rPr>
          <w:rFonts w:hint="eastAsia"/>
          <w:color w:val="auto"/>
          <w:highlight w:val="none"/>
        </w:rPr>
        <w:t>招标项目概况</w:t>
      </w:r>
    </w:p>
    <w:p w14:paraId="461D35D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根据《中华人民共和国招标投标法》、《中华人民共和国招标投标法实施条例》等有关法律、法规和规章的规定，本招标项目已具备招标条件，现对检测服务进行招标。</w:t>
      </w:r>
    </w:p>
    <w:p w14:paraId="6A88178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招标人：见投标人须知前附表。</w:t>
      </w:r>
    </w:p>
    <w:p w14:paraId="0F2BD3B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招标代理机构：见投标人须知前附表。</w:t>
      </w:r>
    </w:p>
    <w:p w14:paraId="24F191F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1.1.4</w:t>
      </w:r>
      <w:r>
        <w:rPr>
          <w:rFonts w:hint="eastAsia" w:ascii="宋体" w:hAnsi="宋体"/>
          <w:color w:val="auto"/>
          <w:szCs w:val="21"/>
          <w:highlight w:val="none"/>
        </w:rPr>
        <w:t>招标项目名称：见投标人须知前附表。</w:t>
      </w:r>
    </w:p>
    <w:p w14:paraId="37B4316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1.1.5</w:t>
      </w:r>
      <w:r>
        <w:rPr>
          <w:rFonts w:hint="eastAsia" w:ascii="宋体" w:hAnsi="宋体"/>
          <w:color w:val="auto"/>
          <w:szCs w:val="21"/>
          <w:highlight w:val="none"/>
        </w:rPr>
        <w:t>项目建设地点：见投标人须知前附表。</w:t>
      </w:r>
    </w:p>
    <w:p w14:paraId="73C40C1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1.1.6</w:t>
      </w:r>
      <w:r>
        <w:rPr>
          <w:rFonts w:hint="eastAsia" w:ascii="宋体" w:hAnsi="宋体"/>
          <w:color w:val="auto"/>
          <w:szCs w:val="21"/>
          <w:highlight w:val="none"/>
        </w:rPr>
        <w:t>项目建设规模：见投标人须知前附表。</w:t>
      </w:r>
    </w:p>
    <w:p w14:paraId="6AE6A47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1.1.7</w:t>
      </w:r>
      <w:r>
        <w:rPr>
          <w:rFonts w:hint="eastAsia" w:ascii="宋体" w:hAnsi="宋体"/>
          <w:color w:val="auto"/>
          <w:szCs w:val="21"/>
          <w:highlight w:val="none"/>
        </w:rPr>
        <w:t>工程项目施工预计开工日期和建设周期：见投标人须知前附表。</w:t>
      </w:r>
    </w:p>
    <w:p w14:paraId="66C0EE0D">
      <w:pPr>
        <w:pStyle w:val="2"/>
        <w:spacing w:line="288" w:lineRule="auto"/>
        <w:ind w:firstLineChars="200"/>
        <w:rPr>
          <w:rFonts w:ascii="宋体" w:hAnsi="宋体"/>
          <w:color w:val="auto"/>
          <w:szCs w:val="21"/>
          <w:highlight w:val="none"/>
        </w:rPr>
      </w:pPr>
      <w:r>
        <w:rPr>
          <w:rFonts w:ascii="宋体" w:hAnsi="宋体"/>
          <w:color w:val="auto"/>
          <w:szCs w:val="21"/>
          <w:highlight w:val="none"/>
        </w:rPr>
        <w:t>1.1.8</w:t>
      </w:r>
      <w:r>
        <w:rPr>
          <w:rFonts w:hint="eastAsia" w:ascii="宋体" w:hAnsi="宋体"/>
          <w:color w:val="auto"/>
          <w:szCs w:val="21"/>
          <w:highlight w:val="none"/>
        </w:rPr>
        <w:t>建筑安装工程费</w:t>
      </w:r>
      <w:r>
        <w:rPr>
          <w:rFonts w:ascii="宋体" w:hAnsi="宋体"/>
          <w:color w:val="auto"/>
          <w:szCs w:val="21"/>
          <w:highlight w:val="none"/>
        </w:rPr>
        <w:t>/</w:t>
      </w:r>
      <w:r>
        <w:rPr>
          <w:rFonts w:hint="eastAsia" w:ascii="宋体" w:hAnsi="宋体"/>
          <w:color w:val="auto"/>
          <w:szCs w:val="21"/>
          <w:highlight w:val="none"/>
        </w:rPr>
        <w:t>工程概算：见投标人须知前附表。</w:t>
      </w:r>
    </w:p>
    <w:p w14:paraId="66ED13CB">
      <w:pPr>
        <w:pStyle w:val="3"/>
        <w:kinsoku w:val="0"/>
        <w:overflowPunct w:val="0"/>
        <w:spacing w:line="288" w:lineRule="auto"/>
        <w:ind w:firstLine="420" w:firstLineChars="200"/>
        <w:rPr>
          <w:rFonts w:ascii="宋体" w:hAnsi="宋体"/>
          <w:color w:val="auto"/>
          <w:szCs w:val="21"/>
          <w:highlight w:val="none"/>
        </w:rPr>
      </w:pPr>
    </w:p>
    <w:p w14:paraId="42BD4492">
      <w:pPr>
        <w:pStyle w:val="8"/>
        <w:rPr>
          <w:color w:val="auto"/>
          <w:highlight w:val="none"/>
        </w:rPr>
      </w:pPr>
      <w:r>
        <w:rPr>
          <w:color w:val="auto"/>
          <w:highlight w:val="none"/>
        </w:rPr>
        <w:t xml:space="preserve">1.2 </w:t>
      </w:r>
      <w:r>
        <w:rPr>
          <w:rFonts w:hint="eastAsia"/>
          <w:color w:val="auto"/>
          <w:highlight w:val="none"/>
        </w:rPr>
        <w:t>招标项目的资金来源和落实情况</w:t>
      </w:r>
    </w:p>
    <w:p w14:paraId="2394C8D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1.2.1</w:t>
      </w:r>
      <w:r>
        <w:rPr>
          <w:rFonts w:hint="eastAsia" w:ascii="宋体" w:hAnsi="宋体"/>
          <w:color w:val="auto"/>
          <w:szCs w:val="21"/>
          <w:highlight w:val="none"/>
        </w:rPr>
        <w:t>资金来源及比例：见投标人须知前附表。</w:t>
      </w:r>
    </w:p>
    <w:p w14:paraId="5BB1E68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资金落实情况：见投标人须知前附表。</w:t>
      </w:r>
    </w:p>
    <w:p w14:paraId="47F66688">
      <w:pPr>
        <w:pStyle w:val="3"/>
        <w:kinsoku w:val="0"/>
        <w:overflowPunct w:val="0"/>
        <w:spacing w:line="288" w:lineRule="auto"/>
        <w:ind w:firstLine="420" w:firstLineChars="200"/>
        <w:rPr>
          <w:rFonts w:ascii="宋体" w:hAnsi="宋体"/>
          <w:color w:val="auto"/>
          <w:szCs w:val="21"/>
          <w:highlight w:val="none"/>
        </w:rPr>
      </w:pPr>
    </w:p>
    <w:p w14:paraId="7074C0F7">
      <w:pPr>
        <w:pStyle w:val="8"/>
        <w:rPr>
          <w:color w:val="auto"/>
          <w:highlight w:val="none"/>
        </w:rPr>
      </w:pPr>
      <w:r>
        <w:rPr>
          <w:color w:val="auto"/>
          <w:highlight w:val="none"/>
        </w:rPr>
        <w:t xml:space="preserve">1.3 </w:t>
      </w:r>
      <w:r>
        <w:rPr>
          <w:rFonts w:hint="eastAsia"/>
          <w:color w:val="auto"/>
          <w:highlight w:val="none"/>
        </w:rPr>
        <w:t>招标范围、服务期限和质量标准</w:t>
      </w:r>
    </w:p>
    <w:p w14:paraId="5856174B">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1.3.1</w:t>
      </w:r>
      <w:r>
        <w:rPr>
          <w:rFonts w:hint="eastAsia" w:ascii="宋体" w:hAnsi="宋体"/>
          <w:color w:val="auto"/>
          <w:szCs w:val="21"/>
          <w:highlight w:val="none"/>
        </w:rPr>
        <w:t>招标范围：见投标人须知前附表。</w:t>
      </w:r>
    </w:p>
    <w:p w14:paraId="161D199D">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服务期：见投标人须知前附表。</w:t>
      </w:r>
    </w:p>
    <w:p w14:paraId="72A7AED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1.3.3</w:t>
      </w:r>
      <w:r>
        <w:rPr>
          <w:rFonts w:hint="eastAsia" w:ascii="宋体" w:hAnsi="宋体"/>
          <w:color w:val="auto"/>
          <w:highlight w:val="none"/>
        </w:rPr>
        <w:t>质量标准</w:t>
      </w:r>
      <w:r>
        <w:rPr>
          <w:rFonts w:hint="eastAsia" w:ascii="宋体" w:hAnsi="宋体"/>
          <w:color w:val="auto"/>
          <w:szCs w:val="21"/>
          <w:highlight w:val="none"/>
        </w:rPr>
        <w:t>：见投标人须知前附表。</w:t>
      </w:r>
    </w:p>
    <w:p w14:paraId="694CAB5F">
      <w:pPr>
        <w:pStyle w:val="3"/>
        <w:kinsoku w:val="0"/>
        <w:overflowPunct w:val="0"/>
        <w:spacing w:line="288" w:lineRule="auto"/>
        <w:ind w:firstLine="420" w:firstLineChars="200"/>
        <w:rPr>
          <w:rFonts w:ascii="宋体" w:hAnsi="宋体"/>
          <w:color w:val="auto"/>
          <w:szCs w:val="21"/>
          <w:highlight w:val="none"/>
        </w:rPr>
      </w:pPr>
    </w:p>
    <w:p w14:paraId="6F2FA6E0">
      <w:pPr>
        <w:pStyle w:val="8"/>
        <w:rPr>
          <w:color w:val="auto"/>
          <w:highlight w:val="none"/>
        </w:rPr>
      </w:pPr>
      <w:r>
        <w:rPr>
          <w:color w:val="auto"/>
          <w:highlight w:val="none"/>
        </w:rPr>
        <w:t xml:space="preserve">1.4 </w:t>
      </w:r>
      <w:r>
        <w:rPr>
          <w:rFonts w:hint="eastAsia"/>
          <w:color w:val="auto"/>
          <w:highlight w:val="none"/>
        </w:rPr>
        <w:t>投标人资格要求</w:t>
      </w:r>
    </w:p>
    <w:p w14:paraId="0F467DBF">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1.4.1</w:t>
      </w:r>
      <w:r>
        <w:rPr>
          <w:rFonts w:hint="eastAsia" w:ascii="宋体" w:hAnsi="宋体"/>
          <w:color w:val="auto"/>
          <w:szCs w:val="21"/>
          <w:highlight w:val="none"/>
        </w:rPr>
        <w:t>投标人应具备承担本招标项目资质条件、能力和信誉：</w:t>
      </w:r>
      <w:r>
        <w:rPr>
          <w:rFonts w:hint="eastAsia" w:ascii="宋体" w:hAnsi="宋体"/>
          <w:color w:val="auto"/>
          <w:szCs w:val="21"/>
          <w:highlight w:val="none"/>
          <w:u w:val="single"/>
        </w:rPr>
        <w:t>详见招标公告。</w:t>
      </w:r>
    </w:p>
    <w:p w14:paraId="5A482FE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投标人须知前附表规定接受联合体投标的，联合体除应符合本章第</w:t>
      </w:r>
      <w:r>
        <w:rPr>
          <w:rFonts w:ascii="宋体" w:hAnsi="宋体"/>
          <w:color w:val="auto"/>
          <w:szCs w:val="21"/>
          <w:highlight w:val="none"/>
        </w:rPr>
        <w:t>1.4.</w:t>
      </w:r>
      <w:r>
        <w:rPr>
          <w:rFonts w:hint="eastAsia" w:ascii="宋体" w:hAnsi="宋体"/>
          <w:color w:val="auto"/>
          <w:szCs w:val="21"/>
          <w:highlight w:val="none"/>
        </w:rPr>
        <w:t>2项和投标人须知前附表的要求外，还应遵守以下规定：</w:t>
      </w:r>
    </w:p>
    <w:p w14:paraId="58022B4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）联合体各方应按招标文件提供的格式签订联合体协议书，明确联合体牵头人和各方权利义务，并承诺就中标项目向招标人承担连带责任；</w:t>
      </w:r>
    </w:p>
    <w:p w14:paraId="44D4CFC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）联合体各方不得再以自己名义单独或参加其他联合体在本招标项目中投标，否则各相关投标均无效。</w:t>
      </w:r>
    </w:p>
    <w:p w14:paraId="41BA06F4">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投标人不得存在下列情形之一：</w:t>
      </w:r>
    </w:p>
    <w:p w14:paraId="3C05B948">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14:paraId="33D25553">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（2）与招标人存在利害关系且可能影响招标公正性；</w:t>
      </w:r>
    </w:p>
    <w:p w14:paraId="15256148">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（3）与本招标项目的其他投标人为同一个单位负责人；</w:t>
      </w:r>
    </w:p>
    <w:p w14:paraId="3926B09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（4）与本招标项目的其他投标人存在控股、管理关系；</w:t>
      </w:r>
    </w:p>
    <w:p w14:paraId="0FDC855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（5）为本招标项目的代建人；</w:t>
      </w:r>
    </w:p>
    <w:p w14:paraId="11A610E5">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（6）为本招标项目的招标代理机构；</w:t>
      </w:r>
    </w:p>
    <w:p w14:paraId="1B4FB1F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（7）与本招标项目的代建人或招标代理机构同为一个法定代表人；</w:t>
      </w:r>
    </w:p>
    <w:p w14:paraId="1F81B28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（8）与本招标项目的代建人或招标代理机构存在控股或参股关系；</w:t>
      </w:r>
    </w:p>
    <w:p w14:paraId="089C2B1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（9）与本招标项目的施工承包人以及建筑材料、建筑构配件和设备供应商有隶属关系或者其他利害关系；</w:t>
      </w:r>
    </w:p>
    <w:p w14:paraId="6118A32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（10）被依法暂停或者取消投标资格；</w:t>
      </w:r>
    </w:p>
    <w:p w14:paraId="40B212A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（11）被责令停产停业、暂扣或者吊销许可证、暂扣或者吊销执照；</w:t>
      </w:r>
    </w:p>
    <w:p w14:paraId="3E3AD5FA">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（12）进入清算程序，或被宣告破产，或其他丧失履约能力的情形；</w:t>
      </w:r>
    </w:p>
    <w:p w14:paraId="4DBFB82D">
      <w:pPr>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）法律法规或投标人须知前附表规定的其他情形。</w:t>
      </w:r>
    </w:p>
    <w:p w14:paraId="5C91F023">
      <w:pPr>
        <w:rPr>
          <w:color w:val="auto"/>
          <w:highlight w:val="none"/>
        </w:rPr>
      </w:pPr>
    </w:p>
    <w:p w14:paraId="01FB8A5E">
      <w:pPr>
        <w:pStyle w:val="8"/>
        <w:rPr>
          <w:color w:val="auto"/>
          <w:highlight w:val="none"/>
        </w:rPr>
      </w:pPr>
      <w:r>
        <w:rPr>
          <w:color w:val="auto"/>
          <w:highlight w:val="none"/>
        </w:rPr>
        <w:t xml:space="preserve">1.5 </w:t>
      </w:r>
      <w:r>
        <w:rPr>
          <w:rFonts w:hint="eastAsia"/>
          <w:color w:val="auto"/>
          <w:highlight w:val="none"/>
        </w:rPr>
        <w:t>费用承担</w:t>
      </w:r>
    </w:p>
    <w:p w14:paraId="00DF4E2E">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投标人准备和参加投标活动发生的费用自理。</w:t>
      </w:r>
    </w:p>
    <w:p w14:paraId="075A099F">
      <w:pPr>
        <w:pStyle w:val="3"/>
        <w:kinsoku w:val="0"/>
        <w:overflowPunct w:val="0"/>
        <w:spacing w:line="288" w:lineRule="auto"/>
        <w:ind w:firstLine="420" w:firstLineChars="200"/>
        <w:rPr>
          <w:rFonts w:ascii="宋体" w:hAnsi="宋体"/>
          <w:color w:val="auto"/>
          <w:szCs w:val="21"/>
          <w:highlight w:val="none"/>
        </w:rPr>
      </w:pPr>
    </w:p>
    <w:p w14:paraId="3087D85E">
      <w:pPr>
        <w:pStyle w:val="8"/>
        <w:rPr>
          <w:color w:val="auto"/>
          <w:highlight w:val="none"/>
        </w:rPr>
      </w:pPr>
      <w:bookmarkStart w:id="41" w:name="bookmark26"/>
      <w:bookmarkEnd w:id="41"/>
      <w:r>
        <w:rPr>
          <w:color w:val="auto"/>
          <w:highlight w:val="none"/>
        </w:rPr>
        <w:t xml:space="preserve">1.6 </w:t>
      </w:r>
      <w:r>
        <w:rPr>
          <w:rFonts w:hint="eastAsia"/>
          <w:color w:val="auto"/>
          <w:highlight w:val="none"/>
        </w:rPr>
        <w:t>保密</w:t>
      </w:r>
    </w:p>
    <w:p w14:paraId="66EF33C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参与招标投标活动的各方应对招标文件和投标文件中的商业和技术等秘密保密，否则应承担相应的法律责任。</w:t>
      </w:r>
    </w:p>
    <w:p w14:paraId="4B1F7EEA">
      <w:pPr>
        <w:pStyle w:val="3"/>
        <w:kinsoku w:val="0"/>
        <w:overflowPunct w:val="0"/>
        <w:spacing w:line="288" w:lineRule="auto"/>
        <w:ind w:firstLine="420" w:firstLineChars="200"/>
        <w:rPr>
          <w:rFonts w:ascii="宋体" w:hAnsi="宋体"/>
          <w:color w:val="auto"/>
          <w:szCs w:val="21"/>
          <w:highlight w:val="none"/>
        </w:rPr>
      </w:pPr>
    </w:p>
    <w:p w14:paraId="41DF6B81">
      <w:pPr>
        <w:pStyle w:val="8"/>
        <w:rPr>
          <w:color w:val="auto"/>
          <w:highlight w:val="none"/>
        </w:rPr>
      </w:pPr>
      <w:bookmarkStart w:id="42" w:name="bookmark27"/>
      <w:bookmarkEnd w:id="42"/>
      <w:r>
        <w:rPr>
          <w:color w:val="auto"/>
          <w:highlight w:val="none"/>
        </w:rPr>
        <w:t xml:space="preserve">1.7 </w:t>
      </w:r>
      <w:r>
        <w:rPr>
          <w:rFonts w:hint="eastAsia"/>
          <w:color w:val="auto"/>
          <w:highlight w:val="none"/>
        </w:rPr>
        <w:t>语言文字</w:t>
      </w:r>
    </w:p>
    <w:p w14:paraId="4272236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招标投标文件使用的语言文字为中文。专用术语使用外文的，应附有中文注释。</w:t>
      </w:r>
    </w:p>
    <w:p w14:paraId="420C20D5">
      <w:pPr>
        <w:pStyle w:val="3"/>
        <w:kinsoku w:val="0"/>
        <w:overflowPunct w:val="0"/>
        <w:spacing w:line="288" w:lineRule="auto"/>
        <w:ind w:firstLine="420" w:firstLineChars="200"/>
        <w:rPr>
          <w:rFonts w:ascii="宋体" w:hAnsi="宋体"/>
          <w:color w:val="auto"/>
          <w:szCs w:val="21"/>
          <w:highlight w:val="none"/>
        </w:rPr>
      </w:pPr>
    </w:p>
    <w:p w14:paraId="4E710F39">
      <w:pPr>
        <w:pStyle w:val="8"/>
        <w:rPr>
          <w:color w:val="auto"/>
          <w:highlight w:val="none"/>
        </w:rPr>
      </w:pPr>
      <w:bookmarkStart w:id="43" w:name="bookmark28"/>
      <w:bookmarkEnd w:id="43"/>
      <w:r>
        <w:rPr>
          <w:color w:val="auto"/>
          <w:highlight w:val="none"/>
        </w:rPr>
        <w:t xml:space="preserve">1.8 </w:t>
      </w:r>
      <w:r>
        <w:rPr>
          <w:rFonts w:hint="eastAsia"/>
          <w:color w:val="auto"/>
          <w:highlight w:val="none"/>
        </w:rPr>
        <w:t>计量单位</w:t>
      </w:r>
    </w:p>
    <w:p w14:paraId="32402AB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3DDACFF3">
      <w:pPr>
        <w:pStyle w:val="3"/>
        <w:kinsoku w:val="0"/>
        <w:overflowPunct w:val="0"/>
        <w:spacing w:line="288" w:lineRule="auto"/>
        <w:ind w:firstLine="420" w:firstLineChars="200"/>
        <w:rPr>
          <w:rFonts w:ascii="宋体" w:hAnsi="宋体"/>
          <w:color w:val="auto"/>
          <w:szCs w:val="21"/>
          <w:highlight w:val="none"/>
        </w:rPr>
      </w:pPr>
    </w:p>
    <w:p w14:paraId="24F5AFF7">
      <w:pPr>
        <w:pStyle w:val="8"/>
        <w:rPr>
          <w:color w:val="auto"/>
          <w:highlight w:val="none"/>
        </w:rPr>
      </w:pPr>
      <w:bookmarkStart w:id="44" w:name="bookmark29"/>
      <w:bookmarkEnd w:id="44"/>
      <w:r>
        <w:rPr>
          <w:color w:val="auto"/>
          <w:highlight w:val="none"/>
        </w:rPr>
        <w:t xml:space="preserve">1.9 </w:t>
      </w:r>
      <w:r>
        <w:rPr>
          <w:rFonts w:hint="eastAsia"/>
          <w:color w:val="auto"/>
          <w:highlight w:val="none"/>
        </w:rPr>
        <w:t>踏勘现场</w:t>
      </w:r>
    </w:p>
    <w:p w14:paraId="4A95751B">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投标人须知前附表规定组织踏勘现场的，招标人按投标人须知前附表规定的时间、地点组织投标人踏勘项目现场。部分投标人未按时参加踏勘现场的，不影响踏勘现场的正常进行。</w:t>
      </w:r>
    </w:p>
    <w:p w14:paraId="048B08E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1.9.2</w:t>
      </w:r>
      <w:r>
        <w:rPr>
          <w:rFonts w:hint="eastAsia" w:ascii="宋体" w:hAnsi="宋体"/>
          <w:color w:val="auto"/>
          <w:szCs w:val="21"/>
          <w:highlight w:val="none"/>
        </w:rPr>
        <w:t>投标人踏勘现场发生的费用自理。</w:t>
      </w:r>
    </w:p>
    <w:p w14:paraId="2C3770A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1.9.3</w:t>
      </w:r>
      <w:r>
        <w:rPr>
          <w:rFonts w:hint="eastAsia" w:ascii="宋体" w:hAnsi="宋体"/>
          <w:color w:val="auto"/>
          <w:szCs w:val="21"/>
          <w:highlight w:val="none"/>
        </w:rPr>
        <w:t>除招标人的原因外，投标人自行负责在踏勘现场中所发生的人员伤亡和财产损失。</w:t>
      </w:r>
    </w:p>
    <w:p w14:paraId="44A0778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1.9.4</w:t>
      </w:r>
      <w:r>
        <w:rPr>
          <w:rFonts w:hint="eastAsia" w:ascii="宋体" w:hAnsi="宋体"/>
          <w:color w:val="auto"/>
          <w:szCs w:val="21"/>
          <w:highlight w:val="none"/>
        </w:rPr>
        <w:t>招标人在踏勘现场中介绍的工程场地和相关的周边环境情况，供投标人在编制投标文件时参考，招标人不对投标人据此作出的判断和决策负责。</w:t>
      </w:r>
    </w:p>
    <w:p w14:paraId="4CE58298">
      <w:pPr>
        <w:pStyle w:val="3"/>
        <w:kinsoku w:val="0"/>
        <w:overflowPunct w:val="0"/>
        <w:spacing w:line="288" w:lineRule="auto"/>
        <w:ind w:firstLine="420" w:firstLineChars="200"/>
        <w:rPr>
          <w:rFonts w:ascii="宋体" w:hAnsi="宋体"/>
          <w:color w:val="auto"/>
          <w:szCs w:val="21"/>
          <w:highlight w:val="none"/>
        </w:rPr>
      </w:pPr>
    </w:p>
    <w:p w14:paraId="6D27F4E6">
      <w:pPr>
        <w:pStyle w:val="8"/>
        <w:rPr>
          <w:color w:val="auto"/>
          <w:highlight w:val="none"/>
        </w:rPr>
      </w:pPr>
      <w:bookmarkStart w:id="45" w:name="bookmark30"/>
      <w:bookmarkEnd w:id="45"/>
      <w:r>
        <w:rPr>
          <w:color w:val="auto"/>
          <w:highlight w:val="none"/>
        </w:rPr>
        <w:t xml:space="preserve">1.10 </w:t>
      </w:r>
      <w:r>
        <w:rPr>
          <w:rFonts w:hint="eastAsia"/>
          <w:color w:val="auto"/>
          <w:highlight w:val="none"/>
        </w:rPr>
        <w:t>投标预备会</w:t>
      </w:r>
    </w:p>
    <w:p w14:paraId="4008C94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1.10.1</w:t>
      </w:r>
      <w:r>
        <w:rPr>
          <w:rFonts w:hint="eastAsia" w:ascii="宋体" w:hAnsi="宋体"/>
          <w:color w:val="auto"/>
          <w:szCs w:val="21"/>
          <w:highlight w:val="none"/>
        </w:rPr>
        <w:t>投标人须知前附表规定召开投标预备会的，招标人按投标人须知前附表规定的时间和地点召开投标预备会，澄清投标人提出的问题。</w:t>
      </w:r>
    </w:p>
    <w:p w14:paraId="30856F6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1.10.2</w:t>
      </w:r>
      <w:r>
        <w:rPr>
          <w:rFonts w:hint="eastAsia" w:ascii="宋体" w:hAnsi="宋体"/>
          <w:color w:val="auto"/>
          <w:szCs w:val="21"/>
          <w:highlight w:val="none"/>
        </w:rPr>
        <w:t>投标人应按投标人须知前附表规定的时间和形式将提出的问题送达招标人，以便招标人在会议期间澄清。</w:t>
      </w:r>
    </w:p>
    <w:p w14:paraId="293B6AE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1.10.3</w:t>
      </w:r>
      <w:r>
        <w:rPr>
          <w:rFonts w:hint="eastAsia" w:ascii="宋体" w:hAnsi="宋体"/>
          <w:color w:val="auto"/>
          <w:szCs w:val="21"/>
          <w:highlight w:val="none"/>
        </w:rPr>
        <w:t>投标预备会后，招标人将对投标人所提问题的澄清，以投标人须知前附表规定的形式通知所有潜在投标人。该澄清内容为招标文件的组成部分。</w:t>
      </w:r>
      <w:bookmarkStart w:id="46" w:name="bookmark31"/>
      <w:bookmarkEnd w:id="46"/>
    </w:p>
    <w:p w14:paraId="7A8DBBF5">
      <w:pPr>
        <w:pStyle w:val="3"/>
        <w:kinsoku w:val="0"/>
        <w:overflowPunct w:val="0"/>
        <w:spacing w:line="288" w:lineRule="auto"/>
        <w:ind w:firstLine="420" w:firstLineChars="200"/>
        <w:rPr>
          <w:rFonts w:ascii="宋体" w:hAnsi="宋体"/>
          <w:color w:val="auto"/>
          <w:szCs w:val="21"/>
          <w:highlight w:val="none"/>
        </w:rPr>
      </w:pPr>
    </w:p>
    <w:p w14:paraId="5E6F1267">
      <w:pPr>
        <w:pStyle w:val="8"/>
        <w:rPr>
          <w:color w:val="auto"/>
          <w:highlight w:val="none"/>
        </w:rPr>
      </w:pPr>
      <w:r>
        <w:rPr>
          <w:color w:val="auto"/>
          <w:highlight w:val="none"/>
        </w:rPr>
        <w:t xml:space="preserve">1.11 </w:t>
      </w:r>
      <w:r>
        <w:rPr>
          <w:rFonts w:hint="eastAsia"/>
          <w:color w:val="auto"/>
          <w:highlight w:val="none"/>
        </w:rPr>
        <w:t>分包</w:t>
      </w:r>
    </w:p>
    <w:p w14:paraId="1512AE97">
      <w:pPr>
        <w:pStyle w:val="3"/>
        <w:kinsoku w:val="0"/>
        <w:overflowPunct w:val="0"/>
        <w:spacing w:line="288"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1.11.1</w:t>
      </w:r>
      <w:r>
        <w:rPr>
          <w:rFonts w:ascii="宋体" w:hAnsi="宋体"/>
          <w:color w:val="auto"/>
          <w:szCs w:val="21"/>
          <w:highlight w:val="none"/>
          <w:u w:val="single"/>
        </w:rPr>
        <w:t>对于非主要检测工作，中标人不具备资质的，经招标人同意后可依法分包给具备相关资质的检测单位，分包的检测工作不得再次分包。</w:t>
      </w:r>
    </w:p>
    <w:p w14:paraId="75A31543">
      <w:pPr>
        <w:rPr>
          <w:color w:val="auto"/>
          <w:highlight w:val="none"/>
        </w:rPr>
      </w:pPr>
    </w:p>
    <w:p w14:paraId="4015108B">
      <w:pPr>
        <w:pStyle w:val="8"/>
        <w:rPr>
          <w:color w:val="auto"/>
          <w:highlight w:val="none"/>
        </w:rPr>
      </w:pPr>
      <w:bookmarkStart w:id="47" w:name="bookmark32"/>
      <w:bookmarkEnd w:id="47"/>
      <w:r>
        <w:rPr>
          <w:color w:val="auto"/>
          <w:highlight w:val="none"/>
        </w:rPr>
        <w:t xml:space="preserve">1.12 </w:t>
      </w:r>
      <w:r>
        <w:rPr>
          <w:rFonts w:hint="eastAsia"/>
          <w:color w:val="auto"/>
          <w:highlight w:val="none"/>
        </w:rPr>
        <w:t>响应和偏差</w:t>
      </w:r>
    </w:p>
    <w:p w14:paraId="39D7856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1.12.1</w:t>
      </w:r>
      <w:r>
        <w:rPr>
          <w:rFonts w:hint="eastAsia" w:ascii="宋体" w:hAnsi="宋体"/>
          <w:color w:val="auto"/>
          <w:szCs w:val="21"/>
          <w:highlight w:val="none"/>
        </w:rPr>
        <w:t>投标文件应当对招标文件的实质性要求和条件作出满足性或更有利于招标人的响应，否则，投标人的投标将被否决。实质性要求和条件见投标人须知前附表。</w:t>
      </w:r>
    </w:p>
    <w:p w14:paraId="47EDF10D">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1.12.2</w:t>
      </w:r>
      <w:r>
        <w:rPr>
          <w:rFonts w:hint="eastAsia" w:ascii="宋体" w:hAnsi="宋体"/>
          <w:color w:val="auto"/>
          <w:szCs w:val="21"/>
          <w:highlight w:val="none"/>
        </w:rPr>
        <w:t>投标人应根据招标文件的要求提供技术方案等内容以对招标文件作出响应。</w:t>
      </w:r>
    </w:p>
    <w:p w14:paraId="69056A1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投标人须知前附表允许投标文件偏离招标文件某些要求的，偏差应当符合招标文件规定的偏差范围和幅度。</w:t>
      </w:r>
    </w:p>
    <w:p w14:paraId="777B96EB">
      <w:pPr>
        <w:rPr>
          <w:color w:val="auto"/>
          <w:highlight w:val="none"/>
        </w:rPr>
      </w:pPr>
    </w:p>
    <w:p w14:paraId="36C3ED87">
      <w:pPr>
        <w:pStyle w:val="6"/>
        <w:rPr>
          <w:color w:val="auto"/>
          <w:highlight w:val="none"/>
        </w:rPr>
      </w:pPr>
      <w:bookmarkStart w:id="48" w:name="_Toc118553971"/>
      <w:bookmarkStart w:id="49" w:name="_Toc533357309"/>
      <w:r>
        <w:rPr>
          <w:color w:val="auto"/>
          <w:highlight w:val="none"/>
        </w:rPr>
        <w:t xml:space="preserve">2. </w:t>
      </w:r>
      <w:r>
        <w:rPr>
          <w:rFonts w:hint="eastAsia"/>
          <w:color w:val="auto"/>
          <w:highlight w:val="none"/>
        </w:rPr>
        <w:t>招标文件</w:t>
      </w:r>
      <w:bookmarkEnd w:id="48"/>
      <w:bookmarkEnd w:id="49"/>
    </w:p>
    <w:p w14:paraId="462FFAA9">
      <w:pPr>
        <w:pStyle w:val="8"/>
        <w:rPr>
          <w:color w:val="auto"/>
          <w:highlight w:val="none"/>
        </w:rPr>
      </w:pPr>
      <w:bookmarkStart w:id="50" w:name="bookmark34"/>
      <w:bookmarkEnd w:id="50"/>
      <w:r>
        <w:rPr>
          <w:color w:val="auto"/>
          <w:highlight w:val="none"/>
        </w:rPr>
        <w:t xml:space="preserve">2.1 </w:t>
      </w:r>
      <w:r>
        <w:rPr>
          <w:rFonts w:hint="eastAsia"/>
          <w:color w:val="auto"/>
          <w:highlight w:val="none"/>
        </w:rPr>
        <w:t>招标文件的组成</w:t>
      </w:r>
    </w:p>
    <w:p w14:paraId="05EB86D5">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本招标文件包括：</w:t>
      </w:r>
    </w:p>
    <w:p w14:paraId="3AB64407">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）招标公告；</w:t>
      </w:r>
    </w:p>
    <w:p w14:paraId="779E447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）投标人须知；</w:t>
      </w:r>
    </w:p>
    <w:p w14:paraId="10922B5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）评标办法；</w:t>
      </w:r>
    </w:p>
    <w:p w14:paraId="149FBCE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）合同条款及格式；</w:t>
      </w:r>
    </w:p>
    <w:p w14:paraId="20EFBE9E">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）委托人要求；</w:t>
      </w:r>
    </w:p>
    <w:p w14:paraId="51E74CA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）投标文件格式；</w:t>
      </w:r>
    </w:p>
    <w:p w14:paraId="76BC40E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）投标人须知前附表规定的其他资料。</w:t>
      </w:r>
    </w:p>
    <w:p w14:paraId="5A06061B">
      <w:pPr>
        <w:pStyle w:val="3"/>
        <w:kinsoku w:val="0"/>
        <w:overflowPunct w:val="0"/>
        <w:spacing w:line="288" w:lineRule="auto"/>
        <w:rPr>
          <w:rFonts w:ascii="宋体" w:hAnsi="宋体"/>
          <w:color w:val="auto"/>
          <w:szCs w:val="21"/>
          <w:highlight w:val="none"/>
        </w:rPr>
      </w:pPr>
      <w:r>
        <w:rPr>
          <w:rFonts w:hint="eastAsia" w:ascii="宋体" w:hAnsi="宋体"/>
          <w:color w:val="auto"/>
          <w:szCs w:val="21"/>
          <w:highlight w:val="none"/>
        </w:rPr>
        <w:t>根据本章第</w:t>
      </w:r>
      <w:r>
        <w:rPr>
          <w:rFonts w:ascii="宋体" w:hAnsi="宋体"/>
          <w:color w:val="auto"/>
          <w:szCs w:val="21"/>
          <w:highlight w:val="none"/>
        </w:rPr>
        <w:t>1.10</w:t>
      </w:r>
      <w:r>
        <w:rPr>
          <w:rFonts w:hint="eastAsia" w:ascii="宋体" w:hAnsi="宋体"/>
          <w:color w:val="auto"/>
          <w:szCs w:val="21"/>
          <w:highlight w:val="none"/>
        </w:rPr>
        <w:t>款、第</w:t>
      </w:r>
      <w:r>
        <w:rPr>
          <w:rFonts w:ascii="宋体" w:hAnsi="宋体"/>
          <w:color w:val="auto"/>
          <w:szCs w:val="21"/>
          <w:highlight w:val="none"/>
        </w:rPr>
        <w:t>2.2</w:t>
      </w:r>
      <w:r>
        <w:rPr>
          <w:rFonts w:hint="eastAsia" w:ascii="宋体" w:hAnsi="宋体"/>
          <w:color w:val="auto"/>
          <w:szCs w:val="21"/>
          <w:highlight w:val="none"/>
        </w:rPr>
        <w:t>款和第</w:t>
      </w:r>
      <w:r>
        <w:rPr>
          <w:rFonts w:ascii="宋体" w:hAnsi="宋体"/>
          <w:color w:val="auto"/>
          <w:szCs w:val="21"/>
          <w:highlight w:val="none"/>
        </w:rPr>
        <w:t>2.3</w:t>
      </w:r>
      <w:r>
        <w:rPr>
          <w:rFonts w:hint="eastAsia" w:ascii="宋体" w:hAnsi="宋体"/>
          <w:color w:val="auto"/>
          <w:szCs w:val="21"/>
          <w:highlight w:val="none"/>
        </w:rPr>
        <w:t>款对招标文件所作的澄清、修改，构成招标文件的组成部分。</w:t>
      </w:r>
    </w:p>
    <w:p w14:paraId="4EA609A1">
      <w:pPr>
        <w:pStyle w:val="8"/>
        <w:rPr>
          <w:color w:val="auto"/>
          <w:highlight w:val="none"/>
        </w:rPr>
      </w:pPr>
      <w:bookmarkStart w:id="51" w:name="bookmark35"/>
      <w:bookmarkEnd w:id="51"/>
      <w:r>
        <w:rPr>
          <w:color w:val="auto"/>
          <w:highlight w:val="none"/>
        </w:rPr>
        <w:t xml:space="preserve">2.2 </w:t>
      </w:r>
      <w:r>
        <w:rPr>
          <w:rFonts w:hint="eastAsia"/>
          <w:color w:val="auto"/>
          <w:highlight w:val="none"/>
        </w:rPr>
        <w:t>招标文件的澄清</w:t>
      </w:r>
    </w:p>
    <w:p w14:paraId="69D5E75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AFC59DD">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招标文件的澄清以投标人须知前附表规定的形式发给所有潜在投标人，但不指明澄清问题的来源。澄清发出的时间距本章第</w:t>
      </w:r>
      <w:r>
        <w:rPr>
          <w:rFonts w:ascii="宋体" w:hAnsi="宋体"/>
          <w:color w:val="auto"/>
          <w:szCs w:val="21"/>
          <w:highlight w:val="none"/>
        </w:rPr>
        <w:t>4.2.1</w:t>
      </w:r>
      <w:r>
        <w:rPr>
          <w:rFonts w:hint="eastAsia" w:ascii="宋体" w:hAnsi="宋体"/>
          <w:color w:val="auto"/>
          <w:szCs w:val="21"/>
          <w:highlight w:val="none"/>
        </w:rPr>
        <w:t>项规定的投标截止时间不足</w:t>
      </w:r>
      <w:r>
        <w:rPr>
          <w:rFonts w:ascii="宋体" w:hAnsi="宋体"/>
          <w:color w:val="auto"/>
          <w:szCs w:val="21"/>
          <w:highlight w:val="none"/>
        </w:rPr>
        <w:t>15</w:t>
      </w:r>
      <w:r>
        <w:rPr>
          <w:rFonts w:hint="eastAsia" w:ascii="宋体" w:hAnsi="宋体"/>
          <w:color w:val="auto"/>
          <w:szCs w:val="21"/>
          <w:highlight w:val="none"/>
        </w:rPr>
        <w:t>日的，并且澄清内容可能影响投标文件编制的，将相应延长投标截止时间。</w:t>
      </w:r>
    </w:p>
    <w:p w14:paraId="7D43D7F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 xml:space="preserve">2.2.3 </w:t>
      </w:r>
      <w:r>
        <w:rPr>
          <w:rFonts w:hint="eastAsia" w:ascii="宋体" w:hAnsi="宋体"/>
          <w:color w:val="auto"/>
          <w:szCs w:val="21"/>
          <w:highlight w:val="none"/>
        </w:rPr>
        <w:t>投标人在收到澄清后，应按投标人须知前附表规定的时间和形式通知</w:t>
      </w:r>
      <w:r>
        <w:rPr>
          <w:rFonts w:hint="eastAsia" w:ascii="宋体" w:hAnsi="宋体"/>
          <w:color w:val="auto"/>
          <w:sz w:val="21"/>
          <w:szCs w:val="21"/>
          <w:highlight w:val="none"/>
        </w:rPr>
        <w:t>招标人</w:t>
      </w:r>
      <w:r>
        <w:rPr>
          <w:rFonts w:hint="eastAsia" w:ascii="宋体" w:hAnsi="宋体"/>
          <w:color w:val="auto"/>
          <w:sz w:val="24"/>
          <w:szCs w:val="24"/>
          <w:highlight w:val="none"/>
        </w:rPr>
        <w:t>，</w:t>
      </w:r>
      <w:r>
        <w:rPr>
          <w:rFonts w:hint="eastAsia" w:ascii="宋体" w:hAnsi="宋体"/>
          <w:color w:val="auto"/>
          <w:szCs w:val="21"/>
          <w:highlight w:val="none"/>
        </w:rPr>
        <w:t>确认已收到该澄清。</w:t>
      </w:r>
    </w:p>
    <w:p w14:paraId="16F205EB">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除非招标人认为确有必要答复，否则，招标人有权拒绝回复投标人在本章第</w:t>
      </w:r>
      <w:r>
        <w:rPr>
          <w:rFonts w:ascii="宋体" w:hAnsi="宋体"/>
          <w:color w:val="auto"/>
          <w:szCs w:val="21"/>
          <w:highlight w:val="none"/>
        </w:rPr>
        <w:t>2.2.1</w:t>
      </w:r>
      <w:r>
        <w:rPr>
          <w:rFonts w:hint="eastAsia" w:ascii="宋体" w:hAnsi="宋体"/>
          <w:color w:val="auto"/>
          <w:szCs w:val="21"/>
          <w:highlight w:val="none"/>
        </w:rPr>
        <w:t>项规定的时间后的任何澄清要求。</w:t>
      </w:r>
    </w:p>
    <w:p w14:paraId="78C83271">
      <w:pPr>
        <w:pStyle w:val="3"/>
        <w:kinsoku w:val="0"/>
        <w:overflowPunct w:val="0"/>
        <w:spacing w:line="288" w:lineRule="auto"/>
        <w:ind w:firstLine="420" w:firstLineChars="200"/>
        <w:rPr>
          <w:rFonts w:ascii="宋体" w:hAnsi="宋体"/>
          <w:color w:val="auto"/>
          <w:szCs w:val="21"/>
          <w:highlight w:val="none"/>
        </w:rPr>
      </w:pPr>
    </w:p>
    <w:p w14:paraId="06605974">
      <w:pPr>
        <w:pStyle w:val="8"/>
        <w:rPr>
          <w:color w:val="auto"/>
          <w:highlight w:val="none"/>
        </w:rPr>
      </w:pPr>
      <w:bookmarkStart w:id="52" w:name="bookmark36"/>
      <w:bookmarkEnd w:id="52"/>
      <w:r>
        <w:rPr>
          <w:color w:val="auto"/>
          <w:highlight w:val="none"/>
        </w:rPr>
        <w:t xml:space="preserve">2.3 </w:t>
      </w:r>
      <w:r>
        <w:rPr>
          <w:rFonts w:hint="eastAsia"/>
          <w:color w:val="auto"/>
          <w:highlight w:val="none"/>
        </w:rPr>
        <w:t>招标文件的修改</w:t>
      </w:r>
    </w:p>
    <w:p w14:paraId="5AB6918F">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2.3.1</w:t>
      </w:r>
      <w:r>
        <w:rPr>
          <w:rFonts w:hint="eastAsia" w:ascii="宋体" w:hAnsi="宋体"/>
          <w:color w:val="auto"/>
          <w:szCs w:val="21"/>
          <w:highlight w:val="none"/>
        </w:rPr>
        <w:t>招标人以投标人须知前附表规定的形式修改招标文件，并通知所有潜在投标人。修改招标文件的时间距本章第</w:t>
      </w:r>
      <w:r>
        <w:rPr>
          <w:rFonts w:ascii="宋体" w:hAnsi="宋体"/>
          <w:color w:val="auto"/>
          <w:szCs w:val="21"/>
          <w:highlight w:val="none"/>
        </w:rPr>
        <w:t>4.2.1</w:t>
      </w:r>
      <w:r>
        <w:rPr>
          <w:rFonts w:hint="eastAsia" w:ascii="宋体" w:hAnsi="宋体"/>
          <w:color w:val="auto"/>
          <w:szCs w:val="21"/>
          <w:highlight w:val="none"/>
        </w:rPr>
        <w:t>项规定的投标截止时间不足</w:t>
      </w:r>
      <w:r>
        <w:rPr>
          <w:rFonts w:ascii="宋体" w:hAnsi="宋体"/>
          <w:color w:val="auto"/>
          <w:szCs w:val="21"/>
          <w:highlight w:val="none"/>
        </w:rPr>
        <w:t>15</w:t>
      </w:r>
      <w:r>
        <w:rPr>
          <w:rFonts w:hint="eastAsia" w:ascii="宋体" w:hAnsi="宋体"/>
          <w:color w:val="auto"/>
          <w:szCs w:val="21"/>
          <w:highlight w:val="none"/>
        </w:rPr>
        <w:t>日的，并且修改内容可能影响投标文件编制的，将相应延长投标截止时间。</w:t>
      </w:r>
    </w:p>
    <w:p w14:paraId="166CEA6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2.3.2</w:t>
      </w:r>
      <w:r>
        <w:rPr>
          <w:rFonts w:hint="eastAsia" w:ascii="宋体" w:hAnsi="宋体"/>
          <w:color w:val="auto"/>
          <w:szCs w:val="21"/>
          <w:highlight w:val="none"/>
        </w:rPr>
        <w:t>投标人收到修改内容后，应按投标人须知前附表规定的时间和形式通知招标人，确认已收到该修改。</w:t>
      </w:r>
    </w:p>
    <w:p w14:paraId="372258A6">
      <w:pPr>
        <w:pStyle w:val="3"/>
        <w:kinsoku w:val="0"/>
        <w:overflowPunct w:val="0"/>
        <w:spacing w:line="288" w:lineRule="auto"/>
        <w:ind w:firstLine="420" w:firstLineChars="200"/>
        <w:rPr>
          <w:rFonts w:ascii="宋体" w:hAnsi="宋体"/>
          <w:color w:val="auto"/>
          <w:szCs w:val="21"/>
          <w:highlight w:val="none"/>
        </w:rPr>
      </w:pPr>
    </w:p>
    <w:p w14:paraId="30673496">
      <w:pPr>
        <w:pStyle w:val="8"/>
        <w:rPr>
          <w:color w:val="auto"/>
          <w:highlight w:val="none"/>
        </w:rPr>
      </w:pPr>
      <w:bookmarkStart w:id="53" w:name="bookmark37"/>
      <w:bookmarkEnd w:id="53"/>
      <w:r>
        <w:rPr>
          <w:color w:val="auto"/>
          <w:highlight w:val="none"/>
        </w:rPr>
        <w:t xml:space="preserve">2.4 </w:t>
      </w:r>
      <w:r>
        <w:rPr>
          <w:rFonts w:hint="eastAsia"/>
          <w:color w:val="auto"/>
          <w:highlight w:val="none"/>
        </w:rPr>
        <w:t>招标文件的异议</w:t>
      </w:r>
    </w:p>
    <w:p w14:paraId="02FCCBE4">
      <w:pPr>
        <w:pStyle w:val="3"/>
        <w:kinsoku w:val="0"/>
        <w:overflowPunct w:val="0"/>
        <w:spacing w:line="288" w:lineRule="auto"/>
        <w:ind w:firstLine="420" w:firstLineChars="200"/>
        <w:rPr>
          <w:rFonts w:ascii="宋体" w:hAnsi="宋体"/>
          <w:strike/>
          <w:color w:val="auto"/>
          <w:szCs w:val="21"/>
          <w:highlight w:val="none"/>
        </w:rPr>
      </w:pPr>
      <w:r>
        <w:rPr>
          <w:rFonts w:hint="eastAsia" w:ascii="宋体" w:hAnsi="宋体"/>
          <w:color w:val="auto"/>
          <w:szCs w:val="21"/>
          <w:highlight w:val="none"/>
        </w:rPr>
        <w:t>投标人或者其他利害关系人对招标文件有异议的，应当在投标截止时间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日前通过线下形式提出异议。招标人将在收到异议之日起</w:t>
      </w:r>
      <w:r>
        <w:rPr>
          <w:rFonts w:ascii="宋体" w:hAnsi="宋体"/>
          <w:color w:val="auto"/>
          <w:szCs w:val="21"/>
          <w:highlight w:val="none"/>
        </w:rPr>
        <w:t>3</w:t>
      </w:r>
      <w:r>
        <w:rPr>
          <w:rFonts w:hint="eastAsia" w:ascii="宋体" w:hAnsi="宋体"/>
          <w:color w:val="auto"/>
          <w:szCs w:val="21"/>
          <w:highlight w:val="none"/>
        </w:rPr>
        <w:t>日内作出答复；作出答复前,将暂停招标投标活动。</w:t>
      </w:r>
    </w:p>
    <w:p w14:paraId="20274ADB">
      <w:pPr>
        <w:pStyle w:val="3"/>
        <w:kinsoku w:val="0"/>
        <w:overflowPunct w:val="0"/>
        <w:spacing w:line="288" w:lineRule="auto"/>
        <w:ind w:firstLine="420" w:firstLineChars="200"/>
        <w:rPr>
          <w:rFonts w:ascii="宋体" w:hAnsi="宋体"/>
          <w:color w:val="auto"/>
          <w:szCs w:val="21"/>
          <w:highlight w:val="none"/>
        </w:rPr>
      </w:pPr>
    </w:p>
    <w:p w14:paraId="7D5CFA27">
      <w:pPr>
        <w:pStyle w:val="6"/>
        <w:rPr>
          <w:color w:val="auto"/>
          <w:highlight w:val="none"/>
        </w:rPr>
      </w:pPr>
      <w:bookmarkStart w:id="54" w:name="_Toc118553972"/>
      <w:bookmarkStart w:id="55" w:name="_Toc533357310"/>
      <w:r>
        <w:rPr>
          <w:color w:val="auto"/>
          <w:highlight w:val="none"/>
        </w:rPr>
        <w:t xml:space="preserve">3. </w:t>
      </w:r>
      <w:r>
        <w:rPr>
          <w:rFonts w:hint="eastAsia"/>
          <w:color w:val="auto"/>
          <w:highlight w:val="none"/>
        </w:rPr>
        <w:t>投标文件</w:t>
      </w:r>
      <w:bookmarkEnd w:id="54"/>
      <w:bookmarkEnd w:id="55"/>
    </w:p>
    <w:p w14:paraId="4208E535">
      <w:pPr>
        <w:pStyle w:val="8"/>
        <w:ind w:firstLine="420"/>
        <w:rPr>
          <w:color w:val="auto"/>
          <w:highlight w:val="none"/>
        </w:rPr>
      </w:pPr>
      <w:bookmarkStart w:id="56" w:name="bookmark39"/>
      <w:bookmarkEnd w:id="56"/>
      <w:r>
        <w:rPr>
          <w:color w:val="auto"/>
          <w:highlight w:val="none"/>
        </w:rPr>
        <w:t xml:space="preserve">3.1 </w:t>
      </w:r>
      <w:r>
        <w:rPr>
          <w:rFonts w:hint="eastAsia"/>
          <w:color w:val="auto"/>
          <w:highlight w:val="none"/>
        </w:rPr>
        <w:t>投标文件的组成</w:t>
      </w:r>
    </w:p>
    <w:p w14:paraId="09CC530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投标文件应包括下列内容：</w:t>
      </w:r>
    </w:p>
    <w:p w14:paraId="126591B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（1）投标函及其附表；</w:t>
      </w:r>
    </w:p>
    <w:p w14:paraId="21506017">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（2）法定代表人证明书及授权委托书；</w:t>
      </w:r>
    </w:p>
    <w:p w14:paraId="351FBAF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（3）投标保证金；</w:t>
      </w:r>
    </w:p>
    <w:p w14:paraId="317A2A4A">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（4）投标报价书；</w:t>
      </w:r>
    </w:p>
    <w:p w14:paraId="677FF70E">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（5）资格审查资料；</w:t>
      </w:r>
    </w:p>
    <w:p w14:paraId="4AA91A67">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（6）类似项目业绩表；</w:t>
      </w:r>
    </w:p>
    <w:p w14:paraId="07CE022E">
      <w:pPr>
        <w:pStyle w:val="3"/>
        <w:kinsoku w:val="0"/>
        <w:overflowPunct w:val="0"/>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（7）投标人信誉证明材料；</w:t>
      </w:r>
    </w:p>
    <w:p w14:paraId="03B90D1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s="宋体"/>
          <w:color w:val="auto"/>
          <w:spacing w:val="-2"/>
          <w:szCs w:val="24"/>
          <w:highlight w:val="none"/>
          <w:u w:val="none"/>
        </w:rPr>
        <w:t>投标人廉洁承诺书；</w:t>
      </w:r>
    </w:p>
    <w:p w14:paraId="72EB60F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）拟投入本项目的检测人员资格证明材料（包括“拟投入本项目的检测人员一览表”和“拟投入本项目的检测人员简历表”等资料）；</w:t>
      </w:r>
    </w:p>
    <w:p w14:paraId="58F649F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）拟投入本项目的主要检测仪器设备一览表；</w:t>
      </w:r>
    </w:p>
    <w:p w14:paraId="52ED82F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）检测方案；</w:t>
      </w:r>
    </w:p>
    <w:p w14:paraId="67D50FC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）其他资料。</w:t>
      </w:r>
    </w:p>
    <w:p w14:paraId="4A7DB55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投标人须知前附表规定的其他资料，投标人认为有必要提交的其他资料。投标人在评标过程中作出的符合法律法规和招标文件规定的澄清确认，构成投标文件的组成部分。</w:t>
      </w:r>
    </w:p>
    <w:p w14:paraId="791A73A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rPr>
        <w:t>投标人须知前附表规定不接受联合体投标的，或投标人没有组成联合体的，投标文件不包括本章第</w:t>
      </w:r>
      <w:r>
        <w:rPr>
          <w:rFonts w:ascii="宋体" w:hAnsi="宋体"/>
          <w:color w:val="auto"/>
          <w:szCs w:val="21"/>
          <w:highlight w:val="none"/>
        </w:rPr>
        <w:t>3.1.1</w:t>
      </w:r>
      <w:r>
        <w:rPr>
          <w:rFonts w:hint="eastAsia" w:ascii="宋体" w:hAnsi="宋体"/>
          <w:color w:val="auto"/>
          <w:szCs w:val="21"/>
          <w:highlight w:val="none"/>
        </w:rPr>
        <w:t>所指的联合体协议书。</w:t>
      </w:r>
    </w:p>
    <w:p w14:paraId="7907CA6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3.1.3</w:t>
      </w:r>
      <w:r>
        <w:rPr>
          <w:rFonts w:hint="eastAsia" w:ascii="宋体" w:hAnsi="宋体"/>
          <w:color w:val="auto"/>
          <w:szCs w:val="21"/>
          <w:highlight w:val="none"/>
        </w:rPr>
        <w:t>投标人须知前附表未要求提交投标保证金的，投标文件不包括本章第</w:t>
      </w:r>
      <w:r>
        <w:rPr>
          <w:rFonts w:ascii="宋体" w:hAnsi="宋体"/>
          <w:color w:val="auto"/>
          <w:szCs w:val="21"/>
          <w:highlight w:val="none"/>
        </w:rPr>
        <w:t>3.1.1</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）所指的投标保证金。</w:t>
      </w:r>
    </w:p>
    <w:p w14:paraId="6B01095F">
      <w:pPr>
        <w:pStyle w:val="3"/>
        <w:kinsoku w:val="0"/>
        <w:overflowPunct w:val="0"/>
        <w:spacing w:line="288" w:lineRule="auto"/>
        <w:ind w:firstLine="420" w:firstLineChars="200"/>
        <w:rPr>
          <w:rFonts w:ascii="宋体" w:hAnsi="宋体"/>
          <w:color w:val="auto"/>
          <w:szCs w:val="21"/>
          <w:highlight w:val="none"/>
        </w:rPr>
      </w:pPr>
    </w:p>
    <w:p w14:paraId="5A6E7313">
      <w:pPr>
        <w:pStyle w:val="8"/>
        <w:rPr>
          <w:color w:val="auto"/>
          <w:highlight w:val="none"/>
        </w:rPr>
      </w:pPr>
      <w:bookmarkStart w:id="57" w:name="bookmark40"/>
      <w:bookmarkEnd w:id="57"/>
      <w:r>
        <w:rPr>
          <w:color w:val="auto"/>
          <w:highlight w:val="none"/>
        </w:rPr>
        <w:t xml:space="preserve">3.2 </w:t>
      </w:r>
      <w:r>
        <w:rPr>
          <w:rFonts w:hint="eastAsia"/>
          <w:color w:val="auto"/>
          <w:highlight w:val="none"/>
        </w:rPr>
        <w:t>投标报价</w:t>
      </w:r>
    </w:p>
    <w:p w14:paraId="1EBDFBC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投标报价应包括国家规定的增值税税金，除投标人须知前附表另有规定外，增值税税金按一般计税方法计算。投标人应按第六章“投标文件格式”的要求在投标函中进行报价并填写报价书。</w:t>
      </w:r>
    </w:p>
    <w:p w14:paraId="05710328">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投标人应充分了解该项目的总体情况以及影响投标报价的其他要素。</w:t>
      </w:r>
    </w:p>
    <w:p w14:paraId="6408391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本项目的报价方式见投标人须知前附表。投标人在投标截止时间前修改投标函中的投标报价总额，应同时修改投标文件“报价书”中的相应报价。此修改须符合本章第</w:t>
      </w:r>
      <w:r>
        <w:rPr>
          <w:rFonts w:ascii="宋体" w:hAnsi="宋体"/>
          <w:color w:val="auto"/>
          <w:szCs w:val="21"/>
          <w:highlight w:val="none"/>
        </w:rPr>
        <w:t>4.3</w:t>
      </w:r>
      <w:r>
        <w:rPr>
          <w:rFonts w:hint="eastAsia" w:ascii="宋体" w:hAnsi="宋体"/>
          <w:color w:val="auto"/>
          <w:szCs w:val="21"/>
          <w:highlight w:val="none"/>
        </w:rPr>
        <w:t>款的有关要求。</w:t>
      </w:r>
    </w:p>
    <w:p w14:paraId="0903D789">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3.2.4</w:t>
      </w:r>
      <w:r>
        <w:rPr>
          <w:rFonts w:hint="eastAsia" w:ascii="宋体" w:hAnsi="宋体"/>
          <w:color w:val="auto"/>
          <w:szCs w:val="21"/>
          <w:highlight w:val="none"/>
        </w:rPr>
        <w:t>招标人设有最高投标限价的，投标人的投标报价不得超过最高投标限价，最高投标限价在投标人须知前附表中载明。</w:t>
      </w:r>
    </w:p>
    <w:p w14:paraId="7703F8A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3.2.5</w:t>
      </w:r>
      <w:r>
        <w:rPr>
          <w:rFonts w:hint="eastAsia" w:ascii="宋体" w:hAnsi="宋体"/>
          <w:color w:val="auto"/>
          <w:szCs w:val="21"/>
          <w:highlight w:val="none"/>
        </w:rPr>
        <w:t>投标报价的其他要求见投标人须知前附表。</w:t>
      </w:r>
    </w:p>
    <w:p w14:paraId="17C4A989">
      <w:pPr>
        <w:pStyle w:val="3"/>
        <w:kinsoku w:val="0"/>
        <w:overflowPunct w:val="0"/>
        <w:spacing w:line="288" w:lineRule="auto"/>
        <w:ind w:firstLine="420" w:firstLineChars="200"/>
        <w:rPr>
          <w:rFonts w:ascii="宋体" w:hAnsi="宋体"/>
          <w:color w:val="auto"/>
          <w:szCs w:val="21"/>
          <w:highlight w:val="none"/>
        </w:rPr>
      </w:pPr>
    </w:p>
    <w:p w14:paraId="3C467022">
      <w:pPr>
        <w:pStyle w:val="8"/>
        <w:rPr>
          <w:color w:val="auto"/>
          <w:highlight w:val="none"/>
        </w:rPr>
      </w:pPr>
      <w:bookmarkStart w:id="58" w:name="bookmark41"/>
      <w:bookmarkEnd w:id="58"/>
      <w:r>
        <w:rPr>
          <w:color w:val="auto"/>
          <w:highlight w:val="none"/>
        </w:rPr>
        <w:t xml:space="preserve">3.3 </w:t>
      </w:r>
      <w:r>
        <w:rPr>
          <w:rFonts w:hint="eastAsia"/>
          <w:color w:val="auto"/>
          <w:highlight w:val="none"/>
        </w:rPr>
        <w:t>投标有效期</w:t>
      </w:r>
    </w:p>
    <w:p w14:paraId="186D518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3.3.1</w:t>
      </w:r>
      <w:r>
        <w:rPr>
          <w:rFonts w:hint="eastAsia" w:ascii="宋体" w:hAnsi="宋体"/>
          <w:color w:val="auto"/>
          <w:szCs w:val="21"/>
          <w:highlight w:val="none"/>
        </w:rPr>
        <w:t>除投标人须知前附表另有规定外，投标有效期为</w:t>
      </w:r>
      <w:r>
        <w:rPr>
          <w:rFonts w:ascii="宋体" w:hAnsi="宋体"/>
          <w:color w:val="auto"/>
          <w:szCs w:val="21"/>
          <w:highlight w:val="none"/>
        </w:rPr>
        <w:t>90</w:t>
      </w:r>
      <w:r>
        <w:rPr>
          <w:rFonts w:hint="eastAsia" w:ascii="宋体" w:hAnsi="宋体"/>
          <w:color w:val="auto"/>
          <w:szCs w:val="21"/>
          <w:highlight w:val="none"/>
        </w:rPr>
        <w:t>天。</w:t>
      </w:r>
    </w:p>
    <w:p w14:paraId="77E45B4D">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在投标有效期内，投标人撤销投标文件的，应承担招标文件和法律规定的责任。</w:t>
      </w:r>
    </w:p>
    <w:p w14:paraId="31B79F7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C6B6587">
      <w:pPr>
        <w:pStyle w:val="3"/>
        <w:kinsoku w:val="0"/>
        <w:overflowPunct w:val="0"/>
        <w:spacing w:line="288" w:lineRule="auto"/>
        <w:ind w:firstLine="420" w:firstLineChars="200"/>
        <w:rPr>
          <w:rFonts w:ascii="宋体" w:hAnsi="宋体"/>
          <w:color w:val="auto"/>
          <w:szCs w:val="21"/>
          <w:highlight w:val="none"/>
        </w:rPr>
      </w:pPr>
    </w:p>
    <w:p w14:paraId="7951653C">
      <w:pPr>
        <w:pStyle w:val="8"/>
        <w:rPr>
          <w:color w:val="auto"/>
          <w:highlight w:val="none"/>
        </w:rPr>
      </w:pPr>
      <w:bookmarkStart w:id="59" w:name="bookmark42"/>
      <w:bookmarkEnd w:id="59"/>
      <w:r>
        <w:rPr>
          <w:color w:val="auto"/>
          <w:highlight w:val="none"/>
        </w:rPr>
        <w:t xml:space="preserve">3.4 </w:t>
      </w:r>
      <w:r>
        <w:rPr>
          <w:rFonts w:hint="eastAsia"/>
          <w:color w:val="auto"/>
          <w:highlight w:val="none"/>
        </w:rPr>
        <w:t>投标保证金</w:t>
      </w:r>
    </w:p>
    <w:p w14:paraId="1AB88F3B">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3.4.1</w:t>
      </w:r>
      <w:r>
        <w:rPr>
          <w:rFonts w:hint="eastAsia" w:ascii="宋体" w:hAnsi="宋体"/>
          <w:color w:val="auto"/>
          <w:szCs w:val="21"/>
          <w:highlight w:val="none"/>
        </w:rPr>
        <w:t>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7F3C2E6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3.4.2</w:t>
      </w:r>
      <w:r>
        <w:rPr>
          <w:rFonts w:hint="eastAsia" w:ascii="宋体" w:hAnsi="宋体"/>
          <w:color w:val="auto"/>
          <w:szCs w:val="21"/>
          <w:highlight w:val="none"/>
        </w:rPr>
        <w:t>投标人不按本章第</w:t>
      </w:r>
      <w:r>
        <w:rPr>
          <w:rFonts w:ascii="宋体" w:hAnsi="宋体"/>
          <w:color w:val="auto"/>
          <w:szCs w:val="21"/>
          <w:highlight w:val="none"/>
        </w:rPr>
        <w:t>3.4.1</w:t>
      </w:r>
      <w:r>
        <w:rPr>
          <w:rFonts w:hint="eastAsia" w:ascii="宋体" w:hAnsi="宋体"/>
          <w:color w:val="auto"/>
          <w:szCs w:val="21"/>
          <w:highlight w:val="none"/>
        </w:rPr>
        <w:t>项要求提交投标保证金的，评标委员会将否决其投标。</w:t>
      </w:r>
    </w:p>
    <w:p w14:paraId="200CF1F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3.4.3</w:t>
      </w:r>
      <w:r>
        <w:rPr>
          <w:rFonts w:hint="eastAsia" w:ascii="宋体" w:hAnsi="宋体"/>
          <w:color w:val="auto"/>
          <w:szCs w:val="21"/>
          <w:highlight w:val="none"/>
        </w:rPr>
        <w:t>招标人最迟将在与中标人签订合同后</w:t>
      </w:r>
      <w:r>
        <w:rPr>
          <w:rFonts w:ascii="宋体" w:hAnsi="宋体"/>
          <w:color w:val="auto"/>
          <w:szCs w:val="21"/>
          <w:highlight w:val="none"/>
        </w:rPr>
        <w:t>5</w:t>
      </w:r>
      <w:r>
        <w:rPr>
          <w:rFonts w:hint="eastAsia" w:ascii="宋体" w:hAnsi="宋体"/>
          <w:color w:val="auto"/>
          <w:szCs w:val="21"/>
          <w:highlight w:val="none"/>
        </w:rPr>
        <w:t>日内，向未中标的投标人和中标人退还投标保证金。投标保证金以现金或者支票形式递交的，还应退还银行同期存款利息。</w:t>
      </w:r>
    </w:p>
    <w:p w14:paraId="74A4BD2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3.4.4</w:t>
      </w:r>
      <w:r>
        <w:rPr>
          <w:rFonts w:hint="eastAsia" w:ascii="宋体" w:hAnsi="宋体"/>
          <w:color w:val="auto"/>
          <w:szCs w:val="21"/>
          <w:highlight w:val="none"/>
        </w:rPr>
        <w:t>有下列情形之一的，投标保证金将不予退还：</w:t>
      </w:r>
    </w:p>
    <w:p w14:paraId="06546F4C">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）投标人在投标有效期内撤销投标文件；</w:t>
      </w:r>
    </w:p>
    <w:p w14:paraId="04BAE4A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）中标人在收到中标通知书后，无正当理由不与招标人订立合同，在签订合同时向招标人提出附加条件，或者不按照招标文件要求提交履约保证金；</w:t>
      </w:r>
    </w:p>
    <w:p w14:paraId="587B171A">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）发生投标人须知前附表规定的其他可以不予退还投标保证金的情形。</w:t>
      </w:r>
    </w:p>
    <w:p w14:paraId="0E503A90">
      <w:pPr>
        <w:pStyle w:val="3"/>
        <w:kinsoku w:val="0"/>
        <w:overflowPunct w:val="0"/>
        <w:spacing w:line="288" w:lineRule="auto"/>
        <w:ind w:firstLine="420" w:firstLineChars="200"/>
        <w:rPr>
          <w:rFonts w:ascii="宋体" w:hAnsi="宋体"/>
          <w:color w:val="auto"/>
          <w:szCs w:val="21"/>
          <w:highlight w:val="none"/>
        </w:rPr>
      </w:pPr>
      <w:bookmarkStart w:id="60" w:name="bookmark43"/>
      <w:bookmarkEnd w:id="60"/>
    </w:p>
    <w:p w14:paraId="2F036A7C">
      <w:pPr>
        <w:pStyle w:val="8"/>
        <w:rPr>
          <w:color w:val="auto"/>
          <w:highlight w:val="none"/>
        </w:rPr>
      </w:pPr>
      <w:bookmarkStart w:id="61" w:name="bookmark44"/>
      <w:bookmarkEnd w:id="61"/>
      <w:r>
        <w:rPr>
          <w:color w:val="auto"/>
          <w:highlight w:val="none"/>
        </w:rPr>
        <w:t xml:space="preserve">3.5 </w:t>
      </w:r>
      <w:r>
        <w:rPr>
          <w:rFonts w:hint="eastAsia"/>
          <w:color w:val="auto"/>
          <w:highlight w:val="none"/>
        </w:rPr>
        <w:t>资格审查资料</w:t>
      </w:r>
    </w:p>
    <w:p w14:paraId="320E09C1">
      <w:pPr>
        <w:pStyle w:val="3"/>
        <w:kinsoku w:val="0"/>
        <w:overflowPunct w:val="0"/>
        <w:spacing w:line="288" w:lineRule="auto"/>
        <w:ind w:firstLine="420" w:firstLineChars="200"/>
        <w:rPr>
          <w:rFonts w:ascii="宋体" w:hAnsi="宋体"/>
          <w:color w:val="auto"/>
          <w:szCs w:val="21"/>
          <w:highlight w:val="none"/>
        </w:rPr>
      </w:pPr>
      <w:bookmarkStart w:id="62" w:name="bookmark45"/>
      <w:bookmarkEnd w:id="62"/>
      <w:r>
        <w:rPr>
          <w:rFonts w:hint="eastAsia" w:ascii="宋体" w:hAnsi="宋体"/>
          <w:color w:val="auto"/>
          <w:szCs w:val="21"/>
          <w:highlight w:val="none"/>
        </w:rPr>
        <w:t>除投标人须知前附表另有规定外，投标人应按下列规定提供资格审查资料，以证明其满足本章第</w:t>
      </w:r>
      <w:r>
        <w:rPr>
          <w:rFonts w:ascii="宋体" w:hAnsi="宋体"/>
          <w:color w:val="auto"/>
          <w:szCs w:val="21"/>
          <w:highlight w:val="none"/>
        </w:rPr>
        <w:t>1.4</w:t>
      </w:r>
      <w:r>
        <w:rPr>
          <w:rFonts w:hint="eastAsia" w:ascii="宋体" w:hAnsi="宋体"/>
          <w:color w:val="auto"/>
          <w:szCs w:val="21"/>
          <w:highlight w:val="none"/>
        </w:rPr>
        <w:t>款规定的资质、</w:t>
      </w:r>
      <w:r>
        <w:rPr>
          <w:rFonts w:hint="eastAsia" w:ascii="宋体" w:hAnsi="宋体"/>
          <w:strike/>
          <w:color w:val="auto"/>
          <w:szCs w:val="21"/>
          <w:highlight w:val="none"/>
        </w:rPr>
        <w:t>财务、业绩、</w:t>
      </w:r>
      <w:r>
        <w:rPr>
          <w:rFonts w:hint="eastAsia" w:ascii="宋体" w:hAnsi="宋体"/>
          <w:color w:val="auto"/>
          <w:szCs w:val="21"/>
          <w:highlight w:val="none"/>
        </w:rPr>
        <w:t>信誉等要求。</w:t>
      </w:r>
    </w:p>
    <w:p w14:paraId="27FA55DE">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3.5.1</w:t>
      </w:r>
      <w:r>
        <w:rPr>
          <w:rFonts w:hint="eastAsia" w:ascii="宋体" w:hAnsi="宋体"/>
          <w:color w:val="auto"/>
          <w:szCs w:val="21"/>
          <w:highlight w:val="none"/>
          <w:u w:val="single"/>
        </w:rPr>
        <w:t>“投标人基本情况表”，并提交投标人（若为联合体投标，指联合体各方）均具有独立法人资格，持有事业单位登记管理部门核发的事业单位法人证书或工商行政管理部门核发的企业法人营业执照，且在营业期限内；提交投标人具有的质量技术监督部门颁发的</w:t>
      </w:r>
      <w:r>
        <w:rPr>
          <w:rFonts w:ascii="宋体" w:hAnsi="宋体"/>
          <w:color w:val="auto"/>
          <w:szCs w:val="21"/>
          <w:highlight w:val="none"/>
          <w:u w:val="single"/>
        </w:rPr>
        <w:t>CMA计量认证合格证书、建设行政主管部门颁发的建设工程质量检测机构资质证书</w:t>
      </w:r>
      <w:r>
        <w:rPr>
          <w:rFonts w:hint="eastAsia" w:ascii="宋体" w:hAnsi="宋体"/>
          <w:color w:val="auto"/>
          <w:szCs w:val="21"/>
          <w:highlight w:val="none"/>
          <w:u w:val="single"/>
        </w:rPr>
        <w:t>、勘察资质证书及其他相关资料。</w:t>
      </w:r>
    </w:p>
    <w:p w14:paraId="14A11730">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3.5.2</w:t>
      </w:r>
      <w:r>
        <w:rPr>
          <w:rFonts w:hint="eastAsia" w:ascii="宋体" w:hAnsi="宋体"/>
          <w:color w:val="auto"/>
          <w:szCs w:val="21"/>
          <w:highlight w:val="none"/>
          <w:u w:val="single"/>
        </w:rPr>
        <w:t>“投标申请人声明”（格式见招标文件第六章；对于联合体投标人，所有成员方都要分别提交；成员方提交的“投标申请人声明”可以由本单位法代表人签字或盖章，也可以由主办方本项目投标的授权委托人签字或盖章，同时要求盖成员方投标单位公章）。</w:t>
      </w:r>
    </w:p>
    <w:p w14:paraId="51588E83">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3.5.3拟派项目负责人</w:t>
      </w:r>
      <w:r>
        <w:rPr>
          <w:rFonts w:hint="eastAsia" w:ascii="宋体" w:hAnsi="宋体"/>
          <w:color w:val="auto"/>
          <w:szCs w:val="21"/>
          <w:highlight w:val="none"/>
          <w:u w:val="single"/>
        </w:rPr>
        <w:t>资格证明材料。包括居民身份证、职称证、投标人（不含子公司）为其购买的</w:t>
      </w:r>
      <w:r>
        <w:rPr>
          <w:rFonts w:hint="eastAsia" w:ascii="宋体" w:hAnsi="宋体"/>
          <w:color w:val="auto"/>
          <w:szCs w:val="21"/>
          <w:highlight w:val="none"/>
          <w:u w:val="single"/>
          <w:lang w:eastAsia="zh-CN"/>
        </w:rPr>
        <w:t>近1个月（即扣除招标公告发布当月前一个月）</w:t>
      </w:r>
      <w:r>
        <w:rPr>
          <w:rFonts w:hint="eastAsia" w:ascii="宋体" w:hAnsi="宋体"/>
          <w:color w:val="auto"/>
          <w:szCs w:val="21"/>
          <w:highlight w:val="none"/>
          <w:u w:val="single"/>
        </w:rPr>
        <w:t>社保缴纳证明材料。</w:t>
      </w:r>
    </w:p>
    <w:p w14:paraId="5B665470">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3.5.4</w:t>
      </w:r>
      <w:r>
        <w:rPr>
          <w:rFonts w:hint="eastAsia" w:ascii="宋体" w:hAnsi="宋体"/>
          <w:color w:val="auto"/>
          <w:szCs w:val="21"/>
          <w:highlight w:val="none"/>
          <w:u w:val="single"/>
        </w:rPr>
        <w:t>投标人（若为联合体投标，指联合体各方）在广州市住建行业信用管理平台建立诚信档案，提交相关网页截图。</w:t>
      </w:r>
    </w:p>
    <w:p w14:paraId="601CE5C5">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3.5.5</w:t>
      </w:r>
      <w:r>
        <w:rPr>
          <w:rFonts w:hint="eastAsia" w:ascii="宋体" w:hAnsi="宋体"/>
          <w:color w:val="auto"/>
          <w:szCs w:val="21"/>
          <w:highlight w:val="none"/>
          <w:u w:val="single"/>
        </w:rPr>
        <w:t>“联合体协议书”（独立投标人不需要提交；要求联合体投标人提交，格式见招标文件第六章）。</w:t>
      </w:r>
    </w:p>
    <w:p w14:paraId="4D33A477">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u w:val="single"/>
        </w:rPr>
        <w:t>3.5.6</w:t>
      </w:r>
      <w:r>
        <w:rPr>
          <w:rFonts w:hint="eastAsia" w:ascii="宋体" w:hAnsi="宋体"/>
          <w:color w:val="auto"/>
          <w:szCs w:val="21"/>
          <w:highlight w:val="none"/>
          <w:u w:val="single"/>
        </w:rPr>
        <w:t>投标人认为应该提供的其他资审资料（如有）。</w:t>
      </w:r>
    </w:p>
    <w:p w14:paraId="38199DD5">
      <w:pPr>
        <w:rPr>
          <w:rFonts w:ascii="宋体" w:hAnsi="宋体"/>
          <w:color w:val="auto"/>
          <w:highlight w:val="none"/>
        </w:rPr>
      </w:pPr>
    </w:p>
    <w:p w14:paraId="1172DAB8">
      <w:pPr>
        <w:pStyle w:val="8"/>
        <w:rPr>
          <w:color w:val="auto"/>
          <w:highlight w:val="none"/>
        </w:rPr>
      </w:pPr>
      <w:r>
        <w:rPr>
          <w:color w:val="auto"/>
          <w:highlight w:val="none"/>
        </w:rPr>
        <w:t xml:space="preserve">3.6 </w:t>
      </w:r>
      <w:r>
        <w:rPr>
          <w:rFonts w:hint="eastAsia"/>
          <w:color w:val="auto"/>
          <w:highlight w:val="none"/>
        </w:rPr>
        <w:t>备选投标方案</w:t>
      </w:r>
    </w:p>
    <w:p w14:paraId="45A4907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3.6.1</w:t>
      </w:r>
      <w:r>
        <w:rPr>
          <w:rFonts w:hint="eastAsia" w:ascii="宋体" w:hAnsi="宋体"/>
          <w:color w:val="auto"/>
          <w:szCs w:val="21"/>
          <w:highlight w:val="none"/>
        </w:rPr>
        <w:t>除投标人须知前附表规定允许外，投标人不得递交备选投标方案，否则其投标将被否决。</w:t>
      </w:r>
    </w:p>
    <w:p w14:paraId="7B5922F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3.6.2</w:t>
      </w:r>
      <w:r>
        <w:rPr>
          <w:rFonts w:hint="eastAsia" w:ascii="宋体" w:hAnsi="宋体"/>
          <w:color w:val="auto"/>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BC087D9">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3.6.3</w:t>
      </w:r>
      <w:r>
        <w:rPr>
          <w:rFonts w:hint="eastAsia" w:ascii="宋体" w:hAnsi="宋体"/>
          <w:color w:val="auto"/>
          <w:szCs w:val="21"/>
          <w:highlight w:val="none"/>
        </w:rPr>
        <w:t>投标人提供两个或两个以上投标报价，或者在投标文件中提供一个报价，但同时提供两个或两个以上服务方案的，视为提供备选方案。</w:t>
      </w:r>
    </w:p>
    <w:p w14:paraId="2C4F25BA">
      <w:pPr>
        <w:pStyle w:val="3"/>
        <w:kinsoku w:val="0"/>
        <w:overflowPunct w:val="0"/>
        <w:spacing w:line="288" w:lineRule="auto"/>
        <w:ind w:firstLine="420" w:firstLineChars="200"/>
        <w:rPr>
          <w:rFonts w:ascii="宋体" w:hAnsi="宋体"/>
          <w:color w:val="auto"/>
          <w:szCs w:val="21"/>
          <w:highlight w:val="none"/>
        </w:rPr>
      </w:pPr>
    </w:p>
    <w:p w14:paraId="515ECBE2">
      <w:pPr>
        <w:pStyle w:val="8"/>
        <w:rPr>
          <w:color w:val="auto"/>
          <w:highlight w:val="none"/>
        </w:rPr>
      </w:pPr>
      <w:bookmarkStart w:id="63" w:name="bookmark46"/>
      <w:bookmarkEnd w:id="63"/>
      <w:r>
        <w:rPr>
          <w:color w:val="auto"/>
          <w:highlight w:val="none"/>
        </w:rPr>
        <w:t xml:space="preserve">3.7 </w:t>
      </w:r>
      <w:r>
        <w:rPr>
          <w:rFonts w:hint="eastAsia"/>
          <w:color w:val="auto"/>
          <w:highlight w:val="none"/>
        </w:rPr>
        <w:t>投标文件的编制</w:t>
      </w:r>
    </w:p>
    <w:p w14:paraId="498CC02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3.7.1</w:t>
      </w:r>
      <w:r>
        <w:rPr>
          <w:rFonts w:hint="eastAsia" w:ascii="宋体" w:hAnsi="宋体"/>
          <w:color w:val="auto"/>
          <w:szCs w:val="21"/>
          <w:highlight w:val="none"/>
        </w:rPr>
        <w:t>投标文件应按第六章“投标文件格式”进行编写，如有必要，可以增加附页，作为投标文件的组成部分。</w:t>
      </w:r>
    </w:p>
    <w:p w14:paraId="52F5F02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3.7.2</w:t>
      </w:r>
      <w:r>
        <w:rPr>
          <w:rFonts w:hint="eastAsia" w:ascii="宋体" w:hAnsi="宋体"/>
          <w:color w:val="auto"/>
          <w:szCs w:val="21"/>
          <w:highlight w:val="none"/>
        </w:rPr>
        <w:t>投标文件应当对招标文件有关服务期限、投标有效期、委托人要求、招标范围等实质性内容作出响应。</w:t>
      </w:r>
    </w:p>
    <w:p w14:paraId="27E81F1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3.7.3</w:t>
      </w:r>
      <w:r>
        <w:rPr>
          <w:rFonts w:hint="eastAsia" w:ascii="宋体" w:hAnsi="宋体"/>
          <w:color w:val="auto"/>
          <w:szCs w:val="21"/>
          <w:highlight w:val="none"/>
        </w:rPr>
        <w:t>投标文件全部采用电子文档，除投标人须知前附表另有规定外，投标文件所附证书证件均为原件</w:t>
      </w:r>
      <w:r>
        <w:rPr>
          <w:rFonts w:hint="eastAsia" w:ascii="宋体" w:hAnsi="宋体"/>
          <w:color w:val="auto"/>
          <w:szCs w:val="21"/>
          <w:highlight w:val="none"/>
          <w:u w:val="single"/>
        </w:rPr>
        <w:t>清晰</w:t>
      </w:r>
      <w:r>
        <w:rPr>
          <w:rFonts w:hint="eastAsia" w:ascii="宋体" w:hAnsi="宋体"/>
          <w:color w:val="auto"/>
          <w:szCs w:val="21"/>
          <w:highlight w:val="none"/>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26964F80">
      <w:pPr>
        <w:rPr>
          <w:color w:val="auto"/>
          <w:highlight w:val="none"/>
        </w:rPr>
      </w:pPr>
    </w:p>
    <w:p w14:paraId="48B359AB">
      <w:pPr>
        <w:pStyle w:val="6"/>
        <w:rPr>
          <w:color w:val="auto"/>
          <w:highlight w:val="none"/>
        </w:rPr>
      </w:pPr>
      <w:bookmarkStart w:id="64" w:name="_Toc533357311"/>
      <w:bookmarkStart w:id="65" w:name="_Toc118553973"/>
      <w:r>
        <w:rPr>
          <w:color w:val="auto"/>
          <w:highlight w:val="none"/>
        </w:rPr>
        <w:t xml:space="preserve">4. </w:t>
      </w:r>
      <w:r>
        <w:rPr>
          <w:rFonts w:hint="eastAsia"/>
          <w:color w:val="auto"/>
          <w:highlight w:val="none"/>
        </w:rPr>
        <w:t>投标</w:t>
      </w:r>
      <w:bookmarkEnd w:id="64"/>
      <w:bookmarkEnd w:id="65"/>
    </w:p>
    <w:p w14:paraId="1CC544F8">
      <w:pPr>
        <w:pStyle w:val="8"/>
        <w:ind w:firstLine="420"/>
        <w:rPr>
          <w:color w:val="auto"/>
          <w:highlight w:val="none"/>
        </w:rPr>
      </w:pPr>
      <w:bookmarkStart w:id="66" w:name="bookmark48"/>
      <w:bookmarkEnd w:id="66"/>
      <w:r>
        <w:rPr>
          <w:color w:val="auto"/>
          <w:highlight w:val="none"/>
        </w:rPr>
        <w:t xml:space="preserve">4.1 </w:t>
      </w:r>
      <w:r>
        <w:rPr>
          <w:rFonts w:hint="eastAsia"/>
          <w:color w:val="auto"/>
          <w:highlight w:val="none"/>
        </w:rPr>
        <w:t>投标文件的密封和标记</w:t>
      </w:r>
    </w:p>
    <w:p w14:paraId="7E1D37AF">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4.1.1</w:t>
      </w:r>
      <w:r>
        <w:rPr>
          <w:rFonts w:hint="eastAsia" w:ascii="宋体" w:hAnsi="宋体"/>
          <w:color w:val="auto"/>
          <w:szCs w:val="21"/>
          <w:highlight w:val="none"/>
        </w:rPr>
        <w:t>投标人应当按照招标文件和电子招标投标交易平台的要求加密投标文件，具体要求见投标人须知前附表。</w:t>
      </w:r>
    </w:p>
    <w:p w14:paraId="4586898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4.1.2</w:t>
      </w:r>
      <w:r>
        <w:rPr>
          <w:rFonts w:hint="eastAsia" w:ascii="宋体" w:hAnsi="宋体"/>
          <w:color w:val="auto"/>
          <w:szCs w:val="21"/>
          <w:highlight w:val="none"/>
        </w:rPr>
        <w:t>投标文件封套上应写明的内容见投标人须知前附表。</w:t>
      </w:r>
    </w:p>
    <w:p w14:paraId="0060CCE5">
      <w:pPr>
        <w:pStyle w:val="3"/>
        <w:kinsoku w:val="0"/>
        <w:overflowPunct w:val="0"/>
        <w:spacing w:line="288" w:lineRule="auto"/>
        <w:ind w:firstLine="420" w:firstLineChars="200"/>
        <w:rPr>
          <w:rFonts w:ascii="宋体" w:hAnsi="宋体"/>
          <w:strike/>
          <w:color w:val="auto"/>
          <w:szCs w:val="21"/>
          <w:highlight w:val="none"/>
        </w:rPr>
      </w:pPr>
      <w:r>
        <w:rPr>
          <w:rFonts w:ascii="宋体" w:hAnsi="宋体"/>
          <w:strike/>
          <w:color w:val="auto"/>
          <w:szCs w:val="21"/>
          <w:highlight w:val="none"/>
        </w:rPr>
        <w:t>4.1.3</w:t>
      </w:r>
      <w:r>
        <w:rPr>
          <w:rFonts w:hint="eastAsia" w:ascii="宋体" w:hAnsi="宋体"/>
          <w:strike/>
          <w:color w:val="auto"/>
          <w:szCs w:val="21"/>
          <w:highlight w:val="none"/>
        </w:rPr>
        <w:t>未按本章第</w:t>
      </w:r>
      <w:r>
        <w:rPr>
          <w:rFonts w:ascii="宋体" w:hAnsi="宋体"/>
          <w:strike/>
          <w:color w:val="auto"/>
          <w:szCs w:val="21"/>
          <w:highlight w:val="none"/>
        </w:rPr>
        <w:t>4.1.1</w:t>
      </w:r>
      <w:r>
        <w:rPr>
          <w:rFonts w:hint="eastAsia" w:ascii="宋体" w:hAnsi="宋体"/>
          <w:strike/>
          <w:color w:val="auto"/>
          <w:szCs w:val="21"/>
          <w:highlight w:val="none"/>
        </w:rPr>
        <w:t>项要求密封的投标文件，招标人将予以拒收。</w:t>
      </w:r>
    </w:p>
    <w:p w14:paraId="5931B923">
      <w:pPr>
        <w:pStyle w:val="3"/>
        <w:kinsoku w:val="0"/>
        <w:overflowPunct w:val="0"/>
        <w:spacing w:line="288" w:lineRule="auto"/>
        <w:ind w:firstLine="420" w:firstLineChars="200"/>
        <w:rPr>
          <w:rFonts w:ascii="宋体" w:hAnsi="宋体"/>
          <w:color w:val="auto"/>
          <w:szCs w:val="21"/>
          <w:highlight w:val="none"/>
        </w:rPr>
      </w:pPr>
    </w:p>
    <w:p w14:paraId="7EEFC96F">
      <w:pPr>
        <w:pStyle w:val="8"/>
        <w:rPr>
          <w:color w:val="auto"/>
          <w:highlight w:val="none"/>
        </w:rPr>
      </w:pPr>
      <w:bookmarkStart w:id="67" w:name="bookmark49"/>
      <w:bookmarkEnd w:id="67"/>
      <w:r>
        <w:rPr>
          <w:color w:val="auto"/>
          <w:highlight w:val="none"/>
        </w:rPr>
        <w:t xml:space="preserve">4.2 </w:t>
      </w:r>
      <w:r>
        <w:rPr>
          <w:rFonts w:hint="eastAsia"/>
          <w:color w:val="auto"/>
          <w:highlight w:val="none"/>
        </w:rPr>
        <w:t>投标文件的递交</w:t>
      </w:r>
    </w:p>
    <w:p w14:paraId="5118906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4.2.1</w:t>
      </w:r>
      <w:r>
        <w:rPr>
          <w:rFonts w:hint="eastAsia" w:ascii="宋体" w:hAnsi="宋体"/>
          <w:color w:val="auto"/>
          <w:szCs w:val="21"/>
          <w:highlight w:val="none"/>
        </w:rPr>
        <w:t>投标人应在投标人须知前附表规定的投标截止时间前递交投标文件。</w:t>
      </w:r>
    </w:p>
    <w:p w14:paraId="72352E3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4.2.2</w:t>
      </w:r>
      <w:r>
        <w:rPr>
          <w:rFonts w:hint="eastAsia" w:ascii="宋体" w:hAnsi="宋体"/>
          <w:color w:val="auto"/>
          <w:szCs w:val="21"/>
          <w:highlight w:val="none"/>
        </w:rPr>
        <w:t>投标人通过下载招标文件的电子招标投标交易平台递交电子投标文件。</w:t>
      </w:r>
    </w:p>
    <w:p w14:paraId="4E996AD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4.2.3</w:t>
      </w:r>
      <w:r>
        <w:rPr>
          <w:rFonts w:hint="eastAsia" w:ascii="宋体" w:hAnsi="宋体"/>
          <w:color w:val="auto"/>
          <w:szCs w:val="21"/>
          <w:highlight w:val="none"/>
        </w:rPr>
        <w:t>除投标人须知前附表另有规定外，投标人所递交的投标文件不予退还。</w:t>
      </w:r>
    </w:p>
    <w:p w14:paraId="35A7821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4.2.4</w:t>
      </w:r>
      <w:r>
        <w:rPr>
          <w:rFonts w:hint="eastAsia" w:ascii="宋体" w:hAnsi="宋体"/>
          <w:color w:val="auto"/>
          <w:szCs w:val="21"/>
          <w:highlight w:val="none"/>
        </w:rPr>
        <w:t>投标人完成电子投标文件上传后，电子招标投标交易平台即时向投标人发出递交回执通知。递交时间以递交回执通知载明的传输完成时间为准。</w:t>
      </w:r>
    </w:p>
    <w:p w14:paraId="258D2A6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4.2.5</w:t>
      </w:r>
      <w:r>
        <w:rPr>
          <w:rFonts w:hint="eastAsia" w:ascii="宋体" w:hAnsi="宋体"/>
          <w:color w:val="auto"/>
          <w:szCs w:val="21"/>
          <w:highlight w:val="none"/>
        </w:rPr>
        <w:t>逾期送达的投标文件，电子招标投标交易平台将予以拒收。</w:t>
      </w:r>
      <w:bookmarkStart w:id="68" w:name="bookmark50"/>
      <w:bookmarkEnd w:id="68"/>
    </w:p>
    <w:p w14:paraId="618AB4A0">
      <w:pPr>
        <w:pStyle w:val="3"/>
        <w:kinsoku w:val="0"/>
        <w:overflowPunct w:val="0"/>
        <w:spacing w:line="288" w:lineRule="auto"/>
        <w:ind w:firstLine="420" w:firstLineChars="200"/>
        <w:rPr>
          <w:rFonts w:ascii="宋体" w:hAnsi="宋体"/>
          <w:color w:val="auto"/>
          <w:szCs w:val="21"/>
          <w:highlight w:val="none"/>
        </w:rPr>
      </w:pPr>
    </w:p>
    <w:p w14:paraId="033EC371">
      <w:pPr>
        <w:pStyle w:val="8"/>
        <w:rPr>
          <w:color w:val="auto"/>
          <w:highlight w:val="none"/>
        </w:rPr>
      </w:pPr>
      <w:r>
        <w:rPr>
          <w:color w:val="auto"/>
          <w:highlight w:val="none"/>
        </w:rPr>
        <w:t xml:space="preserve">4.3 </w:t>
      </w:r>
      <w:r>
        <w:rPr>
          <w:rFonts w:hint="eastAsia"/>
          <w:color w:val="auto"/>
          <w:highlight w:val="none"/>
        </w:rPr>
        <w:t>投标文件的修改与撤回</w:t>
      </w:r>
    </w:p>
    <w:p w14:paraId="0566C7FF">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在本章第</w:t>
      </w:r>
      <w:r>
        <w:rPr>
          <w:rFonts w:ascii="宋体" w:hAnsi="宋体"/>
          <w:color w:val="auto"/>
          <w:szCs w:val="21"/>
          <w:highlight w:val="none"/>
        </w:rPr>
        <w:t>4.2.1</w:t>
      </w:r>
      <w:r>
        <w:rPr>
          <w:rFonts w:hint="eastAsia" w:ascii="宋体" w:hAnsi="宋体"/>
          <w:color w:val="auto"/>
          <w:szCs w:val="21"/>
          <w:highlight w:val="none"/>
        </w:rPr>
        <w:t>项规定的投标截止时间前，投标人可以修改或撤回已递交的投标文件，但应以书面形式通知招标人。</w:t>
      </w:r>
    </w:p>
    <w:p w14:paraId="58D6C7A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投标人修改或撤回已递交投标文件的通知，应按照本章第</w:t>
      </w:r>
      <w:r>
        <w:rPr>
          <w:rFonts w:ascii="宋体" w:hAnsi="宋体"/>
          <w:color w:val="auto"/>
          <w:szCs w:val="21"/>
          <w:highlight w:val="none"/>
        </w:rPr>
        <w:t>3.7.3</w:t>
      </w:r>
      <w:r>
        <w:rPr>
          <w:rFonts w:hint="eastAsia" w:ascii="宋体" w:hAnsi="宋体"/>
          <w:color w:val="auto"/>
          <w:szCs w:val="21"/>
          <w:highlight w:val="none"/>
        </w:rPr>
        <w:t>项的要求加盖电子印章。电子招标投标交易平台收到通知后，即时向投标人发出确认回执通知。</w:t>
      </w:r>
    </w:p>
    <w:p w14:paraId="1629679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4.3.3</w:t>
      </w:r>
      <w:r>
        <w:rPr>
          <w:rFonts w:hint="eastAsia" w:ascii="宋体" w:hAnsi="宋体"/>
          <w:color w:val="auto"/>
          <w:szCs w:val="21"/>
          <w:highlight w:val="none"/>
        </w:rPr>
        <w:t>投标人撤回投标文件的，招标人自收到投标人书面撤回通知之日起</w:t>
      </w:r>
      <w:r>
        <w:rPr>
          <w:rFonts w:ascii="宋体" w:hAnsi="宋体"/>
          <w:color w:val="auto"/>
          <w:szCs w:val="21"/>
          <w:highlight w:val="none"/>
        </w:rPr>
        <w:t>5</w:t>
      </w:r>
      <w:r>
        <w:rPr>
          <w:rFonts w:hint="eastAsia" w:ascii="宋体" w:hAnsi="宋体"/>
          <w:color w:val="auto"/>
          <w:szCs w:val="21"/>
          <w:highlight w:val="none"/>
        </w:rPr>
        <w:t>日内退还已收取的投标保证金。</w:t>
      </w:r>
    </w:p>
    <w:p w14:paraId="237B04C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4.3.4</w:t>
      </w:r>
      <w:r>
        <w:rPr>
          <w:rFonts w:hint="eastAsia" w:ascii="宋体" w:hAnsi="宋体"/>
          <w:color w:val="auto"/>
          <w:szCs w:val="21"/>
          <w:highlight w:val="none"/>
        </w:rPr>
        <w:t>修改的内容为投标文件的组成部分。修改的投标文件应按照本章第</w:t>
      </w:r>
      <w:r>
        <w:rPr>
          <w:rFonts w:ascii="宋体" w:hAnsi="宋体"/>
          <w:color w:val="auto"/>
          <w:szCs w:val="21"/>
          <w:highlight w:val="none"/>
        </w:rPr>
        <w:t>3</w:t>
      </w:r>
      <w:r>
        <w:rPr>
          <w:rFonts w:hint="eastAsia" w:ascii="宋体" w:hAnsi="宋体"/>
          <w:color w:val="auto"/>
          <w:szCs w:val="21"/>
          <w:highlight w:val="none"/>
        </w:rPr>
        <w:t>条、第</w:t>
      </w:r>
      <w:r>
        <w:rPr>
          <w:rFonts w:ascii="宋体" w:hAnsi="宋体"/>
          <w:color w:val="auto"/>
          <w:szCs w:val="21"/>
          <w:highlight w:val="none"/>
        </w:rPr>
        <w:t>4</w:t>
      </w:r>
      <w:r>
        <w:rPr>
          <w:rFonts w:hint="eastAsia" w:ascii="宋体" w:hAnsi="宋体"/>
          <w:color w:val="auto"/>
          <w:szCs w:val="21"/>
          <w:highlight w:val="none"/>
        </w:rPr>
        <w:t>条的规定进行编制、密封、标记和递交，并标明“修改”字样。</w:t>
      </w:r>
    </w:p>
    <w:p w14:paraId="546F090B">
      <w:pPr>
        <w:rPr>
          <w:color w:val="auto"/>
          <w:highlight w:val="none"/>
        </w:rPr>
      </w:pPr>
    </w:p>
    <w:p w14:paraId="44FB3CB5">
      <w:pPr>
        <w:pStyle w:val="6"/>
        <w:rPr>
          <w:color w:val="auto"/>
          <w:highlight w:val="none"/>
        </w:rPr>
      </w:pPr>
      <w:bookmarkStart w:id="69" w:name="_Toc533357312"/>
      <w:bookmarkStart w:id="70" w:name="_Toc118553974"/>
      <w:r>
        <w:rPr>
          <w:color w:val="auto"/>
          <w:highlight w:val="none"/>
        </w:rPr>
        <w:t xml:space="preserve">5. </w:t>
      </w:r>
      <w:r>
        <w:rPr>
          <w:rFonts w:hint="eastAsia"/>
          <w:color w:val="auto"/>
          <w:highlight w:val="none"/>
        </w:rPr>
        <w:t>开标</w:t>
      </w:r>
      <w:bookmarkEnd w:id="69"/>
      <w:bookmarkEnd w:id="70"/>
    </w:p>
    <w:p w14:paraId="6E108A68">
      <w:pPr>
        <w:pStyle w:val="8"/>
        <w:ind w:firstLine="0"/>
        <w:rPr>
          <w:color w:val="auto"/>
          <w:highlight w:val="none"/>
        </w:rPr>
      </w:pPr>
      <w:bookmarkStart w:id="71" w:name="bookmark52"/>
      <w:bookmarkEnd w:id="71"/>
      <w:bookmarkStart w:id="72" w:name="bookmark53"/>
      <w:bookmarkEnd w:id="72"/>
      <w:r>
        <w:rPr>
          <w:color w:val="auto"/>
          <w:highlight w:val="none"/>
        </w:rPr>
        <w:t xml:space="preserve">5.1 </w:t>
      </w:r>
      <w:r>
        <w:rPr>
          <w:rFonts w:hint="eastAsia"/>
          <w:color w:val="auto"/>
          <w:highlight w:val="none"/>
        </w:rPr>
        <w:t>开标时间和地点</w:t>
      </w:r>
    </w:p>
    <w:p w14:paraId="25ED195C">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招标人在本章第</w:t>
      </w:r>
      <w:r>
        <w:rPr>
          <w:rFonts w:ascii="宋体" w:hAnsi="宋体"/>
          <w:color w:val="auto"/>
          <w:szCs w:val="21"/>
          <w:highlight w:val="none"/>
        </w:rPr>
        <w:t>4.2.1</w:t>
      </w:r>
      <w:r>
        <w:rPr>
          <w:rFonts w:hint="eastAsia" w:ascii="宋体" w:hAnsi="宋体"/>
          <w:color w:val="auto"/>
          <w:szCs w:val="21"/>
          <w:highlight w:val="none"/>
        </w:rPr>
        <w:t>项规定的投标截止时间（开标时间）</w:t>
      </w:r>
      <w:r>
        <w:rPr>
          <w:rFonts w:ascii="宋体" w:hAnsi="宋体"/>
          <w:color w:val="auto"/>
          <w:szCs w:val="21"/>
          <w:highlight w:val="none"/>
        </w:rPr>
        <w:t>,</w:t>
      </w:r>
      <w:r>
        <w:rPr>
          <w:rFonts w:hint="eastAsia" w:ascii="宋体" w:hAnsi="宋体"/>
          <w:color w:val="auto"/>
          <w:szCs w:val="21"/>
          <w:highlight w:val="none"/>
        </w:rPr>
        <w:t>通过电子招标投标交易平台公开开标。开标时，投标人代表有权出席开标会，也可以自主决定不参加开标会。</w:t>
      </w:r>
    </w:p>
    <w:p w14:paraId="6AF66E2B">
      <w:pPr>
        <w:rPr>
          <w:rFonts w:ascii="宋体" w:hAnsi="宋体"/>
          <w:color w:val="auto"/>
          <w:highlight w:val="none"/>
        </w:rPr>
      </w:pPr>
    </w:p>
    <w:p w14:paraId="0BC45CC9">
      <w:pPr>
        <w:pStyle w:val="8"/>
        <w:rPr>
          <w:color w:val="auto"/>
          <w:highlight w:val="none"/>
        </w:rPr>
      </w:pPr>
      <w:bookmarkStart w:id="73" w:name="bookmark54"/>
      <w:bookmarkEnd w:id="73"/>
      <w:r>
        <w:rPr>
          <w:color w:val="auto"/>
          <w:highlight w:val="none"/>
        </w:rPr>
        <w:t xml:space="preserve">5.2 </w:t>
      </w:r>
      <w:r>
        <w:rPr>
          <w:rFonts w:hint="eastAsia"/>
          <w:color w:val="auto"/>
          <w:highlight w:val="none"/>
        </w:rPr>
        <w:t>开标程序</w:t>
      </w:r>
    </w:p>
    <w:p w14:paraId="4169F68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5.2.1</w:t>
      </w:r>
      <w:r>
        <w:rPr>
          <w:rFonts w:hint="eastAsia" w:ascii="宋体" w:hAnsi="宋体"/>
          <w:color w:val="auto"/>
          <w:szCs w:val="21"/>
          <w:highlight w:val="none"/>
        </w:rPr>
        <w:t>主持人按下列程序进行开标：</w:t>
      </w:r>
    </w:p>
    <w:p w14:paraId="692AACF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）宣布开标纪律；</w:t>
      </w:r>
    </w:p>
    <w:p w14:paraId="7010143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）公布在投标截止时间前递交投标文件的投标人名称；</w:t>
      </w:r>
    </w:p>
    <w:p w14:paraId="7B37C14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）宣布开标人、唱标人、记录人、监标人等有关人员姓名；</w:t>
      </w:r>
    </w:p>
    <w:p w14:paraId="368D317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）投标人通过电子招标投标交易平台对已递交的电子投标文件进行解密，公布招标项目名称、投标人名称、投标保证金的递交情况、投标报价及其他内容，并记录在案；</w:t>
      </w:r>
    </w:p>
    <w:p w14:paraId="088763D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）投标人代表、招标人代表、监标人、记录人等有关人员在开标记录上签字确认；若有关人员不签字的，不影响开标程序；</w:t>
      </w:r>
    </w:p>
    <w:p w14:paraId="757B31B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）开标结束。</w:t>
      </w:r>
    </w:p>
    <w:p w14:paraId="1E2A3D5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5.2.2</w:t>
      </w:r>
      <w:r>
        <w:rPr>
          <w:rFonts w:hint="eastAsia" w:ascii="宋体" w:hAnsi="宋体"/>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本项目要求投标人在投标截止时间后</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小时内解密其电子投标文件。</w:t>
      </w:r>
    </w:p>
    <w:p w14:paraId="7B94F277">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5.2.3</w:t>
      </w:r>
      <w:r>
        <w:rPr>
          <w:rFonts w:hint="eastAsia" w:ascii="宋体" w:hAnsi="宋体"/>
          <w:color w:val="auto"/>
          <w:szCs w:val="21"/>
          <w:highlight w:val="none"/>
        </w:rPr>
        <w:t>开标时，两个（含两个）以上的投标人加密打包投标文件电脑机器特征码一致的，不参与下一程序，并由评标委员会否决其投标。</w:t>
      </w:r>
    </w:p>
    <w:p w14:paraId="6D3AB761">
      <w:pPr>
        <w:pStyle w:val="3"/>
        <w:kinsoku w:val="0"/>
        <w:overflowPunct w:val="0"/>
        <w:spacing w:line="288" w:lineRule="auto"/>
        <w:ind w:firstLine="420" w:firstLineChars="200"/>
        <w:rPr>
          <w:rFonts w:ascii="宋体" w:hAnsi="宋体"/>
          <w:color w:val="auto"/>
          <w:szCs w:val="21"/>
          <w:highlight w:val="none"/>
        </w:rPr>
      </w:pPr>
    </w:p>
    <w:p w14:paraId="427BCB46">
      <w:pPr>
        <w:pStyle w:val="8"/>
        <w:rPr>
          <w:color w:val="auto"/>
          <w:highlight w:val="none"/>
        </w:rPr>
      </w:pPr>
      <w:bookmarkStart w:id="74" w:name="bookmark55"/>
      <w:bookmarkEnd w:id="74"/>
      <w:r>
        <w:rPr>
          <w:color w:val="auto"/>
          <w:highlight w:val="none"/>
        </w:rPr>
        <w:t xml:space="preserve">5.3 </w:t>
      </w:r>
      <w:r>
        <w:rPr>
          <w:rFonts w:hint="eastAsia"/>
          <w:color w:val="auto"/>
          <w:highlight w:val="none"/>
        </w:rPr>
        <w:t>开标异议</w:t>
      </w:r>
    </w:p>
    <w:p w14:paraId="3F0421C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w:t>
      </w:r>
      <w:r>
        <w:rPr>
          <w:rFonts w:hint="eastAsia" w:ascii="宋体" w:hAnsi="宋体"/>
          <w:color w:val="auto"/>
          <w:szCs w:val="21"/>
          <w:highlight w:val="none"/>
          <w:lang w:val="en-US" w:eastAsia="zh-CN"/>
        </w:rPr>
        <w:t>线下</w:t>
      </w:r>
      <w:r>
        <w:rPr>
          <w:rFonts w:hint="eastAsia" w:ascii="宋体" w:hAnsi="宋体"/>
          <w:color w:val="auto"/>
          <w:szCs w:val="21"/>
          <w:highlight w:val="none"/>
        </w:rPr>
        <w:t>应当在开标现场提出，并出示本人身份证</w:t>
      </w:r>
      <w:r>
        <w:rPr>
          <w:rFonts w:hint="eastAsia" w:ascii="宋体" w:hAnsi="宋体"/>
          <w:color w:val="auto"/>
          <w:szCs w:val="21"/>
          <w:highlight w:val="none"/>
          <w:u w:val="single"/>
          <w:lang w:eastAsia="zh-CN"/>
        </w:rPr>
        <w:t>，</w:t>
      </w:r>
      <w:r>
        <w:rPr>
          <w:rFonts w:hint="eastAsia" w:ascii="宋体" w:hAnsi="宋体"/>
          <w:color w:val="auto"/>
          <w:szCs w:val="21"/>
          <w:highlight w:val="none"/>
        </w:rPr>
        <w:t>招标人当场作出答复，并制作记录。</w:t>
      </w:r>
      <w:r>
        <w:rPr>
          <w:rFonts w:hint="eastAsia" w:ascii="宋体" w:hAnsi="宋体"/>
          <w:color w:val="auto"/>
          <w:szCs w:val="21"/>
          <w:highlight w:val="none"/>
          <w:lang w:val="en-US" w:eastAsia="zh-CN"/>
        </w:rPr>
        <w:t>线上应当在开标期间进行</w:t>
      </w:r>
      <w:r>
        <w:rPr>
          <w:rFonts w:hint="eastAsia" w:ascii="宋体" w:hAnsi="宋体"/>
          <w:color w:val="auto"/>
          <w:szCs w:val="21"/>
          <w:highlight w:val="none"/>
        </w:rPr>
        <w:t>线上提交，应通过交易平台进行，招标人也应通过交易平台答复线上提交的异议。具体按照交易平台相关指南进行操作。</w:t>
      </w:r>
    </w:p>
    <w:p w14:paraId="4AEEB5D2">
      <w:pPr>
        <w:rPr>
          <w:color w:val="auto"/>
          <w:highlight w:val="none"/>
        </w:rPr>
      </w:pPr>
    </w:p>
    <w:p w14:paraId="178C0EA9">
      <w:pPr>
        <w:pStyle w:val="6"/>
        <w:rPr>
          <w:color w:val="auto"/>
          <w:highlight w:val="none"/>
        </w:rPr>
      </w:pPr>
      <w:bookmarkStart w:id="75" w:name="_Toc533357313"/>
      <w:bookmarkStart w:id="76" w:name="_Toc118553975"/>
      <w:r>
        <w:rPr>
          <w:color w:val="auto"/>
          <w:highlight w:val="none"/>
        </w:rPr>
        <w:t xml:space="preserve">6. </w:t>
      </w:r>
      <w:r>
        <w:rPr>
          <w:rFonts w:hint="eastAsia"/>
          <w:color w:val="auto"/>
          <w:highlight w:val="none"/>
        </w:rPr>
        <w:t>评标</w:t>
      </w:r>
      <w:bookmarkEnd w:id="75"/>
      <w:bookmarkEnd w:id="76"/>
    </w:p>
    <w:p w14:paraId="24421EF0">
      <w:pPr>
        <w:pStyle w:val="8"/>
        <w:ind w:firstLine="0"/>
        <w:rPr>
          <w:color w:val="auto"/>
          <w:highlight w:val="none"/>
        </w:rPr>
      </w:pPr>
      <w:bookmarkStart w:id="77" w:name="bookmark57"/>
      <w:bookmarkEnd w:id="77"/>
      <w:r>
        <w:rPr>
          <w:color w:val="auto"/>
          <w:highlight w:val="none"/>
        </w:rPr>
        <w:t xml:space="preserve">6.1 </w:t>
      </w:r>
      <w:r>
        <w:rPr>
          <w:rFonts w:hint="eastAsia"/>
          <w:color w:val="auto"/>
          <w:highlight w:val="none"/>
        </w:rPr>
        <w:t>评标委员会</w:t>
      </w:r>
    </w:p>
    <w:p w14:paraId="0B8780F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6.1.1</w:t>
      </w:r>
      <w:r>
        <w:rPr>
          <w:rFonts w:hint="eastAsia" w:ascii="宋体" w:hAnsi="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4DAD0C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6.1.2</w:t>
      </w:r>
      <w:r>
        <w:rPr>
          <w:rFonts w:hint="eastAsia" w:ascii="宋体" w:hAnsi="宋体"/>
          <w:color w:val="auto"/>
          <w:szCs w:val="21"/>
          <w:highlight w:val="none"/>
        </w:rPr>
        <w:t>评标委员会成员有下列情形之一的，应当回避：</w:t>
      </w:r>
    </w:p>
    <w:p w14:paraId="0CA67F7C">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）投标人或投标人主要负责人的近亲属；</w:t>
      </w:r>
    </w:p>
    <w:p w14:paraId="6662782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）项目主管部门或者行政监督部门的人员；</w:t>
      </w:r>
    </w:p>
    <w:p w14:paraId="42B433E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）与投标人有经济利益关系，可能影响对投标公正评审的；</w:t>
      </w:r>
    </w:p>
    <w:p w14:paraId="75AA0686">
      <w:pPr>
        <w:pStyle w:val="3"/>
        <w:kinsoku w:val="0"/>
        <w:overflowPunct w:val="0"/>
        <w:spacing w:line="288"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）曾因在招标、评标以及其他与招标投标有关活动中从事违法行为而受过行政处罚或刑事处罚的</w:t>
      </w:r>
      <w:r>
        <w:rPr>
          <w:rFonts w:hint="eastAsia" w:ascii="宋体" w:hAnsi="宋体"/>
          <w:color w:val="auto"/>
          <w:szCs w:val="21"/>
          <w:highlight w:val="none"/>
          <w:lang w:eastAsia="zh-CN"/>
        </w:rPr>
        <w:t>；</w:t>
      </w:r>
    </w:p>
    <w:p w14:paraId="2731C0F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）与投标人有其他利害关系。</w:t>
      </w:r>
    </w:p>
    <w:p w14:paraId="7DBC1CC9">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6.1.3</w:t>
      </w:r>
      <w:r>
        <w:rPr>
          <w:rFonts w:hint="eastAsia" w:ascii="宋体" w:hAnsi="宋体"/>
          <w:color w:val="auto"/>
          <w:szCs w:val="21"/>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2DF3E1F9">
      <w:pPr>
        <w:pStyle w:val="3"/>
        <w:kinsoku w:val="0"/>
        <w:overflowPunct w:val="0"/>
        <w:spacing w:line="288" w:lineRule="auto"/>
        <w:ind w:firstLine="420" w:firstLineChars="200"/>
        <w:rPr>
          <w:rFonts w:ascii="宋体" w:hAnsi="宋体"/>
          <w:color w:val="auto"/>
          <w:szCs w:val="21"/>
          <w:highlight w:val="none"/>
        </w:rPr>
      </w:pPr>
    </w:p>
    <w:p w14:paraId="5072AC04">
      <w:pPr>
        <w:pStyle w:val="8"/>
        <w:rPr>
          <w:color w:val="auto"/>
          <w:highlight w:val="none"/>
        </w:rPr>
      </w:pPr>
      <w:bookmarkStart w:id="78" w:name="bookmark58"/>
      <w:bookmarkEnd w:id="78"/>
      <w:r>
        <w:rPr>
          <w:color w:val="auto"/>
          <w:highlight w:val="none"/>
        </w:rPr>
        <w:t xml:space="preserve">6.2 </w:t>
      </w:r>
      <w:r>
        <w:rPr>
          <w:rFonts w:hint="eastAsia"/>
          <w:color w:val="auto"/>
          <w:highlight w:val="none"/>
        </w:rPr>
        <w:t>评标原则</w:t>
      </w:r>
    </w:p>
    <w:p w14:paraId="4B78FFE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w:t>
      </w:r>
    </w:p>
    <w:p w14:paraId="1363E831">
      <w:pPr>
        <w:pStyle w:val="3"/>
        <w:kinsoku w:val="0"/>
        <w:overflowPunct w:val="0"/>
        <w:spacing w:line="288" w:lineRule="auto"/>
        <w:ind w:firstLine="420" w:firstLineChars="200"/>
        <w:rPr>
          <w:rFonts w:ascii="宋体" w:hAnsi="宋体"/>
          <w:color w:val="auto"/>
          <w:szCs w:val="21"/>
          <w:highlight w:val="none"/>
        </w:rPr>
      </w:pPr>
    </w:p>
    <w:p w14:paraId="2F2BA1F6">
      <w:pPr>
        <w:pStyle w:val="8"/>
        <w:rPr>
          <w:color w:val="auto"/>
          <w:highlight w:val="none"/>
        </w:rPr>
      </w:pPr>
      <w:bookmarkStart w:id="79" w:name="bookmark59"/>
      <w:bookmarkEnd w:id="79"/>
      <w:r>
        <w:rPr>
          <w:color w:val="auto"/>
          <w:highlight w:val="none"/>
        </w:rPr>
        <w:t xml:space="preserve">6.3 </w:t>
      </w:r>
      <w:r>
        <w:rPr>
          <w:rFonts w:hint="eastAsia"/>
          <w:color w:val="auto"/>
          <w:highlight w:val="none"/>
        </w:rPr>
        <w:t>评标</w:t>
      </w:r>
    </w:p>
    <w:p w14:paraId="79C02E9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6.3.1</w:t>
      </w:r>
      <w:r>
        <w:rPr>
          <w:rFonts w:hint="eastAsia" w:ascii="宋体" w:hAnsi="宋体"/>
          <w:color w:val="auto"/>
          <w:szCs w:val="21"/>
          <w:highlight w:val="none"/>
        </w:rPr>
        <w:t>评标委员会按照第三章“评标办法”规定的方法、评审因素、标准和程序对投标文件进行评审。第三章“评标办法”没有规定的方法、评审因素和标准，不作为评标依据。</w:t>
      </w:r>
    </w:p>
    <w:p w14:paraId="782C21C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6.3.2</w:t>
      </w:r>
      <w:r>
        <w:rPr>
          <w:rFonts w:hint="eastAsia" w:ascii="宋体" w:hAnsi="宋体"/>
          <w:color w:val="auto"/>
          <w:szCs w:val="21"/>
          <w:highlight w:val="none"/>
        </w:rPr>
        <w:t>评标完成后，评标委员会应当向招标人提交书面评标报告和中标候选人名单。评标委员会推荐中标候选人的人数见投标人须知前附表。</w:t>
      </w:r>
    </w:p>
    <w:p w14:paraId="28568432">
      <w:pPr>
        <w:rPr>
          <w:color w:val="auto"/>
          <w:highlight w:val="none"/>
        </w:rPr>
      </w:pPr>
    </w:p>
    <w:p w14:paraId="40499B76">
      <w:pPr>
        <w:pStyle w:val="6"/>
        <w:rPr>
          <w:color w:val="auto"/>
          <w:highlight w:val="none"/>
        </w:rPr>
      </w:pPr>
      <w:bookmarkStart w:id="80" w:name="bookmark60"/>
      <w:bookmarkEnd w:id="80"/>
      <w:bookmarkStart w:id="81" w:name="_Toc533357314"/>
      <w:bookmarkStart w:id="82" w:name="_Toc118553976"/>
      <w:r>
        <w:rPr>
          <w:color w:val="auto"/>
          <w:highlight w:val="none"/>
        </w:rPr>
        <w:t xml:space="preserve">7. </w:t>
      </w:r>
      <w:r>
        <w:rPr>
          <w:rFonts w:hint="eastAsia"/>
          <w:color w:val="auto"/>
          <w:highlight w:val="none"/>
        </w:rPr>
        <w:t>合同授予</w:t>
      </w:r>
      <w:bookmarkEnd w:id="81"/>
      <w:bookmarkEnd w:id="82"/>
    </w:p>
    <w:p w14:paraId="760C2D8C">
      <w:pPr>
        <w:pStyle w:val="8"/>
        <w:rPr>
          <w:color w:val="auto"/>
          <w:highlight w:val="none"/>
        </w:rPr>
      </w:pPr>
      <w:bookmarkStart w:id="83" w:name="bookmark61"/>
      <w:bookmarkEnd w:id="83"/>
      <w:r>
        <w:rPr>
          <w:color w:val="auto"/>
          <w:highlight w:val="none"/>
        </w:rPr>
        <w:t xml:space="preserve">7.1 </w:t>
      </w:r>
      <w:r>
        <w:rPr>
          <w:rFonts w:hint="eastAsia"/>
          <w:color w:val="auto"/>
          <w:highlight w:val="none"/>
        </w:rPr>
        <w:t>中标候选人公示</w:t>
      </w:r>
    </w:p>
    <w:p w14:paraId="35E446B3">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招标人在收到评标报告之日起</w:t>
      </w:r>
      <w:r>
        <w:rPr>
          <w:rFonts w:ascii="宋体" w:hAnsi="宋体"/>
          <w:color w:val="auto"/>
          <w:szCs w:val="21"/>
          <w:highlight w:val="none"/>
        </w:rPr>
        <w:t>3</w:t>
      </w:r>
      <w:r>
        <w:rPr>
          <w:rFonts w:hint="eastAsia" w:ascii="宋体" w:hAnsi="宋体"/>
          <w:color w:val="auto"/>
          <w:szCs w:val="21"/>
          <w:highlight w:val="none"/>
        </w:rPr>
        <w:t>日内，按照投标人须知前附表规定的公示媒介和期限公示中标候选人，公示期不得少于</w:t>
      </w:r>
      <w:r>
        <w:rPr>
          <w:rFonts w:ascii="宋体" w:hAnsi="宋体"/>
          <w:color w:val="auto"/>
          <w:szCs w:val="21"/>
          <w:highlight w:val="none"/>
        </w:rPr>
        <w:t>3</w:t>
      </w:r>
      <w:r>
        <w:rPr>
          <w:rFonts w:hint="eastAsia" w:ascii="宋体" w:hAnsi="宋体"/>
          <w:color w:val="auto"/>
          <w:szCs w:val="21"/>
          <w:highlight w:val="none"/>
        </w:rPr>
        <w:t>天。</w:t>
      </w:r>
    </w:p>
    <w:p w14:paraId="65A87C7E">
      <w:pPr>
        <w:rPr>
          <w:color w:val="auto"/>
          <w:highlight w:val="none"/>
        </w:rPr>
      </w:pPr>
    </w:p>
    <w:p w14:paraId="794BC0D6">
      <w:pPr>
        <w:pStyle w:val="8"/>
        <w:rPr>
          <w:color w:val="auto"/>
          <w:highlight w:val="none"/>
        </w:rPr>
      </w:pPr>
      <w:bookmarkStart w:id="84" w:name="bookmark62"/>
      <w:bookmarkEnd w:id="84"/>
      <w:r>
        <w:rPr>
          <w:color w:val="auto"/>
          <w:highlight w:val="none"/>
        </w:rPr>
        <w:t xml:space="preserve">7.2 </w:t>
      </w:r>
      <w:r>
        <w:rPr>
          <w:rFonts w:hint="eastAsia"/>
          <w:color w:val="auto"/>
          <w:highlight w:val="none"/>
        </w:rPr>
        <w:t>评标结果异议</w:t>
      </w:r>
    </w:p>
    <w:p w14:paraId="07F505E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投标人或者其他利害关系人对评标结果有异议的，应当在中标候选人公示期间提出。招标人将在收到异议之日起</w:t>
      </w:r>
      <w:r>
        <w:rPr>
          <w:rFonts w:ascii="宋体" w:hAnsi="宋体"/>
          <w:color w:val="auto"/>
          <w:szCs w:val="21"/>
          <w:highlight w:val="none"/>
        </w:rPr>
        <w:t>3</w:t>
      </w:r>
      <w:r>
        <w:rPr>
          <w:rFonts w:hint="eastAsia" w:ascii="宋体" w:hAnsi="宋体"/>
          <w:color w:val="auto"/>
          <w:szCs w:val="21"/>
          <w:highlight w:val="none"/>
        </w:rPr>
        <w:t>日内作出答复；作出答复前，将暂停招标投标活动。</w:t>
      </w:r>
    </w:p>
    <w:p w14:paraId="7342BFAA">
      <w:pPr>
        <w:pStyle w:val="3"/>
        <w:kinsoku w:val="0"/>
        <w:overflowPunct w:val="0"/>
        <w:spacing w:line="288" w:lineRule="auto"/>
        <w:ind w:firstLine="420" w:firstLineChars="200"/>
        <w:rPr>
          <w:rFonts w:ascii="宋体" w:hAnsi="宋体"/>
          <w:color w:val="auto"/>
          <w:szCs w:val="21"/>
          <w:highlight w:val="none"/>
        </w:rPr>
      </w:pPr>
    </w:p>
    <w:p w14:paraId="5FF8FC2A">
      <w:pPr>
        <w:pStyle w:val="8"/>
        <w:rPr>
          <w:color w:val="auto"/>
          <w:highlight w:val="none"/>
        </w:rPr>
      </w:pPr>
      <w:bookmarkStart w:id="85" w:name="bookmark63"/>
      <w:bookmarkEnd w:id="85"/>
      <w:r>
        <w:rPr>
          <w:color w:val="auto"/>
          <w:highlight w:val="none"/>
        </w:rPr>
        <w:t xml:space="preserve">7.3 </w:t>
      </w:r>
      <w:r>
        <w:rPr>
          <w:rFonts w:hint="eastAsia"/>
          <w:color w:val="auto"/>
          <w:highlight w:val="none"/>
        </w:rPr>
        <w:t>中标候选人履约能力审查</w:t>
      </w:r>
    </w:p>
    <w:p w14:paraId="5E96B5BC">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ED71D8D">
      <w:pPr>
        <w:pStyle w:val="3"/>
        <w:kinsoku w:val="0"/>
        <w:overflowPunct w:val="0"/>
        <w:spacing w:line="288" w:lineRule="auto"/>
        <w:ind w:firstLine="420" w:firstLineChars="200"/>
        <w:rPr>
          <w:rFonts w:ascii="宋体" w:hAnsi="宋体"/>
          <w:color w:val="auto"/>
          <w:szCs w:val="21"/>
          <w:highlight w:val="none"/>
        </w:rPr>
      </w:pPr>
    </w:p>
    <w:p w14:paraId="2B61DC73">
      <w:pPr>
        <w:pStyle w:val="8"/>
        <w:rPr>
          <w:color w:val="auto"/>
          <w:highlight w:val="none"/>
        </w:rPr>
      </w:pPr>
      <w:bookmarkStart w:id="86" w:name="bookmark64"/>
      <w:bookmarkEnd w:id="86"/>
      <w:r>
        <w:rPr>
          <w:color w:val="auto"/>
          <w:highlight w:val="none"/>
        </w:rPr>
        <w:t xml:space="preserve">7.4 </w:t>
      </w:r>
      <w:r>
        <w:rPr>
          <w:rFonts w:hint="eastAsia"/>
          <w:color w:val="auto"/>
          <w:highlight w:val="none"/>
        </w:rPr>
        <w:t>定标</w:t>
      </w:r>
    </w:p>
    <w:p w14:paraId="29B381CD">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按照投标人须知前附表的规定，招标人或招标人授权的评标委员会依法确定中标人。</w:t>
      </w:r>
    </w:p>
    <w:p w14:paraId="640BEA53">
      <w:pPr>
        <w:pStyle w:val="3"/>
        <w:kinsoku w:val="0"/>
        <w:overflowPunct w:val="0"/>
        <w:spacing w:line="288" w:lineRule="auto"/>
        <w:ind w:firstLine="420" w:firstLineChars="200"/>
        <w:rPr>
          <w:rFonts w:ascii="宋体" w:hAnsi="宋体"/>
          <w:color w:val="auto"/>
          <w:szCs w:val="21"/>
          <w:highlight w:val="none"/>
        </w:rPr>
      </w:pPr>
    </w:p>
    <w:p w14:paraId="2388DF30">
      <w:pPr>
        <w:pStyle w:val="8"/>
        <w:rPr>
          <w:color w:val="auto"/>
          <w:highlight w:val="none"/>
        </w:rPr>
      </w:pPr>
      <w:bookmarkStart w:id="87" w:name="bookmark65"/>
      <w:bookmarkEnd w:id="87"/>
      <w:r>
        <w:rPr>
          <w:color w:val="auto"/>
          <w:highlight w:val="none"/>
        </w:rPr>
        <w:t xml:space="preserve">7.5 </w:t>
      </w:r>
      <w:r>
        <w:rPr>
          <w:rFonts w:hint="eastAsia"/>
          <w:color w:val="auto"/>
          <w:highlight w:val="none"/>
        </w:rPr>
        <w:t>中标通知</w:t>
      </w:r>
    </w:p>
    <w:p w14:paraId="4DFD213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在本章第</w:t>
      </w:r>
      <w:r>
        <w:rPr>
          <w:rFonts w:ascii="宋体" w:hAnsi="宋体"/>
          <w:color w:val="auto"/>
          <w:szCs w:val="21"/>
          <w:highlight w:val="none"/>
        </w:rPr>
        <w:t>3.3</w:t>
      </w:r>
      <w:r>
        <w:rPr>
          <w:rFonts w:hint="eastAsia" w:ascii="宋体" w:hAnsi="宋体"/>
          <w:color w:val="auto"/>
          <w:szCs w:val="21"/>
          <w:highlight w:val="none"/>
        </w:rPr>
        <w:t>款规定的投标有效期内，招标人以书面形式向中标人发出中标通知书，同时将中标结果通知未中标的投标人。</w:t>
      </w:r>
    </w:p>
    <w:p w14:paraId="57365F76">
      <w:pPr>
        <w:pStyle w:val="3"/>
        <w:kinsoku w:val="0"/>
        <w:overflowPunct w:val="0"/>
        <w:spacing w:line="288" w:lineRule="auto"/>
        <w:ind w:firstLine="420" w:firstLineChars="200"/>
        <w:rPr>
          <w:rFonts w:ascii="宋体" w:hAnsi="宋体"/>
          <w:color w:val="auto"/>
          <w:szCs w:val="21"/>
          <w:highlight w:val="none"/>
        </w:rPr>
      </w:pPr>
    </w:p>
    <w:p w14:paraId="1D601E01">
      <w:pPr>
        <w:pStyle w:val="8"/>
        <w:rPr>
          <w:color w:val="auto"/>
          <w:highlight w:val="none"/>
        </w:rPr>
      </w:pPr>
      <w:bookmarkStart w:id="88" w:name="bookmark66"/>
      <w:bookmarkEnd w:id="88"/>
      <w:r>
        <w:rPr>
          <w:color w:val="auto"/>
          <w:highlight w:val="none"/>
        </w:rPr>
        <w:t xml:space="preserve">7.6 </w:t>
      </w:r>
      <w:r>
        <w:rPr>
          <w:rFonts w:hint="eastAsia"/>
          <w:color w:val="auto"/>
          <w:highlight w:val="none"/>
        </w:rPr>
        <w:t>履约保证金</w:t>
      </w:r>
    </w:p>
    <w:p w14:paraId="1C562BB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7.6.1</w:t>
      </w:r>
      <w:r>
        <w:rPr>
          <w:rFonts w:hint="eastAsia" w:ascii="宋体" w:hAnsi="宋体"/>
          <w:color w:val="auto"/>
          <w:szCs w:val="21"/>
          <w:highlight w:val="none"/>
        </w:rPr>
        <w:t>在签订合同</w:t>
      </w:r>
      <w:r>
        <w:rPr>
          <w:rFonts w:hint="eastAsia" w:ascii="宋体" w:hAnsi="宋体"/>
          <w:color w:val="auto"/>
          <w:szCs w:val="21"/>
          <w:highlight w:val="none"/>
          <w:lang w:val="en-US" w:eastAsia="zh-CN"/>
        </w:rPr>
        <w:t>后的30天内</w:t>
      </w:r>
      <w:r>
        <w:rPr>
          <w:rFonts w:hint="eastAsia" w:ascii="宋体" w:hAnsi="宋体"/>
          <w:color w:val="auto"/>
          <w:szCs w:val="21"/>
          <w:highlight w:val="none"/>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color w:val="auto"/>
          <w:szCs w:val="21"/>
          <w:highlight w:val="none"/>
        </w:rPr>
        <w:t>10%</w:t>
      </w:r>
      <w:r>
        <w:rPr>
          <w:rFonts w:hint="eastAsia" w:ascii="宋体" w:hAnsi="宋体"/>
          <w:color w:val="auto"/>
          <w:szCs w:val="21"/>
          <w:highlight w:val="none"/>
        </w:rPr>
        <w:t>。联合体中标的，其履约保证金以联合体各方或者联合体中牵头人的名义提交。</w:t>
      </w:r>
    </w:p>
    <w:p w14:paraId="39E5030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7.6.2</w:t>
      </w:r>
      <w:r>
        <w:rPr>
          <w:rFonts w:hint="eastAsia" w:ascii="宋体" w:hAnsi="宋体"/>
          <w:color w:val="auto"/>
          <w:szCs w:val="21"/>
          <w:highlight w:val="none"/>
        </w:rPr>
        <w:t>中标人不能按本章第</w:t>
      </w:r>
      <w:r>
        <w:rPr>
          <w:rFonts w:ascii="宋体" w:hAnsi="宋体"/>
          <w:color w:val="auto"/>
          <w:szCs w:val="21"/>
          <w:highlight w:val="none"/>
        </w:rPr>
        <w:t>7.6.1</w:t>
      </w:r>
      <w:r>
        <w:rPr>
          <w:rFonts w:hint="eastAsia" w:ascii="宋体" w:hAnsi="宋体"/>
          <w:color w:val="auto"/>
          <w:szCs w:val="21"/>
          <w:highlight w:val="none"/>
        </w:rPr>
        <w:t>项要求提交履约保证金的，视为放弃中标，其投标保证金不予退还，给招标人造成的损失超过投标保证金数额的，中标人还应当对超过部分予以赔偿。</w:t>
      </w:r>
    </w:p>
    <w:p w14:paraId="591F52BB">
      <w:pPr>
        <w:pStyle w:val="3"/>
        <w:kinsoku w:val="0"/>
        <w:overflowPunct w:val="0"/>
        <w:spacing w:line="288" w:lineRule="auto"/>
        <w:ind w:firstLine="420" w:firstLineChars="200"/>
        <w:rPr>
          <w:rFonts w:ascii="宋体" w:hAnsi="宋体"/>
          <w:color w:val="auto"/>
          <w:szCs w:val="21"/>
          <w:highlight w:val="none"/>
        </w:rPr>
      </w:pPr>
    </w:p>
    <w:p w14:paraId="0B483F5D">
      <w:pPr>
        <w:pStyle w:val="8"/>
        <w:rPr>
          <w:color w:val="auto"/>
          <w:highlight w:val="none"/>
        </w:rPr>
      </w:pPr>
      <w:bookmarkStart w:id="89" w:name="bookmark67"/>
      <w:bookmarkEnd w:id="89"/>
      <w:r>
        <w:rPr>
          <w:color w:val="auto"/>
          <w:highlight w:val="none"/>
        </w:rPr>
        <w:t xml:space="preserve">7.7 </w:t>
      </w:r>
      <w:r>
        <w:rPr>
          <w:rFonts w:hint="eastAsia"/>
          <w:color w:val="auto"/>
          <w:highlight w:val="none"/>
        </w:rPr>
        <w:t>签订合同</w:t>
      </w:r>
    </w:p>
    <w:p w14:paraId="4612F9A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7.7.1</w:t>
      </w:r>
      <w:r>
        <w:rPr>
          <w:rFonts w:hint="eastAsia" w:ascii="宋体" w:hAnsi="宋体"/>
          <w:color w:val="auto"/>
          <w:szCs w:val="21"/>
          <w:highlight w:val="none"/>
        </w:rPr>
        <w:t>招标人和中标人应当在中标通知书发出之日起</w:t>
      </w:r>
      <w:r>
        <w:rPr>
          <w:rFonts w:ascii="宋体" w:hAnsi="宋体"/>
          <w:color w:val="auto"/>
          <w:szCs w:val="21"/>
          <w:highlight w:val="none"/>
        </w:rPr>
        <w:t>30</w:t>
      </w:r>
      <w:r>
        <w:rPr>
          <w:rFonts w:hint="eastAsia" w:ascii="宋体" w:hAnsi="宋体"/>
          <w:color w:val="auto"/>
          <w:szCs w:val="21"/>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F6D80D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7.7.2</w:t>
      </w:r>
      <w:r>
        <w:rPr>
          <w:rFonts w:hint="eastAsia" w:ascii="宋体" w:hAnsi="宋体"/>
          <w:color w:val="auto"/>
          <w:szCs w:val="21"/>
          <w:highlight w:val="none"/>
        </w:rPr>
        <w:t>发出中标通知书后，招标人无正当理由拒签合同，或者在签订合同时向中标人提出附加条件的，招标人向中标人退还投标保证金；给中标人造成损失的，还应当赔偿损失。</w:t>
      </w:r>
    </w:p>
    <w:p w14:paraId="7D4CE1A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7.7.3</w:t>
      </w:r>
      <w:r>
        <w:rPr>
          <w:rFonts w:hint="eastAsia" w:ascii="宋体" w:hAnsi="宋体"/>
          <w:color w:val="auto"/>
          <w:szCs w:val="21"/>
          <w:highlight w:val="none"/>
        </w:rPr>
        <w:t>联合体中标的，联合体各方应当共同与招标人签订合同，就中标项目向招标人承担连带责任。</w:t>
      </w:r>
    </w:p>
    <w:p w14:paraId="0AE747EF">
      <w:pPr>
        <w:rPr>
          <w:color w:val="auto"/>
          <w:highlight w:val="none"/>
        </w:rPr>
      </w:pPr>
    </w:p>
    <w:p w14:paraId="0DDD1D28">
      <w:pPr>
        <w:pStyle w:val="6"/>
        <w:rPr>
          <w:color w:val="auto"/>
          <w:highlight w:val="none"/>
        </w:rPr>
      </w:pPr>
      <w:bookmarkStart w:id="90" w:name="bookmark68"/>
      <w:bookmarkEnd w:id="90"/>
      <w:bookmarkStart w:id="91" w:name="_Toc533357315"/>
      <w:bookmarkStart w:id="92" w:name="_Toc118553977"/>
      <w:r>
        <w:rPr>
          <w:color w:val="auto"/>
          <w:highlight w:val="none"/>
        </w:rPr>
        <w:t xml:space="preserve">8. </w:t>
      </w:r>
      <w:r>
        <w:rPr>
          <w:rFonts w:hint="eastAsia"/>
          <w:color w:val="auto"/>
          <w:highlight w:val="none"/>
        </w:rPr>
        <w:t>纪律和监督</w:t>
      </w:r>
      <w:bookmarkEnd w:id="91"/>
      <w:bookmarkEnd w:id="92"/>
    </w:p>
    <w:p w14:paraId="5B9A9539">
      <w:pPr>
        <w:pStyle w:val="8"/>
        <w:rPr>
          <w:color w:val="auto"/>
          <w:highlight w:val="none"/>
        </w:rPr>
      </w:pPr>
      <w:bookmarkStart w:id="93" w:name="bookmark69"/>
      <w:bookmarkEnd w:id="93"/>
      <w:r>
        <w:rPr>
          <w:color w:val="auto"/>
          <w:highlight w:val="none"/>
        </w:rPr>
        <w:t xml:space="preserve">8.1 </w:t>
      </w:r>
      <w:r>
        <w:rPr>
          <w:rFonts w:hint="eastAsia"/>
          <w:color w:val="auto"/>
          <w:highlight w:val="none"/>
        </w:rPr>
        <w:t>对招标人的纪律要求</w:t>
      </w:r>
    </w:p>
    <w:p w14:paraId="2C48DFFE">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招标人不得泄露招标投标活动中应当保密的情况和资料，不得与投标人串通损害国家利益、社会公共利益或者他人合法权益。</w:t>
      </w:r>
    </w:p>
    <w:p w14:paraId="2D326E80">
      <w:pPr>
        <w:pStyle w:val="3"/>
        <w:kinsoku w:val="0"/>
        <w:overflowPunct w:val="0"/>
        <w:spacing w:line="288" w:lineRule="auto"/>
        <w:ind w:firstLine="420" w:firstLineChars="200"/>
        <w:rPr>
          <w:rFonts w:ascii="宋体" w:hAnsi="宋体"/>
          <w:color w:val="auto"/>
          <w:szCs w:val="21"/>
          <w:highlight w:val="none"/>
        </w:rPr>
      </w:pPr>
    </w:p>
    <w:p w14:paraId="169D8B7C">
      <w:pPr>
        <w:pStyle w:val="8"/>
        <w:rPr>
          <w:color w:val="auto"/>
          <w:highlight w:val="none"/>
        </w:rPr>
      </w:pPr>
      <w:bookmarkStart w:id="94" w:name="bookmark70"/>
      <w:bookmarkEnd w:id="94"/>
      <w:r>
        <w:rPr>
          <w:color w:val="auto"/>
          <w:highlight w:val="none"/>
        </w:rPr>
        <w:t xml:space="preserve">8.2 </w:t>
      </w:r>
      <w:r>
        <w:rPr>
          <w:rFonts w:hint="eastAsia"/>
          <w:color w:val="auto"/>
          <w:highlight w:val="none"/>
        </w:rPr>
        <w:t>对投标人的纪律要求</w:t>
      </w:r>
    </w:p>
    <w:p w14:paraId="204607B1">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7E6D5BB">
      <w:pPr>
        <w:pStyle w:val="3"/>
        <w:kinsoku w:val="0"/>
        <w:overflowPunct w:val="0"/>
        <w:spacing w:line="288" w:lineRule="auto"/>
        <w:ind w:firstLine="420" w:firstLineChars="200"/>
        <w:rPr>
          <w:rFonts w:ascii="宋体" w:hAnsi="宋体"/>
          <w:color w:val="auto"/>
          <w:szCs w:val="21"/>
          <w:highlight w:val="none"/>
        </w:rPr>
      </w:pPr>
    </w:p>
    <w:p w14:paraId="2B908B7E">
      <w:pPr>
        <w:pStyle w:val="8"/>
        <w:rPr>
          <w:color w:val="auto"/>
          <w:highlight w:val="none"/>
        </w:rPr>
      </w:pPr>
      <w:bookmarkStart w:id="95" w:name="bookmark71"/>
      <w:bookmarkEnd w:id="95"/>
      <w:r>
        <w:rPr>
          <w:color w:val="auto"/>
          <w:highlight w:val="none"/>
        </w:rPr>
        <w:t xml:space="preserve">8.3 </w:t>
      </w:r>
      <w:r>
        <w:rPr>
          <w:rFonts w:hint="eastAsia"/>
          <w:color w:val="auto"/>
          <w:highlight w:val="none"/>
        </w:rPr>
        <w:t>对评标委员会成员的纪律要求</w:t>
      </w:r>
    </w:p>
    <w:p w14:paraId="1D3C5A9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5D28222">
      <w:pPr>
        <w:pStyle w:val="3"/>
        <w:kinsoku w:val="0"/>
        <w:overflowPunct w:val="0"/>
        <w:spacing w:line="288" w:lineRule="auto"/>
        <w:ind w:firstLine="420" w:firstLineChars="200"/>
        <w:rPr>
          <w:rFonts w:ascii="宋体" w:hAnsi="宋体"/>
          <w:color w:val="auto"/>
          <w:szCs w:val="21"/>
          <w:highlight w:val="none"/>
        </w:rPr>
      </w:pPr>
    </w:p>
    <w:p w14:paraId="163657C0">
      <w:pPr>
        <w:pStyle w:val="8"/>
        <w:rPr>
          <w:color w:val="auto"/>
          <w:highlight w:val="none"/>
        </w:rPr>
      </w:pPr>
      <w:bookmarkStart w:id="96" w:name="bookmark72"/>
      <w:bookmarkEnd w:id="96"/>
      <w:r>
        <w:rPr>
          <w:color w:val="auto"/>
          <w:highlight w:val="none"/>
        </w:rPr>
        <w:t xml:space="preserve">8.4 </w:t>
      </w:r>
      <w:r>
        <w:rPr>
          <w:rFonts w:hint="eastAsia"/>
          <w:color w:val="auto"/>
          <w:highlight w:val="none"/>
        </w:rPr>
        <w:t>对与评标活动有关的工作人员的纪律要求</w:t>
      </w:r>
    </w:p>
    <w:p w14:paraId="759AE7F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2AE011F">
      <w:pPr>
        <w:pStyle w:val="3"/>
        <w:kinsoku w:val="0"/>
        <w:overflowPunct w:val="0"/>
        <w:spacing w:line="288" w:lineRule="auto"/>
        <w:ind w:firstLine="420" w:firstLineChars="200"/>
        <w:rPr>
          <w:rFonts w:ascii="宋体" w:hAnsi="宋体"/>
          <w:color w:val="auto"/>
          <w:szCs w:val="21"/>
          <w:highlight w:val="none"/>
        </w:rPr>
      </w:pPr>
    </w:p>
    <w:p w14:paraId="1287D628">
      <w:pPr>
        <w:pStyle w:val="8"/>
        <w:rPr>
          <w:color w:val="auto"/>
          <w:highlight w:val="none"/>
        </w:rPr>
      </w:pPr>
      <w:bookmarkStart w:id="97" w:name="bookmark73"/>
      <w:bookmarkEnd w:id="97"/>
      <w:r>
        <w:rPr>
          <w:color w:val="auto"/>
          <w:highlight w:val="none"/>
        </w:rPr>
        <w:t xml:space="preserve">8.5 </w:t>
      </w:r>
      <w:r>
        <w:rPr>
          <w:rFonts w:hint="eastAsia"/>
          <w:color w:val="auto"/>
          <w:highlight w:val="none"/>
        </w:rPr>
        <w:t>投诉</w:t>
      </w:r>
    </w:p>
    <w:p w14:paraId="2C9BE20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8.5.1</w:t>
      </w:r>
      <w:r>
        <w:rPr>
          <w:rFonts w:hint="eastAsia" w:ascii="宋体" w:hAnsi="宋体"/>
          <w:color w:val="auto"/>
          <w:szCs w:val="21"/>
          <w:highlight w:val="none"/>
        </w:rPr>
        <w:t>投标人或者其他利害关系人认为招标投标活动不符合法律、行政法规规定的，可以自知道或者应当知道之日起</w:t>
      </w:r>
      <w:r>
        <w:rPr>
          <w:rFonts w:ascii="宋体" w:hAnsi="宋体"/>
          <w:color w:val="auto"/>
          <w:szCs w:val="21"/>
          <w:highlight w:val="none"/>
        </w:rPr>
        <w:t>10</w:t>
      </w:r>
      <w:r>
        <w:rPr>
          <w:rFonts w:hint="eastAsia" w:ascii="宋体" w:hAnsi="宋体"/>
          <w:color w:val="auto"/>
          <w:szCs w:val="21"/>
          <w:highlight w:val="none"/>
        </w:rPr>
        <w:t>日内向有关行政监督部门投诉。投诉应当有明确的请求和必要的证明材料。</w:t>
      </w:r>
    </w:p>
    <w:p w14:paraId="5FED05B7">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8.5.2</w:t>
      </w:r>
      <w:r>
        <w:rPr>
          <w:rFonts w:hint="eastAsia" w:ascii="宋体" w:hAnsi="宋体"/>
          <w:color w:val="auto"/>
          <w:szCs w:val="21"/>
          <w:highlight w:val="none"/>
        </w:rPr>
        <w:t>投标人或者其他利害关系人对招标文件、开标和评标结果提出投诉的，应当按照投标人须知第</w:t>
      </w:r>
      <w:r>
        <w:rPr>
          <w:rFonts w:ascii="宋体" w:hAnsi="宋体"/>
          <w:color w:val="auto"/>
          <w:szCs w:val="21"/>
          <w:highlight w:val="none"/>
        </w:rPr>
        <w:t>2.4</w:t>
      </w:r>
      <w:r>
        <w:rPr>
          <w:rFonts w:hint="eastAsia" w:ascii="宋体" w:hAnsi="宋体"/>
          <w:color w:val="auto"/>
          <w:szCs w:val="21"/>
          <w:highlight w:val="none"/>
        </w:rPr>
        <w:t>款、第</w:t>
      </w:r>
      <w:r>
        <w:rPr>
          <w:rFonts w:ascii="宋体" w:hAnsi="宋体"/>
          <w:color w:val="auto"/>
          <w:szCs w:val="21"/>
          <w:highlight w:val="none"/>
        </w:rPr>
        <w:t>5.3</w:t>
      </w:r>
      <w:r>
        <w:rPr>
          <w:rFonts w:hint="eastAsia" w:ascii="宋体" w:hAnsi="宋体"/>
          <w:color w:val="auto"/>
          <w:szCs w:val="21"/>
          <w:highlight w:val="none"/>
        </w:rPr>
        <w:t>款和第</w:t>
      </w:r>
      <w:r>
        <w:rPr>
          <w:rFonts w:ascii="宋体" w:hAnsi="宋体"/>
          <w:color w:val="auto"/>
          <w:szCs w:val="21"/>
          <w:highlight w:val="none"/>
        </w:rPr>
        <w:t>7.2</w:t>
      </w:r>
      <w:r>
        <w:rPr>
          <w:rFonts w:hint="eastAsia" w:ascii="宋体" w:hAnsi="宋体"/>
          <w:color w:val="auto"/>
          <w:szCs w:val="21"/>
          <w:highlight w:val="none"/>
        </w:rPr>
        <w:t>款的规定先向招标人提出异议。异议答复期间不计算在第</w:t>
      </w:r>
      <w:r>
        <w:rPr>
          <w:rFonts w:ascii="宋体" w:hAnsi="宋体"/>
          <w:color w:val="auto"/>
          <w:szCs w:val="21"/>
          <w:highlight w:val="none"/>
        </w:rPr>
        <w:t>8.5.1</w:t>
      </w:r>
      <w:r>
        <w:rPr>
          <w:rFonts w:hint="eastAsia" w:ascii="宋体" w:hAnsi="宋体"/>
          <w:color w:val="auto"/>
          <w:szCs w:val="21"/>
          <w:highlight w:val="none"/>
        </w:rPr>
        <w:t>项规定的期限内。</w:t>
      </w:r>
    </w:p>
    <w:p w14:paraId="1EDF661F">
      <w:pPr>
        <w:rPr>
          <w:color w:val="auto"/>
          <w:highlight w:val="none"/>
        </w:rPr>
      </w:pPr>
    </w:p>
    <w:p w14:paraId="5647D30B">
      <w:pPr>
        <w:pStyle w:val="6"/>
        <w:rPr>
          <w:color w:val="auto"/>
          <w:highlight w:val="none"/>
        </w:rPr>
      </w:pPr>
      <w:bookmarkStart w:id="98" w:name="bookmark74"/>
      <w:bookmarkEnd w:id="98"/>
      <w:bookmarkStart w:id="99" w:name="_Toc118553978"/>
      <w:r>
        <w:rPr>
          <w:color w:val="auto"/>
          <w:highlight w:val="none"/>
        </w:rPr>
        <w:t xml:space="preserve">9. </w:t>
      </w:r>
      <w:r>
        <w:rPr>
          <w:rFonts w:hint="eastAsia"/>
          <w:color w:val="auto"/>
          <w:highlight w:val="none"/>
        </w:rPr>
        <w:t>是否采用电子招标投标</w:t>
      </w:r>
      <w:bookmarkEnd w:id="99"/>
    </w:p>
    <w:p w14:paraId="3992690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本招标项目采用电子招标投标方式，具体要求见投标人须知前附表。</w:t>
      </w:r>
    </w:p>
    <w:p w14:paraId="384E62B1">
      <w:pPr>
        <w:pStyle w:val="3"/>
        <w:kinsoku w:val="0"/>
        <w:overflowPunct w:val="0"/>
        <w:spacing w:line="288" w:lineRule="auto"/>
        <w:ind w:firstLine="420" w:firstLineChars="200"/>
        <w:rPr>
          <w:rFonts w:ascii="宋体" w:hAnsi="宋体"/>
          <w:color w:val="auto"/>
          <w:szCs w:val="21"/>
          <w:highlight w:val="none"/>
        </w:rPr>
      </w:pPr>
    </w:p>
    <w:p w14:paraId="2A124D8D">
      <w:pPr>
        <w:pStyle w:val="6"/>
        <w:rPr>
          <w:color w:val="auto"/>
          <w:highlight w:val="none"/>
        </w:rPr>
      </w:pPr>
      <w:bookmarkStart w:id="100" w:name="bookmark75"/>
      <w:bookmarkEnd w:id="100"/>
      <w:bookmarkStart w:id="101" w:name="_Toc118553979"/>
      <w:r>
        <w:rPr>
          <w:color w:val="auto"/>
          <w:highlight w:val="none"/>
        </w:rPr>
        <w:t xml:space="preserve">10. </w:t>
      </w:r>
      <w:r>
        <w:rPr>
          <w:rFonts w:hint="eastAsia"/>
          <w:color w:val="auto"/>
          <w:highlight w:val="none"/>
        </w:rPr>
        <w:t>需要补充的其他内容</w:t>
      </w:r>
      <w:bookmarkEnd w:id="101"/>
    </w:p>
    <w:p w14:paraId="1396782C">
      <w:pPr>
        <w:ind w:firstLine="424" w:firstLineChars="202"/>
        <w:rPr>
          <w:rFonts w:ascii="宋体" w:hAnsi="宋体"/>
          <w:color w:val="auto"/>
          <w:highlight w:val="none"/>
        </w:rPr>
      </w:pPr>
      <w:r>
        <w:rPr>
          <w:rFonts w:hint="eastAsia" w:ascii="宋体" w:hAnsi="宋体"/>
          <w:color w:val="auto"/>
          <w:highlight w:val="none"/>
        </w:rPr>
        <w:t>需要补充的其他内容：见投标人须知前附表。</w:t>
      </w:r>
    </w:p>
    <w:p w14:paraId="31815768">
      <w:pPr>
        <w:ind w:firstLine="424" w:firstLineChars="202"/>
        <w:rPr>
          <w:rFonts w:ascii="宋体" w:hAnsi="宋体"/>
          <w:color w:val="auto"/>
          <w:highlight w:val="none"/>
        </w:rPr>
      </w:pPr>
    </w:p>
    <w:p w14:paraId="3F634495">
      <w:pPr>
        <w:ind w:firstLine="424" w:firstLineChars="202"/>
        <w:rPr>
          <w:rFonts w:ascii="宋体" w:hAnsi="宋体"/>
          <w:color w:val="auto"/>
          <w:highlight w:val="none"/>
        </w:rPr>
      </w:pPr>
    </w:p>
    <w:p w14:paraId="48A2361C">
      <w:pPr>
        <w:ind w:firstLine="424" w:firstLineChars="202"/>
        <w:rPr>
          <w:rFonts w:ascii="宋体" w:hAnsi="宋体"/>
          <w:color w:val="auto"/>
          <w:highlight w:val="none"/>
        </w:rPr>
      </w:pPr>
    </w:p>
    <w:p w14:paraId="441801D8">
      <w:pPr>
        <w:pStyle w:val="4"/>
        <w:rPr>
          <w:color w:val="auto"/>
          <w:highlight w:val="none"/>
        </w:rPr>
      </w:pPr>
      <w:r>
        <w:rPr>
          <w:color w:val="auto"/>
          <w:szCs w:val="24"/>
          <w:highlight w:val="none"/>
        </w:rPr>
        <w:br w:type="page"/>
      </w:r>
      <w:bookmarkStart w:id="102" w:name="_Toc118553980"/>
      <w:bookmarkStart w:id="103" w:name="_Toc533357317"/>
      <w:r>
        <w:rPr>
          <w:rFonts w:hint="eastAsia"/>
          <w:color w:val="auto"/>
          <w:highlight w:val="none"/>
        </w:rPr>
        <w:t>第三章  评标办法（综合评估法）</w:t>
      </w:r>
      <w:bookmarkEnd w:id="102"/>
      <w:bookmarkEnd w:id="103"/>
    </w:p>
    <w:p w14:paraId="04907DCF">
      <w:pPr>
        <w:pStyle w:val="5"/>
        <w:rPr>
          <w:rFonts w:ascii="宋体" w:hAnsi="宋体"/>
          <w:color w:val="auto"/>
          <w:highlight w:val="none"/>
        </w:rPr>
      </w:pPr>
      <w:bookmarkStart w:id="104" w:name="_Toc118553981"/>
      <w:bookmarkStart w:id="105" w:name="_Toc533357318"/>
      <w:r>
        <w:rPr>
          <w:rFonts w:hint="eastAsia" w:ascii="宋体" w:hAnsi="宋体"/>
          <w:color w:val="auto"/>
          <w:highlight w:val="none"/>
        </w:rPr>
        <w:t>评标办法前附表</w:t>
      </w:r>
      <w:bookmarkEnd w:id="104"/>
      <w:bookmarkEnd w:id="105"/>
    </w:p>
    <w:tbl>
      <w:tblPr>
        <w:tblStyle w:val="27"/>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1"/>
        <w:gridCol w:w="1550"/>
        <w:gridCol w:w="7136"/>
      </w:tblGrid>
      <w:tr w14:paraId="3627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4DEFE968">
            <w:pPr>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50" w:type="dxa"/>
            <w:vAlign w:val="center"/>
          </w:tcPr>
          <w:p w14:paraId="6CB8281D">
            <w:pPr>
              <w:spacing w:line="40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7136" w:type="dxa"/>
            <w:vAlign w:val="center"/>
          </w:tcPr>
          <w:p w14:paraId="008E3159">
            <w:pPr>
              <w:spacing w:line="40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14:paraId="572F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Align w:val="center"/>
          </w:tcPr>
          <w:p w14:paraId="641D5C1A">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51" w:type="dxa"/>
            <w:vAlign w:val="center"/>
          </w:tcPr>
          <w:p w14:paraId="5482F19A">
            <w:pPr>
              <w:spacing w:line="400" w:lineRule="exact"/>
              <w:jc w:val="center"/>
              <w:rPr>
                <w:rFonts w:ascii="宋体" w:hAnsi="宋体"/>
                <w:color w:val="auto"/>
                <w:szCs w:val="21"/>
                <w:highlight w:val="none"/>
              </w:rPr>
            </w:pPr>
            <w:r>
              <w:rPr>
                <w:rFonts w:hint="eastAsia" w:ascii="宋体" w:hAnsi="宋体"/>
                <w:color w:val="auto"/>
                <w:szCs w:val="21"/>
                <w:highlight w:val="none"/>
              </w:rPr>
              <w:t>评标方法</w:t>
            </w:r>
          </w:p>
        </w:tc>
        <w:tc>
          <w:tcPr>
            <w:tcW w:w="1550" w:type="dxa"/>
            <w:vAlign w:val="center"/>
          </w:tcPr>
          <w:p w14:paraId="2F1DC3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7136" w:type="dxa"/>
            <w:vAlign w:val="center"/>
          </w:tcPr>
          <w:p w14:paraId="689A6C85">
            <w:pPr>
              <w:spacing w:line="400" w:lineRule="exact"/>
              <w:rPr>
                <w:rFonts w:ascii="宋体" w:hAnsi="宋体"/>
                <w:color w:val="auto"/>
                <w:szCs w:val="21"/>
                <w:highlight w:val="none"/>
              </w:rPr>
            </w:pPr>
            <w:r>
              <w:rPr>
                <w:rFonts w:hint="eastAsia" w:ascii="宋体" w:hAnsi="宋体"/>
                <w:color w:val="auto"/>
                <w:szCs w:val="21"/>
                <w:highlight w:val="none"/>
              </w:rPr>
              <w:t>本次评标采用综合评估法。评标委员会对满足招标文件实质性要求的投标文件，按照本章第2.2款规定的评分标准进行打分，并按总得分由高到低顺序推荐中标候选人，排序的前一~三名为第一中标候选人、第二中标候选人和第三中标候选人。总得分相等时，以投标报价低的优先；若投标报价也相等，以项目检测方案得分高的优先；若项目检测方案得分也相等，由评标委员会采用记名投票方式，以得票多的优先。</w:t>
            </w:r>
          </w:p>
        </w:tc>
      </w:tr>
      <w:tr w14:paraId="7D9F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restart"/>
            <w:vAlign w:val="center"/>
          </w:tcPr>
          <w:p w14:paraId="6CAAEE0E">
            <w:pPr>
              <w:spacing w:line="400" w:lineRule="exact"/>
              <w:jc w:val="center"/>
              <w:rPr>
                <w:rFonts w:ascii="宋体" w:hAnsi="宋体"/>
                <w:color w:val="auto"/>
                <w:szCs w:val="21"/>
                <w:highlight w:val="none"/>
              </w:rPr>
            </w:pPr>
            <w:r>
              <w:rPr>
                <w:rFonts w:ascii="宋体" w:hAnsi="宋体"/>
                <w:color w:val="auto"/>
                <w:szCs w:val="21"/>
                <w:highlight w:val="none"/>
              </w:rPr>
              <w:t>2.1.1</w:t>
            </w:r>
          </w:p>
        </w:tc>
        <w:tc>
          <w:tcPr>
            <w:tcW w:w="851" w:type="dxa"/>
            <w:vMerge w:val="restart"/>
            <w:vAlign w:val="center"/>
          </w:tcPr>
          <w:p w14:paraId="50D834D1">
            <w:pPr>
              <w:spacing w:line="400" w:lineRule="exact"/>
              <w:jc w:val="center"/>
              <w:rPr>
                <w:rFonts w:ascii="宋体" w:hAnsi="宋体"/>
                <w:color w:val="auto"/>
                <w:szCs w:val="21"/>
                <w:highlight w:val="none"/>
              </w:rPr>
            </w:pPr>
            <w:r>
              <w:rPr>
                <w:rFonts w:hint="eastAsia" w:ascii="宋体" w:hAnsi="宋体"/>
                <w:color w:val="auto"/>
                <w:szCs w:val="21"/>
                <w:highlight w:val="none"/>
              </w:rPr>
              <w:t>形式评审标准</w:t>
            </w:r>
          </w:p>
        </w:tc>
        <w:tc>
          <w:tcPr>
            <w:tcW w:w="1550" w:type="dxa"/>
            <w:vAlign w:val="center"/>
          </w:tcPr>
          <w:p w14:paraId="48F7371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136" w:type="dxa"/>
            <w:vAlign w:val="center"/>
          </w:tcPr>
          <w:p w14:paraId="633835F9">
            <w:pPr>
              <w:spacing w:line="400" w:lineRule="exact"/>
              <w:rPr>
                <w:rFonts w:ascii="宋体" w:hAnsi="宋体"/>
                <w:color w:val="auto"/>
                <w:szCs w:val="21"/>
                <w:highlight w:val="none"/>
              </w:rPr>
            </w:pPr>
            <w:r>
              <w:rPr>
                <w:rFonts w:hint="eastAsia" w:ascii="宋体" w:hAnsi="宋体"/>
                <w:color w:val="auto"/>
                <w:szCs w:val="21"/>
                <w:highlight w:val="none"/>
              </w:rPr>
              <w:t>与企业法人营业执照（或事业单位法人证书）、计量认证合格证书、资质证书一致。联合体投标的，联合体各方名称须和相应的企业法人营业执照（或事业单位法人证书）、计量认证合格证书、资质证书的名称一致。</w:t>
            </w:r>
          </w:p>
        </w:tc>
      </w:tr>
      <w:tr w14:paraId="1849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F42FECF">
            <w:pPr>
              <w:spacing w:line="400" w:lineRule="exact"/>
              <w:rPr>
                <w:rFonts w:ascii="宋体" w:hAnsi="宋体"/>
                <w:color w:val="auto"/>
                <w:szCs w:val="21"/>
                <w:highlight w:val="none"/>
              </w:rPr>
            </w:pPr>
          </w:p>
        </w:tc>
        <w:tc>
          <w:tcPr>
            <w:tcW w:w="851" w:type="dxa"/>
            <w:vMerge w:val="continue"/>
            <w:vAlign w:val="center"/>
          </w:tcPr>
          <w:p w14:paraId="559607D4">
            <w:pPr>
              <w:spacing w:line="400" w:lineRule="exact"/>
              <w:rPr>
                <w:rFonts w:ascii="宋体" w:hAnsi="宋体"/>
                <w:color w:val="auto"/>
                <w:szCs w:val="21"/>
                <w:highlight w:val="none"/>
              </w:rPr>
            </w:pPr>
          </w:p>
        </w:tc>
        <w:tc>
          <w:tcPr>
            <w:tcW w:w="1550" w:type="dxa"/>
            <w:vAlign w:val="center"/>
          </w:tcPr>
          <w:p w14:paraId="1F75B98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投标函及其附表签字盖章</w:t>
            </w:r>
          </w:p>
        </w:tc>
        <w:tc>
          <w:tcPr>
            <w:tcW w:w="7136" w:type="dxa"/>
            <w:vAlign w:val="center"/>
          </w:tcPr>
          <w:p w14:paraId="4228EBD9">
            <w:pPr>
              <w:spacing w:line="400" w:lineRule="exact"/>
              <w:rPr>
                <w:rFonts w:ascii="宋体" w:hAnsi="宋体"/>
                <w:color w:val="auto"/>
                <w:szCs w:val="21"/>
                <w:highlight w:val="none"/>
              </w:rPr>
            </w:pPr>
            <w:r>
              <w:rPr>
                <w:rFonts w:hint="eastAsia" w:ascii="宋体" w:hAnsi="宋体"/>
                <w:color w:val="auto"/>
                <w:szCs w:val="21"/>
                <w:highlight w:val="none"/>
              </w:rPr>
              <w:t>投标函及其附表格式及签字盖章符合招标文件要求，由法定代表人签字或盖章的，应附法定代表人证明书，由代理人签字或盖章的，应附法定代表人证明书及授权委托书。</w:t>
            </w:r>
          </w:p>
        </w:tc>
      </w:tr>
      <w:tr w14:paraId="60E5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67" w:type="dxa"/>
            <w:vMerge w:val="continue"/>
            <w:vAlign w:val="center"/>
          </w:tcPr>
          <w:p w14:paraId="3AB71443">
            <w:pPr>
              <w:spacing w:line="400" w:lineRule="exact"/>
              <w:rPr>
                <w:rFonts w:ascii="宋体" w:hAnsi="宋体"/>
                <w:color w:val="auto"/>
                <w:szCs w:val="21"/>
                <w:highlight w:val="none"/>
              </w:rPr>
            </w:pPr>
          </w:p>
        </w:tc>
        <w:tc>
          <w:tcPr>
            <w:tcW w:w="851" w:type="dxa"/>
            <w:vMerge w:val="continue"/>
            <w:vAlign w:val="center"/>
          </w:tcPr>
          <w:p w14:paraId="3967A76B">
            <w:pPr>
              <w:spacing w:line="400" w:lineRule="exact"/>
              <w:rPr>
                <w:rFonts w:ascii="宋体" w:hAnsi="宋体"/>
                <w:color w:val="auto"/>
                <w:szCs w:val="21"/>
                <w:highlight w:val="none"/>
              </w:rPr>
            </w:pPr>
          </w:p>
        </w:tc>
        <w:tc>
          <w:tcPr>
            <w:tcW w:w="1550" w:type="dxa"/>
            <w:vAlign w:val="center"/>
          </w:tcPr>
          <w:p w14:paraId="5327127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7136" w:type="dxa"/>
            <w:vAlign w:val="center"/>
          </w:tcPr>
          <w:p w14:paraId="5C152D9C">
            <w:pPr>
              <w:spacing w:line="400" w:lineRule="exact"/>
              <w:rPr>
                <w:rFonts w:ascii="宋体" w:hAnsi="宋体"/>
                <w:color w:val="auto"/>
                <w:szCs w:val="21"/>
                <w:highlight w:val="none"/>
              </w:rPr>
            </w:pPr>
            <w:r>
              <w:rPr>
                <w:rFonts w:hint="eastAsia" w:ascii="宋体" w:hAnsi="宋体"/>
                <w:color w:val="auto"/>
                <w:szCs w:val="21"/>
                <w:highlight w:val="none"/>
              </w:rPr>
              <w:t>符合第六章投标文件格式中“投标函”“投标函附表”“投标报价书”“投标申请人声明”“联合体协议书”（如有）的规定。</w:t>
            </w:r>
          </w:p>
        </w:tc>
      </w:tr>
      <w:tr w14:paraId="5599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7" w:type="dxa"/>
            <w:vMerge w:val="continue"/>
            <w:vAlign w:val="center"/>
          </w:tcPr>
          <w:p w14:paraId="73E4ACFA">
            <w:pPr>
              <w:spacing w:line="400" w:lineRule="exact"/>
              <w:rPr>
                <w:rFonts w:ascii="宋体" w:hAnsi="宋体"/>
                <w:color w:val="auto"/>
                <w:szCs w:val="21"/>
                <w:highlight w:val="none"/>
              </w:rPr>
            </w:pPr>
          </w:p>
        </w:tc>
        <w:tc>
          <w:tcPr>
            <w:tcW w:w="851" w:type="dxa"/>
            <w:vMerge w:val="continue"/>
            <w:vAlign w:val="center"/>
          </w:tcPr>
          <w:p w14:paraId="09793BE7">
            <w:pPr>
              <w:spacing w:line="400" w:lineRule="exact"/>
              <w:rPr>
                <w:rFonts w:ascii="宋体" w:hAnsi="宋体"/>
                <w:color w:val="auto"/>
                <w:szCs w:val="21"/>
                <w:highlight w:val="none"/>
              </w:rPr>
            </w:pPr>
          </w:p>
        </w:tc>
        <w:tc>
          <w:tcPr>
            <w:tcW w:w="1550" w:type="dxa"/>
            <w:vAlign w:val="center"/>
          </w:tcPr>
          <w:p w14:paraId="75CA8EA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7136" w:type="dxa"/>
            <w:vAlign w:val="center"/>
          </w:tcPr>
          <w:p w14:paraId="309DC537">
            <w:pPr>
              <w:spacing w:line="400" w:lineRule="exact"/>
              <w:rPr>
                <w:rFonts w:ascii="宋体" w:hAnsi="宋体"/>
                <w:color w:val="auto"/>
                <w:szCs w:val="21"/>
                <w:highlight w:val="none"/>
              </w:rPr>
            </w:pPr>
            <w:r>
              <w:rPr>
                <w:rFonts w:hint="eastAsia" w:ascii="宋体" w:hAnsi="宋体"/>
                <w:color w:val="auto"/>
                <w:szCs w:val="21"/>
                <w:highlight w:val="none"/>
              </w:rPr>
              <w:t>没有提交备选投标方案。</w:t>
            </w:r>
          </w:p>
        </w:tc>
      </w:tr>
      <w:tr w14:paraId="1B1C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7" w:type="dxa"/>
            <w:vMerge w:val="continue"/>
            <w:vAlign w:val="center"/>
          </w:tcPr>
          <w:p w14:paraId="2B47A2DE">
            <w:pPr>
              <w:spacing w:line="400" w:lineRule="exact"/>
              <w:rPr>
                <w:rFonts w:ascii="宋体" w:hAnsi="宋体"/>
                <w:color w:val="auto"/>
                <w:szCs w:val="21"/>
                <w:highlight w:val="none"/>
              </w:rPr>
            </w:pPr>
          </w:p>
        </w:tc>
        <w:tc>
          <w:tcPr>
            <w:tcW w:w="851" w:type="dxa"/>
            <w:vMerge w:val="continue"/>
            <w:vAlign w:val="center"/>
          </w:tcPr>
          <w:p w14:paraId="113592E8">
            <w:pPr>
              <w:spacing w:line="400" w:lineRule="exact"/>
              <w:rPr>
                <w:rFonts w:ascii="宋体" w:hAnsi="宋体"/>
                <w:color w:val="auto"/>
                <w:szCs w:val="21"/>
                <w:highlight w:val="none"/>
              </w:rPr>
            </w:pPr>
          </w:p>
        </w:tc>
        <w:tc>
          <w:tcPr>
            <w:tcW w:w="1550" w:type="dxa"/>
            <w:vAlign w:val="center"/>
          </w:tcPr>
          <w:p w14:paraId="7FAFAEF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7136" w:type="dxa"/>
            <w:vAlign w:val="center"/>
          </w:tcPr>
          <w:p w14:paraId="7697FBE7">
            <w:pPr>
              <w:spacing w:line="400" w:lineRule="exact"/>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评标系统的检索信息为准)，其投标将被否决。</w:t>
            </w:r>
          </w:p>
        </w:tc>
      </w:tr>
      <w:tr w14:paraId="559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restart"/>
            <w:vAlign w:val="center"/>
          </w:tcPr>
          <w:p w14:paraId="362BFEEB">
            <w:pPr>
              <w:spacing w:line="400" w:lineRule="exact"/>
              <w:jc w:val="center"/>
              <w:rPr>
                <w:rFonts w:ascii="宋体" w:hAnsi="宋体"/>
                <w:color w:val="auto"/>
                <w:szCs w:val="21"/>
                <w:highlight w:val="none"/>
              </w:rPr>
            </w:pPr>
            <w:r>
              <w:rPr>
                <w:rFonts w:ascii="宋体" w:hAnsi="宋体"/>
                <w:color w:val="auto"/>
                <w:szCs w:val="21"/>
                <w:highlight w:val="none"/>
              </w:rPr>
              <w:t>2.1.2</w:t>
            </w:r>
          </w:p>
        </w:tc>
        <w:tc>
          <w:tcPr>
            <w:tcW w:w="851" w:type="dxa"/>
            <w:vMerge w:val="restart"/>
            <w:vAlign w:val="center"/>
          </w:tcPr>
          <w:p w14:paraId="0B1283D5">
            <w:pPr>
              <w:spacing w:line="400" w:lineRule="exact"/>
              <w:jc w:val="center"/>
              <w:rPr>
                <w:rFonts w:ascii="宋体" w:hAnsi="宋体"/>
                <w:color w:val="auto"/>
                <w:szCs w:val="21"/>
                <w:highlight w:val="none"/>
              </w:rPr>
            </w:pPr>
            <w:r>
              <w:rPr>
                <w:rFonts w:hint="eastAsia" w:ascii="宋体" w:hAnsi="宋体"/>
                <w:color w:val="auto"/>
                <w:szCs w:val="21"/>
                <w:highlight w:val="none"/>
              </w:rPr>
              <w:t>资格评审标准</w:t>
            </w:r>
          </w:p>
        </w:tc>
        <w:tc>
          <w:tcPr>
            <w:tcW w:w="1550" w:type="dxa"/>
            <w:vAlign w:val="center"/>
          </w:tcPr>
          <w:p w14:paraId="100A2D4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企业法人营业执照</w:t>
            </w:r>
            <w:r>
              <w:rPr>
                <w:rFonts w:hint="eastAsia" w:ascii="宋体" w:hAnsi="宋体" w:cs="宋体"/>
                <w:color w:val="auto"/>
                <w:szCs w:val="21"/>
                <w:highlight w:val="none"/>
                <w:u w:val="single"/>
              </w:rPr>
              <w:t>（或事业单位法人证书）</w:t>
            </w:r>
          </w:p>
        </w:tc>
        <w:tc>
          <w:tcPr>
            <w:tcW w:w="7136" w:type="dxa"/>
            <w:vAlign w:val="center"/>
          </w:tcPr>
          <w:p w14:paraId="77B196A3">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符合第二章“投标人须知”第3.5.1项规定。</w:t>
            </w:r>
          </w:p>
        </w:tc>
      </w:tr>
      <w:tr w14:paraId="1DD5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67" w:type="dxa"/>
            <w:vMerge w:val="continue"/>
            <w:vAlign w:val="center"/>
          </w:tcPr>
          <w:p w14:paraId="272309DF">
            <w:pPr>
              <w:spacing w:line="400" w:lineRule="exact"/>
              <w:jc w:val="center"/>
              <w:rPr>
                <w:rFonts w:ascii="宋体" w:hAnsi="宋体"/>
                <w:color w:val="auto"/>
                <w:szCs w:val="21"/>
                <w:highlight w:val="none"/>
              </w:rPr>
            </w:pPr>
          </w:p>
        </w:tc>
        <w:tc>
          <w:tcPr>
            <w:tcW w:w="851" w:type="dxa"/>
            <w:vMerge w:val="continue"/>
            <w:vAlign w:val="center"/>
          </w:tcPr>
          <w:p w14:paraId="0C979E2D">
            <w:pPr>
              <w:spacing w:line="400" w:lineRule="exact"/>
              <w:jc w:val="center"/>
              <w:rPr>
                <w:rFonts w:ascii="宋体" w:hAnsi="宋体"/>
                <w:color w:val="auto"/>
                <w:szCs w:val="21"/>
                <w:highlight w:val="none"/>
              </w:rPr>
            </w:pPr>
          </w:p>
        </w:tc>
        <w:tc>
          <w:tcPr>
            <w:tcW w:w="1550" w:type="dxa"/>
            <w:vAlign w:val="center"/>
          </w:tcPr>
          <w:p w14:paraId="2D83D41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136" w:type="dxa"/>
            <w:vAlign w:val="center"/>
          </w:tcPr>
          <w:p w14:paraId="4D400AE4">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5CE3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9B71E07">
            <w:pPr>
              <w:spacing w:line="400" w:lineRule="exact"/>
              <w:jc w:val="center"/>
              <w:rPr>
                <w:rFonts w:ascii="宋体" w:hAnsi="宋体"/>
                <w:color w:val="auto"/>
                <w:szCs w:val="21"/>
                <w:highlight w:val="none"/>
              </w:rPr>
            </w:pPr>
          </w:p>
        </w:tc>
        <w:tc>
          <w:tcPr>
            <w:tcW w:w="851" w:type="dxa"/>
            <w:vMerge w:val="continue"/>
            <w:vAlign w:val="center"/>
          </w:tcPr>
          <w:p w14:paraId="7344E52F">
            <w:pPr>
              <w:spacing w:line="400" w:lineRule="exact"/>
              <w:jc w:val="center"/>
              <w:rPr>
                <w:rFonts w:ascii="宋体" w:hAnsi="宋体"/>
                <w:color w:val="auto"/>
                <w:szCs w:val="21"/>
                <w:highlight w:val="none"/>
              </w:rPr>
            </w:pPr>
          </w:p>
        </w:tc>
        <w:tc>
          <w:tcPr>
            <w:tcW w:w="1550" w:type="dxa"/>
            <w:vAlign w:val="center"/>
          </w:tcPr>
          <w:p w14:paraId="4BC2F08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7136" w:type="dxa"/>
            <w:vAlign w:val="center"/>
          </w:tcPr>
          <w:p w14:paraId="0D14C814">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1662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394F0D5">
            <w:pPr>
              <w:spacing w:line="400" w:lineRule="exact"/>
              <w:jc w:val="center"/>
              <w:rPr>
                <w:rFonts w:ascii="宋体" w:hAnsi="宋体"/>
                <w:color w:val="auto"/>
                <w:szCs w:val="21"/>
                <w:highlight w:val="none"/>
              </w:rPr>
            </w:pPr>
          </w:p>
        </w:tc>
        <w:tc>
          <w:tcPr>
            <w:tcW w:w="851" w:type="dxa"/>
            <w:vMerge w:val="continue"/>
            <w:vAlign w:val="center"/>
          </w:tcPr>
          <w:p w14:paraId="6AE2807B">
            <w:pPr>
              <w:spacing w:line="400" w:lineRule="exact"/>
              <w:jc w:val="center"/>
              <w:rPr>
                <w:rFonts w:ascii="宋体" w:hAnsi="宋体"/>
                <w:color w:val="auto"/>
                <w:szCs w:val="21"/>
                <w:highlight w:val="none"/>
              </w:rPr>
            </w:pPr>
          </w:p>
        </w:tc>
        <w:tc>
          <w:tcPr>
            <w:tcW w:w="1550" w:type="dxa"/>
            <w:vAlign w:val="center"/>
          </w:tcPr>
          <w:p w14:paraId="39CC0D1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7136" w:type="dxa"/>
            <w:vAlign w:val="center"/>
          </w:tcPr>
          <w:p w14:paraId="49F0E7A7">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4DC2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7" w:type="dxa"/>
            <w:vMerge w:val="continue"/>
            <w:vAlign w:val="center"/>
          </w:tcPr>
          <w:p w14:paraId="31340119">
            <w:pPr>
              <w:spacing w:line="400" w:lineRule="exact"/>
              <w:jc w:val="center"/>
              <w:rPr>
                <w:rFonts w:ascii="宋体" w:hAnsi="宋体"/>
                <w:color w:val="auto"/>
                <w:szCs w:val="21"/>
                <w:highlight w:val="none"/>
              </w:rPr>
            </w:pPr>
          </w:p>
        </w:tc>
        <w:tc>
          <w:tcPr>
            <w:tcW w:w="851" w:type="dxa"/>
            <w:vMerge w:val="continue"/>
            <w:vAlign w:val="center"/>
          </w:tcPr>
          <w:p w14:paraId="57C10F3E">
            <w:pPr>
              <w:spacing w:line="400" w:lineRule="exact"/>
              <w:jc w:val="center"/>
              <w:rPr>
                <w:rFonts w:ascii="宋体" w:hAnsi="宋体"/>
                <w:color w:val="auto"/>
                <w:szCs w:val="21"/>
                <w:highlight w:val="none"/>
              </w:rPr>
            </w:pPr>
          </w:p>
        </w:tc>
        <w:tc>
          <w:tcPr>
            <w:tcW w:w="1550" w:type="dxa"/>
            <w:vAlign w:val="center"/>
          </w:tcPr>
          <w:p w14:paraId="3F3ABC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其他主要人员</w:t>
            </w:r>
          </w:p>
        </w:tc>
        <w:tc>
          <w:tcPr>
            <w:tcW w:w="7136" w:type="dxa"/>
            <w:vAlign w:val="center"/>
          </w:tcPr>
          <w:p w14:paraId="5247C938">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7E9C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C793720">
            <w:pPr>
              <w:spacing w:line="400" w:lineRule="exact"/>
              <w:jc w:val="center"/>
              <w:rPr>
                <w:rFonts w:ascii="宋体" w:hAnsi="宋体"/>
                <w:color w:val="auto"/>
                <w:szCs w:val="21"/>
                <w:highlight w:val="none"/>
              </w:rPr>
            </w:pPr>
          </w:p>
        </w:tc>
        <w:tc>
          <w:tcPr>
            <w:tcW w:w="851" w:type="dxa"/>
            <w:vMerge w:val="continue"/>
            <w:vAlign w:val="center"/>
          </w:tcPr>
          <w:p w14:paraId="2D706063">
            <w:pPr>
              <w:spacing w:line="400" w:lineRule="exact"/>
              <w:jc w:val="center"/>
              <w:rPr>
                <w:rFonts w:ascii="宋体" w:hAnsi="宋体"/>
                <w:color w:val="auto"/>
                <w:szCs w:val="21"/>
                <w:highlight w:val="none"/>
              </w:rPr>
            </w:pPr>
          </w:p>
        </w:tc>
        <w:tc>
          <w:tcPr>
            <w:tcW w:w="1550" w:type="dxa"/>
            <w:vAlign w:val="center"/>
          </w:tcPr>
          <w:p w14:paraId="360E9B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试验检测仪器设备</w:t>
            </w:r>
          </w:p>
        </w:tc>
        <w:tc>
          <w:tcPr>
            <w:tcW w:w="7136" w:type="dxa"/>
            <w:vAlign w:val="center"/>
          </w:tcPr>
          <w:p w14:paraId="0820100F">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3238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E45BD14">
            <w:pPr>
              <w:spacing w:line="400" w:lineRule="exact"/>
              <w:jc w:val="center"/>
              <w:rPr>
                <w:rFonts w:ascii="宋体" w:hAnsi="宋体"/>
                <w:color w:val="auto"/>
                <w:szCs w:val="21"/>
                <w:highlight w:val="none"/>
              </w:rPr>
            </w:pPr>
          </w:p>
        </w:tc>
        <w:tc>
          <w:tcPr>
            <w:tcW w:w="851" w:type="dxa"/>
            <w:vMerge w:val="continue"/>
            <w:vAlign w:val="center"/>
          </w:tcPr>
          <w:p w14:paraId="6D9B7792">
            <w:pPr>
              <w:spacing w:line="400" w:lineRule="exact"/>
              <w:jc w:val="center"/>
              <w:rPr>
                <w:rFonts w:ascii="宋体" w:hAnsi="宋体"/>
                <w:color w:val="auto"/>
                <w:szCs w:val="21"/>
                <w:highlight w:val="none"/>
              </w:rPr>
            </w:pPr>
          </w:p>
        </w:tc>
        <w:tc>
          <w:tcPr>
            <w:tcW w:w="1550" w:type="dxa"/>
            <w:vAlign w:val="center"/>
          </w:tcPr>
          <w:p w14:paraId="3B43614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7136" w:type="dxa"/>
            <w:vAlign w:val="center"/>
          </w:tcPr>
          <w:p w14:paraId="1AD47939">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1448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6AD3615F">
            <w:pPr>
              <w:spacing w:line="400" w:lineRule="exact"/>
              <w:jc w:val="center"/>
              <w:rPr>
                <w:rFonts w:ascii="宋体" w:hAnsi="宋体"/>
                <w:color w:val="auto"/>
                <w:szCs w:val="21"/>
                <w:highlight w:val="none"/>
              </w:rPr>
            </w:pPr>
          </w:p>
        </w:tc>
        <w:tc>
          <w:tcPr>
            <w:tcW w:w="851" w:type="dxa"/>
            <w:vMerge w:val="continue"/>
            <w:vAlign w:val="center"/>
          </w:tcPr>
          <w:p w14:paraId="40FB0D0A">
            <w:pPr>
              <w:spacing w:line="400" w:lineRule="exact"/>
              <w:jc w:val="center"/>
              <w:rPr>
                <w:rFonts w:ascii="宋体" w:hAnsi="宋体"/>
                <w:color w:val="auto"/>
                <w:szCs w:val="21"/>
                <w:highlight w:val="none"/>
              </w:rPr>
            </w:pPr>
          </w:p>
        </w:tc>
        <w:tc>
          <w:tcPr>
            <w:tcW w:w="1550" w:type="dxa"/>
            <w:vAlign w:val="center"/>
          </w:tcPr>
          <w:p w14:paraId="41C9FF5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7136" w:type="dxa"/>
            <w:vAlign w:val="center"/>
          </w:tcPr>
          <w:p w14:paraId="13CB9665">
            <w:pPr>
              <w:spacing w:line="400" w:lineRule="exact"/>
              <w:rPr>
                <w:rFonts w:ascii="宋体" w:hAnsi="宋体" w:cs="宋体"/>
                <w:color w:val="auto"/>
                <w:szCs w:val="21"/>
                <w:highlight w:val="none"/>
              </w:rPr>
            </w:pPr>
            <w:r>
              <w:rPr>
                <w:rFonts w:hint="eastAsia" w:ascii="宋体" w:hAnsi="宋体" w:cs="宋体"/>
                <w:color w:val="auto"/>
                <w:szCs w:val="21"/>
                <w:highlight w:val="none"/>
              </w:rPr>
              <w:t>本项目接受联合体投标。</w:t>
            </w:r>
          </w:p>
        </w:tc>
      </w:tr>
      <w:tr w14:paraId="768B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7" w:type="dxa"/>
            <w:vMerge w:val="continue"/>
            <w:vAlign w:val="center"/>
          </w:tcPr>
          <w:p w14:paraId="300DF4C5">
            <w:pPr>
              <w:spacing w:line="400" w:lineRule="exact"/>
              <w:jc w:val="center"/>
              <w:rPr>
                <w:rFonts w:ascii="宋体" w:hAnsi="宋体"/>
                <w:color w:val="auto"/>
                <w:szCs w:val="21"/>
                <w:highlight w:val="none"/>
              </w:rPr>
            </w:pPr>
          </w:p>
        </w:tc>
        <w:tc>
          <w:tcPr>
            <w:tcW w:w="851" w:type="dxa"/>
            <w:vMerge w:val="continue"/>
            <w:vAlign w:val="center"/>
          </w:tcPr>
          <w:p w14:paraId="7212CA18">
            <w:pPr>
              <w:spacing w:line="400" w:lineRule="exact"/>
              <w:jc w:val="center"/>
              <w:rPr>
                <w:rFonts w:ascii="宋体" w:hAnsi="宋体"/>
                <w:color w:val="auto"/>
                <w:szCs w:val="21"/>
                <w:highlight w:val="none"/>
              </w:rPr>
            </w:pPr>
          </w:p>
        </w:tc>
        <w:tc>
          <w:tcPr>
            <w:tcW w:w="1550" w:type="dxa"/>
            <w:vAlign w:val="center"/>
          </w:tcPr>
          <w:p w14:paraId="3F17B56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7136" w:type="dxa"/>
            <w:vAlign w:val="center"/>
          </w:tcPr>
          <w:p w14:paraId="789B2658">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不存在第二章“投标人须知”第 1.4.3 项规定的任何一种情形（以《投标申请人声明》为准）</w:t>
            </w:r>
          </w:p>
        </w:tc>
      </w:tr>
      <w:tr w14:paraId="42EF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7" w:type="dxa"/>
            <w:vMerge w:val="restart"/>
            <w:vAlign w:val="center"/>
          </w:tcPr>
          <w:p w14:paraId="48733E29">
            <w:pPr>
              <w:spacing w:line="400" w:lineRule="exact"/>
              <w:jc w:val="center"/>
              <w:rPr>
                <w:rFonts w:ascii="宋体" w:hAnsi="宋体"/>
                <w:color w:val="auto"/>
                <w:szCs w:val="21"/>
                <w:highlight w:val="none"/>
              </w:rPr>
            </w:pPr>
            <w:r>
              <w:rPr>
                <w:rFonts w:ascii="宋体" w:hAnsi="宋体"/>
                <w:color w:val="auto"/>
                <w:szCs w:val="21"/>
                <w:highlight w:val="none"/>
              </w:rPr>
              <w:t>2.1.3</w:t>
            </w:r>
          </w:p>
        </w:tc>
        <w:tc>
          <w:tcPr>
            <w:tcW w:w="851" w:type="dxa"/>
            <w:vMerge w:val="restart"/>
            <w:vAlign w:val="center"/>
          </w:tcPr>
          <w:p w14:paraId="26747985">
            <w:pPr>
              <w:spacing w:line="400" w:lineRule="exact"/>
              <w:jc w:val="center"/>
              <w:rPr>
                <w:rFonts w:ascii="宋体" w:hAnsi="宋体"/>
                <w:color w:val="auto"/>
                <w:szCs w:val="21"/>
                <w:highlight w:val="none"/>
              </w:rPr>
            </w:pPr>
            <w:r>
              <w:rPr>
                <w:rFonts w:hint="eastAsia" w:ascii="宋体" w:hAnsi="宋体"/>
                <w:color w:val="auto"/>
                <w:szCs w:val="21"/>
                <w:highlight w:val="none"/>
              </w:rPr>
              <w:t>响应性评审标准</w:t>
            </w:r>
          </w:p>
        </w:tc>
        <w:tc>
          <w:tcPr>
            <w:tcW w:w="1550" w:type="dxa"/>
            <w:vAlign w:val="center"/>
          </w:tcPr>
          <w:p w14:paraId="2C70867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7136" w:type="dxa"/>
            <w:vAlign w:val="center"/>
          </w:tcPr>
          <w:p w14:paraId="4C748973">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符合第二章“投标人须知”第3.2规定；</w:t>
            </w:r>
          </w:p>
        </w:tc>
      </w:tr>
      <w:tr w14:paraId="54D0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7046A539">
            <w:pPr>
              <w:spacing w:line="400" w:lineRule="exact"/>
              <w:jc w:val="center"/>
              <w:rPr>
                <w:rFonts w:ascii="宋体" w:hAnsi="宋体"/>
                <w:color w:val="auto"/>
                <w:szCs w:val="21"/>
                <w:highlight w:val="none"/>
              </w:rPr>
            </w:pPr>
          </w:p>
        </w:tc>
        <w:tc>
          <w:tcPr>
            <w:tcW w:w="851" w:type="dxa"/>
            <w:vMerge w:val="continue"/>
            <w:vAlign w:val="center"/>
          </w:tcPr>
          <w:p w14:paraId="1062C8AC">
            <w:pPr>
              <w:spacing w:line="400" w:lineRule="exact"/>
              <w:jc w:val="center"/>
              <w:rPr>
                <w:rFonts w:ascii="宋体" w:hAnsi="宋体"/>
                <w:color w:val="auto"/>
                <w:szCs w:val="21"/>
                <w:highlight w:val="none"/>
              </w:rPr>
            </w:pPr>
          </w:p>
        </w:tc>
        <w:tc>
          <w:tcPr>
            <w:tcW w:w="1550" w:type="dxa"/>
            <w:vAlign w:val="center"/>
          </w:tcPr>
          <w:p w14:paraId="6F4AA7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7136" w:type="dxa"/>
            <w:vAlign w:val="center"/>
          </w:tcPr>
          <w:p w14:paraId="312E8FA4">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符合第二章“投标人须知”第1.3.1规定；</w:t>
            </w:r>
          </w:p>
        </w:tc>
      </w:tr>
      <w:tr w14:paraId="6083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7D4A2236">
            <w:pPr>
              <w:spacing w:line="400" w:lineRule="exact"/>
              <w:jc w:val="center"/>
              <w:rPr>
                <w:rFonts w:ascii="宋体" w:hAnsi="宋体"/>
                <w:color w:val="auto"/>
                <w:szCs w:val="21"/>
                <w:highlight w:val="none"/>
              </w:rPr>
            </w:pPr>
          </w:p>
        </w:tc>
        <w:tc>
          <w:tcPr>
            <w:tcW w:w="851" w:type="dxa"/>
            <w:vMerge w:val="continue"/>
            <w:vAlign w:val="center"/>
          </w:tcPr>
          <w:p w14:paraId="681352CE">
            <w:pPr>
              <w:spacing w:line="400" w:lineRule="exact"/>
              <w:jc w:val="center"/>
              <w:rPr>
                <w:rFonts w:ascii="宋体" w:hAnsi="宋体"/>
                <w:color w:val="auto"/>
                <w:szCs w:val="21"/>
                <w:highlight w:val="none"/>
              </w:rPr>
            </w:pPr>
          </w:p>
        </w:tc>
        <w:tc>
          <w:tcPr>
            <w:tcW w:w="1550" w:type="dxa"/>
            <w:vAlign w:val="center"/>
          </w:tcPr>
          <w:p w14:paraId="094B729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136" w:type="dxa"/>
            <w:vAlign w:val="center"/>
          </w:tcPr>
          <w:p w14:paraId="1EF21751">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符合第二章“投标人须知”第1.3.2规定；</w:t>
            </w:r>
          </w:p>
        </w:tc>
      </w:tr>
      <w:tr w14:paraId="3F88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70F7FE84">
            <w:pPr>
              <w:spacing w:line="400" w:lineRule="exact"/>
              <w:jc w:val="center"/>
              <w:rPr>
                <w:rFonts w:ascii="宋体" w:hAnsi="宋体"/>
                <w:color w:val="auto"/>
                <w:szCs w:val="21"/>
                <w:highlight w:val="none"/>
              </w:rPr>
            </w:pPr>
          </w:p>
        </w:tc>
        <w:tc>
          <w:tcPr>
            <w:tcW w:w="851" w:type="dxa"/>
            <w:vMerge w:val="continue"/>
            <w:vAlign w:val="center"/>
          </w:tcPr>
          <w:p w14:paraId="6D587157">
            <w:pPr>
              <w:spacing w:line="400" w:lineRule="exact"/>
              <w:jc w:val="center"/>
              <w:rPr>
                <w:rFonts w:ascii="宋体" w:hAnsi="宋体"/>
                <w:color w:val="auto"/>
                <w:szCs w:val="21"/>
                <w:highlight w:val="none"/>
              </w:rPr>
            </w:pPr>
          </w:p>
        </w:tc>
        <w:tc>
          <w:tcPr>
            <w:tcW w:w="1550" w:type="dxa"/>
            <w:vAlign w:val="center"/>
          </w:tcPr>
          <w:p w14:paraId="614A697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7136" w:type="dxa"/>
            <w:vAlign w:val="center"/>
          </w:tcPr>
          <w:p w14:paraId="02567BBF">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符合第二章“投标人须知”第1.3.3规定；</w:t>
            </w:r>
          </w:p>
        </w:tc>
      </w:tr>
      <w:tr w14:paraId="386E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3F67498">
            <w:pPr>
              <w:spacing w:line="400" w:lineRule="exact"/>
              <w:jc w:val="center"/>
              <w:rPr>
                <w:rFonts w:ascii="宋体" w:hAnsi="宋体"/>
                <w:color w:val="auto"/>
                <w:szCs w:val="21"/>
                <w:highlight w:val="none"/>
              </w:rPr>
            </w:pPr>
          </w:p>
        </w:tc>
        <w:tc>
          <w:tcPr>
            <w:tcW w:w="851" w:type="dxa"/>
            <w:vMerge w:val="continue"/>
            <w:vAlign w:val="center"/>
          </w:tcPr>
          <w:p w14:paraId="0F6547F3">
            <w:pPr>
              <w:spacing w:line="400" w:lineRule="exact"/>
              <w:jc w:val="center"/>
              <w:rPr>
                <w:rFonts w:ascii="宋体" w:hAnsi="宋体"/>
                <w:color w:val="auto"/>
                <w:szCs w:val="21"/>
                <w:highlight w:val="none"/>
              </w:rPr>
            </w:pPr>
          </w:p>
        </w:tc>
        <w:tc>
          <w:tcPr>
            <w:tcW w:w="1550" w:type="dxa"/>
            <w:vAlign w:val="center"/>
          </w:tcPr>
          <w:p w14:paraId="22698EE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136" w:type="dxa"/>
          </w:tcPr>
          <w:p w14:paraId="0E737D67">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符合第二章“投标人须知”第3.3.1规定；</w:t>
            </w:r>
          </w:p>
        </w:tc>
      </w:tr>
      <w:tr w14:paraId="680A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FE8C882">
            <w:pPr>
              <w:spacing w:line="400" w:lineRule="exact"/>
              <w:jc w:val="center"/>
              <w:rPr>
                <w:rFonts w:ascii="宋体" w:hAnsi="宋体"/>
                <w:color w:val="auto"/>
                <w:szCs w:val="21"/>
                <w:highlight w:val="none"/>
              </w:rPr>
            </w:pPr>
          </w:p>
        </w:tc>
        <w:tc>
          <w:tcPr>
            <w:tcW w:w="851" w:type="dxa"/>
            <w:vMerge w:val="continue"/>
            <w:vAlign w:val="center"/>
          </w:tcPr>
          <w:p w14:paraId="7CDA64C7">
            <w:pPr>
              <w:spacing w:line="400" w:lineRule="exact"/>
              <w:jc w:val="center"/>
              <w:rPr>
                <w:rFonts w:ascii="宋体" w:hAnsi="宋体"/>
                <w:color w:val="auto"/>
                <w:szCs w:val="21"/>
                <w:highlight w:val="none"/>
              </w:rPr>
            </w:pPr>
          </w:p>
        </w:tc>
        <w:tc>
          <w:tcPr>
            <w:tcW w:w="1550" w:type="dxa"/>
            <w:vAlign w:val="center"/>
          </w:tcPr>
          <w:p w14:paraId="0904FD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136" w:type="dxa"/>
          </w:tcPr>
          <w:p w14:paraId="223A9F2D">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符合第二章“投标人须知”第3.4.1规定；</w:t>
            </w:r>
          </w:p>
        </w:tc>
      </w:tr>
      <w:tr w14:paraId="1D3F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376C05F">
            <w:pPr>
              <w:spacing w:line="400" w:lineRule="exact"/>
              <w:jc w:val="center"/>
              <w:rPr>
                <w:rFonts w:ascii="宋体" w:hAnsi="宋体"/>
                <w:color w:val="auto"/>
                <w:szCs w:val="21"/>
                <w:highlight w:val="none"/>
              </w:rPr>
            </w:pPr>
          </w:p>
        </w:tc>
        <w:tc>
          <w:tcPr>
            <w:tcW w:w="851" w:type="dxa"/>
            <w:vMerge w:val="continue"/>
            <w:vAlign w:val="center"/>
          </w:tcPr>
          <w:p w14:paraId="4A7C777C">
            <w:pPr>
              <w:spacing w:line="400" w:lineRule="exact"/>
              <w:jc w:val="center"/>
              <w:rPr>
                <w:rFonts w:ascii="宋体" w:hAnsi="宋体"/>
                <w:color w:val="auto"/>
                <w:szCs w:val="21"/>
                <w:highlight w:val="none"/>
              </w:rPr>
            </w:pPr>
          </w:p>
        </w:tc>
        <w:tc>
          <w:tcPr>
            <w:tcW w:w="1550" w:type="dxa"/>
            <w:vAlign w:val="center"/>
          </w:tcPr>
          <w:p w14:paraId="209A3DF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串通投标情形</w:t>
            </w:r>
          </w:p>
        </w:tc>
        <w:tc>
          <w:tcPr>
            <w:tcW w:w="7136" w:type="dxa"/>
          </w:tcPr>
          <w:p w14:paraId="77585B7B">
            <w:pPr>
              <w:spacing w:line="400" w:lineRule="exact"/>
              <w:rPr>
                <w:rFonts w:ascii="宋体" w:hAnsi="宋体" w:cs="宋体"/>
                <w:color w:val="auto"/>
                <w:szCs w:val="21"/>
                <w:highlight w:val="none"/>
              </w:rPr>
            </w:pPr>
            <w:r>
              <w:rPr>
                <w:rFonts w:hint="eastAsia" w:ascii="宋体" w:hAnsi="宋体" w:cs="宋体"/>
                <w:color w:val="auto"/>
                <w:szCs w:val="21"/>
                <w:highlight w:val="none"/>
              </w:rPr>
              <w:t>不存在串通投标情形（串通投标情形以《中华人民共和国招标投标法实施条例》的规定为准）；</w:t>
            </w:r>
          </w:p>
        </w:tc>
      </w:tr>
      <w:tr w14:paraId="713F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231F2CBA">
            <w:pPr>
              <w:spacing w:line="400" w:lineRule="exact"/>
              <w:jc w:val="center"/>
              <w:rPr>
                <w:rFonts w:ascii="宋体" w:hAnsi="宋体"/>
                <w:color w:val="auto"/>
                <w:szCs w:val="21"/>
                <w:highlight w:val="none"/>
              </w:rPr>
            </w:pPr>
            <w:r>
              <w:rPr>
                <w:rFonts w:ascii="宋体" w:hAnsi="宋体"/>
                <w:color w:val="auto"/>
                <w:szCs w:val="21"/>
                <w:highlight w:val="none"/>
              </w:rPr>
              <w:t>2.2.1</w:t>
            </w:r>
          </w:p>
        </w:tc>
        <w:tc>
          <w:tcPr>
            <w:tcW w:w="1550" w:type="dxa"/>
            <w:vAlign w:val="center"/>
          </w:tcPr>
          <w:p w14:paraId="2F8BCD5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分值构成</w:t>
            </w:r>
          </w:p>
          <w:p w14:paraId="3F30DB95">
            <w:pPr>
              <w:spacing w:line="4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总分</w:t>
            </w:r>
            <w:r>
              <w:rPr>
                <w:rFonts w:ascii="宋体" w:hAnsi="宋体" w:cs="宋体"/>
                <w:color w:val="auto"/>
                <w:szCs w:val="21"/>
                <w:highlight w:val="none"/>
              </w:rPr>
              <w:t>100</w:t>
            </w:r>
            <w:r>
              <w:rPr>
                <w:rFonts w:hint="eastAsia" w:ascii="宋体" w:hAnsi="宋体" w:cs="宋体"/>
                <w:color w:val="auto"/>
                <w:szCs w:val="21"/>
                <w:highlight w:val="none"/>
              </w:rPr>
              <w:t>分</w:t>
            </w:r>
            <w:r>
              <w:rPr>
                <w:rFonts w:ascii="宋体" w:hAnsi="宋体" w:cs="宋体"/>
                <w:color w:val="auto"/>
                <w:szCs w:val="21"/>
                <w:highlight w:val="none"/>
              </w:rPr>
              <w:t>)</w:t>
            </w:r>
          </w:p>
        </w:tc>
        <w:tc>
          <w:tcPr>
            <w:tcW w:w="7136" w:type="dxa"/>
            <w:vAlign w:val="center"/>
          </w:tcPr>
          <w:p w14:paraId="10FFE862">
            <w:pPr>
              <w:spacing w:line="400" w:lineRule="exact"/>
              <w:jc w:val="left"/>
              <w:rPr>
                <w:rFonts w:ascii="宋体" w:hAnsi="宋体"/>
                <w:color w:val="auto"/>
                <w:szCs w:val="21"/>
                <w:highlight w:val="none"/>
              </w:rPr>
            </w:pPr>
            <w:r>
              <w:rPr>
                <w:rFonts w:hint="eastAsia" w:ascii="宋体" w:hAnsi="宋体"/>
                <w:b/>
                <w:color w:val="auto"/>
                <w:szCs w:val="21"/>
                <w:highlight w:val="none"/>
              </w:rPr>
              <w:t>A企业综合实力部分：</w:t>
            </w:r>
            <w:r>
              <w:rPr>
                <w:rFonts w:hint="eastAsia" w:ascii="宋体" w:hAnsi="宋体"/>
                <w:color w:val="auto"/>
                <w:szCs w:val="21"/>
                <w:highlight w:val="none"/>
                <w:u w:val="single"/>
                <w:lang w:val="en-US" w:eastAsia="zh-CN"/>
              </w:rPr>
              <w:t>55</w:t>
            </w:r>
            <w:r>
              <w:rPr>
                <w:rFonts w:hint="eastAsia" w:ascii="宋体" w:hAnsi="宋体"/>
                <w:color w:val="auto"/>
                <w:szCs w:val="21"/>
                <w:highlight w:val="none"/>
              </w:rPr>
              <w:t>分</w:t>
            </w:r>
          </w:p>
          <w:p w14:paraId="151DA665">
            <w:pPr>
              <w:spacing w:line="400" w:lineRule="exact"/>
              <w:rPr>
                <w:rFonts w:ascii="宋体" w:hAnsi="宋体"/>
                <w:b/>
                <w:color w:val="auto"/>
                <w:szCs w:val="21"/>
                <w:highlight w:val="none"/>
              </w:rPr>
            </w:pPr>
            <w:r>
              <w:rPr>
                <w:rFonts w:ascii="宋体" w:hAnsi="宋体"/>
                <w:b/>
                <w:color w:val="auto"/>
                <w:szCs w:val="21"/>
                <w:highlight w:val="none"/>
              </w:rPr>
              <w:t>B技术方案部分：</w:t>
            </w:r>
            <w:r>
              <w:rPr>
                <w:rFonts w:hint="eastAsia" w:ascii="宋体" w:hAnsi="宋体"/>
                <w:bCs/>
                <w:color w:val="auto"/>
                <w:szCs w:val="21"/>
                <w:highlight w:val="none"/>
                <w:u w:val="single"/>
                <w:lang w:val="en-US" w:eastAsia="zh-CN"/>
              </w:rPr>
              <w:t>35</w:t>
            </w:r>
            <w:r>
              <w:rPr>
                <w:rFonts w:hint="eastAsia" w:ascii="宋体" w:hAnsi="宋体"/>
                <w:bCs/>
                <w:color w:val="auto"/>
                <w:szCs w:val="21"/>
                <w:highlight w:val="none"/>
              </w:rPr>
              <w:t>分</w:t>
            </w:r>
          </w:p>
          <w:p w14:paraId="51FEF226">
            <w:pPr>
              <w:spacing w:line="400" w:lineRule="exact"/>
              <w:rPr>
                <w:rFonts w:ascii="宋体" w:hAnsi="宋体"/>
                <w:color w:val="auto"/>
                <w:szCs w:val="21"/>
                <w:highlight w:val="none"/>
              </w:rPr>
            </w:pPr>
            <w:r>
              <w:rPr>
                <w:rFonts w:ascii="宋体" w:hAnsi="宋体"/>
                <w:b/>
                <w:color w:val="auto"/>
                <w:szCs w:val="21"/>
                <w:highlight w:val="none"/>
              </w:rPr>
              <w:t>C投标报价部分：</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rPr>
              <w:t>分</w:t>
            </w:r>
          </w:p>
          <w:p w14:paraId="62A854AE">
            <w:pPr>
              <w:spacing w:line="400" w:lineRule="exact"/>
              <w:rPr>
                <w:color w:val="auto"/>
                <w:highlight w:val="none"/>
              </w:rPr>
            </w:pPr>
            <w:r>
              <w:rPr>
                <w:rFonts w:hint="eastAsia" w:ascii="宋体" w:hAnsi="宋体" w:cs="宋体"/>
                <w:color w:val="auto"/>
                <w:szCs w:val="21"/>
                <w:highlight w:val="none"/>
              </w:rPr>
              <w:t>注：投标人综合得分为各评委A+B+C的总分的算术平均分（分数出现小数点时，保留小数点后二位，第三位小数四舍五入）。</w:t>
            </w:r>
          </w:p>
        </w:tc>
      </w:tr>
      <w:tr w14:paraId="0BBA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686E3F37">
            <w:pPr>
              <w:spacing w:line="400" w:lineRule="exact"/>
              <w:jc w:val="center"/>
              <w:rPr>
                <w:rFonts w:ascii="宋体" w:hAnsi="宋体"/>
                <w:color w:val="auto"/>
                <w:szCs w:val="21"/>
                <w:highlight w:val="none"/>
              </w:rPr>
            </w:pPr>
            <w:r>
              <w:rPr>
                <w:rFonts w:ascii="宋体" w:hAnsi="宋体"/>
                <w:color w:val="auto"/>
                <w:szCs w:val="21"/>
                <w:highlight w:val="none"/>
              </w:rPr>
              <w:t>2.2.2</w:t>
            </w:r>
          </w:p>
        </w:tc>
        <w:tc>
          <w:tcPr>
            <w:tcW w:w="1550" w:type="dxa"/>
            <w:vAlign w:val="center"/>
          </w:tcPr>
          <w:p w14:paraId="38E816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7136" w:type="dxa"/>
            <w:vAlign w:val="center"/>
          </w:tcPr>
          <w:p w14:paraId="3593F257">
            <w:pPr>
              <w:spacing w:line="400" w:lineRule="exact"/>
              <w:jc w:val="left"/>
              <w:rPr>
                <w:rFonts w:ascii="宋体" w:hAnsi="宋体"/>
                <w:color w:val="auto"/>
                <w:szCs w:val="21"/>
                <w:highlight w:val="none"/>
              </w:rPr>
            </w:pPr>
            <w:r>
              <w:rPr>
                <w:rFonts w:hint="eastAsia" w:ascii="宋体" w:hAnsi="宋体" w:cs="宋体"/>
                <w:color w:val="auto"/>
                <w:szCs w:val="21"/>
                <w:highlight w:val="none"/>
              </w:rPr>
              <w:t>以通过初步评审并经算术校核的投标人有效投标报价中，若位于[最高投标限价×8</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%，最高投标限价]区间的有效投标报价大于5个，去一个最高价和一个最低价后，剩余报价的算术平均值为评标基准价。若位于[最高投标限价×8</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%，最高投标限价]区间的有效投标报价少于或等于5个，直接取区间中的报价的算术平均值为评标基准价。若没有有效投标报价位于[最高投标限价×8</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%，最高投标限价]区间，直接取最高投标限价×8</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%作为评标基准价。评标基准价保留到小数点后两位，第三位四舍五入。</w:t>
            </w:r>
          </w:p>
        </w:tc>
      </w:tr>
      <w:tr w14:paraId="200E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18" w:type="dxa"/>
            <w:gridSpan w:val="2"/>
            <w:vAlign w:val="center"/>
          </w:tcPr>
          <w:p w14:paraId="33FA9D9D">
            <w:pPr>
              <w:spacing w:line="400" w:lineRule="exact"/>
              <w:jc w:val="center"/>
              <w:rPr>
                <w:rFonts w:ascii="宋体" w:hAnsi="宋体"/>
                <w:color w:val="auto"/>
                <w:szCs w:val="21"/>
                <w:highlight w:val="none"/>
              </w:rPr>
            </w:pPr>
            <w:r>
              <w:rPr>
                <w:rFonts w:ascii="宋体" w:hAnsi="宋体"/>
                <w:color w:val="auto"/>
                <w:szCs w:val="21"/>
                <w:highlight w:val="none"/>
              </w:rPr>
              <w:t>2.2.3</w:t>
            </w:r>
          </w:p>
        </w:tc>
        <w:tc>
          <w:tcPr>
            <w:tcW w:w="1550" w:type="dxa"/>
            <w:vAlign w:val="center"/>
          </w:tcPr>
          <w:p w14:paraId="52706AC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7136" w:type="dxa"/>
            <w:vAlign w:val="center"/>
          </w:tcPr>
          <w:p w14:paraId="5C7B059F">
            <w:pPr>
              <w:spacing w:line="400" w:lineRule="exact"/>
              <w:rPr>
                <w:rFonts w:ascii="宋体" w:hAnsi="宋体"/>
                <w:color w:val="auto"/>
                <w:szCs w:val="21"/>
                <w:highlight w:val="none"/>
              </w:rPr>
            </w:pPr>
            <w:r>
              <w:rPr>
                <w:rFonts w:hint="eastAsia" w:ascii="宋体" w:hAnsi="宋体"/>
                <w:color w:val="auto"/>
                <w:szCs w:val="21"/>
                <w:highlight w:val="none"/>
              </w:rPr>
              <w:t>投标报价的偏差率=（有效投标报价-</w:t>
            </w:r>
            <w:r>
              <w:rPr>
                <w:rFonts w:hint="eastAsia" w:ascii="宋体" w:hAnsi="宋体" w:cs="宋体"/>
                <w:color w:val="auto"/>
                <w:szCs w:val="21"/>
                <w:highlight w:val="none"/>
              </w:rPr>
              <w:t>评标基准价</w:t>
            </w:r>
            <w:r>
              <w:rPr>
                <w:rFonts w:hint="eastAsia" w:ascii="宋体" w:hAnsi="宋体"/>
                <w:color w:val="auto"/>
                <w:szCs w:val="21"/>
                <w:highlight w:val="none"/>
              </w:rPr>
              <w:t>）/</w:t>
            </w:r>
            <w:r>
              <w:rPr>
                <w:rFonts w:hint="eastAsia" w:ascii="宋体" w:hAnsi="宋体" w:cs="宋体"/>
                <w:color w:val="auto"/>
                <w:szCs w:val="21"/>
                <w:highlight w:val="none"/>
              </w:rPr>
              <w:t>评标基准价</w:t>
            </w:r>
            <w:r>
              <w:rPr>
                <w:rFonts w:hint="eastAsia" w:ascii="宋体" w:hAnsi="宋体"/>
                <w:color w:val="auto"/>
                <w:szCs w:val="21"/>
                <w:highlight w:val="none"/>
              </w:rPr>
              <w:t>×100%（偏差率出现小数点时，保留小数点后2位，第三位小数四舍五入。）</w:t>
            </w:r>
          </w:p>
        </w:tc>
      </w:tr>
      <w:tr w14:paraId="3CCD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7" w:type="dxa"/>
            <w:vMerge w:val="restart"/>
            <w:vAlign w:val="center"/>
          </w:tcPr>
          <w:p w14:paraId="155FAD2D">
            <w:pPr>
              <w:spacing w:line="400" w:lineRule="exact"/>
              <w:jc w:val="center"/>
              <w:rPr>
                <w:rFonts w:ascii="宋体" w:hAnsi="宋体"/>
                <w:color w:val="auto"/>
                <w:szCs w:val="21"/>
                <w:highlight w:val="none"/>
              </w:rPr>
            </w:pPr>
            <w:r>
              <w:rPr>
                <w:rFonts w:hint="eastAsia" w:ascii="宋体" w:hAnsi="宋体" w:cs="宋体"/>
                <w:color w:val="auto"/>
                <w:szCs w:val="21"/>
                <w:highlight w:val="none"/>
              </w:rPr>
              <w:t>2.2.4（1）</w:t>
            </w:r>
          </w:p>
        </w:tc>
        <w:tc>
          <w:tcPr>
            <w:tcW w:w="851" w:type="dxa"/>
            <w:vMerge w:val="restart"/>
            <w:vAlign w:val="center"/>
          </w:tcPr>
          <w:p w14:paraId="7273634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企业综合实力评分标准</w:t>
            </w:r>
          </w:p>
        </w:tc>
        <w:tc>
          <w:tcPr>
            <w:tcW w:w="1550" w:type="dxa"/>
            <w:vAlign w:val="center"/>
          </w:tcPr>
          <w:p w14:paraId="2C851C4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类似项目业绩</w:t>
            </w:r>
          </w:p>
        </w:tc>
        <w:tc>
          <w:tcPr>
            <w:tcW w:w="7136" w:type="dxa"/>
            <w:vAlign w:val="center"/>
          </w:tcPr>
          <w:p w14:paraId="51EC3D7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6DA8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7" w:type="dxa"/>
            <w:vMerge w:val="continue"/>
            <w:vAlign w:val="center"/>
          </w:tcPr>
          <w:p w14:paraId="0AB98075">
            <w:pPr>
              <w:spacing w:line="400" w:lineRule="exact"/>
              <w:jc w:val="center"/>
              <w:rPr>
                <w:rFonts w:ascii="宋体" w:hAnsi="宋体"/>
                <w:color w:val="auto"/>
                <w:szCs w:val="21"/>
                <w:highlight w:val="none"/>
              </w:rPr>
            </w:pPr>
          </w:p>
        </w:tc>
        <w:tc>
          <w:tcPr>
            <w:tcW w:w="851" w:type="dxa"/>
            <w:vMerge w:val="continue"/>
            <w:vAlign w:val="center"/>
          </w:tcPr>
          <w:p w14:paraId="7C6323E8">
            <w:pPr>
              <w:spacing w:line="400" w:lineRule="exact"/>
              <w:jc w:val="center"/>
              <w:rPr>
                <w:rFonts w:ascii="宋体" w:hAnsi="宋体"/>
                <w:color w:val="auto"/>
                <w:szCs w:val="21"/>
                <w:highlight w:val="none"/>
              </w:rPr>
            </w:pPr>
          </w:p>
        </w:tc>
        <w:tc>
          <w:tcPr>
            <w:tcW w:w="1550" w:type="dxa"/>
            <w:vAlign w:val="center"/>
          </w:tcPr>
          <w:p w14:paraId="585EE75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投标人信誉综合评价</w:t>
            </w:r>
          </w:p>
        </w:tc>
        <w:tc>
          <w:tcPr>
            <w:tcW w:w="7136" w:type="dxa"/>
            <w:vAlign w:val="center"/>
          </w:tcPr>
          <w:p w14:paraId="7089725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583E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7" w:type="dxa"/>
            <w:vMerge w:val="continue"/>
            <w:vAlign w:val="center"/>
          </w:tcPr>
          <w:p w14:paraId="29344369">
            <w:pPr>
              <w:spacing w:line="400" w:lineRule="exact"/>
              <w:jc w:val="center"/>
              <w:rPr>
                <w:rFonts w:ascii="宋体" w:hAnsi="宋体"/>
                <w:color w:val="auto"/>
                <w:szCs w:val="21"/>
                <w:highlight w:val="none"/>
              </w:rPr>
            </w:pPr>
          </w:p>
        </w:tc>
        <w:tc>
          <w:tcPr>
            <w:tcW w:w="851" w:type="dxa"/>
            <w:vMerge w:val="continue"/>
            <w:vAlign w:val="center"/>
          </w:tcPr>
          <w:p w14:paraId="029F8505">
            <w:pPr>
              <w:spacing w:line="400" w:lineRule="exact"/>
              <w:jc w:val="center"/>
              <w:rPr>
                <w:rFonts w:ascii="宋体" w:hAnsi="宋体"/>
                <w:color w:val="auto"/>
                <w:szCs w:val="21"/>
                <w:highlight w:val="none"/>
              </w:rPr>
            </w:pPr>
          </w:p>
        </w:tc>
        <w:tc>
          <w:tcPr>
            <w:tcW w:w="1550" w:type="dxa"/>
            <w:vAlign w:val="center"/>
          </w:tcPr>
          <w:p w14:paraId="580A8992">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拟投入人员综合水平</w:t>
            </w:r>
          </w:p>
        </w:tc>
        <w:tc>
          <w:tcPr>
            <w:tcW w:w="7136" w:type="dxa"/>
            <w:vAlign w:val="center"/>
          </w:tcPr>
          <w:p w14:paraId="573554E1">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3B14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7" w:type="dxa"/>
            <w:vMerge w:val="restart"/>
            <w:vAlign w:val="center"/>
          </w:tcPr>
          <w:p w14:paraId="1E03B747">
            <w:pPr>
              <w:spacing w:line="400" w:lineRule="exact"/>
              <w:jc w:val="center"/>
              <w:rPr>
                <w:rFonts w:ascii="宋体" w:hAnsi="宋体"/>
                <w:color w:val="auto"/>
                <w:szCs w:val="21"/>
                <w:highlight w:val="none"/>
              </w:rPr>
            </w:pPr>
            <w:r>
              <w:rPr>
                <w:rFonts w:hint="eastAsia" w:ascii="宋体" w:hAnsi="宋体" w:cs="宋体"/>
                <w:color w:val="auto"/>
                <w:szCs w:val="21"/>
                <w:highlight w:val="none"/>
              </w:rPr>
              <w:t>2.2.4（2）</w:t>
            </w:r>
          </w:p>
        </w:tc>
        <w:tc>
          <w:tcPr>
            <w:tcW w:w="851" w:type="dxa"/>
            <w:vMerge w:val="restart"/>
            <w:vAlign w:val="center"/>
          </w:tcPr>
          <w:p w14:paraId="2BF48649">
            <w:pPr>
              <w:spacing w:line="400" w:lineRule="exact"/>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技术方案评分标准</w:t>
            </w:r>
          </w:p>
        </w:tc>
        <w:tc>
          <w:tcPr>
            <w:tcW w:w="1550" w:type="dxa"/>
            <w:vAlign w:val="center"/>
          </w:tcPr>
          <w:p w14:paraId="6E6193F9">
            <w:pPr>
              <w:spacing w:line="400" w:lineRule="exact"/>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拟投入机械设备计划</w:t>
            </w:r>
          </w:p>
        </w:tc>
        <w:tc>
          <w:tcPr>
            <w:tcW w:w="7136" w:type="dxa"/>
            <w:vAlign w:val="center"/>
          </w:tcPr>
          <w:p w14:paraId="1C84AA2F">
            <w:pPr>
              <w:spacing w:line="400" w:lineRule="exact"/>
              <w:ind w:left="0" w:firstLine="0" w:firstLineChars="0"/>
              <w:rPr>
                <w:rFonts w:ascii="宋体" w:hAnsi="宋体" w:cs="宋体"/>
                <w:color w:val="auto"/>
                <w:kern w:val="0"/>
                <w:szCs w:val="21"/>
                <w:highlight w:val="none"/>
              </w:rPr>
            </w:pPr>
            <w:r>
              <w:rPr>
                <w:rFonts w:hint="eastAsia" w:ascii="宋体" w:hAnsi="宋体" w:cs="宋体"/>
                <w:color w:val="auto"/>
                <w:szCs w:val="21"/>
                <w:highlight w:val="none"/>
              </w:rPr>
              <w:t>详见本章附表：综合评分表</w:t>
            </w:r>
          </w:p>
        </w:tc>
      </w:tr>
      <w:tr w14:paraId="48FB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67" w:type="dxa"/>
            <w:vMerge w:val="continue"/>
            <w:vAlign w:val="center"/>
          </w:tcPr>
          <w:p w14:paraId="186A11C5">
            <w:pPr>
              <w:spacing w:line="400" w:lineRule="exact"/>
              <w:jc w:val="center"/>
              <w:rPr>
                <w:rFonts w:ascii="宋体" w:hAnsi="宋体" w:cs="宋体"/>
                <w:color w:val="auto"/>
                <w:szCs w:val="21"/>
                <w:highlight w:val="none"/>
              </w:rPr>
            </w:pPr>
          </w:p>
        </w:tc>
        <w:tc>
          <w:tcPr>
            <w:tcW w:w="851" w:type="dxa"/>
            <w:vMerge w:val="continue"/>
            <w:vAlign w:val="center"/>
          </w:tcPr>
          <w:p w14:paraId="5A1D63CE">
            <w:pPr>
              <w:spacing w:line="400" w:lineRule="exact"/>
              <w:jc w:val="center"/>
              <w:rPr>
                <w:rFonts w:ascii="宋体" w:hAnsi="宋体" w:cs="宋体"/>
                <w:color w:val="auto"/>
                <w:szCs w:val="21"/>
                <w:highlight w:val="none"/>
              </w:rPr>
            </w:pPr>
          </w:p>
        </w:tc>
        <w:tc>
          <w:tcPr>
            <w:tcW w:w="1550" w:type="dxa"/>
            <w:vAlign w:val="center"/>
          </w:tcPr>
          <w:p w14:paraId="25115872">
            <w:pPr>
              <w:spacing w:line="400" w:lineRule="exact"/>
              <w:jc w:val="center"/>
              <w:rPr>
                <w:rFonts w:ascii="宋体" w:hAnsi="宋体"/>
                <w:color w:val="auto"/>
                <w:szCs w:val="21"/>
                <w:highlight w:val="none"/>
              </w:rPr>
            </w:pPr>
            <w:r>
              <w:rPr>
                <w:rFonts w:hint="eastAsia" w:ascii="宋体" w:hAnsi="宋体"/>
                <w:color w:val="auto"/>
                <w:szCs w:val="21"/>
                <w:highlight w:val="none"/>
              </w:rPr>
              <w:t>检测方案</w:t>
            </w:r>
          </w:p>
        </w:tc>
        <w:tc>
          <w:tcPr>
            <w:tcW w:w="7136" w:type="dxa"/>
            <w:vAlign w:val="center"/>
          </w:tcPr>
          <w:p w14:paraId="3ADDF770">
            <w:pPr>
              <w:spacing w:line="400" w:lineRule="exact"/>
              <w:ind w:left="420" w:hanging="420" w:hangingChars="200"/>
              <w:rPr>
                <w:rFonts w:ascii="宋体" w:hAnsi="宋体" w:cs="宋体"/>
                <w:color w:val="auto"/>
                <w:kern w:val="0"/>
                <w:szCs w:val="21"/>
                <w:highlight w:val="none"/>
              </w:rPr>
            </w:pPr>
            <w:r>
              <w:rPr>
                <w:rFonts w:hint="eastAsia" w:ascii="宋体" w:hAnsi="宋体" w:cs="宋体"/>
                <w:color w:val="auto"/>
                <w:szCs w:val="21"/>
                <w:highlight w:val="none"/>
              </w:rPr>
              <w:t>详见本章附表：综合评分表</w:t>
            </w:r>
          </w:p>
        </w:tc>
      </w:tr>
      <w:tr w14:paraId="4D20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67" w:type="dxa"/>
            <w:vAlign w:val="center"/>
          </w:tcPr>
          <w:p w14:paraId="396DAC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851" w:type="dxa"/>
            <w:vAlign w:val="center"/>
          </w:tcPr>
          <w:p w14:paraId="6038228F">
            <w:pPr>
              <w:spacing w:line="400" w:lineRule="exact"/>
              <w:ind w:left="-107" w:leftChars="-51" w:right="-107" w:rightChars="-51"/>
              <w:jc w:val="center"/>
              <w:rPr>
                <w:rFonts w:ascii="宋体" w:hAnsi="宋体" w:cs="宋体"/>
                <w:color w:val="auto"/>
                <w:szCs w:val="21"/>
                <w:highlight w:val="none"/>
              </w:rPr>
            </w:pPr>
            <w:r>
              <w:rPr>
                <w:rFonts w:hint="eastAsia" w:ascii="宋体" w:hAnsi="宋体" w:cs="宋体"/>
                <w:color w:val="auto"/>
                <w:szCs w:val="21"/>
                <w:highlight w:val="none"/>
              </w:rPr>
              <w:t>投标报价评分标准</w:t>
            </w:r>
          </w:p>
        </w:tc>
        <w:tc>
          <w:tcPr>
            <w:tcW w:w="8686" w:type="dxa"/>
            <w:gridSpan w:val="2"/>
            <w:vAlign w:val="center"/>
          </w:tcPr>
          <w:p w14:paraId="65385DA6">
            <w:pPr>
              <w:widowControl/>
              <w:spacing w:line="400" w:lineRule="exact"/>
              <w:rPr>
                <w:rFonts w:ascii="宋体" w:hAnsi="宋体" w:cs="宋体"/>
                <w:color w:val="auto"/>
                <w:kern w:val="0"/>
                <w:szCs w:val="21"/>
                <w:highlight w:val="none"/>
              </w:rPr>
            </w:pPr>
            <w:r>
              <w:rPr>
                <w:rFonts w:hint="eastAsia" w:ascii="宋体" w:hAnsi="宋体"/>
                <w:color w:val="auto"/>
                <w:szCs w:val="21"/>
                <w:highlight w:val="none"/>
              </w:rPr>
              <w:t>以评标基准价作为计算各有效投标报价得分的基础，当有效投标报价等于评标基准价时得</w:t>
            </w:r>
            <w:r>
              <w:rPr>
                <w:rFonts w:hint="eastAsia" w:ascii="宋体" w:hAnsi="宋体"/>
                <w:color w:val="auto"/>
                <w:szCs w:val="21"/>
                <w:highlight w:val="none"/>
                <w:lang w:val="en-US" w:eastAsia="zh-CN"/>
              </w:rPr>
              <w:t>10</w:t>
            </w:r>
            <w:r>
              <w:rPr>
                <w:rFonts w:hint="eastAsia" w:ascii="宋体" w:hAnsi="宋体"/>
                <w:color w:val="auto"/>
                <w:szCs w:val="21"/>
                <w:highlight w:val="none"/>
              </w:rPr>
              <w:t>分；有效投标报价与评标基准价之差，每上偏1%扣</w:t>
            </w:r>
            <w:r>
              <w:rPr>
                <w:rFonts w:hint="eastAsia" w:ascii="宋体" w:hAnsi="宋体"/>
                <w:color w:val="auto"/>
                <w:szCs w:val="21"/>
                <w:highlight w:val="none"/>
                <w:lang w:val="en-US" w:eastAsia="zh-CN"/>
              </w:rPr>
              <w:t>0.75</w:t>
            </w:r>
            <w:r>
              <w:rPr>
                <w:rFonts w:hint="eastAsia" w:ascii="宋体" w:hAnsi="宋体"/>
                <w:color w:val="auto"/>
                <w:szCs w:val="21"/>
                <w:highlight w:val="none"/>
              </w:rPr>
              <w:t>分，下偏1%扣0.</w:t>
            </w:r>
            <w:r>
              <w:rPr>
                <w:rFonts w:hint="eastAsia" w:ascii="宋体" w:hAnsi="宋体"/>
                <w:color w:val="auto"/>
                <w:szCs w:val="21"/>
                <w:highlight w:val="none"/>
                <w:lang w:val="en-US" w:eastAsia="zh-CN"/>
              </w:rPr>
              <w:t>5</w:t>
            </w:r>
            <w:r>
              <w:rPr>
                <w:rFonts w:hint="eastAsia" w:ascii="宋体" w:hAnsi="宋体"/>
                <w:color w:val="auto"/>
                <w:szCs w:val="21"/>
                <w:highlight w:val="none"/>
              </w:rPr>
              <w:t>分；最多减至0分止。</w:t>
            </w:r>
            <w:r>
              <w:rPr>
                <w:rFonts w:hint="eastAsia" w:ascii="宋体" w:hAnsi="宋体"/>
                <w:b/>
                <w:color w:val="auto"/>
                <w:szCs w:val="21"/>
                <w:highlight w:val="none"/>
              </w:rPr>
              <w:t>得分精确到小数点后两位。</w:t>
            </w:r>
          </w:p>
        </w:tc>
      </w:tr>
    </w:tbl>
    <w:p w14:paraId="0EB137CC">
      <w:pPr>
        <w:pStyle w:val="6"/>
        <w:rPr>
          <w:color w:val="auto"/>
          <w:highlight w:val="none"/>
        </w:rPr>
      </w:pPr>
      <w:r>
        <w:rPr>
          <w:rFonts w:cs="宋体"/>
          <w:color w:val="auto"/>
          <w:szCs w:val="21"/>
          <w:highlight w:val="none"/>
        </w:rPr>
        <w:br w:type="page"/>
      </w:r>
      <w:bookmarkStart w:id="106" w:name="_Toc118553982"/>
      <w:r>
        <w:rPr>
          <w:rFonts w:hint="eastAsia"/>
          <w:color w:val="auto"/>
          <w:highlight w:val="none"/>
        </w:rPr>
        <w:t>附表一：形式评审表</w:t>
      </w:r>
      <w:bookmarkEnd w:id="106"/>
    </w:p>
    <w:p w14:paraId="64D0A4F9">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形式评审表</w:t>
      </w:r>
    </w:p>
    <w:tbl>
      <w:tblPr>
        <w:tblStyle w:val="27"/>
        <w:tblpPr w:leftFromText="180" w:rightFromText="180" w:vertAnchor="text" w:horzAnchor="margin"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794"/>
        <w:gridCol w:w="856"/>
        <w:gridCol w:w="857"/>
        <w:gridCol w:w="857"/>
        <w:gridCol w:w="857"/>
        <w:gridCol w:w="857"/>
      </w:tblGrid>
      <w:tr w14:paraId="0B87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00" w:type="dxa"/>
            <w:vAlign w:val="center"/>
          </w:tcPr>
          <w:p w14:paraId="0B3767C1">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4794" w:type="dxa"/>
            <w:tcBorders>
              <w:tl2br w:val="single" w:color="auto" w:sz="4" w:space="0"/>
            </w:tcBorders>
            <w:vAlign w:val="center"/>
          </w:tcPr>
          <w:p w14:paraId="47BDE9A9">
            <w:pPr>
              <w:tabs>
                <w:tab w:val="left" w:pos="720"/>
              </w:tabs>
              <w:snapToGrid w:val="0"/>
              <w:spacing w:line="276" w:lineRule="auto"/>
              <w:ind w:firstLine="2415" w:firstLineChars="1150"/>
              <w:rPr>
                <w:rFonts w:ascii="宋体" w:hAnsi="宋体"/>
                <w:color w:val="auto"/>
                <w:szCs w:val="21"/>
                <w:highlight w:val="none"/>
              </w:rPr>
            </w:pPr>
            <w:r>
              <w:rPr>
                <w:rFonts w:hint="eastAsia" w:ascii="宋体" w:hAnsi="宋体"/>
                <w:color w:val="auto"/>
                <w:szCs w:val="21"/>
                <w:highlight w:val="none"/>
              </w:rPr>
              <w:t>投标人名称</w:t>
            </w:r>
          </w:p>
          <w:p w14:paraId="06508CCA">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评审项目</w:t>
            </w:r>
          </w:p>
        </w:tc>
        <w:tc>
          <w:tcPr>
            <w:tcW w:w="856" w:type="dxa"/>
            <w:vAlign w:val="center"/>
          </w:tcPr>
          <w:p w14:paraId="72A1ACB0">
            <w:pPr>
              <w:tabs>
                <w:tab w:val="left" w:pos="720"/>
              </w:tabs>
              <w:snapToGrid w:val="0"/>
              <w:spacing w:line="276" w:lineRule="auto"/>
              <w:rPr>
                <w:rFonts w:ascii="宋体" w:hAnsi="宋体"/>
                <w:color w:val="auto"/>
                <w:sz w:val="18"/>
                <w:szCs w:val="18"/>
                <w:highlight w:val="none"/>
              </w:rPr>
            </w:pPr>
          </w:p>
        </w:tc>
        <w:tc>
          <w:tcPr>
            <w:tcW w:w="857" w:type="dxa"/>
            <w:vAlign w:val="center"/>
          </w:tcPr>
          <w:p w14:paraId="3DB5FE84">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AB43C76">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0E19E268">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270333BA">
            <w:pPr>
              <w:tabs>
                <w:tab w:val="left" w:pos="720"/>
              </w:tabs>
              <w:snapToGrid w:val="0"/>
              <w:spacing w:line="276" w:lineRule="auto"/>
              <w:jc w:val="center"/>
              <w:rPr>
                <w:rFonts w:ascii="宋体" w:hAnsi="宋体"/>
                <w:color w:val="auto"/>
                <w:sz w:val="18"/>
                <w:szCs w:val="18"/>
                <w:highlight w:val="none"/>
              </w:rPr>
            </w:pPr>
          </w:p>
        </w:tc>
      </w:tr>
      <w:tr w14:paraId="3237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600" w:type="dxa"/>
            <w:vAlign w:val="center"/>
          </w:tcPr>
          <w:p w14:paraId="7AE875EA">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1</w:t>
            </w:r>
          </w:p>
        </w:tc>
        <w:tc>
          <w:tcPr>
            <w:tcW w:w="4794" w:type="dxa"/>
            <w:vAlign w:val="center"/>
          </w:tcPr>
          <w:p w14:paraId="1788AB51">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投标人名称：与企业法人营业执照（或事业单位法人证书）、CMA 计量认证合格证书（检验检测机构资质认定证书）、资质证书一致。联合体投标的，联合体各方名称须和相应的企业法人营业执照（或事业单位法人证书）、CMA 计量认证合格证书（检验检测机构资质认定证书）、资质证书的名称一致。</w:t>
            </w:r>
          </w:p>
        </w:tc>
        <w:tc>
          <w:tcPr>
            <w:tcW w:w="856" w:type="dxa"/>
            <w:vAlign w:val="center"/>
          </w:tcPr>
          <w:p w14:paraId="3ECC6D3E">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47D8A80C">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6840EF3">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D70B2FB">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319335D">
            <w:pPr>
              <w:tabs>
                <w:tab w:val="left" w:pos="720"/>
              </w:tabs>
              <w:snapToGrid w:val="0"/>
              <w:spacing w:line="276" w:lineRule="auto"/>
              <w:jc w:val="center"/>
              <w:rPr>
                <w:rFonts w:ascii="宋体" w:hAnsi="宋体"/>
                <w:color w:val="auto"/>
                <w:sz w:val="18"/>
                <w:szCs w:val="18"/>
                <w:highlight w:val="none"/>
              </w:rPr>
            </w:pPr>
          </w:p>
        </w:tc>
      </w:tr>
      <w:tr w14:paraId="5352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00" w:type="dxa"/>
            <w:vAlign w:val="center"/>
          </w:tcPr>
          <w:p w14:paraId="3668D4BD">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2</w:t>
            </w:r>
          </w:p>
        </w:tc>
        <w:tc>
          <w:tcPr>
            <w:tcW w:w="4794" w:type="dxa"/>
            <w:vAlign w:val="center"/>
          </w:tcPr>
          <w:p w14:paraId="3B74BAF9">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投标函及其附表签字盖章：投标函及其附表格式及签字盖章符合招标文件要求，由法定代表人签字或盖章的，应附法定代表人证明书，由代理人签字或盖章的，应附法定代表人证明书及授权委托书。</w:t>
            </w:r>
          </w:p>
        </w:tc>
        <w:tc>
          <w:tcPr>
            <w:tcW w:w="856" w:type="dxa"/>
            <w:vAlign w:val="center"/>
          </w:tcPr>
          <w:p w14:paraId="4F695A63">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3B28506">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7C3397A">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ECEFB8A">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EBB0C83">
            <w:pPr>
              <w:tabs>
                <w:tab w:val="left" w:pos="720"/>
              </w:tabs>
              <w:snapToGrid w:val="0"/>
              <w:spacing w:line="276" w:lineRule="auto"/>
              <w:jc w:val="center"/>
              <w:rPr>
                <w:rFonts w:ascii="宋体" w:hAnsi="宋体"/>
                <w:color w:val="auto"/>
                <w:sz w:val="18"/>
                <w:szCs w:val="18"/>
                <w:highlight w:val="none"/>
              </w:rPr>
            </w:pPr>
          </w:p>
        </w:tc>
      </w:tr>
      <w:tr w14:paraId="7D18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00" w:type="dxa"/>
            <w:vAlign w:val="center"/>
          </w:tcPr>
          <w:p w14:paraId="4661A8ED">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3</w:t>
            </w:r>
          </w:p>
        </w:tc>
        <w:tc>
          <w:tcPr>
            <w:tcW w:w="4794" w:type="dxa"/>
            <w:vAlign w:val="center"/>
          </w:tcPr>
          <w:p w14:paraId="52C72A92">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符合第六章投标文件格式中“投标函”“投标函附表”“投标报价书”“投标申请人声明”“联合体协议书”（如有）的规定。</w:t>
            </w:r>
          </w:p>
        </w:tc>
        <w:tc>
          <w:tcPr>
            <w:tcW w:w="856" w:type="dxa"/>
            <w:vAlign w:val="center"/>
          </w:tcPr>
          <w:p w14:paraId="2219019D">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4893F752">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FE1B386">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42F1F0A">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00F87ED">
            <w:pPr>
              <w:tabs>
                <w:tab w:val="left" w:pos="720"/>
              </w:tabs>
              <w:snapToGrid w:val="0"/>
              <w:spacing w:line="276" w:lineRule="auto"/>
              <w:jc w:val="center"/>
              <w:rPr>
                <w:rFonts w:ascii="宋体" w:hAnsi="宋体"/>
                <w:color w:val="auto"/>
                <w:sz w:val="18"/>
                <w:szCs w:val="18"/>
                <w:highlight w:val="none"/>
              </w:rPr>
            </w:pPr>
          </w:p>
        </w:tc>
      </w:tr>
      <w:tr w14:paraId="61C1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0" w:type="dxa"/>
            <w:vAlign w:val="center"/>
          </w:tcPr>
          <w:p w14:paraId="3962940D">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4</w:t>
            </w:r>
          </w:p>
        </w:tc>
        <w:tc>
          <w:tcPr>
            <w:tcW w:w="4794" w:type="dxa"/>
            <w:vAlign w:val="center"/>
          </w:tcPr>
          <w:p w14:paraId="650E7531">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备选投标方案：没有提交备选投标方案。</w:t>
            </w:r>
          </w:p>
        </w:tc>
        <w:tc>
          <w:tcPr>
            <w:tcW w:w="856" w:type="dxa"/>
            <w:vAlign w:val="center"/>
          </w:tcPr>
          <w:p w14:paraId="2CBBB8AD">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BD3C27F">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79CDE324">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A37191B">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2EBD084">
            <w:pPr>
              <w:tabs>
                <w:tab w:val="left" w:pos="720"/>
              </w:tabs>
              <w:snapToGrid w:val="0"/>
              <w:spacing w:line="276" w:lineRule="auto"/>
              <w:jc w:val="center"/>
              <w:rPr>
                <w:rFonts w:ascii="宋体" w:hAnsi="宋体"/>
                <w:color w:val="auto"/>
                <w:sz w:val="18"/>
                <w:szCs w:val="18"/>
                <w:highlight w:val="none"/>
              </w:rPr>
            </w:pPr>
          </w:p>
        </w:tc>
      </w:tr>
      <w:tr w14:paraId="0C9C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00" w:type="dxa"/>
            <w:vAlign w:val="center"/>
          </w:tcPr>
          <w:p w14:paraId="4F1A1D6F">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5</w:t>
            </w:r>
          </w:p>
        </w:tc>
        <w:tc>
          <w:tcPr>
            <w:tcW w:w="4794" w:type="dxa"/>
            <w:vAlign w:val="center"/>
          </w:tcPr>
          <w:p w14:paraId="5CF8307A">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投标人机器码：投标人与本项目其他投标人加密打包投标文件电脑机器特征码一致的</w:t>
            </w:r>
            <w:r>
              <w:rPr>
                <w:rFonts w:ascii="宋体" w:hAnsi="宋体"/>
                <w:color w:val="auto"/>
                <w:szCs w:val="21"/>
                <w:highlight w:val="none"/>
              </w:rPr>
              <w:t>(以</w:t>
            </w:r>
            <w:r>
              <w:rPr>
                <w:rFonts w:hint="eastAsia" w:ascii="宋体" w:hAnsi="宋体"/>
                <w:color w:val="auto"/>
                <w:szCs w:val="21"/>
                <w:highlight w:val="none"/>
                <w:lang w:eastAsia="zh-CN"/>
              </w:rPr>
              <w:t>广州交易集团有限公司（广州公共资源交易中心）</w:t>
            </w:r>
            <w:r>
              <w:rPr>
                <w:rFonts w:ascii="宋体" w:hAnsi="宋体"/>
                <w:color w:val="auto"/>
                <w:szCs w:val="21"/>
                <w:highlight w:val="none"/>
              </w:rPr>
              <w:t>评标系统的检索信息为准)</w:t>
            </w:r>
            <w:r>
              <w:rPr>
                <w:rFonts w:hint="eastAsia" w:ascii="宋体" w:hAnsi="宋体"/>
                <w:color w:val="auto"/>
                <w:szCs w:val="21"/>
                <w:highlight w:val="none"/>
              </w:rPr>
              <w:t>，</w:t>
            </w:r>
            <w:r>
              <w:rPr>
                <w:rFonts w:ascii="宋体" w:hAnsi="宋体"/>
                <w:color w:val="auto"/>
                <w:szCs w:val="21"/>
                <w:highlight w:val="none"/>
              </w:rPr>
              <w:t>其投标将被否决。</w:t>
            </w:r>
          </w:p>
        </w:tc>
        <w:tc>
          <w:tcPr>
            <w:tcW w:w="856" w:type="dxa"/>
            <w:vAlign w:val="center"/>
          </w:tcPr>
          <w:p w14:paraId="4F2AFEB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7ADBD3B0">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48B6BBC">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22EEBB6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7F06CA6">
            <w:pPr>
              <w:tabs>
                <w:tab w:val="left" w:pos="720"/>
              </w:tabs>
              <w:snapToGrid w:val="0"/>
              <w:spacing w:line="276" w:lineRule="auto"/>
              <w:jc w:val="center"/>
              <w:rPr>
                <w:rFonts w:ascii="宋体" w:hAnsi="宋体"/>
                <w:color w:val="auto"/>
                <w:sz w:val="18"/>
                <w:szCs w:val="18"/>
                <w:highlight w:val="none"/>
              </w:rPr>
            </w:pPr>
          </w:p>
        </w:tc>
      </w:tr>
      <w:tr w14:paraId="12C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00" w:type="dxa"/>
            <w:vAlign w:val="center"/>
          </w:tcPr>
          <w:p w14:paraId="783DEE50">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4794" w:type="dxa"/>
            <w:vAlign w:val="center"/>
          </w:tcPr>
          <w:p w14:paraId="4D7BF9AA">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856" w:type="dxa"/>
            <w:vAlign w:val="center"/>
          </w:tcPr>
          <w:p w14:paraId="364A6B00">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F43C88D">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5383384">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630F60B">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78A98356">
            <w:pPr>
              <w:tabs>
                <w:tab w:val="left" w:pos="720"/>
              </w:tabs>
              <w:snapToGrid w:val="0"/>
              <w:spacing w:line="276" w:lineRule="auto"/>
              <w:jc w:val="center"/>
              <w:rPr>
                <w:rFonts w:ascii="宋体" w:hAnsi="宋体"/>
                <w:color w:val="auto"/>
                <w:sz w:val="18"/>
                <w:szCs w:val="18"/>
                <w:highlight w:val="none"/>
              </w:rPr>
            </w:pPr>
          </w:p>
        </w:tc>
      </w:tr>
    </w:tbl>
    <w:p w14:paraId="4455678F">
      <w:pPr>
        <w:rPr>
          <w:rFonts w:ascii="宋体" w:hAnsi="宋体"/>
          <w:color w:val="auto"/>
          <w:sz w:val="18"/>
          <w:szCs w:val="18"/>
          <w:highlight w:val="none"/>
        </w:rPr>
      </w:pPr>
    </w:p>
    <w:p w14:paraId="1C3B68E2">
      <w:pPr>
        <w:pStyle w:val="6"/>
        <w:spacing w:line="360" w:lineRule="auto"/>
        <w:jc w:val="left"/>
        <w:rPr>
          <w:rFonts w:hint="eastAsia"/>
          <w:b w:val="0"/>
          <w:color w:val="auto"/>
          <w:sz w:val="20"/>
          <w:szCs w:val="20"/>
          <w:highlight w:val="none"/>
        </w:rPr>
      </w:pPr>
      <w:r>
        <w:rPr>
          <w:rFonts w:hint="eastAsia"/>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3C07F810">
      <w:pPr>
        <w:pStyle w:val="6"/>
        <w:spacing w:line="360" w:lineRule="auto"/>
        <w:jc w:val="left"/>
        <w:rPr>
          <w:rFonts w:hint="eastAsia" w:ascii="宋体" w:hAnsi="宋体" w:cs="宋体"/>
          <w:color w:val="auto"/>
          <w:sz w:val="28"/>
          <w:szCs w:val="28"/>
          <w:highlight w:val="none"/>
        </w:rPr>
      </w:pPr>
      <w:r>
        <w:rPr>
          <w:rFonts w:hint="eastAsia"/>
          <w:b w:val="0"/>
          <w:color w:val="auto"/>
          <w:sz w:val="21"/>
          <w:szCs w:val="21"/>
          <w:highlight w:val="none"/>
        </w:rPr>
        <w:t>评委签名：                                            日期：</w:t>
      </w:r>
      <w:r>
        <w:rPr>
          <w:color w:val="auto"/>
          <w:highlight w:val="none"/>
        </w:rPr>
        <w:br w:type="page"/>
      </w:r>
      <w:bookmarkStart w:id="107" w:name="_Toc118553983"/>
      <w:r>
        <w:rPr>
          <w:rFonts w:hint="eastAsia"/>
          <w:color w:val="auto"/>
          <w:highlight w:val="none"/>
        </w:rPr>
        <w:t>附表二：资格评审表</w:t>
      </w:r>
      <w:bookmarkEnd w:id="107"/>
      <w:r>
        <w:rPr>
          <w:rFonts w:hint="eastAsia" w:cs="宋体"/>
          <w:color w:val="auto"/>
          <w:sz w:val="28"/>
          <w:szCs w:val="28"/>
          <w:highlight w:val="none"/>
          <w:lang w:val="en-US" w:eastAsia="zh-CN"/>
        </w:rPr>
        <w:t xml:space="preserve">                   </w:t>
      </w:r>
    </w:p>
    <w:tbl>
      <w:tblPr>
        <w:tblStyle w:val="27"/>
        <w:tblpPr w:leftFromText="180" w:rightFromText="180" w:vertAnchor="text" w:horzAnchor="margin" w:tblpXSpec="center" w:tblpY="121"/>
        <w:tblOverlap w:val="never"/>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295"/>
        <w:gridCol w:w="553"/>
        <w:gridCol w:w="553"/>
        <w:gridCol w:w="554"/>
      </w:tblGrid>
      <w:tr w14:paraId="6BD3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1" w:type="dxa"/>
            <w:vAlign w:val="center"/>
          </w:tcPr>
          <w:p w14:paraId="5BFD97E5">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编号</w:t>
            </w:r>
          </w:p>
        </w:tc>
        <w:tc>
          <w:tcPr>
            <w:tcW w:w="7295" w:type="dxa"/>
            <w:tcBorders>
              <w:tl2br w:val="single" w:color="auto" w:sz="4" w:space="0"/>
            </w:tcBorders>
            <w:vAlign w:val="center"/>
          </w:tcPr>
          <w:p w14:paraId="0A5785A0">
            <w:pPr>
              <w:tabs>
                <w:tab w:val="left" w:pos="720"/>
              </w:tabs>
              <w:snapToGrid w:val="0"/>
              <w:spacing w:line="276" w:lineRule="auto"/>
              <w:ind w:firstLine="0" w:firstLineChars="0"/>
              <w:jc w:val="right"/>
              <w:rPr>
                <w:rFonts w:ascii="宋体" w:hAnsi="宋体"/>
                <w:color w:val="auto"/>
                <w:sz w:val="21"/>
                <w:szCs w:val="21"/>
                <w:highlight w:val="none"/>
              </w:rPr>
            </w:pPr>
            <w:r>
              <w:rPr>
                <w:rFonts w:hint="eastAsia" w:ascii="宋体" w:hAnsi="宋体"/>
                <w:color w:val="auto"/>
                <w:sz w:val="21"/>
                <w:szCs w:val="21"/>
                <w:highlight w:val="none"/>
              </w:rPr>
              <w:t>投标人名称</w:t>
            </w:r>
          </w:p>
          <w:p w14:paraId="265AF089">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审查项目</w:t>
            </w:r>
          </w:p>
        </w:tc>
        <w:tc>
          <w:tcPr>
            <w:tcW w:w="553" w:type="dxa"/>
            <w:vAlign w:val="center"/>
          </w:tcPr>
          <w:p w14:paraId="493D8EF3">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0836FD77">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5C57C3B2">
            <w:pPr>
              <w:tabs>
                <w:tab w:val="left" w:pos="720"/>
              </w:tabs>
              <w:snapToGrid w:val="0"/>
              <w:spacing w:line="276" w:lineRule="auto"/>
              <w:jc w:val="center"/>
              <w:rPr>
                <w:rFonts w:ascii="宋体" w:hAnsi="宋体"/>
                <w:color w:val="auto"/>
                <w:sz w:val="21"/>
                <w:szCs w:val="21"/>
                <w:highlight w:val="none"/>
              </w:rPr>
            </w:pPr>
          </w:p>
        </w:tc>
      </w:tr>
      <w:tr w14:paraId="28C7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1" w:type="dxa"/>
            <w:vAlign w:val="center"/>
          </w:tcPr>
          <w:p w14:paraId="20E03B14">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7295" w:type="dxa"/>
            <w:vAlign w:val="center"/>
          </w:tcPr>
          <w:p w14:paraId="752AA6CA">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投标人参加投标的意思表达清楚，投标人代表被授权有效。</w:t>
            </w:r>
          </w:p>
        </w:tc>
        <w:tc>
          <w:tcPr>
            <w:tcW w:w="553" w:type="dxa"/>
            <w:vAlign w:val="center"/>
          </w:tcPr>
          <w:p w14:paraId="106723A3">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27F59F2E">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48A5248A">
            <w:pPr>
              <w:tabs>
                <w:tab w:val="left" w:pos="720"/>
              </w:tabs>
              <w:snapToGrid w:val="0"/>
              <w:spacing w:line="276" w:lineRule="auto"/>
              <w:jc w:val="center"/>
              <w:rPr>
                <w:rFonts w:ascii="宋体" w:hAnsi="宋体"/>
                <w:color w:val="auto"/>
                <w:sz w:val="21"/>
                <w:szCs w:val="21"/>
                <w:highlight w:val="none"/>
              </w:rPr>
            </w:pPr>
          </w:p>
        </w:tc>
      </w:tr>
      <w:tr w14:paraId="29E1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1" w:type="dxa"/>
            <w:vAlign w:val="center"/>
          </w:tcPr>
          <w:p w14:paraId="557D6253">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7295" w:type="dxa"/>
            <w:vAlign w:val="center"/>
          </w:tcPr>
          <w:p w14:paraId="4BBE0CA2">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投标人（若为联合体投标，指联合体各方）均具有独立法人资格，持有事业单位登记管理部门核发的事业单位法人证书或工商行政管理部门核发的企业法人营业执照，且在营业期限内。</w:t>
            </w:r>
          </w:p>
        </w:tc>
        <w:tc>
          <w:tcPr>
            <w:tcW w:w="553" w:type="dxa"/>
            <w:vAlign w:val="center"/>
          </w:tcPr>
          <w:p w14:paraId="15AA13A8">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01AB7999">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6A3017A6">
            <w:pPr>
              <w:tabs>
                <w:tab w:val="left" w:pos="720"/>
              </w:tabs>
              <w:snapToGrid w:val="0"/>
              <w:spacing w:line="276" w:lineRule="auto"/>
              <w:jc w:val="center"/>
              <w:rPr>
                <w:rFonts w:ascii="宋体" w:hAnsi="宋体"/>
                <w:color w:val="auto"/>
                <w:sz w:val="21"/>
                <w:szCs w:val="21"/>
                <w:highlight w:val="none"/>
              </w:rPr>
            </w:pPr>
          </w:p>
        </w:tc>
      </w:tr>
      <w:tr w14:paraId="148F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1" w:type="dxa"/>
            <w:vAlign w:val="center"/>
          </w:tcPr>
          <w:p w14:paraId="2D684479">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7295" w:type="dxa"/>
            <w:vAlign w:val="center"/>
          </w:tcPr>
          <w:p w14:paraId="036A775F">
            <w:pPr>
              <w:tabs>
                <w:tab w:val="left" w:pos="720"/>
              </w:tabs>
              <w:wordWrap/>
              <w:snapToGrid w:val="0"/>
              <w:spacing w:line="276" w:lineRule="auto"/>
              <w:ind w:firstLine="0" w:firstLineChars="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投标人（若为联合体投标，指联合体承担检测任务的单位）具备建设行政主管部门颁发的建设工程质量检测机构资质证书（检测范围覆盖地基基础检测、主体结构工程现场检测、见证取样检测</w:t>
            </w:r>
            <w:r>
              <w:rPr>
                <w:rFonts w:hint="eastAsia" w:ascii="宋体" w:hAnsi="宋体" w:cs="Times New Roman"/>
                <w:sz w:val="21"/>
                <w:szCs w:val="21"/>
                <w:lang w:eastAsia="zh-CN"/>
              </w:rPr>
              <w:t>、</w:t>
            </w:r>
            <w:r>
              <w:rPr>
                <w:rFonts w:hint="eastAsia" w:ascii="宋体" w:hAnsi="宋体" w:eastAsia="宋体" w:cs="Times New Roman"/>
                <w:sz w:val="21"/>
                <w:szCs w:val="21"/>
              </w:rPr>
              <w:t>建筑幕墙工程检测</w:t>
            </w:r>
            <w:r>
              <w:rPr>
                <w:rFonts w:hint="eastAsia" w:ascii="宋体" w:hAnsi="宋体" w:cs="Times New Roman"/>
                <w:color w:val="auto"/>
                <w:sz w:val="21"/>
                <w:szCs w:val="21"/>
                <w:highlight w:val="none"/>
              </w:rPr>
              <w:t>），且证书在有效期内。根据《住房和城乡建设部关于印发《建设工程质量检测机构资质标准》的通知》（建质规〔2023〕1号，以下简称新标准】，持前述新标准的建设工程质量检测机构资质证书的单位，资质条件应满足：综合资质证书或专项资质证书（专项资质证书包括：建筑材料及构配件、主体结构及装饰装修、地基基础、建筑节能</w:t>
            </w:r>
            <w:r>
              <w:rPr>
                <w:rFonts w:hint="eastAsia" w:ascii="宋体" w:hAnsi="宋体" w:cs="Times New Roman"/>
                <w:sz w:val="21"/>
                <w:szCs w:val="21"/>
                <w:lang w:eastAsia="zh-CN"/>
              </w:rPr>
              <w:t>、</w:t>
            </w:r>
            <w:r>
              <w:rPr>
                <w:rFonts w:hint="eastAsia" w:ascii="宋体" w:hAnsi="宋体" w:cs="Times New Roman"/>
                <w:sz w:val="21"/>
                <w:szCs w:val="21"/>
                <w:lang w:val="en-US" w:eastAsia="zh-CN"/>
              </w:rPr>
              <w:t>建筑幕墙</w:t>
            </w:r>
            <w:r>
              <w:rPr>
                <w:rFonts w:hint="eastAsia" w:ascii="宋体" w:hAnsi="宋体" w:cs="Times New Roman"/>
                <w:color w:val="auto"/>
                <w:sz w:val="21"/>
                <w:szCs w:val="21"/>
                <w:highlight w:val="none"/>
              </w:rPr>
              <w:t>）；</w:t>
            </w:r>
          </w:p>
          <w:p w14:paraId="67441072">
            <w:pPr>
              <w:tabs>
                <w:tab w:val="left" w:pos="720"/>
              </w:tabs>
              <w:snapToGrid w:val="0"/>
              <w:spacing w:line="276" w:lineRule="auto"/>
              <w:rPr>
                <w:rFonts w:hint="eastAsia" w:ascii="宋体" w:hAnsi="宋体"/>
                <w:color w:val="auto"/>
                <w:sz w:val="21"/>
                <w:szCs w:val="21"/>
                <w:highlight w:val="none"/>
              </w:rPr>
            </w:pPr>
            <w:r>
              <w:rPr>
                <w:rFonts w:hint="eastAsia" w:ascii="宋体" w:hAnsi="宋体" w:cs="Times New Roman"/>
                <w:color w:val="auto"/>
                <w:sz w:val="21"/>
                <w:szCs w:val="21"/>
                <w:highlight w:val="none"/>
              </w:rPr>
              <w:t>注：如投标人检测机构资质证书的检测项目与上述名称不同，但表达的意思一致也视为满足该项条件；资质内容按照《住房和城乡建设部关于印发《建设工程质量检测机构资质标准》的通知》建质规〔2023〕1号、《住房和城乡建设部办公厅关于做好建设工程质量检测机构新旧资质标准过渡工作的通知》建办质函〔2023〕100号文规定。</w:t>
            </w:r>
          </w:p>
        </w:tc>
        <w:tc>
          <w:tcPr>
            <w:tcW w:w="553" w:type="dxa"/>
            <w:vAlign w:val="center"/>
          </w:tcPr>
          <w:p w14:paraId="0D17E651">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5EB217B6">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5F860D6F">
            <w:pPr>
              <w:tabs>
                <w:tab w:val="left" w:pos="720"/>
              </w:tabs>
              <w:snapToGrid w:val="0"/>
              <w:spacing w:line="276" w:lineRule="auto"/>
              <w:jc w:val="center"/>
              <w:rPr>
                <w:rFonts w:ascii="宋体" w:hAnsi="宋体"/>
                <w:color w:val="auto"/>
                <w:sz w:val="21"/>
                <w:szCs w:val="21"/>
                <w:highlight w:val="none"/>
              </w:rPr>
            </w:pPr>
          </w:p>
        </w:tc>
      </w:tr>
      <w:tr w14:paraId="41A7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1" w:type="dxa"/>
            <w:vAlign w:val="center"/>
          </w:tcPr>
          <w:p w14:paraId="2E334CFB">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7295" w:type="dxa"/>
            <w:vAlign w:val="center"/>
          </w:tcPr>
          <w:p w14:paraId="08002111">
            <w:pPr>
              <w:tabs>
                <w:tab w:val="left" w:pos="720"/>
              </w:tabs>
              <w:snapToGrid w:val="0"/>
              <w:spacing w:line="276" w:lineRule="auto"/>
              <w:rPr>
                <w:rFonts w:hint="eastAsia" w:ascii="宋体" w:hAnsi="宋体"/>
                <w:color w:val="auto"/>
                <w:sz w:val="21"/>
                <w:szCs w:val="21"/>
                <w:highlight w:val="none"/>
              </w:rPr>
            </w:pPr>
            <w:r>
              <w:rPr>
                <w:rFonts w:hint="eastAsia" w:ascii="宋体" w:hAnsi="宋体" w:cs="Times New Roman"/>
                <w:color w:val="auto"/>
                <w:sz w:val="21"/>
                <w:szCs w:val="21"/>
                <w:highlight w:val="none"/>
              </w:rPr>
              <w:t>投标人（若为联合体投标，指联合体承担监测任务的单位）须具有建设行政主管部门颁发的以下勘察资质要求之一：①工程勘察综合甲级资质；②同时具备工程勘察专业资质岩土工程专项</w:t>
            </w:r>
            <w:r>
              <w:rPr>
                <w:rFonts w:hint="eastAsia" w:ascii="宋体" w:hAnsi="宋体" w:cs="Times New Roman"/>
                <w:color w:val="auto"/>
                <w:sz w:val="21"/>
                <w:szCs w:val="21"/>
                <w:highlight w:val="none"/>
                <w:lang w:val="en-US" w:eastAsia="zh-CN"/>
              </w:rPr>
              <w:t>乙</w:t>
            </w:r>
            <w:r>
              <w:rPr>
                <w:rFonts w:hint="eastAsia" w:ascii="宋体" w:hAnsi="宋体" w:cs="Times New Roman"/>
                <w:color w:val="auto"/>
                <w:sz w:val="21"/>
                <w:szCs w:val="21"/>
                <w:highlight w:val="none"/>
              </w:rPr>
              <w:t>级资质</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或以上</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和工程勘察专业资质工程测量</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w:t>
            </w:r>
            <w:r>
              <w:rPr>
                <w:rFonts w:hint="eastAsia" w:ascii="宋体" w:hAnsi="宋体" w:cs="Times New Roman"/>
                <w:color w:val="auto"/>
                <w:sz w:val="21"/>
                <w:szCs w:val="21"/>
                <w:highlight w:val="none"/>
                <w:lang w:eastAsia="zh-CN"/>
              </w:rPr>
              <w:t>资质</w:t>
            </w:r>
            <w:r>
              <w:rPr>
                <w:rFonts w:hint="eastAsia" w:ascii="宋体" w:hAnsi="宋体" w:cs="Times New Roman"/>
                <w:color w:val="auto"/>
                <w:sz w:val="21"/>
                <w:szCs w:val="21"/>
                <w:highlight w:val="none"/>
              </w:rPr>
              <w:t>。③同时具备工程勘察专业资质岩土工程（分项）物探测试检测监测专项</w:t>
            </w:r>
            <w:r>
              <w:rPr>
                <w:rFonts w:hint="eastAsia" w:ascii="宋体" w:hAnsi="宋体" w:cs="Times New Roman"/>
                <w:color w:val="auto"/>
                <w:sz w:val="21"/>
                <w:szCs w:val="21"/>
                <w:highlight w:val="none"/>
                <w:lang w:val="en-US" w:eastAsia="zh-CN"/>
              </w:rPr>
              <w:t>乙</w:t>
            </w:r>
            <w:r>
              <w:rPr>
                <w:rFonts w:hint="eastAsia" w:ascii="宋体" w:hAnsi="宋体" w:cs="Times New Roman"/>
                <w:color w:val="auto"/>
                <w:sz w:val="21"/>
                <w:szCs w:val="21"/>
                <w:highlight w:val="none"/>
              </w:rPr>
              <w:t>级</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或以上</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资质和工程勘察专业资质工程测量</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级资质。</w:t>
            </w:r>
            <w:r>
              <w:rPr>
                <w:rFonts w:hint="eastAsia" w:ascii="宋体" w:hAnsi="宋体" w:cs="Times New Roman"/>
                <w:color w:val="auto"/>
                <w:sz w:val="21"/>
                <w:szCs w:val="21"/>
                <w:highlight w:val="none"/>
                <w:u w:val="none"/>
              </w:rPr>
              <w:t>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tc>
        <w:tc>
          <w:tcPr>
            <w:tcW w:w="553" w:type="dxa"/>
            <w:vAlign w:val="center"/>
          </w:tcPr>
          <w:p w14:paraId="1B840A1B">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6EBF699C">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4DA463B5">
            <w:pPr>
              <w:tabs>
                <w:tab w:val="left" w:pos="720"/>
              </w:tabs>
              <w:snapToGrid w:val="0"/>
              <w:spacing w:line="276" w:lineRule="auto"/>
              <w:jc w:val="center"/>
              <w:rPr>
                <w:rFonts w:ascii="宋体" w:hAnsi="宋体"/>
                <w:color w:val="auto"/>
                <w:sz w:val="21"/>
                <w:szCs w:val="21"/>
                <w:highlight w:val="none"/>
              </w:rPr>
            </w:pPr>
          </w:p>
        </w:tc>
      </w:tr>
      <w:tr w14:paraId="5B2A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1" w:type="dxa"/>
            <w:vAlign w:val="center"/>
          </w:tcPr>
          <w:p w14:paraId="45B6A315">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7295" w:type="dxa"/>
            <w:vAlign w:val="center"/>
          </w:tcPr>
          <w:p w14:paraId="4B2952C2">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w:t>
            </w:r>
            <w:r>
              <w:rPr>
                <w:rFonts w:hint="eastAsia" w:ascii="宋体" w:hAnsi="宋体" w:cs="Times New Roman"/>
                <w:color w:val="auto"/>
                <w:sz w:val="21"/>
                <w:szCs w:val="21"/>
                <w:highlight w:val="none"/>
                <w:lang w:bidi="ar"/>
              </w:rPr>
              <w:t>均具备</w:t>
            </w:r>
            <w:r>
              <w:rPr>
                <w:rFonts w:hint="eastAsia" w:ascii="宋体" w:hAnsi="宋体"/>
                <w:color w:val="auto"/>
                <w:sz w:val="21"/>
                <w:szCs w:val="21"/>
                <w:highlight w:val="none"/>
              </w:rPr>
              <w:t>质量技术监督部门颁发的 CMA 计量认证合格证书（检验检测机构资质认定证书），且证书在有效期内。同时，认证范围覆盖本次招标主要内容：①承担检测任务的单位认证范围为工程材料、地基与基础工程检测、主体结构工程检测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建筑幕墙工程检测</w:t>
            </w:r>
            <w:r>
              <w:rPr>
                <w:rFonts w:hint="eastAsia" w:ascii="宋体" w:hAnsi="宋体"/>
                <w:color w:val="auto"/>
                <w:sz w:val="21"/>
                <w:szCs w:val="21"/>
                <w:highlight w:val="none"/>
              </w:rPr>
              <w:t>。②承担监测任务的单位认证范围为基坑监测、高支模监测、主体沉降观测；如 CMA 计量认证合格证书中的认证项目与上述名称不同，但表达的意思一致也视为满足该项条件，且在有效期内。</w:t>
            </w:r>
          </w:p>
        </w:tc>
        <w:tc>
          <w:tcPr>
            <w:tcW w:w="553" w:type="dxa"/>
            <w:vAlign w:val="center"/>
          </w:tcPr>
          <w:p w14:paraId="3D14F22F">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23E2E513">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51E4B315">
            <w:pPr>
              <w:tabs>
                <w:tab w:val="left" w:pos="720"/>
              </w:tabs>
              <w:snapToGrid w:val="0"/>
              <w:spacing w:line="276" w:lineRule="auto"/>
              <w:jc w:val="center"/>
              <w:rPr>
                <w:rFonts w:ascii="宋体" w:hAnsi="宋体"/>
                <w:color w:val="auto"/>
                <w:sz w:val="21"/>
                <w:szCs w:val="21"/>
                <w:highlight w:val="none"/>
              </w:rPr>
            </w:pPr>
          </w:p>
        </w:tc>
      </w:tr>
      <w:tr w14:paraId="522B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41" w:type="dxa"/>
            <w:vAlign w:val="center"/>
          </w:tcPr>
          <w:p w14:paraId="7716D2B3">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7295" w:type="dxa"/>
            <w:vAlign w:val="center"/>
          </w:tcPr>
          <w:p w14:paraId="6A4B558C">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拟担任本工程项目负责人应为具有工程类中级工程师或以上技术职称，且须持有建设行政主管部门或其委托的机构、行业协会颁发的检测员证或检测鉴定培训合格证【若为联合体投标，项目负责人须是联合体主办方正式员工，需提供近</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个月（即扣除招标公告发布当月前一个月）有效的所在投标单位社保证明材料。】</w:t>
            </w:r>
          </w:p>
        </w:tc>
        <w:tc>
          <w:tcPr>
            <w:tcW w:w="553" w:type="dxa"/>
            <w:vAlign w:val="center"/>
          </w:tcPr>
          <w:p w14:paraId="3F963FF2">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4D083CF6">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4A950F4E">
            <w:pPr>
              <w:tabs>
                <w:tab w:val="left" w:pos="720"/>
              </w:tabs>
              <w:snapToGrid w:val="0"/>
              <w:spacing w:line="276" w:lineRule="auto"/>
              <w:jc w:val="center"/>
              <w:rPr>
                <w:rFonts w:ascii="宋体" w:hAnsi="宋体"/>
                <w:color w:val="auto"/>
                <w:sz w:val="21"/>
                <w:szCs w:val="21"/>
                <w:highlight w:val="none"/>
              </w:rPr>
            </w:pPr>
          </w:p>
        </w:tc>
      </w:tr>
      <w:tr w14:paraId="6962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Align w:val="center"/>
          </w:tcPr>
          <w:p w14:paraId="30E224C6">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7295" w:type="dxa"/>
            <w:vAlign w:val="center"/>
          </w:tcPr>
          <w:p w14:paraId="6C01346E">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投标人（若为联合体投标，指联合体各方）在广州市住建行业信用管理平台建立诚信档案。</w:t>
            </w:r>
          </w:p>
        </w:tc>
        <w:tc>
          <w:tcPr>
            <w:tcW w:w="553" w:type="dxa"/>
            <w:vAlign w:val="center"/>
          </w:tcPr>
          <w:p w14:paraId="37443CCD">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7E1DBA0A">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3F62053C">
            <w:pPr>
              <w:tabs>
                <w:tab w:val="left" w:pos="720"/>
              </w:tabs>
              <w:snapToGrid w:val="0"/>
              <w:spacing w:line="276" w:lineRule="auto"/>
              <w:jc w:val="center"/>
              <w:rPr>
                <w:rFonts w:ascii="宋体" w:hAnsi="宋体"/>
                <w:color w:val="auto"/>
                <w:sz w:val="21"/>
                <w:szCs w:val="21"/>
                <w:highlight w:val="none"/>
              </w:rPr>
            </w:pPr>
          </w:p>
        </w:tc>
      </w:tr>
      <w:tr w14:paraId="3060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1" w:type="dxa"/>
            <w:vAlign w:val="center"/>
          </w:tcPr>
          <w:p w14:paraId="435B7A73">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7295" w:type="dxa"/>
            <w:vAlign w:val="center"/>
          </w:tcPr>
          <w:p w14:paraId="18F6A52C">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投标人已按照招标公告附件一的内容签署盖章的《投标</w:t>
            </w:r>
            <w:r>
              <w:rPr>
                <w:rFonts w:hint="eastAsia" w:ascii="宋体" w:hAnsi="宋体"/>
                <w:color w:val="auto"/>
                <w:sz w:val="21"/>
                <w:szCs w:val="21"/>
                <w:highlight w:val="none"/>
                <w:lang w:val="en-US" w:eastAsia="zh-CN"/>
              </w:rPr>
              <w:t>申请</w:t>
            </w:r>
            <w:r>
              <w:rPr>
                <w:rFonts w:hint="eastAsia" w:ascii="宋体" w:hAnsi="宋体"/>
                <w:color w:val="auto"/>
                <w:sz w:val="21"/>
                <w:szCs w:val="21"/>
                <w:highlight w:val="none"/>
              </w:rPr>
              <w:t>人声明》。</w:t>
            </w:r>
          </w:p>
        </w:tc>
        <w:tc>
          <w:tcPr>
            <w:tcW w:w="553" w:type="dxa"/>
            <w:vAlign w:val="center"/>
          </w:tcPr>
          <w:p w14:paraId="67B3AF0C">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67E50177">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64D7601F">
            <w:pPr>
              <w:tabs>
                <w:tab w:val="left" w:pos="720"/>
              </w:tabs>
              <w:snapToGrid w:val="0"/>
              <w:spacing w:line="276" w:lineRule="auto"/>
              <w:jc w:val="center"/>
              <w:rPr>
                <w:rFonts w:ascii="宋体" w:hAnsi="宋体"/>
                <w:color w:val="auto"/>
                <w:sz w:val="21"/>
                <w:szCs w:val="21"/>
                <w:highlight w:val="none"/>
              </w:rPr>
            </w:pPr>
          </w:p>
        </w:tc>
      </w:tr>
      <w:tr w14:paraId="4E69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1" w:type="dxa"/>
            <w:vAlign w:val="center"/>
          </w:tcPr>
          <w:p w14:paraId="7F19ADF3">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7295" w:type="dxa"/>
            <w:vAlign w:val="center"/>
          </w:tcPr>
          <w:p w14:paraId="0F042B4C">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关于联合体投标：本项目接受联合体投标，但只接受最多由</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家单位组成联合体投标，联合体主办方必须为负责检测任务的单位。</w:t>
            </w:r>
          </w:p>
          <w:p w14:paraId="0E9E6009">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注：（1）联合体各方应按招标文件提供的格式签订联合体协议书，明确联合体主办方和各方权利义务，并将该联合体协议书随投标文件一并提交招标人；</w:t>
            </w:r>
          </w:p>
          <w:p w14:paraId="5081115C">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（2）联合体各方不得再以自己名义单独或参加其他联合体在本招标项目中投标，否则各相关投标均无效；</w:t>
            </w:r>
          </w:p>
          <w:p w14:paraId="40206A95">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（3）如投标人组成联合体，须签订联合体协议书。投标人拟任本工程项目负责人须为主办方正式员工，投标截止后联合体增减、更换成员的，其投标无效；</w:t>
            </w:r>
          </w:p>
          <w:p w14:paraId="67029136">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（4）联合体主办方的被授权人作为联合体各方的代表，承担责任和指令，并负责整个投标过程中的一切责任；</w:t>
            </w:r>
          </w:p>
          <w:p w14:paraId="7F9ACEAF">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（5）联合体投标时，除《</w:t>
            </w:r>
            <w:r>
              <w:rPr>
                <w:rFonts w:hint="eastAsia" w:ascii="宋体" w:hAnsi="宋体"/>
                <w:color w:val="auto"/>
                <w:sz w:val="21"/>
                <w:szCs w:val="21"/>
                <w:highlight w:val="none"/>
                <w:lang w:eastAsia="zh-CN"/>
              </w:rPr>
              <w:t>联合体协议书</w:t>
            </w:r>
            <w:r>
              <w:rPr>
                <w:rFonts w:hint="eastAsia" w:ascii="宋体" w:hAnsi="宋体"/>
                <w:color w:val="auto"/>
                <w:sz w:val="21"/>
                <w:szCs w:val="21"/>
                <w:highlight w:val="none"/>
              </w:rPr>
              <w:t>》需填妥并由联合体各方共同签字盖章；《投标人声明》需联合体各方均按要求独自填妥并签字盖章提供外，其他资料若需要签字或盖章的均可由联合体主办方签字或盖章即可；投标资料封面及其他内容及落款中的“投标人”应填写联合体各方的单位全称【格式示例为：（主）单位全称（成）单位全称】，由联合体主办方按要求签字或盖章即可。电子签章由主办方进行签章即可。</w:t>
            </w:r>
          </w:p>
        </w:tc>
        <w:tc>
          <w:tcPr>
            <w:tcW w:w="553" w:type="dxa"/>
            <w:vAlign w:val="center"/>
          </w:tcPr>
          <w:p w14:paraId="122C2B14">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52FF3016">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7D1FFE39">
            <w:pPr>
              <w:tabs>
                <w:tab w:val="left" w:pos="720"/>
              </w:tabs>
              <w:snapToGrid w:val="0"/>
              <w:spacing w:line="276" w:lineRule="auto"/>
              <w:jc w:val="center"/>
              <w:rPr>
                <w:rFonts w:ascii="宋体" w:hAnsi="宋体"/>
                <w:color w:val="auto"/>
                <w:sz w:val="21"/>
                <w:szCs w:val="21"/>
                <w:highlight w:val="none"/>
              </w:rPr>
            </w:pPr>
          </w:p>
        </w:tc>
      </w:tr>
      <w:tr w14:paraId="63C4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1" w:type="dxa"/>
            <w:vAlign w:val="center"/>
          </w:tcPr>
          <w:p w14:paraId="42E809FC">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结论</w:t>
            </w:r>
          </w:p>
        </w:tc>
        <w:tc>
          <w:tcPr>
            <w:tcW w:w="7295" w:type="dxa"/>
            <w:vAlign w:val="center"/>
          </w:tcPr>
          <w:p w14:paraId="3AB17C6B">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是否通过并进入下一阶段评审</w:t>
            </w:r>
          </w:p>
        </w:tc>
        <w:tc>
          <w:tcPr>
            <w:tcW w:w="553" w:type="dxa"/>
            <w:vAlign w:val="center"/>
          </w:tcPr>
          <w:p w14:paraId="1F24C9FA">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28B59915">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2D9ECA75">
            <w:pPr>
              <w:tabs>
                <w:tab w:val="left" w:pos="720"/>
              </w:tabs>
              <w:snapToGrid w:val="0"/>
              <w:spacing w:line="276" w:lineRule="auto"/>
              <w:jc w:val="center"/>
              <w:rPr>
                <w:rFonts w:ascii="宋体" w:hAnsi="宋体"/>
                <w:color w:val="auto"/>
                <w:sz w:val="21"/>
                <w:szCs w:val="21"/>
                <w:highlight w:val="none"/>
              </w:rPr>
            </w:pPr>
          </w:p>
        </w:tc>
      </w:tr>
    </w:tbl>
    <w:p w14:paraId="0D14FE6F">
      <w:pPr>
        <w:pStyle w:val="6"/>
        <w:rPr>
          <w:rFonts w:hint="eastAsia"/>
          <w:b w:val="0"/>
          <w:color w:val="auto"/>
          <w:sz w:val="20"/>
          <w:szCs w:val="20"/>
          <w:highlight w:val="none"/>
        </w:rPr>
      </w:pPr>
      <w:r>
        <w:rPr>
          <w:rFonts w:hint="eastAsia"/>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40ACFC22">
      <w:pPr>
        <w:pStyle w:val="6"/>
        <w:rPr>
          <w:rFonts w:cs="宋体"/>
          <w:color w:val="auto"/>
          <w:szCs w:val="21"/>
          <w:highlight w:val="none"/>
        </w:rPr>
      </w:pPr>
      <w:r>
        <w:rPr>
          <w:rFonts w:hint="eastAsia"/>
          <w:b w:val="0"/>
          <w:color w:val="auto"/>
          <w:sz w:val="21"/>
          <w:szCs w:val="21"/>
          <w:highlight w:val="none"/>
        </w:rPr>
        <w:t>评委签名：                                            日期：</w:t>
      </w:r>
      <w:r>
        <w:rPr>
          <w:color w:val="auto"/>
          <w:highlight w:val="none"/>
        </w:rPr>
        <w:br w:type="page"/>
      </w:r>
      <w:bookmarkStart w:id="108" w:name="_Toc118553984"/>
      <w:r>
        <w:rPr>
          <w:rFonts w:hint="eastAsia"/>
          <w:color w:val="auto"/>
          <w:highlight w:val="none"/>
        </w:rPr>
        <w:t>附表三：响应性评审表</w:t>
      </w:r>
      <w:bookmarkEnd w:id="108"/>
    </w:p>
    <w:p w14:paraId="7D6ED5B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响应性评审表</w:t>
      </w:r>
    </w:p>
    <w:p w14:paraId="5E0C7DB1">
      <w:pPr>
        <w:rPr>
          <w:rFonts w:ascii="宋体" w:hAnsi="宋体"/>
          <w:color w:val="auto"/>
          <w:sz w:val="18"/>
          <w:szCs w:val="18"/>
          <w:highlight w:val="none"/>
        </w:rPr>
      </w:pPr>
    </w:p>
    <w:tbl>
      <w:tblPr>
        <w:tblStyle w:val="27"/>
        <w:tblpPr w:leftFromText="180" w:rightFromText="180" w:vertAnchor="text" w:horzAnchor="margin"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173"/>
        <w:gridCol w:w="676"/>
        <w:gridCol w:w="677"/>
        <w:gridCol w:w="677"/>
        <w:gridCol w:w="677"/>
        <w:gridCol w:w="677"/>
      </w:tblGrid>
      <w:tr w14:paraId="377F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05" w:type="dxa"/>
            <w:vAlign w:val="center"/>
          </w:tcPr>
          <w:p w14:paraId="0CCEC083">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5173" w:type="dxa"/>
            <w:tcBorders>
              <w:tl2br w:val="single" w:color="auto" w:sz="4" w:space="0"/>
            </w:tcBorders>
            <w:vAlign w:val="center"/>
          </w:tcPr>
          <w:p w14:paraId="75E245E1">
            <w:pPr>
              <w:tabs>
                <w:tab w:val="left" w:pos="720"/>
              </w:tabs>
              <w:snapToGrid w:val="0"/>
              <w:spacing w:line="276" w:lineRule="auto"/>
              <w:ind w:firstLine="3780" w:firstLineChars="1800"/>
              <w:rPr>
                <w:rFonts w:ascii="宋体" w:hAnsi="宋体"/>
                <w:color w:val="auto"/>
                <w:szCs w:val="21"/>
                <w:highlight w:val="none"/>
              </w:rPr>
            </w:pPr>
            <w:r>
              <w:rPr>
                <w:rFonts w:hint="eastAsia" w:ascii="宋体" w:hAnsi="宋体"/>
                <w:color w:val="auto"/>
                <w:szCs w:val="21"/>
                <w:highlight w:val="none"/>
              </w:rPr>
              <w:t>投标人名称</w:t>
            </w:r>
          </w:p>
          <w:p w14:paraId="0D3977BC">
            <w:pPr>
              <w:tabs>
                <w:tab w:val="left" w:pos="720"/>
              </w:tabs>
              <w:snapToGrid w:val="0"/>
              <w:spacing w:line="276" w:lineRule="auto"/>
              <w:rPr>
                <w:rFonts w:ascii="宋体" w:hAnsi="宋体"/>
                <w:color w:val="auto"/>
                <w:szCs w:val="21"/>
                <w:highlight w:val="none"/>
              </w:rPr>
            </w:pPr>
          </w:p>
          <w:p w14:paraId="4AAAA3A7">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评审项目</w:t>
            </w:r>
          </w:p>
        </w:tc>
        <w:tc>
          <w:tcPr>
            <w:tcW w:w="676" w:type="dxa"/>
            <w:vAlign w:val="center"/>
          </w:tcPr>
          <w:p w14:paraId="0FC47F21">
            <w:pPr>
              <w:tabs>
                <w:tab w:val="left" w:pos="720"/>
              </w:tabs>
              <w:snapToGrid w:val="0"/>
              <w:spacing w:line="276" w:lineRule="auto"/>
              <w:rPr>
                <w:rFonts w:ascii="宋体" w:hAnsi="宋体"/>
                <w:color w:val="auto"/>
                <w:szCs w:val="21"/>
                <w:highlight w:val="none"/>
              </w:rPr>
            </w:pPr>
          </w:p>
        </w:tc>
        <w:tc>
          <w:tcPr>
            <w:tcW w:w="677" w:type="dxa"/>
            <w:vAlign w:val="center"/>
          </w:tcPr>
          <w:p w14:paraId="50922FFF">
            <w:pPr>
              <w:tabs>
                <w:tab w:val="left" w:pos="720"/>
              </w:tabs>
              <w:snapToGrid w:val="0"/>
              <w:spacing w:line="276" w:lineRule="auto"/>
              <w:jc w:val="center"/>
              <w:rPr>
                <w:rFonts w:ascii="宋体" w:hAnsi="宋体"/>
                <w:color w:val="auto"/>
                <w:szCs w:val="21"/>
                <w:highlight w:val="none"/>
              </w:rPr>
            </w:pPr>
          </w:p>
        </w:tc>
        <w:tc>
          <w:tcPr>
            <w:tcW w:w="677" w:type="dxa"/>
            <w:vAlign w:val="center"/>
          </w:tcPr>
          <w:p w14:paraId="3C4376F3">
            <w:pPr>
              <w:tabs>
                <w:tab w:val="left" w:pos="720"/>
              </w:tabs>
              <w:snapToGrid w:val="0"/>
              <w:spacing w:line="276" w:lineRule="auto"/>
              <w:jc w:val="center"/>
              <w:rPr>
                <w:rFonts w:ascii="宋体" w:hAnsi="宋体"/>
                <w:color w:val="auto"/>
                <w:szCs w:val="21"/>
                <w:highlight w:val="none"/>
              </w:rPr>
            </w:pPr>
          </w:p>
        </w:tc>
        <w:tc>
          <w:tcPr>
            <w:tcW w:w="677" w:type="dxa"/>
            <w:vAlign w:val="center"/>
          </w:tcPr>
          <w:p w14:paraId="08C57CC7">
            <w:pPr>
              <w:tabs>
                <w:tab w:val="left" w:pos="720"/>
              </w:tabs>
              <w:snapToGrid w:val="0"/>
              <w:spacing w:line="276" w:lineRule="auto"/>
              <w:jc w:val="center"/>
              <w:rPr>
                <w:rFonts w:ascii="宋体" w:hAnsi="宋体"/>
                <w:color w:val="auto"/>
                <w:szCs w:val="21"/>
                <w:highlight w:val="none"/>
              </w:rPr>
            </w:pPr>
          </w:p>
        </w:tc>
        <w:tc>
          <w:tcPr>
            <w:tcW w:w="677" w:type="dxa"/>
            <w:vAlign w:val="center"/>
          </w:tcPr>
          <w:p w14:paraId="2B0AFE46">
            <w:pPr>
              <w:tabs>
                <w:tab w:val="left" w:pos="720"/>
              </w:tabs>
              <w:snapToGrid w:val="0"/>
              <w:spacing w:line="276" w:lineRule="auto"/>
              <w:jc w:val="center"/>
              <w:rPr>
                <w:rFonts w:ascii="宋体" w:hAnsi="宋体"/>
                <w:color w:val="auto"/>
                <w:szCs w:val="21"/>
                <w:highlight w:val="none"/>
              </w:rPr>
            </w:pPr>
          </w:p>
        </w:tc>
      </w:tr>
      <w:tr w14:paraId="75C7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5" w:type="dxa"/>
            <w:vAlign w:val="center"/>
          </w:tcPr>
          <w:p w14:paraId="773F6E62">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1</w:t>
            </w:r>
          </w:p>
        </w:tc>
        <w:tc>
          <w:tcPr>
            <w:tcW w:w="5173" w:type="dxa"/>
            <w:vAlign w:val="center"/>
          </w:tcPr>
          <w:p w14:paraId="7DB627D2">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投标报价：符合第二章“投标人须知”第</w:t>
            </w:r>
            <w:r>
              <w:rPr>
                <w:rFonts w:ascii="宋体" w:hAnsi="宋体" w:cs="宋体"/>
                <w:color w:val="auto"/>
                <w:szCs w:val="21"/>
                <w:highlight w:val="none"/>
              </w:rPr>
              <w:t>3.2款规定；</w:t>
            </w:r>
          </w:p>
        </w:tc>
        <w:tc>
          <w:tcPr>
            <w:tcW w:w="676" w:type="dxa"/>
            <w:vAlign w:val="center"/>
          </w:tcPr>
          <w:p w14:paraId="1FF8940F">
            <w:pPr>
              <w:tabs>
                <w:tab w:val="left" w:pos="720"/>
              </w:tabs>
              <w:snapToGrid w:val="0"/>
              <w:spacing w:line="276" w:lineRule="auto"/>
              <w:jc w:val="center"/>
              <w:rPr>
                <w:rFonts w:ascii="宋体" w:hAnsi="宋体"/>
                <w:color w:val="auto"/>
                <w:szCs w:val="21"/>
                <w:highlight w:val="none"/>
              </w:rPr>
            </w:pPr>
          </w:p>
        </w:tc>
        <w:tc>
          <w:tcPr>
            <w:tcW w:w="677" w:type="dxa"/>
            <w:vAlign w:val="center"/>
          </w:tcPr>
          <w:p w14:paraId="6C8D53CC">
            <w:pPr>
              <w:tabs>
                <w:tab w:val="left" w:pos="720"/>
              </w:tabs>
              <w:snapToGrid w:val="0"/>
              <w:spacing w:line="276" w:lineRule="auto"/>
              <w:jc w:val="center"/>
              <w:rPr>
                <w:rFonts w:ascii="宋体" w:hAnsi="宋体"/>
                <w:color w:val="auto"/>
                <w:szCs w:val="21"/>
                <w:highlight w:val="none"/>
              </w:rPr>
            </w:pPr>
          </w:p>
        </w:tc>
        <w:tc>
          <w:tcPr>
            <w:tcW w:w="677" w:type="dxa"/>
            <w:vAlign w:val="center"/>
          </w:tcPr>
          <w:p w14:paraId="07330AF2">
            <w:pPr>
              <w:tabs>
                <w:tab w:val="left" w:pos="720"/>
              </w:tabs>
              <w:snapToGrid w:val="0"/>
              <w:spacing w:line="276" w:lineRule="auto"/>
              <w:jc w:val="center"/>
              <w:rPr>
                <w:rFonts w:ascii="宋体" w:hAnsi="宋体"/>
                <w:color w:val="auto"/>
                <w:szCs w:val="21"/>
                <w:highlight w:val="none"/>
              </w:rPr>
            </w:pPr>
          </w:p>
        </w:tc>
        <w:tc>
          <w:tcPr>
            <w:tcW w:w="677" w:type="dxa"/>
            <w:vAlign w:val="center"/>
          </w:tcPr>
          <w:p w14:paraId="7CBF49AE">
            <w:pPr>
              <w:tabs>
                <w:tab w:val="left" w:pos="720"/>
              </w:tabs>
              <w:snapToGrid w:val="0"/>
              <w:spacing w:line="276" w:lineRule="auto"/>
              <w:jc w:val="center"/>
              <w:rPr>
                <w:rFonts w:ascii="宋体" w:hAnsi="宋体"/>
                <w:color w:val="auto"/>
                <w:szCs w:val="21"/>
                <w:highlight w:val="none"/>
              </w:rPr>
            </w:pPr>
          </w:p>
        </w:tc>
        <w:tc>
          <w:tcPr>
            <w:tcW w:w="677" w:type="dxa"/>
            <w:vAlign w:val="center"/>
          </w:tcPr>
          <w:p w14:paraId="790FA324">
            <w:pPr>
              <w:tabs>
                <w:tab w:val="left" w:pos="720"/>
              </w:tabs>
              <w:snapToGrid w:val="0"/>
              <w:spacing w:line="276" w:lineRule="auto"/>
              <w:jc w:val="center"/>
              <w:rPr>
                <w:rFonts w:ascii="宋体" w:hAnsi="宋体"/>
                <w:color w:val="auto"/>
                <w:szCs w:val="21"/>
                <w:highlight w:val="none"/>
              </w:rPr>
            </w:pPr>
          </w:p>
        </w:tc>
      </w:tr>
      <w:tr w14:paraId="1038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05" w:type="dxa"/>
            <w:vAlign w:val="center"/>
          </w:tcPr>
          <w:p w14:paraId="019D3BC6">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2</w:t>
            </w:r>
          </w:p>
        </w:tc>
        <w:tc>
          <w:tcPr>
            <w:tcW w:w="5173" w:type="dxa"/>
            <w:vAlign w:val="center"/>
          </w:tcPr>
          <w:p w14:paraId="52E2BB22">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投标内容：符合第二章“投标人须知”第</w:t>
            </w:r>
            <w:r>
              <w:rPr>
                <w:rFonts w:ascii="宋体" w:hAnsi="宋体" w:cs="宋体"/>
                <w:color w:val="auto"/>
                <w:szCs w:val="21"/>
                <w:highlight w:val="none"/>
              </w:rPr>
              <w:t>1.3.1规定；</w:t>
            </w:r>
          </w:p>
        </w:tc>
        <w:tc>
          <w:tcPr>
            <w:tcW w:w="676" w:type="dxa"/>
            <w:vAlign w:val="center"/>
          </w:tcPr>
          <w:p w14:paraId="3E86F041">
            <w:pPr>
              <w:tabs>
                <w:tab w:val="left" w:pos="720"/>
              </w:tabs>
              <w:snapToGrid w:val="0"/>
              <w:spacing w:line="276" w:lineRule="auto"/>
              <w:jc w:val="center"/>
              <w:rPr>
                <w:rFonts w:ascii="宋体" w:hAnsi="宋体"/>
                <w:color w:val="auto"/>
                <w:szCs w:val="21"/>
                <w:highlight w:val="none"/>
              </w:rPr>
            </w:pPr>
          </w:p>
        </w:tc>
        <w:tc>
          <w:tcPr>
            <w:tcW w:w="677" w:type="dxa"/>
            <w:vAlign w:val="center"/>
          </w:tcPr>
          <w:p w14:paraId="44735364">
            <w:pPr>
              <w:tabs>
                <w:tab w:val="left" w:pos="720"/>
              </w:tabs>
              <w:snapToGrid w:val="0"/>
              <w:spacing w:line="276" w:lineRule="auto"/>
              <w:jc w:val="center"/>
              <w:rPr>
                <w:rFonts w:ascii="宋体" w:hAnsi="宋体"/>
                <w:color w:val="auto"/>
                <w:szCs w:val="21"/>
                <w:highlight w:val="none"/>
              </w:rPr>
            </w:pPr>
          </w:p>
        </w:tc>
        <w:tc>
          <w:tcPr>
            <w:tcW w:w="677" w:type="dxa"/>
            <w:vAlign w:val="center"/>
          </w:tcPr>
          <w:p w14:paraId="121D3242">
            <w:pPr>
              <w:tabs>
                <w:tab w:val="left" w:pos="720"/>
              </w:tabs>
              <w:snapToGrid w:val="0"/>
              <w:spacing w:line="276" w:lineRule="auto"/>
              <w:jc w:val="center"/>
              <w:rPr>
                <w:rFonts w:ascii="宋体" w:hAnsi="宋体"/>
                <w:color w:val="auto"/>
                <w:szCs w:val="21"/>
                <w:highlight w:val="none"/>
              </w:rPr>
            </w:pPr>
          </w:p>
        </w:tc>
        <w:tc>
          <w:tcPr>
            <w:tcW w:w="677" w:type="dxa"/>
            <w:vAlign w:val="center"/>
          </w:tcPr>
          <w:p w14:paraId="485780D6">
            <w:pPr>
              <w:tabs>
                <w:tab w:val="left" w:pos="720"/>
              </w:tabs>
              <w:snapToGrid w:val="0"/>
              <w:spacing w:line="276" w:lineRule="auto"/>
              <w:jc w:val="center"/>
              <w:rPr>
                <w:rFonts w:ascii="宋体" w:hAnsi="宋体"/>
                <w:color w:val="auto"/>
                <w:szCs w:val="21"/>
                <w:highlight w:val="none"/>
              </w:rPr>
            </w:pPr>
          </w:p>
        </w:tc>
        <w:tc>
          <w:tcPr>
            <w:tcW w:w="677" w:type="dxa"/>
            <w:vAlign w:val="center"/>
          </w:tcPr>
          <w:p w14:paraId="78B0AC0A">
            <w:pPr>
              <w:tabs>
                <w:tab w:val="left" w:pos="720"/>
              </w:tabs>
              <w:snapToGrid w:val="0"/>
              <w:spacing w:line="276" w:lineRule="auto"/>
              <w:jc w:val="center"/>
              <w:rPr>
                <w:rFonts w:ascii="宋体" w:hAnsi="宋体"/>
                <w:color w:val="auto"/>
                <w:szCs w:val="21"/>
                <w:highlight w:val="none"/>
              </w:rPr>
            </w:pPr>
          </w:p>
        </w:tc>
      </w:tr>
      <w:tr w14:paraId="5764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05" w:type="dxa"/>
            <w:vAlign w:val="center"/>
          </w:tcPr>
          <w:p w14:paraId="71A2811D">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3</w:t>
            </w:r>
          </w:p>
        </w:tc>
        <w:tc>
          <w:tcPr>
            <w:tcW w:w="5173" w:type="dxa"/>
            <w:vAlign w:val="center"/>
          </w:tcPr>
          <w:p w14:paraId="16A53F63">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服务期限：符合第二章“投标人须知”第</w:t>
            </w:r>
            <w:r>
              <w:rPr>
                <w:rFonts w:ascii="宋体" w:hAnsi="宋体" w:cs="宋体"/>
                <w:color w:val="auto"/>
                <w:szCs w:val="21"/>
                <w:highlight w:val="none"/>
              </w:rPr>
              <w:t>1.3.2规定；</w:t>
            </w:r>
          </w:p>
        </w:tc>
        <w:tc>
          <w:tcPr>
            <w:tcW w:w="676" w:type="dxa"/>
            <w:vAlign w:val="center"/>
          </w:tcPr>
          <w:p w14:paraId="3C855904">
            <w:pPr>
              <w:tabs>
                <w:tab w:val="left" w:pos="720"/>
              </w:tabs>
              <w:snapToGrid w:val="0"/>
              <w:spacing w:line="276" w:lineRule="auto"/>
              <w:jc w:val="center"/>
              <w:rPr>
                <w:rFonts w:ascii="宋体" w:hAnsi="宋体"/>
                <w:color w:val="auto"/>
                <w:szCs w:val="21"/>
                <w:highlight w:val="none"/>
              </w:rPr>
            </w:pPr>
          </w:p>
        </w:tc>
        <w:tc>
          <w:tcPr>
            <w:tcW w:w="677" w:type="dxa"/>
            <w:vAlign w:val="center"/>
          </w:tcPr>
          <w:p w14:paraId="0FCE7776">
            <w:pPr>
              <w:tabs>
                <w:tab w:val="left" w:pos="720"/>
              </w:tabs>
              <w:snapToGrid w:val="0"/>
              <w:spacing w:line="276" w:lineRule="auto"/>
              <w:jc w:val="center"/>
              <w:rPr>
                <w:rFonts w:ascii="宋体" w:hAnsi="宋体"/>
                <w:color w:val="auto"/>
                <w:szCs w:val="21"/>
                <w:highlight w:val="none"/>
              </w:rPr>
            </w:pPr>
          </w:p>
        </w:tc>
        <w:tc>
          <w:tcPr>
            <w:tcW w:w="677" w:type="dxa"/>
            <w:vAlign w:val="center"/>
          </w:tcPr>
          <w:p w14:paraId="02F39301">
            <w:pPr>
              <w:tabs>
                <w:tab w:val="left" w:pos="720"/>
              </w:tabs>
              <w:snapToGrid w:val="0"/>
              <w:spacing w:line="276" w:lineRule="auto"/>
              <w:jc w:val="center"/>
              <w:rPr>
                <w:rFonts w:ascii="宋体" w:hAnsi="宋体"/>
                <w:color w:val="auto"/>
                <w:szCs w:val="21"/>
                <w:highlight w:val="none"/>
              </w:rPr>
            </w:pPr>
          </w:p>
        </w:tc>
        <w:tc>
          <w:tcPr>
            <w:tcW w:w="677" w:type="dxa"/>
            <w:vAlign w:val="center"/>
          </w:tcPr>
          <w:p w14:paraId="3B76B8B7">
            <w:pPr>
              <w:tabs>
                <w:tab w:val="left" w:pos="720"/>
              </w:tabs>
              <w:snapToGrid w:val="0"/>
              <w:spacing w:line="276" w:lineRule="auto"/>
              <w:jc w:val="center"/>
              <w:rPr>
                <w:rFonts w:ascii="宋体" w:hAnsi="宋体"/>
                <w:color w:val="auto"/>
                <w:szCs w:val="21"/>
                <w:highlight w:val="none"/>
              </w:rPr>
            </w:pPr>
          </w:p>
        </w:tc>
        <w:tc>
          <w:tcPr>
            <w:tcW w:w="677" w:type="dxa"/>
            <w:vAlign w:val="center"/>
          </w:tcPr>
          <w:p w14:paraId="2E79C85A">
            <w:pPr>
              <w:tabs>
                <w:tab w:val="left" w:pos="720"/>
              </w:tabs>
              <w:snapToGrid w:val="0"/>
              <w:spacing w:line="276" w:lineRule="auto"/>
              <w:jc w:val="center"/>
              <w:rPr>
                <w:rFonts w:ascii="宋体" w:hAnsi="宋体"/>
                <w:color w:val="auto"/>
                <w:szCs w:val="21"/>
                <w:highlight w:val="none"/>
              </w:rPr>
            </w:pPr>
          </w:p>
        </w:tc>
      </w:tr>
      <w:tr w14:paraId="5544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5" w:type="dxa"/>
            <w:vAlign w:val="center"/>
          </w:tcPr>
          <w:p w14:paraId="1AE19A50">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4</w:t>
            </w:r>
          </w:p>
        </w:tc>
        <w:tc>
          <w:tcPr>
            <w:tcW w:w="5173" w:type="dxa"/>
            <w:vAlign w:val="center"/>
          </w:tcPr>
          <w:p w14:paraId="1377C793">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质量标准：符合第二章“投标人须知”第</w:t>
            </w:r>
            <w:r>
              <w:rPr>
                <w:rFonts w:ascii="宋体" w:hAnsi="宋体" w:cs="宋体"/>
                <w:color w:val="auto"/>
                <w:szCs w:val="21"/>
                <w:highlight w:val="none"/>
              </w:rPr>
              <w:t>1.3.3规定；</w:t>
            </w:r>
          </w:p>
        </w:tc>
        <w:tc>
          <w:tcPr>
            <w:tcW w:w="676" w:type="dxa"/>
            <w:vAlign w:val="center"/>
          </w:tcPr>
          <w:p w14:paraId="20E39867">
            <w:pPr>
              <w:tabs>
                <w:tab w:val="left" w:pos="720"/>
              </w:tabs>
              <w:snapToGrid w:val="0"/>
              <w:spacing w:line="276" w:lineRule="auto"/>
              <w:jc w:val="center"/>
              <w:rPr>
                <w:rFonts w:ascii="宋体" w:hAnsi="宋体"/>
                <w:color w:val="auto"/>
                <w:szCs w:val="21"/>
                <w:highlight w:val="none"/>
              </w:rPr>
            </w:pPr>
          </w:p>
        </w:tc>
        <w:tc>
          <w:tcPr>
            <w:tcW w:w="677" w:type="dxa"/>
            <w:vAlign w:val="center"/>
          </w:tcPr>
          <w:p w14:paraId="2360C5D1">
            <w:pPr>
              <w:tabs>
                <w:tab w:val="left" w:pos="720"/>
              </w:tabs>
              <w:snapToGrid w:val="0"/>
              <w:spacing w:line="276" w:lineRule="auto"/>
              <w:jc w:val="center"/>
              <w:rPr>
                <w:rFonts w:ascii="宋体" w:hAnsi="宋体"/>
                <w:color w:val="auto"/>
                <w:szCs w:val="21"/>
                <w:highlight w:val="none"/>
              </w:rPr>
            </w:pPr>
          </w:p>
        </w:tc>
        <w:tc>
          <w:tcPr>
            <w:tcW w:w="677" w:type="dxa"/>
            <w:vAlign w:val="center"/>
          </w:tcPr>
          <w:p w14:paraId="73AFBBAC">
            <w:pPr>
              <w:tabs>
                <w:tab w:val="left" w:pos="720"/>
              </w:tabs>
              <w:snapToGrid w:val="0"/>
              <w:spacing w:line="276" w:lineRule="auto"/>
              <w:jc w:val="center"/>
              <w:rPr>
                <w:rFonts w:ascii="宋体" w:hAnsi="宋体"/>
                <w:color w:val="auto"/>
                <w:szCs w:val="21"/>
                <w:highlight w:val="none"/>
              </w:rPr>
            </w:pPr>
          </w:p>
        </w:tc>
        <w:tc>
          <w:tcPr>
            <w:tcW w:w="677" w:type="dxa"/>
            <w:vAlign w:val="center"/>
          </w:tcPr>
          <w:p w14:paraId="1187D609">
            <w:pPr>
              <w:tabs>
                <w:tab w:val="left" w:pos="720"/>
              </w:tabs>
              <w:snapToGrid w:val="0"/>
              <w:spacing w:line="276" w:lineRule="auto"/>
              <w:jc w:val="center"/>
              <w:rPr>
                <w:rFonts w:ascii="宋体" w:hAnsi="宋体"/>
                <w:color w:val="auto"/>
                <w:szCs w:val="21"/>
                <w:highlight w:val="none"/>
              </w:rPr>
            </w:pPr>
          </w:p>
        </w:tc>
        <w:tc>
          <w:tcPr>
            <w:tcW w:w="677" w:type="dxa"/>
            <w:vAlign w:val="center"/>
          </w:tcPr>
          <w:p w14:paraId="0324EAE8">
            <w:pPr>
              <w:tabs>
                <w:tab w:val="left" w:pos="720"/>
              </w:tabs>
              <w:snapToGrid w:val="0"/>
              <w:spacing w:line="276" w:lineRule="auto"/>
              <w:jc w:val="center"/>
              <w:rPr>
                <w:rFonts w:ascii="宋体" w:hAnsi="宋体"/>
                <w:color w:val="auto"/>
                <w:szCs w:val="21"/>
                <w:highlight w:val="none"/>
              </w:rPr>
            </w:pPr>
          </w:p>
        </w:tc>
      </w:tr>
      <w:tr w14:paraId="63BF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05" w:type="dxa"/>
            <w:vAlign w:val="center"/>
          </w:tcPr>
          <w:p w14:paraId="0C544D62">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5</w:t>
            </w:r>
          </w:p>
        </w:tc>
        <w:tc>
          <w:tcPr>
            <w:tcW w:w="5173" w:type="dxa"/>
            <w:vAlign w:val="center"/>
          </w:tcPr>
          <w:p w14:paraId="6506F97A">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投标有效期：符合第二章“投标人须知”第</w:t>
            </w:r>
            <w:r>
              <w:rPr>
                <w:rFonts w:ascii="宋体" w:hAnsi="宋体" w:cs="宋体"/>
                <w:color w:val="auto"/>
                <w:szCs w:val="21"/>
                <w:highlight w:val="none"/>
              </w:rPr>
              <w:t>3.3.1规定；</w:t>
            </w:r>
          </w:p>
        </w:tc>
        <w:tc>
          <w:tcPr>
            <w:tcW w:w="676" w:type="dxa"/>
            <w:vAlign w:val="center"/>
          </w:tcPr>
          <w:p w14:paraId="1D224A9E">
            <w:pPr>
              <w:tabs>
                <w:tab w:val="left" w:pos="720"/>
              </w:tabs>
              <w:snapToGrid w:val="0"/>
              <w:spacing w:line="276" w:lineRule="auto"/>
              <w:jc w:val="center"/>
              <w:rPr>
                <w:rFonts w:ascii="宋体" w:hAnsi="宋体"/>
                <w:color w:val="auto"/>
                <w:szCs w:val="21"/>
                <w:highlight w:val="none"/>
              </w:rPr>
            </w:pPr>
          </w:p>
        </w:tc>
        <w:tc>
          <w:tcPr>
            <w:tcW w:w="677" w:type="dxa"/>
            <w:vAlign w:val="center"/>
          </w:tcPr>
          <w:p w14:paraId="50D311AC">
            <w:pPr>
              <w:tabs>
                <w:tab w:val="left" w:pos="720"/>
              </w:tabs>
              <w:snapToGrid w:val="0"/>
              <w:spacing w:line="276" w:lineRule="auto"/>
              <w:jc w:val="center"/>
              <w:rPr>
                <w:rFonts w:ascii="宋体" w:hAnsi="宋体"/>
                <w:color w:val="auto"/>
                <w:szCs w:val="21"/>
                <w:highlight w:val="none"/>
              </w:rPr>
            </w:pPr>
          </w:p>
        </w:tc>
        <w:tc>
          <w:tcPr>
            <w:tcW w:w="677" w:type="dxa"/>
            <w:vAlign w:val="center"/>
          </w:tcPr>
          <w:p w14:paraId="028DF914">
            <w:pPr>
              <w:tabs>
                <w:tab w:val="left" w:pos="720"/>
              </w:tabs>
              <w:snapToGrid w:val="0"/>
              <w:spacing w:line="276" w:lineRule="auto"/>
              <w:jc w:val="center"/>
              <w:rPr>
                <w:rFonts w:ascii="宋体" w:hAnsi="宋体"/>
                <w:color w:val="auto"/>
                <w:szCs w:val="21"/>
                <w:highlight w:val="none"/>
              </w:rPr>
            </w:pPr>
          </w:p>
        </w:tc>
        <w:tc>
          <w:tcPr>
            <w:tcW w:w="677" w:type="dxa"/>
            <w:vAlign w:val="center"/>
          </w:tcPr>
          <w:p w14:paraId="77E909B8">
            <w:pPr>
              <w:tabs>
                <w:tab w:val="left" w:pos="720"/>
              </w:tabs>
              <w:snapToGrid w:val="0"/>
              <w:spacing w:line="276" w:lineRule="auto"/>
              <w:jc w:val="center"/>
              <w:rPr>
                <w:rFonts w:ascii="宋体" w:hAnsi="宋体"/>
                <w:color w:val="auto"/>
                <w:szCs w:val="21"/>
                <w:highlight w:val="none"/>
              </w:rPr>
            </w:pPr>
          </w:p>
        </w:tc>
        <w:tc>
          <w:tcPr>
            <w:tcW w:w="677" w:type="dxa"/>
            <w:vAlign w:val="center"/>
          </w:tcPr>
          <w:p w14:paraId="15999685">
            <w:pPr>
              <w:tabs>
                <w:tab w:val="left" w:pos="720"/>
              </w:tabs>
              <w:snapToGrid w:val="0"/>
              <w:spacing w:line="276" w:lineRule="auto"/>
              <w:jc w:val="center"/>
              <w:rPr>
                <w:rFonts w:ascii="宋体" w:hAnsi="宋体"/>
                <w:color w:val="auto"/>
                <w:szCs w:val="21"/>
                <w:highlight w:val="none"/>
              </w:rPr>
            </w:pPr>
          </w:p>
        </w:tc>
      </w:tr>
      <w:tr w14:paraId="2E31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05" w:type="dxa"/>
            <w:vAlign w:val="center"/>
          </w:tcPr>
          <w:p w14:paraId="4510664B">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6</w:t>
            </w:r>
          </w:p>
        </w:tc>
        <w:tc>
          <w:tcPr>
            <w:tcW w:w="5173" w:type="dxa"/>
            <w:vAlign w:val="center"/>
          </w:tcPr>
          <w:p w14:paraId="14382557">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投标保证金：符合第二章“投标人须知”第</w:t>
            </w:r>
            <w:r>
              <w:rPr>
                <w:rFonts w:ascii="宋体" w:hAnsi="宋体" w:cs="宋体"/>
                <w:color w:val="auto"/>
                <w:szCs w:val="21"/>
                <w:highlight w:val="none"/>
              </w:rPr>
              <w:t>3.4.1规定；</w:t>
            </w:r>
          </w:p>
        </w:tc>
        <w:tc>
          <w:tcPr>
            <w:tcW w:w="676" w:type="dxa"/>
            <w:vAlign w:val="center"/>
          </w:tcPr>
          <w:p w14:paraId="3886BD9D">
            <w:pPr>
              <w:tabs>
                <w:tab w:val="left" w:pos="720"/>
              </w:tabs>
              <w:snapToGrid w:val="0"/>
              <w:spacing w:line="276" w:lineRule="auto"/>
              <w:jc w:val="center"/>
              <w:rPr>
                <w:rFonts w:ascii="宋体" w:hAnsi="宋体"/>
                <w:color w:val="auto"/>
                <w:szCs w:val="21"/>
                <w:highlight w:val="none"/>
              </w:rPr>
            </w:pPr>
          </w:p>
        </w:tc>
        <w:tc>
          <w:tcPr>
            <w:tcW w:w="677" w:type="dxa"/>
            <w:vAlign w:val="center"/>
          </w:tcPr>
          <w:p w14:paraId="19AF37B7">
            <w:pPr>
              <w:tabs>
                <w:tab w:val="left" w:pos="720"/>
              </w:tabs>
              <w:snapToGrid w:val="0"/>
              <w:spacing w:line="276" w:lineRule="auto"/>
              <w:jc w:val="center"/>
              <w:rPr>
                <w:rFonts w:ascii="宋体" w:hAnsi="宋体"/>
                <w:color w:val="auto"/>
                <w:szCs w:val="21"/>
                <w:highlight w:val="none"/>
              </w:rPr>
            </w:pPr>
          </w:p>
        </w:tc>
        <w:tc>
          <w:tcPr>
            <w:tcW w:w="677" w:type="dxa"/>
            <w:vAlign w:val="center"/>
          </w:tcPr>
          <w:p w14:paraId="7C95D569">
            <w:pPr>
              <w:tabs>
                <w:tab w:val="left" w:pos="720"/>
              </w:tabs>
              <w:snapToGrid w:val="0"/>
              <w:spacing w:line="276" w:lineRule="auto"/>
              <w:jc w:val="center"/>
              <w:rPr>
                <w:rFonts w:ascii="宋体" w:hAnsi="宋体"/>
                <w:color w:val="auto"/>
                <w:szCs w:val="21"/>
                <w:highlight w:val="none"/>
              </w:rPr>
            </w:pPr>
          </w:p>
        </w:tc>
        <w:tc>
          <w:tcPr>
            <w:tcW w:w="677" w:type="dxa"/>
            <w:vAlign w:val="center"/>
          </w:tcPr>
          <w:p w14:paraId="15611A39">
            <w:pPr>
              <w:tabs>
                <w:tab w:val="left" w:pos="720"/>
              </w:tabs>
              <w:snapToGrid w:val="0"/>
              <w:spacing w:line="276" w:lineRule="auto"/>
              <w:jc w:val="center"/>
              <w:rPr>
                <w:rFonts w:ascii="宋体" w:hAnsi="宋体"/>
                <w:color w:val="auto"/>
                <w:szCs w:val="21"/>
                <w:highlight w:val="none"/>
              </w:rPr>
            </w:pPr>
          </w:p>
        </w:tc>
        <w:tc>
          <w:tcPr>
            <w:tcW w:w="677" w:type="dxa"/>
            <w:vAlign w:val="center"/>
          </w:tcPr>
          <w:p w14:paraId="6C59D573">
            <w:pPr>
              <w:tabs>
                <w:tab w:val="left" w:pos="720"/>
              </w:tabs>
              <w:snapToGrid w:val="0"/>
              <w:spacing w:line="276" w:lineRule="auto"/>
              <w:jc w:val="center"/>
              <w:rPr>
                <w:rFonts w:ascii="宋体" w:hAnsi="宋体"/>
                <w:color w:val="auto"/>
                <w:szCs w:val="21"/>
                <w:highlight w:val="none"/>
              </w:rPr>
            </w:pPr>
          </w:p>
        </w:tc>
      </w:tr>
      <w:tr w14:paraId="5A91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5" w:type="dxa"/>
            <w:vAlign w:val="center"/>
          </w:tcPr>
          <w:p w14:paraId="7EEDCB18">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7</w:t>
            </w:r>
          </w:p>
        </w:tc>
        <w:tc>
          <w:tcPr>
            <w:tcW w:w="5173" w:type="dxa"/>
            <w:vAlign w:val="center"/>
          </w:tcPr>
          <w:p w14:paraId="56C40037">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串通投标情形：不存在串通投标情形（串通投标情形以《中华人民共和国招标投标法实施条例》的规定为准）；</w:t>
            </w:r>
          </w:p>
        </w:tc>
        <w:tc>
          <w:tcPr>
            <w:tcW w:w="676" w:type="dxa"/>
            <w:vAlign w:val="center"/>
          </w:tcPr>
          <w:p w14:paraId="470FC1FA">
            <w:pPr>
              <w:tabs>
                <w:tab w:val="left" w:pos="720"/>
              </w:tabs>
              <w:snapToGrid w:val="0"/>
              <w:spacing w:line="276" w:lineRule="auto"/>
              <w:jc w:val="center"/>
              <w:rPr>
                <w:rFonts w:ascii="宋体" w:hAnsi="宋体"/>
                <w:color w:val="auto"/>
                <w:szCs w:val="21"/>
                <w:highlight w:val="none"/>
              </w:rPr>
            </w:pPr>
          </w:p>
        </w:tc>
        <w:tc>
          <w:tcPr>
            <w:tcW w:w="677" w:type="dxa"/>
            <w:vAlign w:val="center"/>
          </w:tcPr>
          <w:p w14:paraId="5751A7BB">
            <w:pPr>
              <w:tabs>
                <w:tab w:val="left" w:pos="720"/>
              </w:tabs>
              <w:snapToGrid w:val="0"/>
              <w:spacing w:line="276" w:lineRule="auto"/>
              <w:jc w:val="center"/>
              <w:rPr>
                <w:rFonts w:ascii="宋体" w:hAnsi="宋体"/>
                <w:color w:val="auto"/>
                <w:szCs w:val="21"/>
                <w:highlight w:val="none"/>
              </w:rPr>
            </w:pPr>
          </w:p>
        </w:tc>
        <w:tc>
          <w:tcPr>
            <w:tcW w:w="677" w:type="dxa"/>
            <w:vAlign w:val="center"/>
          </w:tcPr>
          <w:p w14:paraId="0CA42A90">
            <w:pPr>
              <w:tabs>
                <w:tab w:val="left" w:pos="720"/>
              </w:tabs>
              <w:snapToGrid w:val="0"/>
              <w:spacing w:line="276" w:lineRule="auto"/>
              <w:jc w:val="center"/>
              <w:rPr>
                <w:rFonts w:ascii="宋体" w:hAnsi="宋体"/>
                <w:color w:val="auto"/>
                <w:szCs w:val="21"/>
                <w:highlight w:val="none"/>
              </w:rPr>
            </w:pPr>
          </w:p>
        </w:tc>
        <w:tc>
          <w:tcPr>
            <w:tcW w:w="677" w:type="dxa"/>
            <w:vAlign w:val="center"/>
          </w:tcPr>
          <w:p w14:paraId="1AE5BF50">
            <w:pPr>
              <w:tabs>
                <w:tab w:val="left" w:pos="720"/>
              </w:tabs>
              <w:snapToGrid w:val="0"/>
              <w:spacing w:line="276" w:lineRule="auto"/>
              <w:jc w:val="center"/>
              <w:rPr>
                <w:rFonts w:ascii="宋体" w:hAnsi="宋体"/>
                <w:color w:val="auto"/>
                <w:szCs w:val="21"/>
                <w:highlight w:val="none"/>
              </w:rPr>
            </w:pPr>
          </w:p>
        </w:tc>
        <w:tc>
          <w:tcPr>
            <w:tcW w:w="677" w:type="dxa"/>
            <w:vAlign w:val="center"/>
          </w:tcPr>
          <w:p w14:paraId="007541BD">
            <w:pPr>
              <w:tabs>
                <w:tab w:val="left" w:pos="720"/>
              </w:tabs>
              <w:snapToGrid w:val="0"/>
              <w:spacing w:line="276" w:lineRule="auto"/>
              <w:jc w:val="center"/>
              <w:rPr>
                <w:rFonts w:ascii="宋体" w:hAnsi="宋体"/>
                <w:color w:val="auto"/>
                <w:szCs w:val="21"/>
                <w:highlight w:val="none"/>
              </w:rPr>
            </w:pPr>
          </w:p>
        </w:tc>
      </w:tr>
      <w:tr w14:paraId="1218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05" w:type="dxa"/>
            <w:vAlign w:val="center"/>
          </w:tcPr>
          <w:p w14:paraId="0BC161AB">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5173" w:type="dxa"/>
            <w:vAlign w:val="center"/>
          </w:tcPr>
          <w:p w14:paraId="7E7406C6">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676" w:type="dxa"/>
            <w:vAlign w:val="center"/>
          </w:tcPr>
          <w:p w14:paraId="26C7731C">
            <w:pPr>
              <w:tabs>
                <w:tab w:val="left" w:pos="720"/>
              </w:tabs>
              <w:snapToGrid w:val="0"/>
              <w:spacing w:line="276" w:lineRule="auto"/>
              <w:jc w:val="center"/>
              <w:rPr>
                <w:rFonts w:ascii="宋体" w:hAnsi="宋体"/>
                <w:color w:val="auto"/>
                <w:szCs w:val="21"/>
                <w:highlight w:val="none"/>
              </w:rPr>
            </w:pPr>
          </w:p>
        </w:tc>
        <w:tc>
          <w:tcPr>
            <w:tcW w:w="677" w:type="dxa"/>
            <w:vAlign w:val="center"/>
          </w:tcPr>
          <w:p w14:paraId="66E43A6C">
            <w:pPr>
              <w:tabs>
                <w:tab w:val="left" w:pos="720"/>
              </w:tabs>
              <w:snapToGrid w:val="0"/>
              <w:spacing w:line="276" w:lineRule="auto"/>
              <w:jc w:val="center"/>
              <w:rPr>
                <w:rFonts w:ascii="宋体" w:hAnsi="宋体"/>
                <w:color w:val="auto"/>
                <w:szCs w:val="21"/>
                <w:highlight w:val="none"/>
              </w:rPr>
            </w:pPr>
          </w:p>
        </w:tc>
        <w:tc>
          <w:tcPr>
            <w:tcW w:w="677" w:type="dxa"/>
            <w:vAlign w:val="center"/>
          </w:tcPr>
          <w:p w14:paraId="6B650546">
            <w:pPr>
              <w:tabs>
                <w:tab w:val="left" w:pos="720"/>
              </w:tabs>
              <w:snapToGrid w:val="0"/>
              <w:spacing w:line="276" w:lineRule="auto"/>
              <w:jc w:val="center"/>
              <w:rPr>
                <w:rFonts w:ascii="宋体" w:hAnsi="宋体"/>
                <w:color w:val="auto"/>
                <w:szCs w:val="21"/>
                <w:highlight w:val="none"/>
              </w:rPr>
            </w:pPr>
          </w:p>
        </w:tc>
        <w:tc>
          <w:tcPr>
            <w:tcW w:w="677" w:type="dxa"/>
            <w:vAlign w:val="center"/>
          </w:tcPr>
          <w:p w14:paraId="4E2701EF">
            <w:pPr>
              <w:tabs>
                <w:tab w:val="left" w:pos="720"/>
              </w:tabs>
              <w:snapToGrid w:val="0"/>
              <w:spacing w:line="276" w:lineRule="auto"/>
              <w:jc w:val="center"/>
              <w:rPr>
                <w:rFonts w:ascii="宋体" w:hAnsi="宋体"/>
                <w:color w:val="auto"/>
                <w:szCs w:val="21"/>
                <w:highlight w:val="none"/>
              </w:rPr>
            </w:pPr>
          </w:p>
        </w:tc>
        <w:tc>
          <w:tcPr>
            <w:tcW w:w="677" w:type="dxa"/>
            <w:vAlign w:val="center"/>
          </w:tcPr>
          <w:p w14:paraId="352993DF">
            <w:pPr>
              <w:tabs>
                <w:tab w:val="left" w:pos="720"/>
              </w:tabs>
              <w:snapToGrid w:val="0"/>
              <w:spacing w:line="276" w:lineRule="auto"/>
              <w:jc w:val="center"/>
              <w:rPr>
                <w:rFonts w:ascii="宋体" w:hAnsi="宋体"/>
                <w:color w:val="auto"/>
                <w:szCs w:val="21"/>
                <w:highlight w:val="none"/>
              </w:rPr>
            </w:pPr>
          </w:p>
        </w:tc>
      </w:tr>
    </w:tbl>
    <w:p w14:paraId="51C57081">
      <w:pPr>
        <w:pStyle w:val="6"/>
        <w:rPr>
          <w:rFonts w:hint="eastAsia" w:cs="宋体"/>
          <w:b w:val="0"/>
          <w:color w:val="auto"/>
          <w:sz w:val="20"/>
          <w:szCs w:val="20"/>
          <w:highlight w:val="none"/>
        </w:rPr>
      </w:pPr>
      <w:r>
        <w:rPr>
          <w:rFonts w:hint="eastAsia" w:cs="宋体"/>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76AED38E">
      <w:pPr>
        <w:jc w:val="left"/>
        <w:rPr>
          <w:rFonts w:hint="eastAsia" w:ascii="宋体" w:hAnsi="宋体" w:cs="宋体"/>
          <w:color w:val="auto"/>
          <w:szCs w:val="21"/>
          <w:highlight w:val="none"/>
        </w:rPr>
      </w:pPr>
      <w:r>
        <w:rPr>
          <w:rFonts w:hint="eastAsia" w:ascii="宋体" w:hAnsi="宋体" w:cs="宋体"/>
          <w:color w:val="auto"/>
          <w:szCs w:val="21"/>
          <w:highlight w:val="none"/>
        </w:rPr>
        <w:t>评委签名：                                            日期：</w:t>
      </w:r>
    </w:p>
    <w:p w14:paraId="215835DF">
      <w:pPr>
        <w:rPr>
          <w:rFonts w:hint="eastAsia" w:ascii="宋体" w:hAnsi="宋体" w:cs="宋体"/>
          <w:color w:val="auto"/>
          <w:szCs w:val="21"/>
          <w:highlight w:val="none"/>
        </w:rPr>
      </w:pPr>
      <w:bookmarkStart w:id="109" w:name="_Toc19098"/>
      <w:bookmarkStart w:id="110" w:name="_Toc118553985"/>
      <w:bookmarkStart w:id="111" w:name="_Toc2105"/>
      <w:r>
        <w:rPr>
          <w:rFonts w:hint="eastAsia" w:ascii="宋体" w:hAnsi="宋体" w:cs="宋体"/>
          <w:color w:val="auto"/>
          <w:szCs w:val="21"/>
          <w:highlight w:val="none"/>
        </w:rPr>
        <w:br w:type="page"/>
      </w:r>
    </w:p>
    <w:p w14:paraId="4D6159CA">
      <w:pPr>
        <w:pStyle w:val="6"/>
        <w:ind w:firstLine="281" w:firstLineChars="100"/>
        <w:rPr>
          <w:color w:val="auto"/>
          <w:highlight w:val="none"/>
        </w:rPr>
      </w:pPr>
      <w:r>
        <w:rPr>
          <w:rFonts w:hint="eastAsia"/>
          <w:color w:val="auto"/>
          <w:highlight w:val="none"/>
        </w:rPr>
        <w:t>附表四：综合评分表</w:t>
      </w:r>
      <w:bookmarkEnd w:id="109"/>
      <w:bookmarkEnd w:id="110"/>
      <w:bookmarkEnd w:id="111"/>
    </w:p>
    <w:tbl>
      <w:tblPr>
        <w:tblStyle w:val="27"/>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35"/>
        <w:gridCol w:w="977"/>
        <w:gridCol w:w="6493"/>
      </w:tblGrid>
      <w:tr w14:paraId="3FCB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C7E1A62">
            <w:pPr>
              <w:spacing w:line="360" w:lineRule="auto"/>
              <w:jc w:val="center"/>
              <w:rPr>
                <w:rFonts w:ascii="宋体" w:hAnsi="宋体" w:cs="宋体"/>
                <w:b/>
                <w:bCs/>
                <w:color w:val="auto"/>
                <w:szCs w:val="21"/>
                <w:highlight w:val="none"/>
              </w:rPr>
            </w:pPr>
          </w:p>
        </w:tc>
        <w:tc>
          <w:tcPr>
            <w:tcW w:w="201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998770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tc>
        <w:tc>
          <w:tcPr>
            <w:tcW w:w="6493" w:type="dxa"/>
            <w:tcBorders>
              <w:top w:val="single" w:color="auto" w:sz="4" w:space="0"/>
              <w:left w:val="single" w:color="auto" w:sz="4" w:space="0"/>
              <w:bottom w:val="single" w:color="auto" w:sz="4" w:space="0"/>
              <w:right w:val="single" w:color="auto" w:sz="4" w:space="0"/>
            </w:tcBorders>
            <w:vAlign w:val="center"/>
          </w:tcPr>
          <w:p w14:paraId="067F3D9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14:paraId="6163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138"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164F928E">
            <w:pPr>
              <w:jc w:val="center"/>
              <w:rPr>
                <w:rFonts w:ascii="宋体" w:hAnsi="宋体"/>
                <w:color w:val="auto"/>
                <w:szCs w:val="21"/>
                <w:highlight w:val="none"/>
              </w:rPr>
            </w:pPr>
          </w:p>
          <w:p w14:paraId="2D0722FA">
            <w:pPr>
              <w:jc w:val="center"/>
              <w:rPr>
                <w:rFonts w:ascii="宋体" w:hAnsi="宋体"/>
                <w:color w:val="auto"/>
                <w:szCs w:val="21"/>
                <w:highlight w:val="none"/>
              </w:rPr>
            </w:pPr>
          </w:p>
          <w:p w14:paraId="2B8B6E91">
            <w:pPr>
              <w:jc w:val="center"/>
              <w:rPr>
                <w:rFonts w:ascii="宋体" w:hAnsi="宋体"/>
                <w:color w:val="auto"/>
                <w:szCs w:val="21"/>
                <w:highlight w:val="none"/>
              </w:rPr>
            </w:pPr>
          </w:p>
          <w:p w14:paraId="6205358A">
            <w:pPr>
              <w:jc w:val="center"/>
              <w:rPr>
                <w:rFonts w:ascii="宋体" w:hAnsi="宋体"/>
                <w:color w:val="auto"/>
                <w:szCs w:val="21"/>
                <w:highlight w:val="none"/>
              </w:rPr>
            </w:pPr>
          </w:p>
          <w:p w14:paraId="1E755394">
            <w:pPr>
              <w:jc w:val="center"/>
              <w:rPr>
                <w:rFonts w:ascii="宋体" w:hAnsi="宋体"/>
                <w:color w:val="auto"/>
                <w:szCs w:val="21"/>
                <w:highlight w:val="none"/>
              </w:rPr>
            </w:pPr>
          </w:p>
          <w:p w14:paraId="7D512735">
            <w:pPr>
              <w:jc w:val="center"/>
              <w:rPr>
                <w:rFonts w:ascii="宋体" w:hAnsi="宋体"/>
                <w:color w:val="auto"/>
                <w:szCs w:val="21"/>
                <w:highlight w:val="none"/>
              </w:rPr>
            </w:pPr>
          </w:p>
          <w:p w14:paraId="69CEF261">
            <w:pPr>
              <w:ind w:left="181" w:right="-20"/>
              <w:jc w:val="center"/>
              <w:rPr>
                <w:rFonts w:ascii="宋体" w:hAnsi="宋体" w:cs="宋体"/>
                <w:color w:val="auto"/>
                <w:szCs w:val="21"/>
                <w:highlight w:val="none"/>
              </w:rPr>
            </w:pPr>
          </w:p>
          <w:p w14:paraId="54DB8195">
            <w:pPr>
              <w:jc w:val="center"/>
              <w:rPr>
                <w:rFonts w:ascii="宋体" w:hAnsi="宋体"/>
                <w:color w:val="auto"/>
                <w:szCs w:val="21"/>
                <w:highlight w:val="none"/>
              </w:rPr>
            </w:pPr>
          </w:p>
          <w:p w14:paraId="11BC8682">
            <w:pPr>
              <w:jc w:val="center"/>
              <w:rPr>
                <w:rFonts w:ascii="宋体" w:hAnsi="宋体"/>
                <w:color w:val="auto"/>
                <w:szCs w:val="21"/>
                <w:highlight w:val="none"/>
              </w:rPr>
            </w:pPr>
          </w:p>
          <w:p w14:paraId="79CF17B0">
            <w:pPr>
              <w:jc w:val="center"/>
              <w:rPr>
                <w:rFonts w:ascii="宋体" w:hAnsi="宋体"/>
                <w:color w:val="auto"/>
                <w:szCs w:val="21"/>
                <w:highlight w:val="none"/>
              </w:rPr>
            </w:pPr>
          </w:p>
          <w:p w14:paraId="4CAB6878">
            <w:pPr>
              <w:jc w:val="center"/>
              <w:rPr>
                <w:rFonts w:ascii="宋体" w:hAnsi="宋体"/>
                <w:color w:val="auto"/>
                <w:szCs w:val="21"/>
                <w:highlight w:val="none"/>
              </w:rPr>
            </w:pPr>
          </w:p>
          <w:p w14:paraId="58993D0D">
            <w:pPr>
              <w:jc w:val="center"/>
              <w:rPr>
                <w:rFonts w:ascii="宋体" w:hAnsi="宋体"/>
                <w:color w:val="auto"/>
                <w:szCs w:val="21"/>
                <w:highlight w:val="none"/>
              </w:rPr>
            </w:pPr>
          </w:p>
          <w:p w14:paraId="0ED783E6">
            <w:pPr>
              <w:jc w:val="center"/>
              <w:rPr>
                <w:rFonts w:ascii="宋体" w:hAnsi="宋体"/>
                <w:color w:val="auto"/>
                <w:szCs w:val="21"/>
                <w:highlight w:val="none"/>
              </w:rPr>
            </w:pPr>
          </w:p>
          <w:p w14:paraId="497B7367">
            <w:pPr>
              <w:ind w:left="136" w:right="59"/>
              <w:jc w:val="center"/>
              <w:rPr>
                <w:rFonts w:ascii="宋体" w:hAnsi="宋体" w:cs="宋体"/>
                <w:color w:val="auto"/>
                <w:szCs w:val="21"/>
                <w:highlight w:val="none"/>
              </w:rPr>
            </w:pPr>
            <w:r>
              <w:rPr>
                <w:rFonts w:hint="eastAsia" w:ascii="宋体" w:hAnsi="宋体"/>
                <w:b/>
                <w:color w:val="auto"/>
                <w:szCs w:val="21"/>
                <w:highlight w:val="none"/>
              </w:rPr>
              <w:t>企业综合实力部分</w:t>
            </w:r>
            <w:r>
              <w:rPr>
                <w:rFonts w:hint="eastAsia" w:ascii="宋体" w:hAnsi="宋体" w:eastAsia="Calibri"/>
                <w:b/>
                <w:color w:val="auto"/>
                <w:szCs w:val="21"/>
                <w:highlight w:val="none"/>
              </w:rPr>
              <w:t>评分标准</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55</w:t>
            </w:r>
            <w:r>
              <w:rPr>
                <w:rFonts w:hint="eastAsia" w:ascii="宋体" w:hAnsi="宋体"/>
                <w:b/>
                <w:bCs/>
                <w:color w:val="auto"/>
                <w:szCs w:val="21"/>
                <w:highlight w:val="none"/>
              </w:rPr>
              <w:t>分）</w:t>
            </w:r>
          </w:p>
        </w:tc>
        <w:tc>
          <w:tcPr>
            <w:tcW w:w="2012" w:type="dxa"/>
            <w:gridSpan w:val="2"/>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37E6708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企业资信</w:t>
            </w:r>
          </w:p>
          <w:p w14:paraId="4D9DFDD3">
            <w:pPr>
              <w:jc w:val="center"/>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7F919A9A">
            <w:pPr>
              <w:tabs>
                <w:tab w:val="left" w:pos="0"/>
              </w:tabs>
              <w:spacing w:line="276" w:lineRule="auto"/>
              <w:jc w:val="left"/>
              <w:rPr>
                <w:rFonts w:hint="eastAsia" w:ascii="宋体" w:hAnsi="宋体" w:cs="微软雅黑"/>
                <w:color w:val="auto"/>
                <w:highlight w:val="none"/>
              </w:rPr>
            </w:pPr>
            <w:r>
              <w:rPr>
                <w:rFonts w:hint="eastAsia" w:ascii="宋体" w:hAnsi="宋体" w:cs="微软雅黑"/>
                <w:color w:val="auto"/>
                <w:highlight w:val="none"/>
              </w:rPr>
              <w:t>自20</w:t>
            </w:r>
            <w:r>
              <w:rPr>
                <w:rFonts w:hint="eastAsia" w:ascii="宋体" w:hAnsi="宋体" w:cs="微软雅黑"/>
                <w:color w:val="auto"/>
                <w:highlight w:val="none"/>
                <w:lang w:val="en-US" w:eastAsia="zh-CN"/>
              </w:rPr>
              <w:t>20</w:t>
            </w:r>
            <w:r>
              <w:rPr>
                <w:rFonts w:hint="eastAsia" w:ascii="宋体" w:hAnsi="宋体" w:cs="微软雅黑"/>
                <w:color w:val="auto"/>
                <w:highlight w:val="none"/>
              </w:rPr>
              <w:t>年1月1日至投标截止时间止，投标人(如为联合体，指联合体各方提供均可)承接过的合同金额</w:t>
            </w:r>
            <w:r>
              <w:rPr>
                <w:rFonts w:hint="eastAsia" w:ascii="宋体" w:hAnsi="宋体" w:cs="微软雅黑"/>
                <w:color w:val="auto"/>
                <w:highlight w:val="none"/>
                <w:lang w:val="en-US" w:eastAsia="zh-CN"/>
              </w:rPr>
              <w:t>700</w:t>
            </w:r>
            <w:r>
              <w:rPr>
                <w:rFonts w:hint="eastAsia" w:ascii="宋体" w:hAnsi="宋体" w:cs="微软雅黑"/>
                <w:color w:val="auto"/>
                <w:highlight w:val="none"/>
              </w:rPr>
              <w:t>万元或以上类似检测项目业绩，每项得</w:t>
            </w:r>
            <w:r>
              <w:rPr>
                <w:rFonts w:hint="eastAsia" w:ascii="宋体" w:hAnsi="宋体" w:cs="微软雅黑"/>
                <w:color w:val="auto"/>
                <w:highlight w:val="none"/>
                <w:lang w:val="en-US" w:eastAsia="zh-CN"/>
              </w:rPr>
              <w:t>1</w:t>
            </w:r>
            <w:r>
              <w:rPr>
                <w:rFonts w:hint="eastAsia" w:ascii="宋体" w:hAnsi="宋体" w:cs="微软雅黑"/>
                <w:color w:val="auto"/>
                <w:highlight w:val="none"/>
              </w:rPr>
              <w:t>分，本项最高得</w:t>
            </w:r>
            <w:r>
              <w:rPr>
                <w:rFonts w:hint="eastAsia" w:ascii="宋体" w:hAnsi="宋体" w:cs="微软雅黑"/>
                <w:color w:val="auto"/>
                <w:highlight w:val="none"/>
                <w:lang w:val="en-US" w:eastAsia="zh-CN"/>
              </w:rPr>
              <w:t>5</w:t>
            </w:r>
            <w:r>
              <w:rPr>
                <w:rFonts w:hint="eastAsia" w:ascii="宋体" w:hAnsi="宋体" w:cs="微软雅黑"/>
                <w:color w:val="auto"/>
                <w:highlight w:val="none"/>
              </w:rPr>
              <w:t>分。</w:t>
            </w:r>
          </w:p>
          <w:p w14:paraId="0AAEEFF0">
            <w:pPr>
              <w:spacing w:line="360" w:lineRule="exact"/>
              <w:rPr>
                <w:rFonts w:ascii="宋体" w:hAnsi="宋体"/>
                <w:b/>
                <w:color w:val="auto"/>
                <w:highlight w:val="none"/>
              </w:rPr>
            </w:pPr>
            <w:r>
              <w:rPr>
                <w:rFonts w:hint="eastAsia" w:ascii="宋体" w:hAnsi="宋体" w:cs="宋体"/>
                <w:iCs/>
                <w:color w:val="auto"/>
                <w:szCs w:val="21"/>
                <w:highlight w:val="none"/>
              </w:rPr>
              <w:t>注：类似检测业绩是指包含本次招标内容中的一项或多项的建设工程质量检测业绩。需提供中标通知书（或免招标证明）、服务合同关键页、检测报告</w:t>
            </w:r>
            <w:r>
              <w:rPr>
                <w:rFonts w:hint="eastAsia" w:ascii="宋体" w:hAnsi="宋体" w:cs="宋体"/>
                <w:iCs/>
                <w:color w:val="auto"/>
                <w:szCs w:val="21"/>
                <w:highlight w:val="none"/>
                <w:lang w:val="en-US" w:eastAsia="zh-CN"/>
              </w:rPr>
              <w:t>关键页</w:t>
            </w:r>
            <w:r>
              <w:rPr>
                <w:rFonts w:hint="eastAsia" w:ascii="宋体" w:hAnsi="宋体" w:cs="宋体"/>
                <w:iCs/>
                <w:color w:val="auto"/>
                <w:szCs w:val="21"/>
                <w:highlight w:val="none"/>
              </w:rPr>
              <w:t>(最少提供一份检测报告）等清晰的证明材料扫描件，并加盖投标人电子印章。业绩时间以合同签订时间为准、金额以中标通知书为准（免招标的项目以合同金额为准）。</w:t>
            </w:r>
          </w:p>
        </w:tc>
      </w:tr>
      <w:tr w14:paraId="2C54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39AF61CA">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5D632023">
            <w:pPr>
              <w:jc w:val="center"/>
              <w:rPr>
                <w:color w:val="auto"/>
                <w:highlight w:val="none"/>
              </w:rPr>
            </w:pPr>
          </w:p>
        </w:tc>
        <w:tc>
          <w:tcPr>
            <w:tcW w:w="6493" w:type="dxa"/>
            <w:tcBorders>
              <w:top w:val="single" w:color="auto" w:sz="4" w:space="0"/>
              <w:left w:val="single" w:color="auto" w:sz="4" w:space="0"/>
              <w:bottom w:val="single" w:color="auto" w:sz="4" w:space="0"/>
              <w:right w:val="single" w:color="auto" w:sz="4" w:space="0"/>
            </w:tcBorders>
          </w:tcPr>
          <w:p w14:paraId="7AF36B97">
            <w:pPr>
              <w:pStyle w:val="2"/>
              <w:adjustRightInd w:val="0"/>
              <w:snapToGrid w:val="0"/>
              <w:spacing w:line="276"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投标人(如为联合体，指联合体主办方)具有有效期内的中国合格评定国家认可委员会检验机构证书和实验室认可证书（CNAS），每个证书得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896E63F">
            <w:pPr>
              <w:spacing w:line="240" w:lineRule="auto"/>
              <w:jc w:val="left"/>
              <w:rPr>
                <w:rFonts w:hint="eastAsia" w:ascii="宋体" w:hAnsi="宋体" w:eastAsia="宋体" w:cs="宋体"/>
                <w:b w:val="0"/>
                <w:color w:val="auto"/>
                <w:sz w:val="21"/>
                <w:szCs w:val="21"/>
                <w:highlight w:val="none"/>
                <w:lang w:eastAsia="zh-CN"/>
              </w:rPr>
            </w:pPr>
            <w:r>
              <w:rPr>
                <w:rFonts w:hint="eastAsia" w:ascii="宋体" w:hAnsi="宋体" w:eastAsia="宋体" w:cs="宋体"/>
                <w:b/>
                <w:bCs w:val="0"/>
                <w:color w:val="auto"/>
                <w:sz w:val="21"/>
                <w:szCs w:val="21"/>
                <w:highlight w:val="none"/>
              </w:rPr>
              <w:t>注：须提供相关证书的清晰扫描件</w:t>
            </w:r>
            <w:r>
              <w:rPr>
                <w:rFonts w:hint="eastAsia" w:ascii="宋体" w:hAnsi="宋体" w:eastAsia="宋体" w:cs="宋体"/>
                <w:b/>
                <w:bCs w:val="0"/>
                <w:color w:val="auto"/>
                <w:sz w:val="21"/>
                <w:szCs w:val="21"/>
                <w:highlight w:val="none"/>
                <w:lang w:eastAsia="zh-CN"/>
              </w:rPr>
              <w:t>。</w:t>
            </w:r>
          </w:p>
        </w:tc>
      </w:tr>
      <w:tr w14:paraId="2362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50F35377">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04B19B55">
            <w:pPr>
              <w:jc w:val="center"/>
              <w:rPr>
                <w:color w:val="auto"/>
                <w:highlight w:val="none"/>
              </w:rPr>
            </w:pPr>
          </w:p>
        </w:tc>
        <w:tc>
          <w:tcPr>
            <w:tcW w:w="6493" w:type="dxa"/>
            <w:tcBorders>
              <w:top w:val="single" w:color="auto" w:sz="4" w:space="0"/>
              <w:left w:val="single" w:color="auto" w:sz="4" w:space="0"/>
              <w:bottom w:val="single" w:color="auto" w:sz="4" w:space="0"/>
              <w:right w:val="single" w:color="auto" w:sz="4" w:space="0"/>
            </w:tcBorders>
            <w:vAlign w:val="top"/>
          </w:tcPr>
          <w:p w14:paraId="0AF01989">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lang w:eastAsia="zh-CN"/>
              </w:rPr>
            </w:pPr>
            <w:r>
              <w:rPr>
                <w:rFonts w:hint="eastAsia" w:ascii="宋体" w:hAnsi="宋体" w:eastAsia="宋体" w:cs="微软雅黑"/>
                <w:b w:val="0"/>
                <w:bCs w:val="0"/>
                <w:color w:val="auto"/>
                <w:sz w:val="21"/>
                <w:szCs w:val="24"/>
                <w:highlight w:val="none"/>
              </w:rPr>
              <w:t>投标人（若为联合体投标，指联合体主办方）获得检测</w:t>
            </w:r>
            <w:r>
              <w:rPr>
                <w:rFonts w:hint="eastAsia" w:ascii="宋体" w:hAnsi="宋体" w:cs="微软雅黑"/>
                <w:b w:val="0"/>
                <w:bCs w:val="0"/>
                <w:color w:val="auto"/>
                <w:sz w:val="21"/>
                <w:szCs w:val="24"/>
                <w:highlight w:val="none"/>
                <w:lang w:val="en-US" w:eastAsia="zh-CN"/>
              </w:rPr>
              <w:t>的</w:t>
            </w:r>
            <w:r>
              <w:rPr>
                <w:rFonts w:hint="eastAsia" w:ascii="宋体" w:hAnsi="宋体" w:eastAsia="宋体" w:cs="微软雅黑"/>
                <w:b w:val="0"/>
                <w:bCs w:val="0"/>
                <w:color w:val="auto"/>
                <w:sz w:val="21"/>
                <w:szCs w:val="24"/>
                <w:highlight w:val="none"/>
              </w:rPr>
              <w:t>企业信用等级评价</w:t>
            </w:r>
            <w:r>
              <w:rPr>
                <w:rFonts w:hint="eastAsia" w:ascii="宋体" w:hAnsi="宋体" w:eastAsia="宋体" w:cs="微软雅黑"/>
                <w:b w:val="0"/>
                <w:bCs w:val="0"/>
                <w:color w:val="auto"/>
                <w:sz w:val="21"/>
                <w:szCs w:val="24"/>
                <w:highlight w:val="none"/>
                <w:lang w:eastAsia="zh-CN"/>
              </w:rPr>
              <w:t>证书：</w:t>
            </w:r>
          </w:p>
          <w:p w14:paraId="00D44DA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rPr>
            </w:pPr>
            <w:r>
              <w:rPr>
                <w:rFonts w:hint="eastAsia" w:ascii="宋体" w:hAnsi="宋体" w:eastAsia="宋体" w:cs="微软雅黑"/>
                <w:b w:val="0"/>
                <w:bCs w:val="0"/>
                <w:color w:val="auto"/>
                <w:sz w:val="21"/>
                <w:szCs w:val="24"/>
                <w:highlight w:val="none"/>
                <w:lang w:eastAsia="zh-CN"/>
              </w:rPr>
              <w:t>（</w:t>
            </w:r>
            <w:r>
              <w:rPr>
                <w:rFonts w:hint="eastAsia" w:ascii="宋体" w:hAnsi="宋体" w:eastAsia="宋体" w:cs="微软雅黑"/>
                <w:b w:val="0"/>
                <w:bCs w:val="0"/>
                <w:color w:val="auto"/>
                <w:sz w:val="21"/>
                <w:szCs w:val="24"/>
                <w:highlight w:val="none"/>
                <w:lang w:val="en-US" w:eastAsia="zh-CN"/>
              </w:rPr>
              <w:t>1）获得过国家级企业信用等级证书的</w:t>
            </w:r>
            <w:r>
              <w:rPr>
                <w:rFonts w:hint="eastAsia" w:ascii="宋体" w:hAnsi="宋体" w:cs="微软雅黑"/>
                <w:b w:val="0"/>
                <w:bCs w:val="0"/>
                <w:color w:val="auto"/>
                <w:sz w:val="21"/>
                <w:szCs w:val="24"/>
                <w:highlight w:val="none"/>
                <w:lang w:val="en-US" w:eastAsia="zh-CN"/>
              </w:rPr>
              <w:t>或省</w:t>
            </w:r>
            <w:r>
              <w:rPr>
                <w:rFonts w:hint="eastAsia" w:ascii="宋体" w:hAnsi="宋体" w:eastAsia="宋体" w:cs="微软雅黑"/>
                <w:b w:val="0"/>
                <w:bCs w:val="0"/>
                <w:color w:val="auto"/>
                <w:sz w:val="21"/>
                <w:szCs w:val="24"/>
                <w:highlight w:val="none"/>
                <w:lang w:val="en-US" w:eastAsia="zh-CN"/>
              </w:rPr>
              <w:t>级企业信用等级AAA</w:t>
            </w:r>
            <w:r>
              <w:rPr>
                <w:rFonts w:hint="eastAsia" w:ascii="宋体" w:hAnsi="宋体" w:cs="微软雅黑"/>
                <w:b w:val="0"/>
                <w:bCs w:val="0"/>
                <w:color w:val="auto"/>
                <w:sz w:val="21"/>
                <w:szCs w:val="24"/>
                <w:highlight w:val="none"/>
                <w:lang w:val="en-US" w:eastAsia="zh-CN"/>
              </w:rPr>
              <w:t>（或以上）</w:t>
            </w:r>
            <w:r>
              <w:rPr>
                <w:rFonts w:hint="eastAsia" w:ascii="宋体" w:hAnsi="宋体" w:eastAsia="宋体" w:cs="微软雅黑"/>
                <w:b w:val="0"/>
                <w:bCs w:val="0"/>
                <w:color w:val="auto"/>
                <w:sz w:val="21"/>
                <w:szCs w:val="24"/>
                <w:highlight w:val="none"/>
                <w:lang w:val="en-US" w:eastAsia="zh-CN"/>
              </w:rPr>
              <w:t>证书的</w:t>
            </w:r>
            <w:r>
              <w:rPr>
                <w:rFonts w:hint="eastAsia" w:ascii="宋体" w:hAnsi="宋体" w:eastAsia="宋体" w:cs="微软雅黑"/>
                <w:b w:val="0"/>
                <w:bCs w:val="0"/>
                <w:color w:val="auto"/>
                <w:sz w:val="21"/>
                <w:szCs w:val="24"/>
                <w:highlight w:val="none"/>
              </w:rPr>
              <w:t>，得</w:t>
            </w:r>
            <w:r>
              <w:rPr>
                <w:rFonts w:hint="eastAsia" w:ascii="宋体" w:hAnsi="宋体" w:cs="微软雅黑"/>
                <w:b w:val="0"/>
                <w:bCs w:val="0"/>
                <w:color w:val="auto"/>
                <w:sz w:val="21"/>
                <w:szCs w:val="24"/>
                <w:highlight w:val="none"/>
                <w:lang w:val="en-US" w:eastAsia="zh-CN"/>
              </w:rPr>
              <w:t>5</w:t>
            </w:r>
            <w:r>
              <w:rPr>
                <w:rFonts w:hint="eastAsia" w:ascii="宋体" w:hAnsi="宋体" w:eastAsia="宋体" w:cs="微软雅黑"/>
                <w:b w:val="0"/>
                <w:bCs w:val="0"/>
                <w:color w:val="auto"/>
                <w:sz w:val="21"/>
                <w:szCs w:val="24"/>
                <w:highlight w:val="none"/>
              </w:rPr>
              <w:t>分；</w:t>
            </w:r>
          </w:p>
          <w:p w14:paraId="3381C3A4">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lang w:eastAsia="zh-CN"/>
              </w:rPr>
            </w:pPr>
            <w:r>
              <w:rPr>
                <w:rFonts w:hint="eastAsia" w:ascii="宋体" w:hAnsi="宋体" w:eastAsia="宋体" w:cs="微软雅黑"/>
                <w:b w:val="0"/>
                <w:bCs w:val="0"/>
                <w:color w:val="auto"/>
                <w:sz w:val="21"/>
                <w:szCs w:val="24"/>
                <w:highlight w:val="none"/>
                <w:lang w:eastAsia="zh-CN"/>
              </w:rPr>
              <w:t>（</w:t>
            </w:r>
            <w:r>
              <w:rPr>
                <w:rFonts w:hint="eastAsia" w:ascii="宋体" w:hAnsi="宋体" w:cs="微软雅黑"/>
                <w:b w:val="0"/>
                <w:bCs w:val="0"/>
                <w:color w:val="auto"/>
                <w:sz w:val="21"/>
                <w:szCs w:val="24"/>
                <w:highlight w:val="none"/>
                <w:lang w:val="en-US" w:eastAsia="zh-CN"/>
              </w:rPr>
              <w:t>2</w:t>
            </w:r>
            <w:r>
              <w:rPr>
                <w:rFonts w:hint="eastAsia" w:ascii="宋体" w:hAnsi="宋体" w:eastAsia="宋体" w:cs="微软雅黑"/>
                <w:b w:val="0"/>
                <w:bCs w:val="0"/>
                <w:color w:val="auto"/>
                <w:sz w:val="21"/>
                <w:szCs w:val="24"/>
                <w:highlight w:val="none"/>
                <w:lang w:val="en-US" w:eastAsia="zh-CN"/>
              </w:rPr>
              <w:t>）获得过</w:t>
            </w:r>
            <w:r>
              <w:rPr>
                <w:rFonts w:hint="eastAsia" w:ascii="宋体" w:hAnsi="宋体" w:cs="微软雅黑"/>
                <w:b w:val="0"/>
                <w:bCs w:val="0"/>
                <w:color w:val="auto"/>
                <w:sz w:val="21"/>
                <w:szCs w:val="24"/>
                <w:highlight w:val="none"/>
                <w:lang w:val="en-US" w:eastAsia="zh-CN"/>
              </w:rPr>
              <w:t>省</w:t>
            </w:r>
            <w:r>
              <w:rPr>
                <w:rFonts w:hint="eastAsia" w:ascii="宋体" w:hAnsi="宋体" w:eastAsia="宋体" w:cs="微软雅黑"/>
                <w:b w:val="0"/>
                <w:bCs w:val="0"/>
                <w:color w:val="auto"/>
                <w:sz w:val="21"/>
                <w:szCs w:val="24"/>
                <w:highlight w:val="none"/>
                <w:lang w:val="en-US" w:eastAsia="zh-CN"/>
              </w:rPr>
              <w:t>级企业信用等级A</w:t>
            </w:r>
            <w:r>
              <w:rPr>
                <w:rFonts w:hint="eastAsia" w:ascii="宋体" w:hAnsi="宋体" w:cs="微软雅黑"/>
                <w:b w:val="0"/>
                <w:bCs w:val="0"/>
                <w:color w:val="auto"/>
                <w:sz w:val="21"/>
                <w:szCs w:val="24"/>
                <w:highlight w:val="none"/>
                <w:lang w:val="en-US" w:eastAsia="zh-CN"/>
              </w:rPr>
              <w:t>或</w:t>
            </w:r>
            <w:r>
              <w:rPr>
                <w:rFonts w:hint="eastAsia" w:ascii="宋体" w:hAnsi="宋体" w:eastAsia="宋体" w:cs="微软雅黑"/>
                <w:b w:val="0"/>
                <w:bCs w:val="0"/>
                <w:color w:val="auto"/>
                <w:sz w:val="21"/>
                <w:szCs w:val="24"/>
                <w:highlight w:val="none"/>
                <w:lang w:val="en-US" w:eastAsia="zh-CN"/>
              </w:rPr>
              <w:t>AA证书的</w:t>
            </w:r>
            <w:r>
              <w:rPr>
                <w:rFonts w:hint="eastAsia" w:ascii="宋体" w:hAnsi="宋体" w:eastAsia="宋体" w:cs="微软雅黑"/>
                <w:b w:val="0"/>
                <w:bCs w:val="0"/>
                <w:color w:val="auto"/>
                <w:sz w:val="21"/>
                <w:szCs w:val="24"/>
                <w:highlight w:val="none"/>
              </w:rPr>
              <w:t>，</w:t>
            </w:r>
            <w:r>
              <w:rPr>
                <w:rFonts w:hint="eastAsia" w:ascii="宋体" w:hAnsi="宋体" w:eastAsia="宋体" w:cs="微软雅黑"/>
                <w:b w:val="0"/>
                <w:bCs w:val="0"/>
                <w:color w:val="auto"/>
                <w:sz w:val="21"/>
                <w:szCs w:val="24"/>
                <w:highlight w:val="none"/>
                <w:lang w:val="en-US" w:eastAsia="zh-CN"/>
              </w:rPr>
              <w:t>得</w:t>
            </w:r>
            <w:r>
              <w:rPr>
                <w:rFonts w:hint="eastAsia" w:ascii="宋体" w:hAnsi="宋体" w:cs="微软雅黑"/>
                <w:b w:val="0"/>
                <w:bCs w:val="0"/>
                <w:color w:val="auto"/>
                <w:sz w:val="21"/>
                <w:szCs w:val="24"/>
                <w:highlight w:val="none"/>
                <w:lang w:val="en-US" w:eastAsia="zh-CN"/>
              </w:rPr>
              <w:t>3</w:t>
            </w:r>
            <w:r>
              <w:rPr>
                <w:rFonts w:hint="eastAsia" w:ascii="宋体" w:hAnsi="宋体" w:eastAsia="宋体" w:cs="微软雅黑"/>
                <w:b w:val="0"/>
                <w:bCs w:val="0"/>
                <w:color w:val="auto"/>
                <w:sz w:val="21"/>
                <w:szCs w:val="24"/>
                <w:highlight w:val="none"/>
                <w:lang w:val="en-US" w:eastAsia="zh-CN"/>
              </w:rPr>
              <w:t>分</w:t>
            </w:r>
            <w:r>
              <w:rPr>
                <w:rFonts w:hint="eastAsia" w:ascii="宋体" w:hAnsi="宋体" w:eastAsia="宋体" w:cs="微软雅黑"/>
                <w:b w:val="0"/>
                <w:bCs w:val="0"/>
                <w:color w:val="auto"/>
                <w:sz w:val="21"/>
                <w:szCs w:val="24"/>
                <w:highlight w:val="none"/>
                <w:lang w:eastAsia="zh-CN"/>
              </w:rPr>
              <w:t>。</w:t>
            </w:r>
          </w:p>
          <w:p w14:paraId="4B7D97CE">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rPr>
            </w:pPr>
            <w:r>
              <w:rPr>
                <w:rFonts w:hint="eastAsia" w:ascii="宋体" w:hAnsi="宋体" w:eastAsia="宋体" w:cs="微软雅黑"/>
                <w:b w:val="0"/>
                <w:bCs w:val="0"/>
                <w:color w:val="auto"/>
                <w:sz w:val="21"/>
                <w:szCs w:val="24"/>
                <w:highlight w:val="none"/>
                <w:lang w:eastAsia="zh-CN"/>
              </w:rPr>
              <w:t>其他的</w:t>
            </w:r>
            <w:r>
              <w:rPr>
                <w:rFonts w:hint="eastAsia" w:ascii="宋体" w:hAnsi="宋体" w:eastAsia="宋体" w:cs="微软雅黑"/>
                <w:b w:val="0"/>
                <w:bCs w:val="0"/>
                <w:color w:val="auto"/>
                <w:sz w:val="21"/>
                <w:szCs w:val="24"/>
                <w:highlight w:val="none"/>
              </w:rPr>
              <w:t>不得分。</w:t>
            </w:r>
            <w:r>
              <w:rPr>
                <w:rFonts w:hint="eastAsia" w:ascii="宋体" w:hAnsi="宋体" w:eastAsia="宋体" w:cs="微软雅黑"/>
                <w:b w:val="0"/>
                <w:bCs w:val="0"/>
                <w:color w:val="auto"/>
                <w:sz w:val="21"/>
                <w:szCs w:val="24"/>
                <w:highlight w:val="none"/>
                <w:lang w:eastAsia="zh-CN"/>
              </w:rPr>
              <w:t>本项</w:t>
            </w:r>
            <w:r>
              <w:rPr>
                <w:rFonts w:hint="eastAsia" w:ascii="宋体" w:hAnsi="宋体" w:eastAsia="宋体" w:cs="微软雅黑"/>
                <w:b w:val="0"/>
                <w:bCs w:val="0"/>
                <w:color w:val="auto"/>
                <w:sz w:val="21"/>
                <w:szCs w:val="24"/>
                <w:highlight w:val="none"/>
              </w:rPr>
              <w:t>最高得</w:t>
            </w:r>
            <w:r>
              <w:rPr>
                <w:rFonts w:hint="eastAsia" w:ascii="宋体" w:hAnsi="宋体" w:cs="微软雅黑"/>
                <w:b w:val="0"/>
                <w:bCs w:val="0"/>
                <w:color w:val="auto"/>
                <w:sz w:val="21"/>
                <w:szCs w:val="24"/>
                <w:highlight w:val="none"/>
                <w:lang w:val="en-US" w:eastAsia="zh-CN"/>
              </w:rPr>
              <w:t>5</w:t>
            </w:r>
            <w:r>
              <w:rPr>
                <w:rFonts w:hint="eastAsia" w:ascii="宋体" w:hAnsi="宋体" w:eastAsia="宋体" w:cs="微软雅黑"/>
                <w:b w:val="0"/>
                <w:bCs w:val="0"/>
                <w:color w:val="auto"/>
                <w:sz w:val="21"/>
                <w:szCs w:val="24"/>
                <w:highlight w:val="none"/>
              </w:rPr>
              <w:t>分。</w:t>
            </w:r>
          </w:p>
          <w:p w14:paraId="6739BE03">
            <w:pPr>
              <w:pStyle w:val="12"/>
              <w:rPr>
                <w:rFonts w:hint="eastAsia" w:ascii="宋体" w:hAnsi="宋体" w:eastAsia="宋体" w:cs="宋体"/>
                <w:b w:val="0"/>
                <w:color w:val="auto"/>
                <w:sz w:val="21"/>
                <w:szCs w:val="21"/>
                <w:highlight w:val="none"/>
              </w:rPr>
            </w:pPr>
            <w:r>
              <w:rPr>
                <w:rFonts w:hint="eastAsia" w:ascii="宋体" w:hAnsi="宋体" w:cs="宋体"/>
                <w:b/>
                <w:color w:val="auto"/>
                <w:szCs w:val="21"/>
                <w:highlight w:val="none"/>
                <w:lang w:bidi="ar"/>
              </w:rPr>
              <w:t>注：本项按最高等级计算一次，不重复累加计算分值。企业信用等级证书须在有效期内，否则不得分。国家级企业信用证书以中国建筑业协会颁发的为准，省级企业信用证书以省级行业协会颁发（行业协会须在民政管理部门登记备案）的证书为准。证书上的单位名称需与投标人名称一致</w:t>
            </w:r>
            <w:r>
              <w:rPr>
                <w:rFonts w:hint="eastAsia" w:ascii="宋体" w:hAnsi="宋体" w:eastAsia="宋体" w:cs="宋体"/>
                <w:b/>
                <w:bCs w:val="0"/>
                <w:color w:val="auto"/>
                <w:sz w:val="21"/>
                <w:szCs w:val="21"/>
                <w:highlight w:val="none"/>
              </w:rPr>
              <w:t>（如不一致需提供相关证明资料）</w:t>
            </w:r>
            <w:r>
              <w:rPr>
                <w:rFonts w:hint="eastAsia" w:ascii="宋体" w:hAnsi="宋体" w:cs="宋体"/>
                <w:b/>
                <w:color w:val="auto"/>
                <w:szCs w:val="21"/>
                <w:highlight w:val="none"/>
                <w:lang w:bidi="ar"/>
              </w:rPr>
              <w:t>。</w:t>
            </w:r>
          </w:p>
        </w:tc>
      </w:tr>
      <w:tr w14:paraId="64E1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0CA6D1D8">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4C1A87EA">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74020052">
            <w:pPr>
              <w:tabs>
                <w:tab w:val="left" w:pos="0"/>
              </w:tabs>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投标人(如为联合体，指联合体主办方)自2020年1月1日至今获得过科学技术进步奖或科技进步奖或科学技术奖的：</w:t>
            </w:r>
          </w:p>
          <w:p w14:paraId="2101FAF3">
            <w:pPr>
              <w:tabs>
                <w:tab w:val="left" w:pos="0"/>
              </w:tabs>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）获得过省级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rPr>
              <w:t>奖励证书的，每项得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52DEC64">
            <w:pPr>
              <w:tabs>
                <w:tab w:val="left" w:pos="0"/>
              </w:tabs>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）获得过市级奖励证书的，每项得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CEE7825">
            <w:pPr>
              <w:tabs>
                <w:tab w:val="left" w:pos="0"/>
              </w:tabs>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无则不得分。本项最高得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B241A4C">
            <w:pPr>
              <w:tabs>
                <w:tab w:val="left" w:pos="0"/>
              </w:tabs>
              <w:spacing w:line="276"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获奖需提供获奖证书原件清晰彩色扫描件并加盖公章，不提供不得分。</w:t>
            </w:r>
          </w:p>
          <w:p w14:paraId="4F551E22">
            <w:pPr>
              <w:spacing w:line="36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、科学技术进步奖或科技进步奖或科学技术奖：</w:t>
            </w:r>
            <w:r>
              <w:rPr>
                <w:rFonts w:hint="eastAsia" w:ascii="宋体" w:hAnsi="宋体" w:eastAsia="宋体" w:cs="宋体"/>
                <w:b/>
                <w:bCs/>
                <w:color w:val="auto"/>
                <w:kern w:val="0"/>
                <w:sz w:val="21"/>
                <w:szCs w:val="21"/>
                <w:highlight w:val="none"/>
              </w:rPr>
              <w:t>同一项目获得多个奖项的，按最高奖项计取，不重复计算。获奖时间以获奖证书颁发日期为准，需提供获奖证书等相关证明材料原件彩色扫描件，科学技术奖励证书颁发部门须为国家或省、市人民政府，个人奖项不得分。</w:t>
            </w:r>
          </w:p>
        </w:tc>
      </w:tr>
      <w:tr w14:paraId="0254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0A3FE3FF">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1F026361">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604E8865">
            <w:pPr>
              <w:numPr>
                <w:ilvl w:val="0"/>
                <w:numId w:val="0"/>
              </w:numPr>
              <w:spacing w:line="288"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w:t>
            </w:r>
            <w:r>
              <w:rPr>
                <w:rFonts w:hint="eastAsia" w:ascii="宋体" w:hAnsi="宋体" w:eastAsia="宋体" w:cs="宋体"/>
                <w:b w:val="0"/>
                <w:bCs/>
                <w:color w:val="auto"/>
                <w:sz w:val="21"/>
                <w:szCs w:val="21"/>
                <w:highlight w:val="none"/>
              </w:rPr>
              <w:t>（</w:t>
            </w:r>
            <w:r>
              <w:rPr>
                <w:rFonts w:hint="eastAsia" w:ascii="宋体" w:hAnsi="宋体" w:eastAsia="宋体" w:cs="宋体"/>
                <w:bCs/>
                <w:color w:val="auto"/>
                <w:sz w:val="21"/>
                <w:szCs w:val="21"/>
                <w:highlight w:val="none"/>
              </w:rPr>
              <w:t>如为联合体，指联合体主办方</w:t>
            </w:r>
            <w:r>
              <w:rPr>
                <w:rFonts w:hint="eastAsia" w:ascii="宋体" w:hAnsi="宋体" w:eastAsia="宋体" w:cs="宋体"/>
                <w:b w:val="0"/>
                <w:bCs/>
                <w:color w:val="auto"/>
                <w:sz w:val="21"/>
                <w:szCs w:val="21"/>
                <w:highlight w:val="none"/>
              </w:rPr>
              <w:t>）</w:t>
            </w:r>
            <w:r>
              <w:rPr>
                <w:rFonts w:hint="eastAsia" w:ascii="宋体" w:hAnsi="宋体" w:eastAsia="宋体" w:cs="宋体"/>
                <w:bCs/>
                <w:color w:val="auto"/>
                <w:sz w:val="21"/>
                <w:szCs w:val="21"/>
                <w:highlight w:val="none"/>
              </w:rPr>
              <w:t>被认定为省级或以上“工程技术研究中心”的得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分，本项最高得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66AEC17C">
            <w:pPr>
              <w:numPr>
                <w:ilvl w:val="0"/>
                <w:numId w:val="0"/>
              </w:num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rPr>
              <w:t>注：“工程技术研究中心”以省级或以上行政主管部门认定的为准，投标人须提供在上述官网网站的有效查询路径及查询结果网页截图</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不符合条件或未提交截图的不计分。</w:t>
            </w:r>
          </w:p>
        </w:tc>
      </w:tr>
      <w:tr w14:paraId="4C03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02533DDB">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6819D546">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2BC8A895">
            <w:pPr>
              <w:numPr>
                <w:ilvl w:val="0"/>
                <w:numId w:val="0"/>
              </w:numPr>
              <w:spacing w:line="288"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如为联合体，指联合体主办方</w:t>
            </w:r>
            <w:r>
              <w:rPr>
                <w:rFonts w:hint="eastAsia" w:ascii="宋体" w:hAnsi="宋体" w:eastAsia="宋体" w:cs="宋体"/>
                <w:b w:val="0"/>
                <w:bCs/>
                <w:color w:val="auto"/>
                <w:sz w:val="21"/>
                <w:szCs w:val="21"/>
                <w:highlight w:val="none"/>
              </w:rPr>
              <w:t>）</w:t>
            </w:r>
            <w:r>
              <w:rPr>
                <w:rFonts w:hint="eastAsia" w:ascii="宋体" w:hAnsi="宋体" w:eastAsia="宋体" w:cs="宋体"/>
                <w:bCs/>
                <w:color w:val="auto"/>
                <w:sz w:val="21"/>
                <w:szCs w:val="21"/>
                <w:highlight w:val="none"/>
              </w:rPr>
              <w:t>获得过检测或监测类高新技术产品证书的，每项得0.5分，本项最多得</w:t>
            </w:r>
            <w:r>
              <w:rPr>
                <w:rFonts w:hint="eastAsia" w:ascii="宋体" w:hAnsi="宋体" w:eastAsia="宋体" w:cs="宋体"/>
                <w:bCs/>
                <w:color w:val="auto"/>
                <w:sz w:val="21"/>
                <w:szCs w:val="21"/>
                <w:highlight w:val="none"/>
                <w:lang w:eastAsia="zh-CN"/>
              </w:rPr>
              <w:t>6</w:t>
            </w:r>
            <w:r>
              <w:rPr>
                <w:rFonts w:hint="eastAsia" w:ascii="宋体" w:hAnsi="宋体" w:eastAsia="宋体" w:cs="宋体"/>
                <w:bCs/>
                <w:color w:val="auto"/>
                <w:sz w:val="21"/>
                <w:szCs w:val="21"/>
                <w:highlight w:val="none"/>
              </w:rPr>
              <w:t>分。</w:t>
            </w:r>
          </w:p>
          <w:p w14:paraId="05288C59">
            <w:pPr>
              <w:numPr>
                <w:ilvl w:val="0"/>
                <w:numId w:val="0"/>
              </w:num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rPr>
              <w:t>注：</w:t>
            </w:r>
            <w:r>
              <w:rPr>
                <w:rFonts w:hint="eastAsia" w:ascii="宋体" w:hAnsi="宋体" w:eastAsia="宋体" w:cs="宋体"/>
                <w:b/>
                <w:bCs w:val="0"/>
                <w:color w:val="auto"/>
                <w:kern w:val="2"/>
                <w:sz w:val="21"/>
                <w:szCs w:val="21"/>
                <w:highlight w:val="none"/>
                <w:lang w:val="en-US" w:eastAsia="zh-CN" w:bidi="ar-SA"/>
              </w:rPr>
              <w:t>须提供相关证书的清晰扫描件，没有提供的不得分。</w:t>
            </w:r>
          </w:p>
        </w:tc>
      </w:tr>
      <w:tr w14:paraId="36BA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20DD9D07">
            <w:pPr>
              <w:jc w:val="center"/>
              <w:rPr>
                <w:rFonts w:ascii="宋体" w:hAnsi="宋体"/>
                <w:color w:val="auto"/>
                <w:szCs w:val="21"/>
                <w:highlight w:val="none"/>
              </w:rPr>
            </w:pPr>
          </w:p>
        </w:tc>
        <w:tc>
          <w:tcPr>
            <w:tcW w:w="2012" w:type="dxa"/>
            <w:gridSpan w:val="2"/>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18ECA3F1">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68321F14">
            <w:pPr>
              <w:widowControl w:val="0"/>
              <w:numPr>
                <w:ilvl w:val="0"/>
                <w:numId w:val="0"/>
              </w:numPr>
              <w:spacing w:line="288" w:lineRule="auto"/>
              <w:ind w:leftChars="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投标人(如为联合体，指联合体主办方)</w:t>
            </w:r>
            <w:bookmarkStart w:id="112" w:name="OLE_LINK2"/>
            <w:r>
              <w:rPr>
                <w:rFonts w:hint="eastAsia" w:ascii="宋体" w:hAnsi="宋体" w:eastAsia="宋体" w:cs="宋体"/>
                <w:color w:val="auto"/>
                <w:sz w:val="21"/>
                <w:szCs w:val="21"/>
                <w:highlight w:val="none"/>
              </w:rPr>
              <w:t>自2020年1月1日至今，</w:t>
            </w:r>
            <w:bookmarkEnd w:id="112"/>
            <w:r>
              <w:rPr>
                <w:rFonts w:hint="eastAsia" w:ascii="宋体" w:hAnsi="宋体" w:eastAsia="宋体" w:cs="宋体"/>
                <w:color w:val="auto"/>
                <w:sz w:val="21"/>
                <w:szCs w:val="21"/>
                <w:highlight w:val="none"/>
              </w:rPr>
              <w:t>获得</w:t>
            </w:r>
            <w:r>
              <w:rPr>
                <w:rFonts w:hint="eastAsia" w:ascii="宋体" w:hAnsi="宋体" w:cs="宋体"/>
                <w:color w:val="auto"/>
                <w:sz w:val="21"/>
                <w:szCs w:val="21"/>
                <w:highlight w:val="none"/>
                <w:lang w:val="en-US" w:eastAsia="zh-CN"/>
              </w:rPr>
              <w:t>市</w:t>
            </w:r>
            <w:r>
              <w:rPr>
                <w:rFonts w:hint="eastAsia" w:ascii="宋体" w:hAnsi="宋体" w:eastAsia="宋体" w:cs="宋体"/>
                <w:color w:val="auto"/>
                <w:sz w:val="21"/>
                <w:szCs w:val="21"/>
                <w:highlight w:val="none"/>
              </w:rPr>
              <w:t>级或以上行业协会颁发的行业协会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先进单位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称号的，每提供一</w:t>
            </w:r>
            <w:r>
              <w:rPr>
                <w:rFonts w:hint="eastAsia" w:ascii="宋体" w:hAnsi="宋体" w:cs="宋体"/>
                <w:color w:val="auto"/>
                <w:sz w:val="21"/>
                <w:szCs w:val="21"/>
                <w:highlight w:val="none"/>
                <w:lang w:val="en-US" w:eastAsia="zh-CN"/>
              </w:rPr>
              <w:t>次</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本项最多得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 w:val="0"/>
                <w:bCs/>
                <w:color w:val="auto"/>
                <w:kern w:val="2"/>
                <w:sz w:val="21"/>
                <w:szCs w:val="21"/>
                <w:highlight w:val="none"/>
                <w:lang w:val="en-US" w:eastAsia="zh-CN" w:bidi="ar-SA"/>
              </w:rPr>
              <w:t>。</w:t>
            </w:r>
          </w:p>
          <w:p w14:paraId="6E3A3995">
            <w:pPr>
              <w:spacing w:line="360" w:lineRule="exact"/>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注：</w:t>
            </w:r>
            <w:r>
              <w:rPr>
                <w:rFonts w:hint="eastAsia" w:ascii="宋体" w:hAnsi="宋体" w:eastAsia="宋体" w:cs="宋体"/>
                <w:b/>
                <w:bCs/>
                <w:color w:val="auto"/>
                <w:sz w:val="21"/>
                <w:szCs w:val="21"/>
                <w:highlight w:val="none"/>
              </w:rPr>
              <w:t>需提供近五年截止至最近评审年度（2024年）的证书清晰扫描件及查询结果网页截图证明材料，没有提供的不得分。同一年度获得多次的只计算一次，如提供相关行业协会颁发的证书，则须同时提供该行业协会在“中国社会组织政务服务平台”登记的网页查询截图，否则不予计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lang w:val="en-US" w:eastAsia="zh-CN" w:bidi="ar-SA"/>
              </w:rPr>
              <w:t>没有提供的不得分。</w:t>
            </w:r>
          </w:p>
        </w:tc>
      </w:tr>
      <w:tr w14:paraId="213F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tcBorders>
              <w:left w:val="single" w:color="auto" w:sz="4" w:space="0"/>
              <w:right w:val="single" w:color="auto" w:sz="4" w:space="0"/>
            </w:tcBorders>
            <w:vAlign w:val="center"/>
          </w:tcPr>
          <w:p w14:paraId="0410B293">
            <w:pPr>
              <w:jc w:val="center"/>
              <w:rPr>
                <w:rFonts w:ascii="宋体" w:hAnsi="宋体" w:cs="宋体"/>
                <w:color w:val="auto"/>
                <w:szCs w:val="21"/>
                <w:highlight w:val="none"/>
              </w:rPr>
            </w:pPr>
          </w:p>
        </w:tc>
        <w:tc>
          <w:tcPr>
            <w:tcW w:w="103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5E874918">
            <w:pPr>
              <w:ind w:right="126"/>
              <w:jc w:val="center"/>
              <w:rPr>
                <w:rFonts w:ascii="宋体" w:hAnsi="宋体" w:cs="宋体"/>
                <w:color w:val="auto"/>
                <w:szCs w:val="21"/>
                <w:highlight w:val="none"/>
              </w:rPr>
            </w:pPr>
            <w:r>
              <w:rPr>
                <w:rFonts w:hint="eastAsia" w:ascii="宋体" w:hAnsi="宋体" w:cs="宋体"/>
                <w:color w:val="auto"/>
                <w:szCs w:val="21"/>
                <w:highlight w:val="none"/>
              </w:rPr>
              <w:t>拟投入本项目的管理班子</w:t>
            </w:r>
          </w:p>
          <w:p w14:paraId="69A78527">
            <w:pPr>
              <w:ind w:right="126"/>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977"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4500F97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p w14:paraId="7D7DF82C">
            <w:pPr>
              <w:ind w:right="126"/>
              <w:jc w:val="center"/>
              <w:rPr>
                <w:rFonts w:hint="eastAsia"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tcPr>
          <w:p w14:paraId="4789B5E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负责人:</w:t>
            </w:r>
          </w:p>
          <w:p w14:paraId="5F41B0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具有工程</w:t>
            </w:r>
            <w:r>
              <w:rPr>
                <w:rFonts w:hint="eastAsia" w:ascii="宋体" w:hAnsi="宋体" w:eastAsia="宋体" w:cs="宋体"/>
                <w:color w:val="auto"/>
                <w:highlight w:val="none"/>
                <w:lang w:val="en-US" w:eastAsia="zh-CN"/>
              </w:rPr>
              <w:t>类</w:t>
            </w:r>
            <w:r>
              <w:rPr>
                <w:rFonts w:hint="eastAsia" w:ascii="宋体" w:hAnsi="宋体" w:eastAsia="宋体" w:cs="宋体"/>
                <w:color w:val="auto"/>
                <w:highlight w:val="none"/>
              </w:rPr>
              <w:t>高级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或以上</w:t>
            </w:r>
            <w:r>
              <w:rPr>
                <w:rFonts w:hint="eastAsia" w:ascii="宋体" w:hAnsi="宋体" w:cs="宋体"/>
                <w:color w:val="auto"/>
                <w:highlight w:val="none"/>
                <w:lang w:eastAsia="zh-CN"/>
              </w:rPr>
              <w:t>）</w:t>
            </w:r>
            <w:r>
              <w:rPr>
                <w:rFonts w:hint="eastAsia" w:ascii="宋体" w:hAnsi="宋体" w:eastAsia="宋体" w:cs="宋体"/>
                <w:color w:val="auto"/>
                <w:highlight w:val="none"/>
              </w:rPr>
              <w:t>工程师职称的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r>
              <w:rPr>
                <w:rFonts w:hint="eastAsia" w:ascii="宋体" w:hAnsi="宋体" w:eastAsia="宋体" w:cs="宋体"/>
                <w:color w:val="auto"/>
                <w:szCs w:val="21"/>
                <w:highlight w:val="none"/>
              </w:rPr>
              <w:t>。本小项最高得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bookmarkStart w:id="113" w:name="OLE_LINK3"/>
            <w:r>
              <w:rPr>
                <w:rFonts w:hint="eastAsia" w:ascii="宋体" w:hAnsi="宋体" w:eastAsia="宋体" w:cs="宋体"/>
                <w:color w:val="auto"/>
                <w:szCs w:val="21"/>
                <w:highlight w:val="none"/>
              </w:rPr>
              <w:t>；</w:t>
            </w:r>
            <w:bookmarkEnd w:id="113"/>
          </w:p>
          <w:p w14:paraId="7374DC1C">
            <w:pPr>
              <w:rPr>
                <w:rFonts w:hint="eastAsia" w:ascii="宋体" w:hAnsi="宋体" w:eastAsia="宋体" w:cs="宋体"/>
                <w:color w:val="auto"/>
                <w:szCs w:val="21"/>
                <w:highlight w:val="none"/>
              </w:rPr>
            </w:pPr>
            <w:bookmarkStart w:id="114" w:name="OLE_LINK4"/>
            <w:r>
              <w:rPr>
                <w:rFonts w:hint="eastAsia" w:ascii="宋体" w:hAnsi="宋体" w:eastAsia="宋体" w:cs="宋体"/>
                <w:color w:val="auto"/>
                <w:szCs w:val="21"/>
                <w:highlight w:val="none"/>
              </w:rPr>
              <w:t>（2）具有注册土木工程师（岩土）</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rPr>
              <w:t>注册</w:t>
            </w:r>
            <w:r>
              <w:rPr>
                <w:rFonts w:hint="eastAsia" w:ascii="宋体" w:hAnsi="宋体" w:eastAsia="宋体" w:cs="宋体"/>
                <w:color w:val="auto"/>
                <w:szCs w:val="21"/>
                <w:highlight w:val="none"/>
                <w:lang w:val="en-US" w:eastAsia="zh-CN"/>
              </w:rPr>
              <w:t>结构工程师</w:t>
            </w:r>
            <w:r>
              <w:rPr>
                <w:rFonts w:hint="eastAsia" w:ascii="宋体" w:hAnsi="宋体" w:eastAsia="宋体" w:cs="宋体"/>
                <w:color w:val="auto"/>
                <w:szCs w:val="21"/>
                <w:highlight w:val="none"/>
              </w:rPr>
              <w:t>执业资格证书且注册单位为投标单位的得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bookmarkEnd w:id="114"/>
          <w:p w14:paraId="311915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其余不得分，本项最多得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79BAA804">
            <w:pPr>
              <w:spacing w:line="360" w:lineRule="exact"/>
              <w:ind w:right="126"/>
              <w:rPr>
                <w:rFonts w:hint="eastAsia" w:ascii="宋体" w:hAnsi="宋体" w:cs="宋体"/>
                <w:color w:val="auto"/>
                <w:szCs w:val="21"/>
                <w:highlight w:val="none"/>
                <w:lang w:val="zh-CN"/>
              </w:rPr>
            </w:pPr>
            <w:r>
              <w:rPr>
                <w:rFonts w:hint="eastAsia" w:ascii="宋体" w:hAnsi="宋体" w:eastAsia="宋体" w:cs="宋体"/>
                <w:b/>
                <w:bCs/>
                <w:color w:val="auto"/>
                <w:szCs w:val="21"/>
                <w:highlight w:val="none"/>
              </w:rPr>
              <w:t>注：项目负责人与技术负责人不可兼任。须提供身份证、职称证书、注册证扫描件，提供近1月（即扣除招标公告发布当月前一个月）在本单位参保的社保缴纳证明材料，并加盖公章，否则不得分。</w:t>
            </w:r>
            <w:r>
              <w:rPr>
                <w:rFonts w:hint="eastAsia" w:ascii="Times New Roman" w:hAnsi="Times New Roman" w:eastAsia="宋体" w:cs="Times New Roman"/>
                <w:b/>
                <w:bCs/>
                <w:color w:val="auto"/>
                <w:highlight w:val="none"/>
              </w:rPr>
              <w:t>若以联合体方式投标的，本项评分内容以牵头方提供资料为准，成员单位提供不计分。</w:t>
            </w:r>
          </w:p>
        </w:tc>
      </w:tr>
      <w:tr w14:paraId="2862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tcBorders>
              <w:left w:val="single" w:color="auto" w:sz="4" w:space="0"/>
              <w:right w:val="single" w:color="auto" w:sz="4" w:space="0"/>
            </w:tcBorders>
            <w:vAlign w:val="center"/>
          </w:tcPr>
          <w:p w14:paraId="2C1191D9">
            <w:pPr>
              <w:jc w:val="center"/>
              <w:rPr>
                <w:rFonts w:ascii="宋体" w:hAnsi="宋体" w:cs="宋体"/>
                <w:color w:val="auto"/>
                <w:szCs w:val="21"/>
                <w:highlight w:val="none"/>
              </w:rPr>
            </w:pPr>
          </w:p>
        </w:tc>
        <w:tc>
          <w:tcPr>
            <w:tcW w:w="1035" w:type="dxa"/>
            <w:vMerge w:val="continue"/>
            <w:tcBorders>
              <w:left w:val="single" w:color="auto" w:sz="4" w:space="0"/>
              <w:right w:val="single" w:color="auto" w:sz="4" w:space="0"/>
            </w:tcBorders>
            <w:tcMar>
              <w:top w:w="0" w:type="dxa"/>
              <w:left w:w="57" w:type="dxa"/>
              <w:bottom w:w="0" w:type="dxa"/>
              <w:right w:w="57" w:type="dxa"/>
            </w:tcMar>
            <w:vAlign w:val="center"/>
          </w:tcPr>
          <w:p w14:paraId="1824A64D">
            <w:pPr>
              <w:ind w:right="126"/>
              <w:jc w:val="center"/>
              <w:rPr>
                <w:rFonts w:hint="eastAsia" w:ascii="宋体" w:hAnsi="宋体" w:cs="宋体"/>
                <w:color w:val="auto"/>
                <w:szCs w:val="21"/>
                <w:highlight w:val="none"/>
              </w:rPr>
            </w:pPr>
          </w:p>
        </w:tc>
        <w:tc>
          <w:tcPr>
            <w:tcW w:w="977"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54DABED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p w14:paraId="56810633">
            <w:pPr>
              <w:ind w:right="126"/>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tcPr>
          <w:p w14:paraId="3FB42B79">
            <w:pPr>
              <w:rPr>
                <w:rFonts w:hint="eastAsia" w:ascii="宋体" w:hAnsi="宋体" w:cs="宋体"/>
                <w:color w:val="auto"/>
                <w:highlight w:val="none"/>
              </w:rPr>
            </w:pPr>
            <w:r>
              <w:rPr>
                <w:rFonts w:hint="eastAsia" w:ascii="宋体" w:hAnsi="宋体" w:cs="宋体"/>
                <w:color w:val="auto"/>
                <w:highlight w:val="none"/>
              </w:rPr>
              <w:t>技术负责人:</w:t>
            </w:r>
          </w:p>
          <w:p w14:paraId="0631611E">
            <w:pPr>
              <w:rPr>
                <w:rFonts w:hint="eastAsia" w:ascii="宋体" w:hAnsi="宋体" w:cs="宋体"/>
                <w:color w:val="auto"/>
                <w:highlight w:val="none"/>
              </w:rPr>
            </w:pPr>
            <w:r>
              <w:rPr>
                <w:rFonts w:hint="eastAsia" w:ascii="宋体" w:hAnsi="宋体" w:cs="宋体"/>
                <w:color w:val="auto"/>
                <w:highlight w:val="none"/>
              </w:rPr>
              <w:t>（1）具有工程</w:t>
            </w:r>
            <w:r>
              <w:rPr>
                <w:rFonts w:hint="eastAsia" w:ascii="宋体" w:hAnsi="宋体" w:cs="宋体"/>
                <w:color w:val="auto"/>
                <w:highlight w:val="none"/>
                <w:lang w:val="en-US" w:eastAsia="zh-CN"/>
              </w:rPr>
              <w:t>类</w:t>
            </w:r>
            <w:r>
              <w:rPr>
                <w:rFonts w:hint="eastAsia" w:ascii="宋体" w:hAnsi="宋体" w:cs="宋体"/>
                <w:color w:val="auto"/>
                <w:highlight w:val="none"/>
              </w:rPr>
              <w:t>高级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或以上</w:t>
            </w:r>
            <w:r>
              <w:rPr>
                <w:rFonts w:hint="eastAsia" w:ascii="宋体" w:hAnsi="宋体" w:cs="宋体"/>
                <w:color w:val="auto"/>
                <w:highlight w:val="none"/>
                <w:lang w:eastAsia="zh-CN"/>
              </w:rPr>
              <w:t>）</w:t>
            </w:r>
            <w:r>
              <w:rPr>
                <w:rFonts w:hint="eastAsia" w:ascii="宋体" w:hAnsi="宋体" w:cs="宋体"/>
                <w:color w:val="auto"/>
                <w:highlight w:val="none"/>
              </w:rPr>
              <w:t>工程师职称的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得2分；具有工程类中级工程师职称的，得1分。</w:t>
            </w:r>
            <w:r>
              <w:rPr>
                <w:rFonts w:hint="eastAsia" w:ascii="宋体" w:hAnsi="宋体" w:cs="宋体"/>
                <w:color w:val="auto"/>
                <w:szCs w:val="21"/>
                <w:highlight w:val="none"/>
              </w:rPr>
              <w:t>本小项最高得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highlight w:val="none"/>
              </w:rPr>
              <w:t>；</w:t>
            </w:r>
          </w:p>
          <w:p w14:paraId="7B2EDE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（2）具有注册土木工程师（岩土）</w:t>
            </w:r>
            <w:bookmarkStart w:id="115" w:name="OLE_LINK5"/>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rPr>
              <w:t>注册</w:t>
            </w:r>
            <w:r>
              <w:rPr>
                <w:rFonts w:hint="eastAsia" w:ascii="宋体" w:hAnsi="宋体" w:eastAsia="宋体" w:cs="宋体"/>
                <w:color w:val="auto"/>
                <w:szCs w:val="21"/>
                <w:highlight w:val="none"/>
                <w:lang w:val="en-US" w:eastAsia="zh-CN"/>
              </w:rPr>
              <w:t>结构工程师</w:t>
            </w:r>
            <w:r>
              <w:rPr>
                <w:rFonts w:hint="eastAsia" w:ascii="宋体" w:hAnsi="宋体" w:eastAsia="宋体" w:cs="宋体"/>
                <w:color w:val="auto"/>
                <w:szCs w:val="21"/>
                <w:highlight w:val="none"/>
              </w:rPr>
              <w:t>执业资格证书</w:t>
            </w:r>
            <w:bookmarkEnd w:id="115"/>
            <w:r>
              <w:rPr>
                <w:rFonts w:hint="eastAsia" w:ascii="宋体" w:hAnsi="宋体" w:eastAsia="宋体" w:cs="宋体"/>
                <w:color w:val="auto"/>
                <w:szCs w:val="21"/>
                <w:highlight w:val="none"/>
              </w:rPr>
              <w:t>且注册单位为投标单位的得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14:paraId="75E1F791">
            <w:pPr>
              <w:rPr>
                <w:rFonts w:hint="eastAsia" w:ascii="宋体" w:hAnsi="宋体" w:cs="宋体"/>
                <w:color w:val="auto"/>
                <w:highlight w:val="none"/>
              </w:rPr>
            </w:pPr>
            <w:r>
              <w:rPr>
                <w:rFonts w:hint="eastAsia" w:ascii="宋体" w:hAnsi="宋体" w:cs="宋体"/>
                <w:color w:val="auto"/>
                <w:highlight w:val="none"/>
              </w:rPr>
              <w:t>其余不得分，本项最多得</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6FBD83CF">
            <w:pPr>
              <w:spacing w:line="360" w:lineRule="exact"/>
              <w:ind w:right="126"/>
              <w:rPr>
                <w:rFonts w:hint="eastAsia" w:ascii="宋体" w:hAnsi="宋体" w:cs="宋体"/>
                <w:color w:val="auto"/>
                <w:szCs w:val="21"/>
                <w:highlight w:val="none"/>
                <w:lang w:val="zh-CN"/>
              </w:rPr>
            </w:pPr>
            <w:r>
              <w:rPr>
                <w:rFonts w:hint="eastAsia" w:ascii="宋体" w:hAnsi="宋体" w:cs="宋体"/>
                <w:b/>
                <w:bCs/>
                <w:color w:val="auto"/>
                <w:highlight w:val="none"/>
              </w:rPr>
              <w:t>注：项目负责人与技术负责人不可兼任。须提供身份证、</w:t>
            </w:r>
            <w:r>
              <w:rPr>
                <w:rFonts w:hint="eastAsia" w:ascii="宋体" w:hAnsi="宋体" w:cs="宋体"/>
                <w:b/>
                <w:bCs/>
                <w:color w:val="auto"/>
                <w:highlight w:val="none"/>
                <w:lang w:val="en-US" w:eastAsia="zh-CN"/>
              </w:rPr>
              <w:t>资格证书（如有）、</w:t>
            </w:r>
            <w:r>
              <w:rPr>
                <w:rFonts w:hint="eastAsia" w:ascii="宋体" w:hAnsi="宋体" w:cs="宋体"/>
                <w:b/>
                <w:bCs/>
                <w:color w:val="auto"/>
                <w:highlight w:val="none"/>
              </w:rPr>
              <w:t>职称证书</w:t>
            </w:r>
            <w:r>
              <w:rPr>
                <w:rFonts w:hint="eastAsia" w:ascii="宋体" w:hAnsi="宋体" w:cs="宋体"/>
                <w:b/>
                <w:bCs/>
                <w:color w:val="auto"/>
                <w:highlight w:val="none"/>
                <w:lang w:val="en-US" w:eastAsia="zh-CN"/>
              </w:rPr>
              <w:t>（如有）</w:t>
            </w:r>
            <w:r>
              <w:rPr>
                <w:rFonts w:hint="eastAsia" w:ascii="宋体" w:hAnsi="宋体" w:cs="宋体"/>
                <w:b/>
                <w:bCs/>
                <w:color w:val="auto"/>
                <w:highlight w:val="none"/>
              </w:rPr>
              <w:t>、检测员证</w:t>
            </w:r>
            <w:r>
              <w:rPr>
                <w:rFonts w:hint="eastAsia" w:ascii="宋体" w:hAnsi="宋体" w:cs="宋体"/>
                <w:b/>
                <w:bCs/>
                <w:color w:val="auto"/>
                <w:highlight w:val="none"/>
                <w:lang w:val="en-US" w:eastAsia="zh-CN"/>
              </w:rPr>
              <w:t>（如有）</w:t>
            </w:r>
            <w:r>
              <w:rPr>
                <w:rFonts w:hint="eastAsia" w:ascii="宋体" w:hAnsi="宋体" w:cs="宋体"/>
                <w:b/>
                <w:bCs/>
                <w:color w:val="auto"/>
                <w:highlight w:val="none"/>
              </w:rPr>
              <w:t>或合格证</w:t>
            </w:r>
            <w:r>
              <w:rPr>
                <w:rFonts w:hint="eastAsia" w:ascii="宋体" w:hAnsi="宋体" w:cs="宋体"/>
                <w:b/>
                <w:bCs/>
                <w:color w:val="auto"/>
                <w:highlight w:val="none"/>
                <w:lang w:val="en-US" w:eastAsia="zh-CN"/>
              </w:rPr>
              <w:t>（如有）</w:t>
            </w:r>
            <w:r>
              <w:rPr>
                <w:rFonts w:hint="eastAsia" w:ascii="宋体" w:hAnsi="宋体" w:cs="宋体"/>
                <w:b/>
                <w:bCs/>
                <w:color w:val="auto"/>
                <w:highlight w:val="none"/>
              </w:rPr>
              <w:t>等扫描件，提供近1月（即扣除招标公告发布当月前一个月）在本单位参保的社保缴纳证明材料，并加盖公章，否则不得分。</w:t>
            </w:r>
            <w:r>
              <w:rPr>
                <w:rFonts w:hint="eastAsia"/>
                <w:b/>
                <w:bCs/>
                <w:color w:val="auto"/>
                <w:highlight w:val="none"/>
              </w:rPr>
              <w:t>若以联合体方式投标的，本项评分内容以牵头方提供资料为准，成员单位提供不计分。</w:t>
            </w:r>
          </w:p>
        </w:tc>
      </w:tr>
      <w:tr w14:paraId="6A04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138" w:type="dxa"/>
            <w:vMerge w:val="continue"/>
            <w:tcBorders>
              <w:left w:val="single" w:color="auto" w:sz="4" w:space="0"/>
              <w:bottom w:val="single" w:color="auto" w:sz="4" w:space="0"/>
              <w:right w:val="single" w:color="auto" w:sz="4" w:space="0"/>
            </w:tcBorders>
            <w:vAlign w:val="center"/>
          </w:tcPr>
          <w:p w14:paraId="7E5445AA">
            <w:pPr>
              <w:jc w:val="center"/>
              <w:rPr>
                <w:rFonts w:ascii="宋体" w:hAnsi="宋体" w:cs="宋体"/>
                <w:color w:val="auto"/>
                <w:szCs w:val="21"/>
                <w:highlight w:val="none"/>
              </w:rPr>
            </w:pPr>
          </w:p>
        </w:tc>
        <w:tc>
          <w:tcPr>
            <w:tcW w:w="1035" w:type="dxa"/>
            <w:vMerge w:val="continue"/>
            <w:tcBorders>
              <w:left w:val="single" w:color="auto" w:sz="4" w:space="0"/>
              <w:bottom w:val="single" w:color="auto" w:sz="4" w:space="0"/>
              <w:right w:val="single" w:color="auto" w:sz="4" w:space="0"/>
            </w:tcBorders>
            <w:tcMar>
              <w:top w:w="0" w:type="dxa"/>
              <w:left w:w="57" w:type="dxa"/>
              <w:bottom w:w="0" w:type="dxa"/>
              <w:right w:w="57" w:type="dxa"/>
            </w:tcMar>
          </w:tcPr>
          <w:p w14:paraId="7CD9833A">
            <w:pPr>
              <w:jc w:val="center"/>
              <w:rPr>
                <w:rFonts w:ascii="宋体" w:hAnsi="宋体"/>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876FA39">
            <w:pPr>
              <w:spacing w:line="360" w:lineRule="auto"/>
              <w:ind w:right="126"/>
              <w:jc w:val="both"/>
              <w:rPr>
                <w:rFonts w:ascii="宋体" w:hAnsi="宋体" w:cs="宋体"/>
                <w:color w:val="auto"/>
                <w:szCs w:val="21"/>
                <w:highlight w:val="none"/>
                <w:lang w:val="zh-CN"/>
              </w:rPr>
            </w:pPr>
            <w:r>
              <w:rPr>
                <w:rFonts w:hint="eastAsia" w:ascii="宋体" w:hAnsi="宋体" w:cs="宋体"/>
                <w:color w:val="auto"/>
                <w:szCs w:val="21"/>
                <w:highlight w:val="none"/>
                <w:lang w:val="zh-CN"/>
              </w:rPr>
              <w:t>其他人员（</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420B7B58">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投标人(如为联合体，指联合体各方提供均可)配备的其他人员（不含项目负责人及技术负责人）：</w:t>
            </w:r>
          </w:p>
          <w:p w14:paraId="1556CAE2">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（1）投标人具有建设行政主管部门或其委托的机构、行业协会颁发的相关检测员证书或检测鉴定培训合格证的，每人得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w:t>
            </w:r>
            <w:r>
              <w:rPr>
                <w:rFonts w:hint="eastAsia" w:ascii="宋体" w:hAnsi="宋体" w:cs="宋体"/>
                <w:color w:val="auto"/>
                <w:szCs w:val="21"/>
                <w:highlight w:val="none"/>
                <w:lang w:val="en-US" w:eastAsia="zh-CN"/>
              </w:rPr>
              <w:t>小</w:t>
            </w:r>
            <w:r>
              <w:rPr>
                <w:rFonts w:hint="eastAsia" w:ascii="宋体" w:hAnsi="宋体" w:cs="宋体"/>
                <w:color w:val="auto"/>
                <w:szCs w:val="21"/>
                <w:highlight w:val="none"/>
              </w:rPr>
              <w:t>项最高得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07E3E19B">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（2）上述持有相关检测员证书或检测鉴定培训合格证的人员中，具有注册土木工程师（岩土）执业资格证书</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rPr>
              <w:t>注册</w:t>
            </w:r>
            <w:r>
              <w:rPr>
                <w:rFonts w:hint="eastAsia" w:ascii="宋体" w:hAnsi="宋体" w:eastAsia="宋体" w:cs="宋体"/>
                <w:color w:val="auto"/>
                <w:szCs w:val="21"/>
                <w:highlight w:val="none"/>
                <w:lang w:val="en-US" w:eastAsia="zh-CN"/>
              </w:rPr>
              <w:t>结构工程师</w:t>
            </w:r>
            <w:r>
              <w:rPr>
                <w:rFonts w:hint="eastAsia" w:ascii="宋体" w:hAnsi="宋体" w:eastAsia="宋体" w:cs="宋体"/>
                <w:color w:val="auto"/>
                <w:szCs w:val="21"/>
                <w:highlight w:val="none"/>
              </w:rPr>
              <w:t>执业资格证书</w:t>
            </w:r>
            <w:r>
              <w:rPr>
                <w:rFonts w:hint="eastAsia" w:ascii="宋体" w:hAnsi="宋体" w:cs="宋体"/>
                <w:color w:val="auto"/>
                <w:szCs w:val="21"/>
                <w:highlight w:val="none"/>
              </w:rPr>
              <w:t>且注册单位为投标单位的，每人得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w:t>
            </w:r>
            <w:r>
              <w:rPr>
                <w:rFonts w:hint="eastAsia" w:ascii="宋体" w:hAnsi="宋体" w:cs="宋体"/>
                <w:color w:val="auto"/>
                <w:szCs w:val="21"/>
                <w:highlight w:val="none"/>
                <w:lang w:val="en-US" w:eastAsia="zh-CN"/>
              </w:rPr>
              <w:t>小</w:t>
            </w:r>
            <w:r>
              <w:rPr>
                <w:rFonts w:hint="eastAsia" w:ascii="宋体" w:hAnsi="宋体" w:cs="宋体"/>
                <w:color w:val="auto"/>
                <w:szCs w:val="21"/>
                <w:highlight w:val="none"/>
              </w:rPr>
              <w:t>项最高得3分；</w:t>
            </w:r>
          </w:p>
          <w:p w14:paraId="005FB2C1">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其余不得分，本项最多得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5FBF3B76">
            <w:pPr>
              <w:spacing w:line="360" w:lineRule="exact"/>
              <w:ind w:right="125"/>
              <w:rPr>
                <w:rFonts w:ascii="宋体" w:hAnsi="宋体" w:cs="宋体"/>
                <w:color w:val="auto"/>
                <w:szCs w:val="21"/>
                <w:highlight w:val="none"/>
                <w:lang w:val="zh-CN"/>
              </w:rPr>
            </w:pPr>
            <w:r>
              <w:rPr>
                <w:rFonts w:hint="eastAsia" w:ascii="宋体" w:hAnsi="宋体" w:cs="宋体"/>
                <w:b/>
                <w:bCs/>
                <w:color w:val="auto"/>
                <w:szCs w:val="21"/>
                <w:highlight w:val="none"/>
              </w:rPr>
              <w:t>注：须提供身份证、资格证书</w:t>
            </w:r>
            <w:r>
              <w:rPr>
                <w:rFonts w:hint="eastAsia" w:ascii="宋体" w:hAnsi="宋体" w:cs="宋体"/>
                <w:b/>
                <w:bCs/>
                <w:color w:val="auto"/>
                <w:highlight w:val="none"/>
                <w:lang w:val="en-US" w:eastAsia="zh-CN"/>
              </w:rPr>
              <w:t>（如有）</w:t>
            </w:r>
            <w:r>
              <w:rPr>
                <w:rFonts w:hint="eastAsia" w:ascii="宋体" w:hAnsi="宋体" w:cs="宋体"/>
                <w:b/>
                <w:bCs/>
                <w:color w:val="auto"/>
                <w:szCs w:val="21"/>
                <w:highlight w:val="none"/>
              </w:rPr>
              <w:t>、检测员证</w:t>
            </w:r>
            <w:r>
              <w:rPr>
                <w:rFonts w:hint="eastAsia" w:ascii="宋体" w:hAnsi="宋体" w:cs="宋体"/>
                <w:b/>
                <w:bCs/>
                <w:color w:val="auto"/>
                <w:highlight w:val="none"/>
                <w:lang w:val="en-US" w:eastAsia="zh-CN"/>
              </w:rPr>
              <w:t>（如有）</w:t>
            </w:r>
            <w:r>
              <w:rPr>
                <w:rFonts w:hint="eastAsia" w:ascii="宋体" w:hAnsi="宋体" w:cs="宋体"/>
                <w:b/>
                <w:bCs/>
                <w:color w:val="auto"/>
                <w:szCs w:val="21"/>
                <w:highlight w:val="none"/>
              </w:rPr>
              <w:t>或合格证扫描件</w:t>
            </w:r>
            <w:r>
              <w:rPr>
                <w:rFonts w:hint="eastAsia" w:ascii="宋体" w:hAnsi="宋体" w:cs="宋体"/>
                <w:b/>
                <w:bCs/>
                <w:color w:val="auto"/>
                <w:highlight w:val="none"/>
                <w:lang w:val="en-US" w:eastAsia="zh-CN"/>
              </w:rPr>
              <w:t>（如有）</w:t>
            </w:r>
            <w:r>
              <w:rPr>
                <w:rFonts w:hint="eastAsia" w:ascii="宋体" w:hAnsi="宋体" w:cs="宋体"/>
                <w:b/>
                <w:bCs/>
                <w:color w:val="auto"/>
                <w:szCs w:val="21"/>
                <w:highlight w:val="none"/>
              </w:rPr>
              <w:t>，提供近1月（即扣除招标公告发布当月前一个月）在本单位连续参保的社保缴纳证明材料，并加盖公章，否则不得分。</w:t>
            </w:r>
            <w:r>
              <w:rPr>
                <w:rFonts w:hint="eastAsia"/>
                <w:b/>
                <w:bCs/>
                <w:color w:val="auto"/>
                <w:highlight w:val="none"/>
              </w:rPr>
              <w:t>若以联合体方式投标的，本项评分内容以牵头方提供资料为准，成员单位提供不计分。</w:t>
            </w:r>
          </w:p>
        </w:tc>
      </w:tr>
      <w:tr w14:paraId="4FD3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1138"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13944A06">
            <w:pPr>
              <w:jc w:val="center"/>
              <w:rPr>
                <w:rFonts w:ascii="宋体" w:hAnsi="宋体"/>
                <w:color w:val="auto"/>
                <w:szCs w:val="21"/>
                <w:highlight w:val="none"/>
              </w:rPr>
            </w:pPr>
            <w:r>
              <w:rPr>
                <w:rFonts w:hint="eastAsia" w:ascii="宋体" w:hAnsi="宋体"/>
                <w:b/>
                <w:color w:val="auto"/>
                <w:szCs w:val="21"/>
                <w:highlight w:val="none"/>
              </w:rPr>
              <w:t>技术方案部分</w:t>
            </w:r>
            <w:r>
              <w:rPr>
                <w:rFonts w:hint="eastAsia" w:ascii="宋体" w:hAnsi="宋体" w:eastAsia="Calibri"/>
                <w:b/>
                <w:color w:val="auto"/>
                <w:szCs w:val="21"/>
                <w:highlight w:val="none"/>
              </w:rPr>
              <w:t>评分标准（</w:t>
            </w:r>
            <w:r>
              <w:rPr>
                <w:rFonts w:hint="eastAsia" w:ascii="宋体" w:hAnsi="宋体"/>
                <w:b/>
                <w:color w:val="auto"/>
                <w:szCs w:val="21"/>
                <w:highlight w:val="none"/>
                <w:lang w:val="en-US" w:eastAsia="zh-CN"/>
              </w:rPr>
              <w:t>35</w:t>
            </w:r>
            <w:r>
              <w:rPr>
                <w:rFonts w:hint="eastAsia" w:ascii="宋体" w:hAnsi="宋体" w:eastAsia="Calibri"/>
                <w:b/>
                <w:color w:val="auto"/>
                <w:szCs w:val="21"/>
                <w:highlight w:val="none"/>
              </w:rPr>
              <w:t>分）</w:t>
            </w:r>
          </w:p>
        </w:tc>
        <w:tc>
          <w:tcPr>
            <w:tcW w:w="2012"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5E98768C">
            <w:pPr>
              <w:ind w:right="-20"/>
              <w:jc w:val="center"/>
              <w:rPr>
                <w:rFonts w:hint="eastAsia" w:ascii="宋体" w:hAnsi="宋体"/>
                <w:color w:val="auto"/>
                <w:szCs w:val="21"/>
                <w:highlight w:val="none"/>
              </w:rPr>
            </w:pPr>
            <w:r>
              <w:rPr>
                <w:rFonts w:hint="eastAsia" w:ascii="宋体" w:hAnsi="宋体"/>
                <w:color w:val="auto"/>
                <w:szCs w:val="21"/>
                <w:highlight w:val="none"/>
              </w:rPr>
              <w:t>检测监测方案</w:t>
            </w:r>
          </w:p>
          <w:p w14:paraId="35C5B251">
            <w:pPr>
              <w:ind w:right="-20"/>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41D06E0E">
            <w:pPr>
              <w:adjustRightInd w:val="0"/>
              <w:snapToGrid w:val="0"/>
              <w:jc w:val="left"/>
              <w:rPr>
                <w:color w:val="auto"/>
                <w:szCs w:val="21"/>
                <w:highlight w:val="none"/>
                <w:lang w:bidi="ar"/>
              </w:rPr>
            </w:pPr>
            <w:r>
              <w:rPr>
                <w:rFonts w:hint="eastAsia"/>
                <w:color w:val="auto"/>
                <w:szCs w:val="21"/>
                <w:highlight w:val="none"/>
                <w:lang w:bidi="ar"/>
              </w:rPr>
              <w:t>1、优：检测监测方案详细、具体，内容齐全，能满足本工程所有项目要求，有合理可行的保证通过相关验收、满足工程进度确保措施，得</w:t>
            </w:r>
            <w:r>
              <w:rPr>
                <w:rFonts w:hint="eastAsia"/>
                <w:color w:val="auto"/>
                <w:szCs w:val="21"/>
                <w:highlight w:val="none"/>
                <w:lang w:val="en-US" w:eastAsia="zh-CN" w:bidi="ar"/>
              </w:rPr>
              <w:t>[30-25)</w:t>
            </w:r>
            <w:r>
              <w:rPr>
                <w:rFonts w:hint="eastAsia"/>
                <w:color w:val="auto"/>
                <w:szCs w:val="21"/>
                <w:highlight w:val="none"/>
                <w:lang w:bidi="ar"/>
              </w:rPr>
              <w:t>分；</w:t>
            </w:r>
          </w:p>
          <w:p w14:paraId="6AA429FE">
            <w:pPr>
              <w:adjustRightInd w:val="0"/>
              <w:snapToGrid w:val="0"/>
              <w:jc w:val="left"/>
              <w:rPr>
                <w:color w:val="auto"/>
                <w:szCs w:val="21"/>
                <w:highlight w:val="none"/>
                <w:lang w:bidi="ar"/>
              </w:rPr>
            </w:pPr>
            <w:r>
              <w:rPr>
                <w:rFonts w:hint="eastAsia"/>
                <w:color w:val="auto"/>
                <w:szCs w:val="21"/>
                <w:highlight w:val="none"/>
                <w:lang w:bidi="ar"/>
              </w:rPr>
              <w:t>2、良：检测监测方案较详细、较具体，内容较齐全，有比较可行的保证通过相关验收、满足工程进度确保措施，得</w:t>
            </w:r>
            <w:r>
              <w:rPr>
                <w:rFonts w:hint="eastAsia"/>
                <w:color w:val="auto"/>
                <w:szCs w:val="21"/>
                <w:highlight w:val="none"/>
                <w:lang w:val="en-US" w:eastAsia="zh-CN" w:bidi="ar"/>
              </w:rPr>
              <w:t>[25-15)</w:t>
            </w:r>
            <w:r>
              <w:rPr>
                <w:rFonts w:hint="eastAsia"/>
                <w:color w:val="auto"/>
                <w:szCs w:val="21"/>
                <w:highlight w:val="none"/>
                <w:lang w:bidi="ar"/>
              </w:rPr>
              <w:t>分；</w:t>
            </w:r>
          </w:p>
          <w:p w14:paraId="106EC3AA">
            <w:pPr>
              <w:adjustRightInd w:val="0"/>
              <w:snapToGrid w:val="0"/>
              <w:jc w:val="left"/>
              <w:rPr>
                <w:color w:val="auto"/>
                <w:szCs w:val="21"/>
                <w:highlight w:val="none"/>
                <w:lang w:bidi="ar"/>
              </w:rPr>
            </w:pPr>
            <w:r>
              <w:rPr>
                <w:rFonts w:hint="eastAsia"/>
                <w:color w:val="auto"/>
                <w:szCs w:val="21"/>
                <w:highlight w:val="none"/>
                <w:lang w:bidi="ar"/>
              </w:rPr>
              <w:t>3、中：检测监测方案内容基本满足要求，方法基本符合规范要求，基本能通过相关验收、满足工程进度的确保措施，得</w:t>
            </w:r>
            <w:r>
              <w:rPr>
                <w:rFonts w:hint="eastAsia"/>
                <w:color w:val="auto"/>
                <w:szCs w:val="21"/>
                <w:highlight w:val="none"/>
                <w:lang w:val="en-US" w:eastAsia="zh-CN" w:bidi="ar"/>
              </w:rPr>
              <w:t>[15-0)</w:t>
            </w:r>
            <w:r>
              <w:rPr>
                <w:rFonts w:hint="eastAsia"/>
                <w:color w:val="auto"/>
                <w:szCs w:val="21"/>
                <w:highlight w:val="none"/>
                <w:lang w:bidi="ar"/>
              </w:rPr>
              <w:t>分；</w:t>
            </w:r>
          </w:p>
          <w:p w14:paraId="0ACCD92F">
            <w:pPr>
              <w:spacing w:line="360" w:lineRule="exact"/>
              <w:ind w:right="125"/>
              <w:rPr>
                <w:rFonts w:ascii="宋体" w:hAnsi="宋体"/>
                <w:b/>
                <w:color w:val="auto"/>
                <w:szCs w:val="21"/>
                <w:highlight w:val="none"/>
              </w:rPr>
            </w:pPr>
            <w:r>
              <w:rPr>
                <w:rFonts w:hint="eastAsia"/>
                <w:color w:val="auto"/>
                <w:szCs w:val="21"/>
                <w:highlight w:val="none"/>
                <w:lang w:bidi="ar"/>
              </w:rPr>
              <w:t>4、差：检测监测方案基本内容阐述缺项，不能满足检测或监测要求的，得0分。</w:t>
            </w:r>
          </w:p>
        </w:tc>
      </w:tr>
      <w:tr w14:paraId="7D61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38" w:type="dxa"/>
            <w:vMerge w:val="continue"/>
            <w:tcBorders>
              <w:left w:val="single" w:color="auto" w:sz="4" w:space="0"/>
              <w:right w:val="single" w:color="auto" w:sz="4" w:space="0"/>
            </w:tcBorders>
            <w:vAlign w:val="center"/>
          </w:tcPr>
          <w:p w14:paraId="206EF65F">
            <w:pPr>
              <w:jc w:val="center"/>
              <w:rPr>
                <w:rFonts w:ascii="宋体" w:hAnsi="宋体"/>
                <w:color w:val="auto"/>
                <w:szCs w:val="21"/>
                <w:highlight w:val="none"/>
              </w:rPr>
            </w:pPr>
          </w:p>
        </w:tc>
        <w:tc>
          <w:tcPr>
            <w:tcW w:w="2012"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68ED5F33">
            <w:pPr>
              <w:jc w:val="center"/>
              <w:rPr>
                <w:rFonts w:ascii="宋体" w:hAnsi="宋体"/>
                <w:color w:val="auto"/>
                <w:szCs w:val="21"/>
                <w:highlight w:val="none"/>
              </w:rPr>
            </w:pPr>
            <w:r>
              <w:rPr>
                <w:rFonts w:hint="eastAsia"/>
                <w:color w:val="auto"/>
                <w:szCs w:val="21"/>
                <w:highlight w:val="none"/>
                <w:lang w:bidi="ar"/>
              </w:rPr>
              <w:t>拟投入的检测、监测设备（</w:t>
            </w:r>
            <w:r>
              <w:rPr>
                <w:rFonts w:hint="eastAsia"/>
                <w:color w:val="auto"/>
                <w:szCs w:val="21"/>
                <w:highlight w:val="none"/>
                <w:lang w:val="en-US" w:eastAsia="zh-CN" w:bidi="ar"/>
              </w:rPr>
              <w:t>5</w:t>
            </w:r>
            <w:r>
              <w:rPr>
                <w:rFonts w:hint="eastAsia"/>
                <w:color w:val="auto"/>
                <w:szCs w:val="21"/>
                <w:highlight w:val="none"/>
                <w:lang w:bidi="ar"/>
              </w:rPr>
              <w:t>分）</w:t>
            </w:r>
          </w:p>
        </w:tc>
        <w:tc>
          <w:tcPr>
            <w:tcW w:w="6493" w:type="dxa"/>
            <w:tcBorders>
              <w:top w:val="single" w:color="auto" w:sz="4" w:space="0"/>
              <w:left w:val="single" w:color="auto" w:sz="4" w:space="0"/>
              <w:right w:val="single" w:color="auto" w:sz="4" w:space="0"/>
            </w:tcBorders>
          </w:tcPr>
          <w:p w14:paraId="544294A6">
            <w:pPr>
              <w:adjustRightInd w:val="0"/>
              <w:snapToGrid w:val="0"/>
              <w:jc w:val="left"/>
              <w:rPr>
                <w:color w:val="auto"/>
                <w:szCs w:val="21"/>
                <w:highlight w:val="none"/>
                <w:lang w:bidi="ar"/>
              </w:rPr>
            </w:pPr>
            <w:r>
              <w:rPr>
                <w:rFonts w:hint="eastAsia"/>
                <w:color w:val="auto"/>
                <w:szCs w:val="21"/>
                <w:highlight w:val="none"/>
                <w:lang w:bidi="ar"/>
              </w:rPr>
              <w:t>1、优：设备满足委托人要求《</w:t>
            </w:r>
            <w:bookmarkStart w:id="116" w:name="OLE_LINK1"/>
            <w:r>
              <w:rPr>
                <w:rFonts w:hint="eastAsia"/>
                <w:color w:val="auto"/>
                <w:szCs w:val="21"/>
                <w:highlight w:val="none"/>
                <w:lang w:bidi="ar"/>
              </w:rPr>
              <w:t>拟投入本项目的检测、监测设备要求表</w:t>
            </w:r>
            <w:bookmarkEnd w:id="116"/>
            <w:r>
              <w:rPr>
                <w:rFonts w:hint="eastAsia"/>
                <w:color w:val="auto"/>
                <w:szCs w:val="21"/>
                <w:highlight w:val="none"/>
                <w:lang w:bidi="ar"/>
              </w:rPr>
              <w:t>》并设备年检合格，全部设备属于自有，得</w:t>
            </w:r>
            <w:r>
              <w:rPr>
                <w:rFonts w:hint="eastAsia"/>
                <w:color w:val="auto"/>
                <w:szCs w:val="21"/>
                <w:highlight w:val="none"/>
                <w:lang w:val="en-US" w:eastAsia="zh-CN" w:bidi="ar"/>
              </w:rPr>
              <w:t>5</w:t>
            </w:r>
            <w:r>
              <w:rPr>
                <w:rFonts w:hint="eastAsia"/>
                <w:color w:val="auto"/>
                <w:szCs w:val="21"/>
                <w:highlight w:val="none"/>
                <w:lang w:bidi="ar"/>
              </w:rPr>
              <w:t>分。</w:t>
            </w:r>
          </w:p>
          <w:p w14:paraId="563B3380">
            <w:pPr>
              <w:adjustRightInd w:val="0"/>
              <w:snapToGrid w:val="0"/>
              <w:jc w:val="left"/>
              <w:rPr>
                <w:color w:val="auto"/>
                <w:szCs w:val="21"/>
                <w:highlight w:val="none"/>
                <w:lang w:bidi="ar"/>
              </w:rPr>
            </w:pPr>
            <w:r>
              <w:rPr>
                <w:rFonts w:hint="eastAsia"/>
                <w:color w:val="auto"/>
                <w:szCs w:val="21"/>
                <w:highlight w:val="none"/>
                <w:lang w:bidi="ar"/>
              </w:rPr>
              <w:t>2、良：设备满足委托人要求《拟投入本项目的检测、监测设备要求表》并设备年检合格，设备自有数量在25台（含）至30台（不含），得</w:t>
            </w:r>
            <w:r>
              <w:rPr>
                <w:rFonts w:hint="eastAsia"/>
                <w:color w:val="auto"/>
                <w:szCs w:val="21"/>
                <w:highlight w:val="none"/>
                <w:lang w:val="en-US" w:eastAsia="zh-CN" w:bidi="ar"/>
              </w:rPr>
              <w:t>3</w:t>
            </w:r>
            <w:r>
              <w:rPr>
                <w:rFonts w:hint="eastAsia"/>
                <w:color w:val="auto"/>
                <w:szCs w:val="21"/>
                <w:highlight w:val="none"/>
                <w:lang w:bidi="ar"/>
              </w:rPr>
              <w:t>分。</w:t>
            </w:r>
          </w:p>
          <w:p w14:paraId="4C441C7B">
            <w:pPr>
              <w:adjustRightInd w:val="0"/>
              <w:snapToGrid w:val="0"/>
              <w:jc w:val="left"/>
              <w:rPr>
                <w:color w:val="auto"/>
                <w:szCs w:val="21"/>
                <w:highlight w:val="none"/>
                <w:lang w:bidi="ar"/>
              </w:rPr>
            </w:pPr>
            <w:r>
              <w:rPr>
                <w:rFonts w:hint="eastAsia"/>
                <w:color w:val="auto"/>
                <w:szCs w:val="21"/>
                <w:highlight w:val="none"/>
                <w:lang w:bidi="ar"/>
              </w:rPr>
              <w:t>3、中：设备满足委托人要求《拟投入本项目的检测、监测设备要求表》并设备年检合格，设备自有数量在15台（含）至25台（不含），得</w:t>
            </w:r>
            <w:r>
              <w:rPr>
                <w:rFonts w:hint="eastAsia"/>
                <w:color w:val="auto"/>
                <w:szCs w:val="21"/>
                <w:highlight w:val="none"/>
                <w:lang w:val="en-US" w:eastAsia="zh-CN" w:bidi="ar"/>
              </w:rPr>
              <w:t>1</w:t>
            </w:r>
            <w:r>
              <w:rPr>
                <w:rFonts w:hint="eastAsia"/>
                <w:color w:val="auto"/>
                <w:szCs w:val="21"/>
                <w:highlight w:val="none"/>
                <w:lang w:bidi="ar"/>
              </w:rPr>
              <w:t>分。</w:t>
            </w:r>
          </w:p>
          <w:p w14:paraId="236866B3">
            <w:pPr>
              <w:adjustRightInd w:val="0"/>
              <w:snapToGrid w:val="0"/>
              <w:jc w:val="left"/>
              <w:rPr>
                <w:color w:val="auto"/>
                <w:szCs w:val="21"/>
                <w:highlight w:val="none"/>
                <w:lang w:bidi="ar"/>
              </w:rPr>
            </w:pPr>
            <w:r>
              <w:rPr>
                <w:rFonts w:hint="eastAsia"/>
                <w:color w:val="auto"/>
                <w:szCs w:val="21"/>
                <w:highlight w:val="none"/>
                <w:lang w:bidi="ar"/>
              </w:rPr>
              <w:t>4、差：设备不能满足委托人要求《拟投入本项目的检测、监测设备要求表》或部分设备年检不合格或设备自有数量在15台（不含）以下，不得分。</w:t>
            </w:r>
          </w:p>
          <w:p w14:paraId="3195C4DE">
            <w:pPr>
              <w:spacing w:line="360" w:lineRule="exact"/>
              <w:ind w:right="125"/>
              <w:rPr>
                <w:rFonts w:ascii="宋体" w:hAnsi="宋体"/>
                <w:color w:val="auto"/>
                <w:szCs w:val="21"/>
                <w:highlight w:val="none"/>
              </w:rPr>
            </w:pPr>
            <w:r>
              <w:rPr>
                <w:rFonts w:hint="eastAsia" w:ascii="宋体" w:hAnsi="宋体" w:cs="宋体"/>
                <w:b/>
                <w:bCs/>
                <w:color w:val="auto"/>
                <w:szCs w:val="21"/>
                <w:highlight w:val="none"/>
                <w:lang w:val="zh-CN"/>
              </w:rPr>
              <w:t>注：以上按最高级别得分，不重复计算。投标人须同时提供发票（或租赁合同）和检定校准证书扫描件，并加盖投标人电子印章。</w:t>
            </w:r>
          </w:p>
        </w:tc>
      </w:tr>
      <w:tr w14:paraId="355C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0756339">
            <w:pPr>
              <w:jc w:val="center"/>
              <w:rPr>
                <w:rFonts w:ascii="宋体" w:hAnsi="宋体" w:eastAsia="Calibri" w:cs="Calibri"/>
                <w:b/>
                <w:color w:val="auto"/>
                <w:szCs w:val="21"/>
                <w:highlight w:val="none"/>
              </w:rPr>
            </w:pPr>
            <w:r>
              <w:rPr>
                <w:rFonts w:hint="eastAsia" w:ascii="宋体" w:hAnsi="宋体"/>
                <w:b/>
                <w:color w:val="auto"/>
                <w:szCs w:val="21"/>
                <w:highlight w:val="none"/>
              </w:rPr>
              <w:t>投标报价部分</w:t>
            </w:r>
            <w:r>
              <w:rPr>
                <w:rFonts w:hint="eastAsia" w:ascii="宋体" w:hAnsi="宋体" w:eastAsia="Calibri" w:cs="Calibri"/>
                <w:b/>
                <w:color w:val="auto"/>
                <w:szCs w:val="21"/>
                <w:highlight w:val="none"/>
              </w:rPr>
              <w:t>评分标准</w:t>
            </w:r>
          </w:p>
          <w:p w14:paraId="3A773332">
            <w:pPr>
              <w:jc w:val="center"/>
              <w:rPr>
                <w:rFonts w:ascii="宋体" w:hAnsi="宋体" w:cs="宋体"/>
                <w:color w:val="auto"/>
                <w:szCs w:val="21"/>
                <w:highlight w:val="none"/>
              </w:rPr>
            </w:pPr>
            <w:r>
              <w:rPr>
                <w:rFonts w:hint="eastAsia" w:ascii="宋体" w:hAnsi="宋体" w:eastAsia="Calibri" w:cs="Calibri"/>
                <w:b/>
                <w:color w:val="auto"/>
                <w:szCs w:val="21"/>
                <w:highlight w:val="none"/>
              </w:rPr>
              <w:t>（</w:t>
            </w:r>
            <w:r>
              <w:rPr>
                <w:rFonts w:hint="eastAsia" w:ascii="宋体" w:hAnsi="宋体" w:cs="Calibri"/>
                <w:b/>
                <w:color w:val="auto"/>
                <w:szCs w:val="21"/>
                <w:highlight w:val="none"/>
                <w:lang w:val="en-US" w:eastAsia="zh-CN"/>
              </w:rPr>
              <w:t>10</w:t>
            </w:r>
            <w:r>
              <w:rPr>
                <w:rFonts w:hint="eastAsia" w:ascii="宋体" w:hAnsi="宋体" w:eastAsia="Calibri" w:cs="Calibri"/>
                <w:b/>
                <w:color w:val="auto"/>
                <w:szCs w:val="21"/>
                <w:highlight w:val="none"/>
              </w:rPr>
              <w:t>分）</w:t>
            </w:r>
          </w:p>
        </w:tc>
        <w:tc>
          <w:tcPr>
            <w:tcW w:w="201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23B3F49">
            <w:pPr>
              <w:jc w:val="center"/>
              <w:rPr>
                <w:rFonts w:ascii="宋体" w:hAnsi="宋体" w:cs="宋体"/>
                <w:color w:val="auto"/>
                <w:szCs w:val="21"/>
                <w:highlight w:val="none"/>
              </w:rPr>
            </w:pPr>
            <w:r>
              <w:rPr>
                <w:rFonts w:hint="eastAsia" w:ascii="宋体" w:hAnsi="宋体" w:cs="宋体"/>
                <w:color w:val="auto"/>
                <w:szCs w:val="21"/>
                <w:highlight w:val="none"/>
              </w:rPr>
              <w:t>投标报价</w:t>
            </w:r>
          </w:p>
          <w:p w14:paraId="7BD79516">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520B2EB3">
            <w:pPr>
              <w:pStyle w:val="2"/>
              <w:spacing w:line="360" w:lineRule="exact"/>
              <w:ind w:firstLine="0"/>
              <w:rPr>
                <w:rFonts w:ascii="宋体" w:hAnsi="宋体"/>
                <w:b/>
                <w:color w:val="auto"/>
                <w:szCs w:val="21"/>
                <w:highlight w:val="none"/>
              </w:rPr>
            </w:pPr>
            <w:r>
              <w:rPr>
                <w:rFonts w:hint="eastAsia" w:ascii="宋体" w:hAnsi="宋体" w:cs="宋体"/>
                <w:color w:val="auto"/>
                <w:szCs w:val="21"/>
                <w:highlight w:val="none"/>
                <w:lang w:val="zh-CN"/>
              </w:rPr>
              <w:t>以评标基准价作为计算各有效投标报价得分的基础，当有效投标报价等于评标基准价时得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分；投标有效报价与评标基准价相比，每上偏1%扣</w:t>
            </w:r>
            <w:r>
              <w:rPr>
                <w:rFonts w:hint="eastAsia" w:ascii="宋体" w:hAnsi="宋体" w:cs="宋体"/>
                <w:color w:val="auto"/>
                <w:szCs w:val="21"/>
                <w:highlight w:val="none"/>
                <w:lang w:val="en-US" w:eastAsia="zh-CN"/>
              </w:rPr>
              <w:t>0.75</w:t>
            </w:r>
            <w:r>
              <w:rPr>
                <w:rFonts w:hint="eastAsia" w:ascii="宋体" w:hAnsi="宋体" w:cs="宋体"/>
                <w:color w:val="auto"/>
                <w:szCs w:val="21"/>
                <w:highlight w:val="none"/>
                <w:lang w:val="zh-CN"/>
              </w:rPr>
              <w:t>分，每下偏1%扣0.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分；最多减至0分止。得出投标人的投标报价得分。</w:t>
            </w:r>
          </w:p>
        </w:tc>
      </w:tr>
    </w:tbl>
    <w:p w14:paraId="248D02BF">
      <w:pPr>
        <w:spacing w:before="156" w:beforeLines="50" w:line="36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说明</w:t>
      </w:r>
      <w:r>
        <w:rPr>
          <w:rFonts w:hint="eastAsia" w:ascii="宋体" w:hAnsi="宋体" w:cs="宋体"/>
          <w:color w:val="auto"/>
          <w:szCs w:val="21"/>
          <w:highlight w:val="none"/>
          <w:lang w:val="zh-CN"/>
        </w:rPr>
        <w:t>：1、投标人的总得分为各评委的评分的算术平均分（分数出现小数点时，保留小数点后二位，第三位小数四舍五入）。</w:t>
      </w:r>
    </w:p>
    <w:p w14:paraId="27023F41">
      <w:pPr>
        <w:pStyle w:val="10"/>
        <w:rPr>
          <w:rFonts w:hint="default" w:eastAsia="宋体"/>
          <w:color w:val="auto"/>
          <w:highlight w:val="none"/>
          <w:lang w:val="en-US" w:eastAsia="zh-CN"/>
        </w:rPr>
      </w:pPr>
      <w:r>
        <w:rPr>
          <w:rFonts w:hint="eastAsia" w:ascii="宋体" w:hAnsi="宋体" w:cs="宋体"/>
          <w:color w:val="auto"/>
          <w:szCs w:val="21"/>
          <w:highlight w:val="none"/>
          <w:lang w:val="en-US" w:eastAsia="zh-CN"/>
        </w:rPr>
        <w:t>2、表中“[ ]”代表闭区间，如[1，0]代表该分数段范围为大于等于0且小于等于1。表中“（  ）”代表开区间，如（2，1）代表该分数段范围为大于1且小于2。</w:t>
      </w:r>
    </w:p>
    <w:p w14:paraId="6F7088AB">
      <w:pPr>
        <w:pStyle w:val="6"/>
        <w:rPr>
          <w:color w:val="auto"/>
          <w:szCs w:val="21"/>
          <w:highlight w:val="none"/>
        </w:rPr>
      </w:pPr>
      <w:r>
        <w:rPr>
          <w:rFonts w:hint="eastAsia"/>
          <w:color w:val="auto"/>
          <w:highlight w:val="none"/>
        </w:rPr>
        <w:br w:type="page"/>
      </w:r>
      <w:bookmarkStart w:id="117" w:name="_Toc118553986"/>
      <w:r>
        <w:rPr>
          <w:rFonts w:hint="eastAsia"/>
          <w:color w:val="auto"/>
          <w:highlight w:val="none"/>
        </w:rPr>
        <w:t>附表五：算术复核表</w:t>
      </w:r>
      <w:bookmarkEnd w:id="117"/>
    </w:p>
    <w:p w14:paraId="201C73CB">
      <w:pPr>
        <w:spacing w:line="360" w:lineRule="auto"/>
        <w:jc w:val="center"/>
        <w:rPr>
          <w:rFonts w:ascii="宋体" w:hAnsi="宋体"/>
          <w:b/>
          <w:color w:val="auto"/>
          <w:sz w:val="36"/>
          <w:szCs w:val="36"/>
          <w:highlight w:val="none"/>
        </w:rPr>
      </w:pPr>
      <w:r>
        <w:rPr>
          <w:rFonts w:hint="eastAsia" w:ascii="宋体" w:hAnsi="宋体" w:cs="宋体"/>
          <w:color w:val="auto"/>
          <w:sz w:val="28"/>
          <w:szCs w:val="28"/>
          <w:highlight w:val="none"/>
        </w:rPr>
        <w:t>算术复核表</w:t>
      </w:r>
    </w:p>
    <w:p w14:paraId="47A1B2BB">
      <w:pPr>
        <w:adjustRightInd w:val="0"/>
        <w:snapToGrid w:val="0"/>
        <w:spacing w:line="360" w:lineRule="auto"/>
        <w:rPr>
          <w:rFonts w:ascii="宋体" w:hAnsi="宋体"/>
          <w:color w:val="auto"/>
          <w:szCs w:val="36"/>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tbl>
      <w:tblPr>
        <w:tblStyle w:val="27"/>
        <w:tblW w:w="0" w:type="auto"/>
        <w:jc w:val="center"/>
        <w:tblLayout w:type="fixed"/>
        <w:tblCellMar>
          <w:top w:w="0" w:type="dxa"/>
          <w:left w:w="108" w:type="dxa"/>
          <w:bottom w:w="0" w:type="dxa"/>
          <w:right w:w="108" w:type="dxa"/>
        </w:tblCellMar>
      </w:tblPr>
      <w:tblGrid>
        <w:gridCol w:w="727"/>
        <w:gridCol w:w="2057"/>
        <w:gridCol w:w="1701"/>
        <w:gridCol w:w="2410"/>
        <w:gridCol w:w="2866"/>
      </w:tblGrid>
      <w:tr w14:paraId="5B2F6F22">
        <w:tblPrEx>
          <w:tblCellMar>
            <w:top w:w="0" w:type="dxa"/>
            <w:left w:w="108" w:type="dxa"/>
            <w:bottom w:w="0" w:type="dxa"/>
            <w:right w:w="108" w:type="dxa"/>
          </w:tblCellMar>
        </w:tblPrEx>
        <w:trPr>
          <w:trHeight w:val="38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60881EC">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编号</w:t>
            </w:r>
          </w:p>
        </w:tc>
        <w:tc>
          <w:tcPr>
            <w:tcW w:w="2057" w:type="dxa"/>
            <w:tcBorders>
              <w:top w:val="single" w:color="auto" w:sz="4" w:space="0"/>
              <w:left w:val="nil"/>
              <w:bottom w:val="single" w:color="auto" w:sz="4" w:space="0"/>
              <w:right w:val="single" w:color="auto" w:sz="4" w:space="0"/>
            </w:tcBorders>
            <w:vAlign w:val="center"/>
          </w:tcPr>
          <w:p w14:paraId="19BEA198">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投标人名称</w:t>
            </w:r>
          </w:p>
        </w:tc>
        <w:tc>
          <w:tcPr>
            <w:tcW w:w="1701" w:type="dxa"/>
            <w:tcBorders>
              <w:top w:val="single" w:color="auto" w:sz="4" w:space="0"/>
              <w:left w:val="nil"/>
              <w:bottom w:val="single" w:color="auto" w:sz="4" w:space="0"/>
              <w:right w:val="single" w:color="auto" w:sz="4" w:space="0"/>
            </w:tcBorders>
            <w:vAlign w:val="center"/>
          </w:tcPr>
          <w:p w14:paraId="3AA61B8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原投标报价</w:t>
            </w:r>
            <w:r>
              <w:rPr>
                <w:rFonts w:ascii="宋体" w:hAnsi="宋体"/>
                <w:color w:val="auto"/>
                <w:szCs w:val="21"/>
                <w:highlight w:val="none"/>
              </w:rPr>
              <w:t>A</w:t>
            </w:r>
          </w:p>
        </w:tc>
        <w:tc>
          <w:tcPr>
            <w:tcW w:w="2410" w:type="dxa"/>
            <w:tcBorders>
              <w:top w:val="single" w:color="auto" w:sz="4" w:space="0"/>
              <w:left w:val="nil"/>
              <w:bottom w:val="single" w:color="auto" w:sz="4" w:space="0"/>
              <w:right w:val="single" w:color="auto" w:sz="4" w:space="0"/>
            </w:tcBorders>
            <w:vAlign w:val="center"/>
          </w:tcPr>
          <w:p w14:paraId="456E9D01">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算术复核后投标报价</w:t>
            </w:r>
            <w:r>
              <w:rPr>
                <w:rFonts w:ascii="宋体" w:hAnsi="宋体"/>
                <w:color w:val="auto"/>
                <w:szCs w:val="21"/>
                <w:highlight w:val="none"/>
              </w:rPr>
              <w:t>B</w:t>
            </w:r>
          </w:p>
        </w:tc>
        <w:tc>
          <w:tcPr>
            <w:tcW w:w="2866" w:type="dxa"/>
            <w:tcBorders>
              <w:top w:val="single" w:color="auto" w:sz="4" w:space="0"/>
              <w:left w:val="nil"/>
              <w:bottom w:val="single" w:color="auto" w:sz="4" w:space="0"/>
              <w:right w:val="single" w:color="auto" w:sz="4" w:space="0"/>
            </w:tcBorders>
            <w:vAlign w:val="center"/>
          </w:tcPr>
          <w:p w14:paraId="1ADDCED9">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误差率</w:t>
            </w:r>
            <w:r>
              <w:rPr>
                <w:rFonts w:ascii="宋体" w:hAnsi="宋体"/>
                <w:color w:val="auto"/>
                <w:szCs w:val="21"/>
                <w:highlight w:val="none"/>
              </w:rPr>
              <w:t>r=</w:t>
            </w:r>
            <w:r>
              <w:rPr>
                <w:rFonts w:hint="eastAsia" w:ascii="宋体" w:hAnsi="宋体"/>
                <w:color w:val="auto"/>
                <w:szCs w:val="21"/>
                <w:highlight w:val="none"/>
              </w:rPr>
              <w:t>︱</w:t>
            </w:r>
            <w:r>
              <w:rPr>
                <w:rFonts w:ascii="宋体" w:hAnsi="宋体"/>
                <w:color w:val="auto"/>
                <w:szCs w:val="21"/>
                <w:highlight w:val="none"/>
              </w:rPr>
              <w:t>A-B</w:t>
            </w:r>
            <w:r>
              <w:rPr>
                <w:rFonts w:hint="eastAsia" w:ascii="宋体" w:hAnsi="宋体"/>
                <w:color w:val="auto"/>
                <w:szCs w:val="21"/>
                <w:highlight w:val="none"/>
              </w:rPr>
              <w:t>︳</w:t>
            </w:r>
            <w:r>
              <w:rPr>
                <w:rFonts w:ascii="宋体" w:hAnsi="宋体"/>
                <w:color w:val="auto"/>
                <w:szCs w:val="21"/>
                <w:highlight w:val="none"/>
              </w:rPr>
              <w:t>/ A *100%</w:t>
            </w:r>
          </w:p>
        </w:tc>
      </w:tr>
      <w:tr w14:paraId="25B09532">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39816C96">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057" w:type="dxa"/>
            <w:tcBorders>
              <w:top w:val="nil"/>
              <w:left w:val="nil"/>
              <w:bottom w:val="single" w:color="auto" w:sz="4" w:space="0"/>
              <w:right w:val="single" w:color="auto" w:sz="4" w:space="0"/>
            </w:tcBorders>
            <w:vAlign w:val="center"/>
          </w:tcPr>
          <w:p w14:paraId="28116F6E">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6A79663B">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758C9E6C">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224FD6F4">
            <w:pPr>
              <w:snapToGrid w:val="0"/>
              <w:spacing w:line="240" w:lineRule="atLeast"/>
              <w:jc w:val="center"/>
              <w:rPr>
                <w:rFonts w:ascii="宋体" w:hAnsi="宋体"/>
                <w:color w:val="auto"/>
                <w:szCs w:val="21"/>
                <w:highlight w:val="none"/>
              </w:rPr>
            </w:pPr>
          </w:p>
        </w:tc>
      </w:tr>
      <w:tr w14:paraId="517697E2">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49CC8F38">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2</w:t>
            </w:r>
          </w:p>
        </w:tc>
        <w:tc>
          <w:tcPr>
            <w:tcW w:w="2057" w:type="dxa"/>
            <w:tcBorders>
              <w:top w:val="nil"/>
              <w:left w:val="nil"/>
              <w:bottom w:val="single" w:color="auto" w:sz="4" w:space="0"/>
              <w:right w:val="single" w:color="auto" w:sz="4" w:space="0"/>
            </w:tcBorders>
            <w:vAlign w:val="center"/>
          </w:tcPr>
          <w:p w14:paraId="4E4DF773">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67D4FA5B">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691717CD">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479DA0A7">
            <w:pPr>
              <w:snapToGrid w:val="0"/>
              <w:spacing w:line="240" w:lineRule="atLeast"/>
              <w:jc w:val="center"/>
              <w:rPr>
                <w:rFonts w:ascii="宋体" w:hAnsi="宋体"/>
                <w:color w:val="auto"/>
                <w:szCs w:val="21"/>
                <w:highlight w:val="none"/>
              </w:rPr>
            </w:pPr>
          </w:p>
        </w:tc>
      </w:tr>
      <w:tr w14:paraId="69972332">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2E87C78B">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3</w:t>
            </w:r>
          </w:p>
        </w:tc>
        <w:tc>
          <w:tcPr>
            <w:tcW w:w="2057" w:type="dxa"/>
            <w:tcBorders>
              <w:top w:val="nil"/>
              <w:left w:val="nil"/>
              <w:bottom w:val="single" w:color="auto" w:sz="4" w:space="0"/>
              <w:right w:val="single" w:color="auto" w:sz="4" w:space="0"/>
            </w:tcBorders>
            <w:vAlign w:val="center"/>
          </w:tcPr>
          <w:p w14:paraId="77F9BC43">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3B007F3D">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38B7E776">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4F5A76D9">
            <w:pPr>
              <w:snapToGrid w:val="0"/>
              <w:spacing w:line="240" w:lineRule="atLeast"/>
              <w:jc w:val="center"/>
              <w:rPr>
                <w:rFonts w:ascii="宋体" w:hAnsi="宋体"/>
                <w:color w:val="auto"/>
                <w:szCs w:val="21"/>
                <w:highlight w:val="none"/>
              </w:rPr>
            </w:pPr>
          </w:p>
        </w:tc>
      </w:tr>
      <w:tr w14:paraId="064F3BC9">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5BF4290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2057" w:type="dxa"/>
            <w:tcBorders>
              <w:top w:val="nil"/>
              <w:left w:val="nil"/>
              <w:bottom w:val="single" w:color="auto" w:sz="4" w:space="0"/>
              <w:right w:val="single" w:color="auto" w:sz="4" w:space="0"/>
            </w:tcBorders>
            <w:vAlign w:val="center"/>
          </w:tcPr>
          <w:p w14:paraId="45FC2914">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15670170">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39B4F6DB">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2F157F53">
            <w:pPr>
              <w:snapToGrid w:val="0"/>
              <w:spacing w:line="240" w:lineRule="atLeast"/>
              <w:jc w:val="center"/>
              <w:rPr>
                <w:rFonts w:ascii="宋体" w:hAnsi="宋体"/>
                <w:color w:val="auto"/>
                <w:szCs w:val="21"/>
                <w:highlight w:val="none"/>
              </w:rPr>
            </w:pPr>
          </w:p>
        </w:tc>
      </w:tr>
      <w:tr w14:paraId="09D1BF1E">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75AF33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5</w:t>
            </w:r>
          </w:p>
        </w:tc>
        <w:tc>
          <w:tcPr>
            <w:tcW w:w="2057" w:type="dxa"/>
            <w:tcBorders>
              <w:top w:val="nil"/>
              <w:left w:val="nil"/>
              <w:bottom w:val="single" w:color="auto" w:sz="4" w:space="0"/>
              <w:right w:val="single" w:color="auto" w:sz="4" w:space="0"/>
            </w:tcBorders>
            <w:vAlign w:val="center"/>
          </w:tcPr>
          <w:p w14:paraId="77130845">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0F0FE520">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415D1EBE">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07AD9D4A">
            <w:pPr>
              <w:snapToGrid w:val="0"/>
              <w:spacing w:line="240" w:lineRule="atLeast"/>
              <w:jc w:val="center"/>
              <w:rPr>
                <w:rFonts w:ascii="宋体" w:hAnsi="宋体"/>
                <w:color w:val="auto"/>
                <w:szCs w:val="21"/>
                <w:highlight w:val="none"/>
              </w:rPr>
            </w:pPr>
          </w:p>
        </w:tc>
      </w:tr>
      <w:tr w14:paraId="2BFD4FFB">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74A9762A">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6</w:t>
            </w:r>
          </w:p>
        </w:tc>
        <w:tc>
          <w:tcPr>
            <w:tcW w:w="2057" w:type="dxa"/>
            <w:tcBorders>
              <w:top w:val="nil"/>
              <w:left w:val="nil"/>
              <w:bottom w:val="single" w:color="auto" w:sz="4" w:space="0"/>
              <w:right w:val="single" w:color="auto" w:sz="4" w:space="0"/>
            </w:tcBorders>
            <w:vAlign w:val="center"/>
          </w:tcPr>
          <w:p w14:paraId="5C9C5C38">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63DC2EDA">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0F6DBD49">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387845E9">
            <w:pPr>
              <w:snapToGrid w:val="0"/>
              <w:spacing w:line="240" w:lineRule="atLeast"/>
              <w:jc w:val="center"/>
              <w:rPr>
                <w:rFonts w:ascii="宋体" w:hAnsi="宋体"/>
                <w:color w:val="auto"/>
                <w:szCs w:val="21"/>
                <w:highlight w:val="none"/>
              </w:rPr>
            </w:pPr>
          </w:p>
        </w:tc>
      </w:tr>
      <w:tr w14:paraId="3A039F4B">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239B9110">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7</w:t>
            </w:r>
          </w:p>
        </w:tc>
        <w:tc>
          <w:tcPr>
            <w:tcW w:w="2057" w:type="dxa"/>
            <w:tcBorders>
              <w:top w:val="nil"/>
              <w:left w:val="nil"/>
              <w:bottom w:val="single" w:color="auto" w:sz="4" w:space="0"/>
              <w:right w:val="single" w:color="auto" w:sz="4" w:space="0"/>
            </w:tcBorders>
            <w:vAlign w:val="center"/>
          </w:tcPr>
          <w:p w14:paraId="630BA054">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2E6D7928">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76C72388">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226E3D9D">
            <w:pPr>
              <w:snapToGrid w:val="0"/>
              <w:spacing w:line="240" w:lineRule="atLeast"/>
              <w:jc w:val="center"/>
              <w:rPr>
                <w:rFonts w:ascii="宋体" w:hAnsi="宋体"/>
                <w:color w:val="auto"/>
                <w:szCs w:val="21"/>
                <w:highlight w:val="none"/>
              </w:rPr>
            </w:pPr>
          </w:p>
        </w:tc>
      </w:tr>
      <w:tr w14:paraId="43F430F4">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A51076C">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8</w:t>
            </w:r>
          </w:p>
        </w:tc>
        <w:tc>
          <w:tcPr>
            <w:tcW w:w="2057" w:type="dxa"/>
            <w:tcBorders>
              <w:top w:val="nil"/>
              <w:left w:val="nil"/>
              <w:bottom w:val="single" w:color="auto" w:sz="4" w:space="0"/>
              <w:right w:val="single" w:color="auto" w:sz="4" w:space="0"/>
            </w:tcBorders>
            <w:vAlign w:val="center"/>
          </w:tcPr>
          <w:p w14:paraId="0A248820">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307AC421">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078E8CB8">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36825BE5">
            <w:pPr>
              <w:snapToGrid w:val="0"/>
              <w:spacing w:line="240" w:lineRule="atLeast"/>
              <w:jc w:val="center"/>
              <w:rPr>
                <w:rFonts w:ascii="宋体" w:hAnsi="宋体"/>
                <w:color w:val="auto"/>
                <w:szCs w:val="21"/>
                <w:highlight w:val="none"/>
              </w:rPr>
            </w:pPr>
          </w:p>
        </w:tc>
      </w:tr>
      <w:tr w14:paraId="46F400F8">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17B6A5F5">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9</w:t>
            </w:r>
          </w:p>
        </w:tc>
        <w:tc>
          <w:tcPr>
            <w:tcW w:w="2057" w:type="dxa"/>
            <w:tcBorders>
              <w:top w:val="nil"/>
              <w:left w:val="nil"/>
              <w:bottom w:val="single" w:color="auto" w:sz="4" w:space="0"/>
              <w:right w:val="single" w:color="auto" w:sz="4" w:space="0"/>
            </w:tcBorders>
            <w:vAlign w:val="center"/>
          </w:tcPr>
          <w:p w14:paraId="6CF98BA4">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43261093">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60034D0F">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1829C356">
            <w:pPr>
              <w:snapToGrid w:val="0"/>
              <w:spacing w:line="240" w:lineRule="atLeast"/>
              <w:jc w:val="center"/>
              <w:rPr>
                <w:rFonts w:ascii="宋体" w:hAnsi="宋体"/>
                <w:color w:val="auto"/>
                <w:szCs w:val="21"/>
                <w:highlight w:val="none"/>
              </w:rPr>
            </w:pPr>
          </w:p>
        </w:tc>
      </w:tr>
      <w:tr w14:paraId="24A50281">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EA6036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10</w:t>
            </w:r>
          </w:p>
        </w:tc>
        <w:tc>
          <w:tcPr>
            <w:tcW w:w="2057" w:type="dxa"/>
            <w:tcBorders>
              <w:top w:val="nil"/>
              <w:left w:val="nil"/>
              <w:bottom w:val="single" w:color="auto" w:sz="4" w:space="0"/>
              <w:right w:val="single" w:color="auto" w:sz="4" w:space="0"/>
            </w:tcBorders>
            <w:vAlign w:val="center"/>
          </w:tcPr>
          <w:p w14:paraId="191051D8">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7C7A70E1">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56AFBBDB">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38F465FA">
            <w:pPr>
              <w:snapToGrid w:val="0"/>
              <w:spacing w:line="240" w:lineRule="atLeast"/>
              <w:jc w:val="center"/>
              <w:rPr>
                <w:rFonts w:ascii="宋体" w:hAnsi="宋体"/>
                <w:color w:val="auto"/>
                <w:szCs w:val="21"/>
                <w:highlight w:val="none"/>
              </w:rPr>
            </w:pPr>
          </w:p>
        </w:tc>
      </w:tr>
      <w:tr w14:paraId="36C6C497">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0B08EF50">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w:t>
            </w:r>
          </w:p>
        </w:tc>
        <w:tc>
          <w:tcPr>
            <w:tcW w:w="2057" w:type="dxa"/>
            <w:tcBorders>
              <w:top w:val="nil"/>
              <w:left w:val="nil"/>
              <w:bottom w:val="single" w:color="auto" w:sz="4" w:space="0"/>
              <w:right w:val="single" w:color="auto" w:sz="4" w:space="0"/>
            </w:tcBorders>
            <w:vAlign w:val="center"/>
          </w:tcPr>
          <w:p w14:paraId="07A42348">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5B0B7EF0">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2DE3FC56">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23AF0DA4">
            <w:pPr>
              <w:snapToGrid w:val="0"/>
              <w:spacing w:line="240" w:lineRule="atLeast"/>
              <w:jc w:val="center"/>
              <w:rPr>
                <w:rFonts w:ascii="宋体" w:hAnsi="宋体"/>
                <w:color w:val="auto"/>
                <w:szCs w:val="21"/>
                <w:highlight w:val="none"/>
              </w:rPr>
            </w:pPr>
          </w:p>
        </w:tc>
      </w:tr>
    </w:tbl>
    <w:p w14:paraId="393A5A53">
      <w:pPr>
        <w:snapToGrid w:val="0"/>
        <w:spacing w:line="240" w:lineRule="atLeast"/>
        <w:jc w:val="center"/>
        <w:rPr>
          <w:rFonts w:ascii="宋体" w:hAnsi="宋体"/>
          <w:color w:val="auto"/>
          <w:szCs w:val="21"/>
          <w:highlight w:val="none"/>
        </w:rPr>
      </w:pPr>
    </w:p>
    <w:p w14:paraId="40F213FF">
      <w:pPr>
        <w:pStyle w:val="2"/>
        <w:adjustRightInd w:val="0"/>
        <w:snapToGrid w:val="0"/>
        <w:spacing w:line="360" w:lineRule="auto"/>
        <w:ind w:firstLine="0"/>
        <w:rPr>
          <w:rFonts w:ascii="宋体" w:hAnsi="宋体"/>
          <w:color w:val="auto"/>
          <w:highlight w:val="none"/>
        </w:rPr>
      </w:pPr>
    </w:p>
    <w:p w14:paraId="1245CF2E">
      <w:pPr>
        <w:pStyle w:val="6"/>
        <w:rPr>
          <w:color w:val="auto"/>
          <w:highlight w:val="none"/>
        </w:rPr>
      </w:pPr>
      <w:r>
        <w:rPr>
          <w:bCs/>
          <w:color w:val="auto"/>
          <w:highlight w:val="none"/>
        </w:rPr>
        <w:br w:type="page"/>
      </w:r>
      <w:bookmarkStart w:id="118" w:name="_Toc118553987"/>
      <w:r>
        <w:rPr>
          <w:rFonts w:hint="eastAsia"/>
          <w:bCs/>
          <w:color w:val="auto"/>
          <w:highlight w:val="none"/>
        </w:rPr>
        <w:t>附表六：</w:t>
      </w:r>
      <w:r>
        <w:rPr>
          <w:rFonts w:hint="eastAsia"/>
          <w:color w:val="auto"/>
          <w:highlight w:val="none"/>
        </w:rPr>
        <w:t>报价得分计算表</w:t>
      </w:r>
      <w:bookmarkEnd w:id="118"/>
    </w:p>
    <w:p w14:paraId="1873BE6F">
      <w:pPr>
        <w:spacing w:line="360" w:lineRule="auto"/>
        <w:jc w:val="center"/>
        <w:rPr>
          <w:rFonts w:ascii="宋体" w:hAnsi="宋体"/>
          <w:b/>
          <w:color w:val="auto"/>
          <w:sz w:val="36"/>
          <w:szCs w:val="36"/>
          <w:highlight w:val="none"/>
        </w:rPr>
      </w:pPr>
      <w:r>
        <w:rPr>
          <w:rFonts w:hint="eastAsia" w:ascii="宋体" w:hAnsi="宋体" w:cs="宋体"/>
          <w:color w:val="auto"/>
          <w:sz w:val="28"/>
          <w:szCs w:val="28"/>
          <w:highlight w:val="none"/>
        </w:rPr>
        <w:t>报价得分计算表</w:t>
      </w:r>
    </w:p>
    <w:p w14:paraId="347F7775">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71"/>
        <w:gridCol w:w="671"/>
        <w:gridCol w:w="671"/>
        <w:gridCol w:w="671"/>
        <w:gridCol w:w="671"/>
        <w:gridCol w:w="671"/>
        <w:gridCol w:w="671"/>
        <w:gridCol w:w="671"/>
        <w:gridCol w:w="671"/>
        <w:gridCol w:w="671"/>
        <w:gridCol w:w="672"/>
      </w:tblGrid>
      <w:tr w14:paraId="0FD1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57" w:type="dxa"/>
            <w:vAlign w:val="center"/>
          </w:tcPr>
          <w:p w14:paraId="314CA32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投标人名称</w:t>
            </w:r>
          </w:p>
        </w:tc>
        <w:tc>
          <w:tcPr>
            <w:tcW w:w="671" w:type="dxa"/>
            <w:vAlign w:val="center"/>
          </w:tcPr>
          <w:p w14:paraId="4217FB2B">
            <w:pPr>
              <w:snapToGrid w:val="0"/>
              <w:spacing w:line="240" w:lineRule="atLeast"/>
              <w:jc w:val="center"/>
              <w:rPr>
                <w:rFonts w:ascii="宋体" w:hAnsi="宋体"/>
                <w:color w:val="auto"/>
                <w:szCs w:val="21"/>
                <w:highlight w:val="none"/>
              </w:rPr>
            </w:pPr>
          </w:p>
        </w:tc>
        <w:tc>
          <w:tcPr>
            <w:tcW w:w="671" w:type="dxa"/>
            <w:vAlign w:val="center"/>
          </w:tcPr>
          <w:p w14:paraId="5BAB4AA7">
            <w:pPr>
              <w:snapToGrid w:val="0"/>
              <w:spacing w:line="240" w:lineRule="atLeast"/>
              <w:jc w:val="center"/>
              <w:rPr>
                <w:rFonts w:ascii="宋体" w:hAnsi="宋体"/>
                <w:color w:val="auto"/>
                <w:szCs w:val="21"/>
                <w:highlight w:val="none"/>
              </w:rPr>
            </w:pPr>
          </w:p>
        </w:tc>
        <w:tc>
          <w:tcPr>
            <w:tcW w:w="671" w:type="dxa"/>
            <w:vAlign w:val="center"/>
          </w:tcPr>
          <w:p w14:paraId="00CDD579">
            <w:pPr>
              <w:snapToGrid w:val="0"/>
              <w:spacing w:line="240" w:lineRule="atLeast"/>
              <w:jc w:val="center"/>
              <w:rPr>
                <w:rFonts w:ascii="宋体" w:hAnsi="宋体"/>
                <w:color w:val="auto"/>
                <w:szCs w:val="21"/>
                <w:highlight w:val="none"/>
              </w:rPr>
            </w:pPr>
          </w:p>
        </w:tc>
        <w:tc>
          <w:tcPr>
            <w:tcW w:w="671" w:type="dxa"/>
            <w:vAlign w:val="center"/>
          </w:tcPr>
          <w:p w14:paraId="25F9A329">
            <w:pPr>
              <w:snapToGrid w:val="0"/>
              <w:spacing w:line="240" w:lineRule="atLeast"/>
              <w:jc w:val="center"/>
              <w:rPr>
                <w:rFonts w:ascii="宋体" w:hAnsi="宋体"/>
                <w:color w:val="auto"/>
                <w:szCs w:val="21"/>
                <w:highlight w:val="none"/>
              </w:rPr>
            </w:pPr>
          </w:p>
        </w:tc>
        <w:tc>
          <w:tcPr>
            <w:tcW w:w="671" w:type="dxa"/>
            <w:vAlign w:val="center"/>
          </w:tcPr>
          <w:p w14:paraId="04B64FF8">
            <w:pPr>
              <w:snapToGrid w:val="0"/>
              <w:spacing w:line="240" w:lineRule="atLeast"/>
              <w:jc w:val="center"/>
              <w:rPr>
                <w:rFonts w:ascii="宋体" w:hAnsi="宋体"/>
                <w:color w:val="auto"/>
                <w:szCs w:val="21"/>
                <w:highlight w:val="none"/>
              </w:rPr>
            </w:pPr>
          </w:p>
        </w:tc>
        <w:tc>
          <w:tcPr>
            <w:tcW w:w="671" w:type="dxa"/>
            <w:vAlign w:val="center"/>
          </w:tcPr>
          <w:p w14:paraId="6364CF87">
            <w:pPr>
              <w:snapToGrid w:val="0"/>
              <w:spacing w:line="240" w:lineRule="atLeast"/>
              <w:jc w:val="center"/>
              <w:rPr>
                <w:rFonts w:ascii="宋体" w:hAnsi="宋体"/>
                <w:color w:val="auto"/>
                <w:szCs w:val="21"/>
                <w:highlight w:val="none"/>
              </w:rPr>
            </w:pPr>
          </w:p>
        </w:tc>
        <w:tc>
          <w:tcPr>
            <w:tcW w:w="671" w:type="dxa"/>
            <w:vAlign w:val="center"/>
          </w:tcPr>
          <w:p w14:paraId="61995A8F">
            <w:pPr>
              <w:snapToGrid w:val="0"/>
              <w:spacing w:line="240" w:lineRule="atLeast"/>
              <w:jc w:val="center"/>
              <w:rPr>
                <w:rFonts w:ascii="宋体" w:hAnsi="宋体"/>
                <w:color w:val="auto"/>
                <w:szCs w:val="21"/>
                <w:highlight w:val="none"/>
              </w:rPr>
            </w:pPr>
          </w:p>
        </w:tc>
        <w:tc>
          <w:tcPr>
            <w:tcW w:w="671" w:type="dxa"/>
            <w:vAlign w:val="center"/>
          </w:tcPr>
          <w:p w14:paraId="28FE0628">
            <w:pPr>
              <w:snapToGrid w:val="0"/>
              <w:spacing w:line="240" w:lineRule="atLeast"/>
              <w:jc w:val="center"/>
              <w:rPr>
                <w:rFonts w:ascii="宋体" w:hAnsi="宋体"/>
                <w:color w:val="auto"/>
                <w:szCs w:val="21"/>
                <w:highlight w:val="none"/>
              </w:rPr>
            </w:pPr>
          </w:p>
        </w:tc>
        <w:tc>
          <w:tcPr>
            <w:tcW w:w="671" w:type="dxa"/>
            <w:vAlign w:val="center"/>
          </w:tcPr>
          <w:p w14:paraId="01F5DA3E">
            <w:pPr>
              <w:snapToGrid w:val="0"/>
              <w:spacing w:line="240" w:lineRule="atLeast"/>
              <w:jc w:val="center"/>
              <w:rPr>
                <w:rFonts w:ascii="宋体" w:hAnsi="宋体"/>
                <w:color w:val="auto"/>
                <w:szCs w:val="21"/>
                <w:highlight w:val="none"/>
              </w:rPr>
            </w:pPr>
          </w:p>
        </w:tc>
        <w:tc>
          <w:tcPr>
            <w:tcW w:w="671" w:type="dxa"/>
            <w:vAlign w:val="center"/>
          </w:tcPr>
          <w:p w14:paraId="7C38BD61">
            <w:pPr>
              <w:snapToGrid w:val="0"/>
              <w:spacing w:line="240" w:lineRule="atLeast"/>
              <w:jc w:val="center"/>
              <w:rPr>
                <w:rFonts w:ascii="宋体" w:hAnsi="宋体"/>
                <w:color w:val="auto"/>
                <w:szCs w:val="21"/>
                <w:highlight w:val="none"/>
              </w:rPr>
            </w:pPr>
          </w:p>
        </w:tc>
        <w:tc>
          <w:tcPr>
            <w:tcW w:w="672" w:type="dxa"/>
            <w:vAlign w:val="center"/>
          </w:tcPr>
          <w:p w14:paraId="5E837496">
            <w:pPr>
              <w:snapToGrid w:val="0"/>
              <w:spacing w:line="240" w:lineRule="atLeast"/>
              <w:jc w:val="center"/>
              <w:rPr>
                <w:rFonts w:ascii="宋体" w:hAnsi="宋体"/>
                <w:color w:val="auto"/>
                <w:szCs w:val="21"/>
                <w:highlight w:val="none"/>
              </w:rPr>
            </w:pPr>
          </w:p>
        </w:tc>
      </w:tr>
      <w:tr w14:paraId="4FD7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7" w:type="dxa"/>
            <w:vAlign w:val="center"/>
          </w:tcPr>
          <w:p w14:paraId="5DB4516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投标报价</w:t>
            </w:r>
          </w:p>
          <w:p w14:paraId="07A4A1D0">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（元）</w:t>
            </w:r>
          </w:p>
        </w:tc>
        <w:tc>
          <w:tcPr>
            <w:tcW w:w="671" w:type="dxa"/>
            <w:vAlign w:val="center"/>
          </w:tcPr>
          <w:p w14:paraId="624741CC">
            <w:pPr>
              <w:snapToGrid w:val="0"/>
              <w:spacing w:line="240" w:lineRule="atLeast"/>
              <w:jc w:val="center"/>
              <w:rPr>
                <w:rFonts w:ascii="宋体" w:hAnsi="宋体"/>
                <w:color w:val="auto"/>
                <w:szCs w:val="21"/>
                <w:highlight w:val="none"/>
              </w:rPr>
            </w:pPr>
          </w:p>
        </w:tc>
        <w:tc>
          <w:tcPr>
            <w:tcW w:w="671" w:type="dxa"/>
            <w:vAlign w:val="center"/>
          </w:tcPr>
          <w:p w14:paraId="0F25C028">
            <w:pPr>
              <w:snapToGrid w:val="0"/>
              <w:spacing w:line="240" w:lineRule="atLeast"/>
              <w:jc w:val="center"/>
              <w:rPr>
                <w:rFonts w:ascii="宋体" w:hAnsi="宋体"/>
                <w:color w:val="auto"/>
                <w:szCs w:val="21"/>
                <w:highlight w:val="none"/>
              </w:rPr>
            </w:pPr>
          </w:p>
        </w:tc>
        <w:tc>
          <w:tcPr>
            <w:tcW w:w="671" w:type="dxa"/>
            <w:vAlign w:val="center"/>
          </w:tcPr>
          <w:p w14:paraId="7102BE24">
            <w:pPr>
              <w:snapToGrid w:val="0"/>
              <w:spacing w:line="240" w:lineRule="atLeast"/>
              <w:jc w:val="center"/>
              <w:rPr>
                <w:rFonts w:ascii="宋体" w:hAnsi="宋体"/>
                <w:color w:val="auto"/>
                <w:szCs w:val="21"/>
                <w:highlight w:val="none"/>
              </w:rPr>
            </w:pPr>
          </w:p>
        </w:tc>
        <w:tc>
          <w:tcPr>
            <w:tcW w:w="671" w:type="dxa"/>
            <w:vAlign w:val="center"/>
          </w:tcPr>
          <w:p w14:paraId="44687A2F">
            <w:pPr>
              <w:snapToGrid w:val="0"/>
              <w:spacing w:line="240" w:lineRule="atLeast"/>
              <w:jc w:val="center"/>
              <w:rPr>
                <w:rFonts w:ascii="宋体" w:hAnsi="宋体"/>
                <w:color w:val="auto"/>
                <w:szCs w:val="21"/>
                <w:highlight w:val="none"/>
              </w:rPr>
            </w:pPr>
          </w:p>
        </w:tc>
        <w:tc>
          <w:tcPr>
            <w:tcW w:w="671" w:type="dxa"/>
            <w:vAlign w:val="center"/>
          </w:tcPr>
          <w:p w14:paraId="2C253803">
            <w:pPr>
              <w:snapToGrid w:val="0"/>
              <w:spacing w:line="240" w:lineRule="atLeast"/>
              <w:jc w:val="center"/>
              <w:rPr>
                <w:rFonts w:ascii="宋体" w:hAnsi="宋体"/>
                <w:color w:val="auto"/>
                <w:szCs w:val="21"/>
                <w:highlight w:val="none"/>
              </w:rPr>
            </w:pPr>
          </w:p>
        </w:tc>
        <w:tc>
          <w:tcPr>
            <w:tcW w:w="671" w:type="dxa"/>
            <w:vAlign w:val="center"/>
          </w:tcPr>
          <w:p w14:paraId="1FD843E4">
            <w:pPr>
              <w:snapToGrid w:val="0"/>
              <w:spacing w:line="240" w:lineRule="atLeast"/>
              <w:jc w:val="center"/>
              <w:rPr>
                <w:rFonts w:ascii="宋体" w:hAnsi="宋体"/>
                <w:color w:val="auto"/>
                <w:szCs w:val="21"/>
                <w:highlight w:val="none"/>
              </w:rPr>
            </w:pPr>
          </w:p>
        </w:tc>
        <w:tc>
          <w:tcPr>
            <w:tcW w:w="671" w:type="dxa"/>
            <w:vAlign w:val="center"/>
          </w:tcPr>
          <w:p w14:paraId="600692E9">
            <w:pPr>
              <w:snapToGrid w:val="0"/>
              <w:spacing w:line="240" w:lineRule="atLeast"/>
              <w:jc w:val="center"/>
              <w:rPr>
                <w:rFonts w:ascii="宋体" w:hAnsi="宋体"/>
                <w:color w:val="auto"/>
                <w:szCs w:val="21"/>
                <w:highlight w:val="none"/>
              </w:rPr>
            </w:pPr>
          </w:p>
        </w:tc>
        <w:tc>
          <w:tcPr>
            <w:tcW w:w="671" w:type="dxa"/>
            <w:vAlign w:val="center"/>
          </w:tcPr>
          <w:p w14:paraId="281B9CE7">
            <w:pPr>
              <w:snapToGrid w:val="0"/>
              <w:spacing w:line="240" w:lineRule="atLeast"/>
              <w:jc w:val="center"/>
              <w:rPr>
                <w:rFonts w:ascii="宋体" w:hAnsi="宋体"/>
                <w:color w:val="auto"/>
                <w:szCs w:val="21"/>
                <w:highlight w:val="none"/>
              </w:rPr>
            </w:pPr>
          </w:p>
        </w:tc>
        <w:tc>
          <w:tcPr>
            <w:tcW w:w="671" w:type="dxa"/>
            <w:vAlign w:val="center"/>
          </w:tcPr>
          <w:p w14:paraId="00BD43D6">
            <w:pPr>
              <w:snapToGrid w:val="0"/>
              <w:spacing w:line="240" w:lineRule="atLeast"/>
              <w:jc w:val="center"/>
              <w:rPr>
                <w:rFonts w:ascii="宋体" w:hAnsi="宋体"/>
                <w:color w:val="auto"/>
                <w:szCs w:val="21"/>
                <w:highlight w:val="none"/>
              </w:rPr>
            </w:pPr>
          </w:p>
        </w:tc>
        <w:tc>
          <w:tcPr>
            <w:tcW w:w="671" w:type="dxa"/>
            <w:vAlign w:val="center"/>
          </w:tcPr>
          <w:p w14:paraId="4D095FB1">
            <w:pPr>
              <w:snapToGrid w:val="0"/>
              <w:spacing w:line="240" w:lineRule="atLeast"/>
              <w:jc w:val="center"/>
              <w:rPr>
                <w:rFonts w:ascii="宋体" w:hAnsi="宋体"/>
                <w:color w:val="auto"/>
                <w:szCs w:val="21"/>
                <w:highlight w:val="none"/>
              </w:rPr>
            </w:pPr>
          </w:p>
        </w:tc>
        <w:tc>
          <w:tcPr>
            <w:tcW w:w="672" w:type="dxa"/>
            <w:vAlign w:val="center"/>
          </w:tcPr>
          <w:p w14:paraId="0B79FBB6">
            <w:pPr>
              <w:snapToGrid w:val="0"/>
              <w:spacing w:line="240" w:lineRule="atLeast"/>
              <w:jc w:val="center"/>
              <w:rPr>
                <w:rFonts w:ascii="宋体" w:hAnsi="宋体"/>
                <w:color w:val="auto"/>
                <w:szCs w:val="21"/>
                <w:highlight w:val="none"/>
              </w:rPr>
            </w:pPr>
          </w:p>
        </w:tc>
      </w:tr>
      <w:tr w14:paraId="1301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7908838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评标基准价</w:t>
            </w:r>
          </w:p>
          <w:p w14:paraId="1754B8B1">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（元）</w:t>
            </w:r>
          </w:p>
        </w:tc>
        <w:tc>
          <w:tcPr>
            <w:tcW w:w="7382" w:type="dxa"/>
            <w:gridSpan w:val="11"/>
            <w:vAlign w:val="center"/>
          </w:tcPr>
          <w:p w14:paraId="052A71FA">
            <w:pPr>
              <w:snapToGrid w:val="0"/>
              <w:spacing w:line="240" w:lineRule="atLeast"/>
              <w:jc w:val="center"/>
              <w:rPr>
                <w:rFonts w:ascii="宋体" w:hAnsi="宋体"/>
                <w:color w:val="auto"/>
                <w:szCs w:val="21"/>
                <w:highlight w:val="none"/>
              </w:rPr>
            </w:pPr>
          </w:p>
        </w:tc>
      </w:tr>
      <w:tr w14:paraId="16DC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1215502C">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偏差（%）</w:t>
            </w:r>
          </w:p>
        </w:tc>
        <w:tc>
          <w:tcPr>
            <w:tcW w:w="671" w:type="dxa"/>
            <w:vAlign w:val="center"/>
          </w:tcPr>
          <w:p w14:paraId="328651EC">
            <w:pPr>
              <w:snapToGrid w:val="0"/>
              <w:spacing w:line="240" w:lineRule="atLeast"/>
              <w:jc w:val="center"/>
              <w:rPr>
                <w:rFonts w:ascii="宋体" w:hAnsi="宋体"/>
                <w:color w:val="auto"/>
                <w:szCs w:val="21"/>
                <w:highlight w:val="none"/>
              </w:rPr>
            </w:pPr>
          </w:p>
        </w:tc>
        <w:tc>
          <w:tcPr>
            <w:tcW w:w="671" w:type="dxa"/>
            <w:vAlign w:val="center"/>
          </w:tcPr>
          <w:p w14:paraId="39D7860D">
            <w:pPr>
              <w:snapToGrid w:val="0"/>
              <w:spacing w:line="240" w:lineRule="atLeast"/>
              <w:jc w:val="center"/>
              <w:rPr>
                <w:rFonts w:ascii="宋体" w:hAnsi="宋体"/>
                <w:color w:val="auto"/>
                <w:szCs w:val="21"/>
                <w:highlight w:val="none"/>
              </w:rPr>
            </w:pPr>
          </w:p>
        </w:tc>
        <w:tc>
          <w:tcPr>
            <w:tcW w:w="671" w:type="dxa"/>
            <w:vAlign w:val="center"/>
          </w:tcPr>
          <w:p w14:paraId="1E5FD122">
            <w:pPr>
              <w:snapToGrid w:val="0"/>
              <w:spacing w:line="240" w:lineRule="atLeast"/>
              <w:jc w:val="center"/>
              <w:rPr>
                <w:rFonts w:ascii="宋体" w:hAnsi="宋体"/>
                <w:color w:val="auto"/>
                <w:szCs w:val="21"/>
                <w:highlight w:val="none"/>
              </w:rPr>
            </w:pPr>
          </w:p>
        </w:tc>
        <w:tc>
          <w:tcPr>
            <w:tcW w:w="671" w:type="dxa"/>
            <w:vAlign w:val="center"/>
          </w:tcPr>
          <w:p w14:paraId="536C3E8B">
            <w:pPr>
              <w:snapToGrid w:val="0"/>
              <w:spacing w:line="240" w:lineRule="atLeast"/>
              <w:jc w:val="center"/>
              <w:rPr>
                <w:rFonts w:ascii="宋体" w:hAnsi="宋体"/>
                <w:color w:val="auto"/>
                <w:szCs w:val="21"/>
                <w:highlight w:val="none"/>
              </w:rPr>
            </w:pPr>
          </w:p>
        </w:tc>
        <w:tc>
          <w:tcPr>
            <w:tcW w:w="671" w:type="dxa"/>
            <w:vAlign w:val="center"/>
          </w:tcPr>
          <w:p w14:paraId="672F8715">
            <w:pPr>
              <w:snapToGrid w:val="0"/>
              <w:spacing w:line="240" w:lineRule="atLeast"/>
              <w:jc w:val="center"/>
              <w:rPr>
                <w:rFonts w:ascii="宋体" w:hAnsi="宋体"/>
                <w:color w:val="auto"/>
                <w:szCs w:val="21"/>
                <w:highlight w:val="none"/>
              </w:rPr>
            </w:pPr>
          </w:p>
        </w:tc>
        <w:tc>
          <w:tcPr>
            <w:tcW w:w="671" w:type="dxa"/>
            <w:vAlign w:val="center"/>
          </w:tcPr>
          <w:p w14:paraId="0EA443D9">
            <w:pPr>
              <w:snapToGrid w:val="0"/>
              <w:spacing w:line="240" w:lineRule="atLeast"/>
              <w:jc w:val="center"/>
              <w:rPr>
                <w:rFonts w:ascii="宋体" w:hAnsi="宋体"/>
                <w:color w:val="auto"/>
                <w:szCs w:val="21"/>
                <w:highlight w:val="none"/>
              </w:rPr>
            </w:pPr>
          </w:p>
        </w:tc>
        <w:tc>
          <w:tcPr>
            <w:tcW w:w="671" w:type="dxa"/>
            <w:vAlign w:val="center"/>
          </w:tcPr>
          <w:p w14:paraId="002BC771">
            <w:pPr>
              <w:snapToGrid w:val="0"/>
              <w:spacing w:line="240" w:lineRule="atLeast"/>
              <w:jc w:val="center"/>
              <w:rPr>
                <w:rFonts w:ascii="宋体" w:hAnsi="宋体"/>
                <w:color w:val="auto"/>
                <w:szCs w:val="21"/>
                <w:highlight w:val="none"/>
              </w:rPr>
            </w:pPr>
          </w:p>
        </w:tc>
        <w:tc>
          <w:tcPr>
            <w:tcW w:w="671" w:type="dxa"/>
            <w:vAlign w:val="center"/>
          </w:tcPr>
          <w:p w14:paraId="3268D595">
            <w:pPr>
              <w:snapToGrid w:val="0"/>
              <w:spacing w:line="240" w:lineRule="atLeast"/>
              <w:jc w:val="center"/>
              <w:rPr>
                <w:rFonts w:ascii="宋体" w:hAnsi="宋体"/>
                <w:color w:val="auto"/>
                <w:szCs w:val="21"/>
                <w:highlight w:val="none"/>
              </w:rPr>
            </w:pPr>
          </w:p>
        </w:tc>
        <w:tc>
          <w:tcPr>
            <w:tcW w:w="671" w:type="dxa"/>
            <w:vAlign w:val="center"/>
          </w:tcPr>
          <w:p w14:paraId="4596C950">
            <w:pPr>
              <w:snapToGrid w:val="0"/>
              <w:spacing w:line="240" w:lineRule="atLeast"/>
              <w:jc w:val="center"/>
              <w:rPr>
                <w:rFonts w:ascii="宋体" w:hAnsi="宋体"/>
                <w:color w:val="auto"/>
                <w:szCs w:val="21"/>
                <w:highlight w:val="none"/>
              </w:rPr>
            </w:pPr>
          </w:p>
        </w:tc>
        <w:tc>
          <w:tcPr>
            <w:tcW w:w="671" w:type="dxa"/>
            <w:vAlign w:val="center"/>
          </w:tcPr>
          <w:p w14:paraId="39C0CD67">
            <w:pPr>
              <w:snapToGrid w:val="0"/>
              <w:spacing w:line="240" w:lineRule="atLeast"/>
              <w:jc w:val="center"/>
              <w:rPr>
                <w:rFonts w:ascii="宋体" w:hAnsi="宋体"/>
                <w:color w:val="auto"/>
                <w:szCs w:val="21"/>
                <w:highlight w:val="none"/>
              </w:rPr>
            </w:pPr>
          </w:p>
        </w:tc>
        <w:tc>
          <w:tcPr>
            <w:tcW w:w="672" w:type="dxa"/>
            <w:vAlign w:val="center"/>
          </w:tcPr>
          <w:p w14:paraId="02CA0247">
            <w:pPr>
              <w:snapToGrid w:val="0"/>
              <w:spacing w:line="240" w:lineRule="atLeast"/>
              <w:jc w:val="center"/>
              <w:rPr>
                <w:rFonts w:ascii="宋体" w:hAnsi="宋体"/>
                <w:color w:val="auto"/>
                <w:szCs w:val="21"/>
                <w:highlight w:val="none"/>
              </w:rPr>
            </w:pPr>
          </w:p>
        </w:tc>
      </w:tr>
      <w:tr w14:paraId="1EDF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57" w:type="dxa"/>
            <w:vAlign w:val="center"/>
          </w:tcPr>
          <w:p w14:paraId="42E3EA8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减分</w:t>
            </w:r>
          </w:p>
        </w:tc>
        <w:tc>
          <w:tcPr>
            <w:tcW w:w="671" w:type="dxa"/>
            <w:vAlign w:val="center"/>
          </w:tcPr>
          <w:p w14:paraId="0BD72DAA">
            <w:pPr>
              <w:snapToGrid w:val="0"/>
              <w:spacing w:line="240" w:lineRule="atLeast"/>
              <w:jc w:val="center"/>
              <w:rPr>
                <w:rFonts w:ascii="宋体" w:hAnsi="宋体"/>
                <w:color w:val="auto"/>
                <w:szCs w:val="21"/>
                <w:highlight w:val="none"/>
              </w:rPr>
            </w:pPr>
          </w:p>
        </w:tc>
        <w:tc>
          <w:tcPr>
            <w:tcW w:w="671" w:type="dxa"/>
            <w:vAlign w:val="center"/>
          </w:tcPr>
          <w:p w14:paraId="6C56B8EB">
            <w:pPr>
              <w:snapToGrid w:val="0"/>
              <w:spacing w:line="240" w:lineRule="atLeast"/>
              <w:jc w:val="center"/>
              <w:rPr>
                <w:rFonts w:ascii="宋体" w:hAnsi="宋体"/>
                <w:color w:val="auto"/>
                <w:szCs w:val="21"/>
                <w:highlight w:val="none"/>
              </w:rPr>
            </w:pPr>
          </w:p>
        </w:tc>
        <w:tc>
          <w:tcPr>
            <w:tcW w:w="671" w:type="dxa"/>
            <w:vAlign w:val="center"/>
          </w:tcPr>
          <w:p w14:paraId="3292CFAC">
            <w:pPr>
              <w:snapToGrid w:val="0"/>
              <w:spacing w:line="240" w:lineRule="atLeast"/>
              <w:jc w:val="center"/>
              <w:rPr>
                <w:rFonts w:ascii="宋体" w:hAnsi="宋体"/>
                <w:color w:val="auto"/>
                <w:szCs w:val="21"/>
                <w:highlight w:val="none"/>
              </w:rPr>
            </w:pPr>
          </w:p>
        </w:tc>
        <w:tc>
          <w:tcPr>
            <w:tcW w:w="671" w:type="dxa"/>
            <w:vAlign w:val="center"/>
          </w:tcPr>
          <w:p w14:paraId="31D672F3">
            <w:pPr>
              <w:snapToGrid w:val="0"/>
              <w:spacing w:line="240" w:lineRule="atLeast"/>
              <w:jc w:val="center"/>
              <w:rPr>
                <w:rFonts w:ascii="宋体" w:hAnsi="宋体"/>
                <w:color w:val="auto"/>
                <w:szCs w:val="21"/>
                <w:highlight w:val="none"/>
              </w:rPr>
            </w:pPr>
          </w:p>
        </w:tc>
        <w:tc>
          <w:tcPr>
            <w:tcW w:w="671" w:type="dxa"/>
            <w:vAlign w:val="center"/>
          </w:tcPr>
          <w:p w14:paraId="38320D7A">
            <w:pPr>
              <w:snapToGrid w:val="0"/>
              <w:spacing w:line="240" w:lineRule="atLeast"/>
              <w:jc w:val="center"/>
              <w:rPr>
                <w:rFonts w:ascii="宋体" w:hAnsi="宋体"/>
                <w:color w:val="auto"/>
                <w:szCs w:val="21"/>
                <w:highlight w:val="none"/>
              </w:rPr>
            </w:pPr>
          </w:p>
        </w:tc>
        <w:tc>
          <w:tcPr>
            <w:tcW w:w="671" w:type="dxa"/>
            <w:vAlign w:val="center"/>
          </w:tcPr>
          <w:p w14:paraId="0A37F3A1">
            <w:pPr>
              <w:snapToGrid w:val="0"/>
              <w:spacing w:line="240" w:lineRule="atLeast"/>
              <w:jc w:val="center"/>
              <w:rPr>
                <w:rFonts w:ascii="宋体" w:hAnsi="宋体"/>
                <w:color w:val="auto"/>
                <w:szCs w:val="21"/>
                <w:highlight w:val="none"/>
              </w:rPr>
            </w:pPr>
          </w:p>
        </w:tc>
        <w:tc>
          <w:tcPr>
            <w:tcW w:w="671" w:type="dxa"/>
            <w:vAlign w:val="center"/>
          </w:tcPr>
          <w:p w14:paraId="78397C80">
            <w:pPr>
              <w:snapToGrid w:val="0"/>
              <w:spacing w:line="240" w:lineRule="atLeast"/>
              <w:jc w:val="center"/>
              <w:rPr>
                <w:rFonts w:ascii="宋体" w:hAnsi="宋体"/>
                <w:color w:val="auto"/>
                <w:szCs w:val="21"/>
                <w:highlight w:val="none"/>
              </w:rPr>
            </w:pPr>
          </w:p>
        </w:tc>
        <w:tc>
          <w:tcPr>
            <w:tcW w:w="671" w:type="dxa"/>
            <w:vAlign w:val="center"/>
          </w:tcPr>
          <w:p w14:paraId="33A67655">
            <w:pPr>
              <w:snapToGrid w:val="0"/>
              <w:spacing w:line="240" w:lineRule="atLeast"/>
              <w:jc w:val="center"/>
              <w:rPr>
                <w:rFonts w:ascii="宋体" w:hAnsi="宋体"/>
                <w:color w:val="auto"/>
                <w:szCs w:val="21"/>
                <w:highlight w:val="none"/>
              </w:rPr>
            </w:pPr>
          </w:p>
        </w:tc>
        <w:tc>
          <w:tcPr>
            <w:tcW w:w="671" w:type="dxa"/>
            <w:vAlign w:val="center"/>
          </w:tcPr>
          <w:p w14:paraId="62F0727C">
            <w:pPr>
              <w:snapToGrid w:val="0"/>
              <w:spacing w:line="240" w:lineRule="atLeast"/>
              <w:jc w:val="center"/>
              <w:rPr>
                <w:rFonts w:ascii="宋体" w:hAnsi="宋体"/>
                <w:color w:val="auto"/>
                <w:szCs w:val="21"/>
                <w:highlight w:val="none"/>
              </w:rPr>
            </w:pPr>
          </w:p>
        </w:tc>
        <w:tc>
          <w:tcPr>
            <w:tcW w:w="671" w:type="dxa"/>
            <w:vAlign w:val="center"/>
          </w:tcPr>
          <w:p w14:paraId="64D83892">
            <w:pPr>
              <w:snapToGrid w:val="0"/>
              <w:spacing w:line="240" w:lineRule="atLeast"/>
              <w:jc w:val="center"/>
              <w:rPr>
                <w:rFonts w:ascii="宋体" w:hAnsi="宋体"/>
                <w:color w:val="auto"/>
                <w:szCs w:val="21"/>
                <w:highlight w:val="none"/>
              </w:rPr>
            </w:pPr>
          </w:p>
        </w:tc>
        <w:tc>
          <w:tcPr>
            <w:tcW w:w="672" w:type="dxa"/>
            <w:vAlign w:val="center"/>
          </w:tcPr>
          <w:p w14:paraId="0A9EAA4D">
            <w:pPr>
              <w:snapToGrid w:val="0"/>
              <w:spacing w:line="240" w:lineRule="atLeast"/>
              <w:jc w:val="center"/>
              <w:rPr>
                <w:rFonts w:ascii="宋体" w:hAnsi="宋体"/>
                <w:color w:val="auto"/>
                <w:szCs w:val="21"/>
                <w:highlight w:val="none"/>
              </w:rPr>
            </w:pPr>
          </w:p>
        </w:tc>
      </w:tr>
      <w:tr w14:paraId="3547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4F18A3FF">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得分</w:t>
            </w:r>
          </w:p>
        </w:tc>
        <w:tc>
          <w:tcPr>
            <w:tcW w:w="671" w:type="dxa"/>
            <w:vAlign w:val="center"/>
          </w:tcPr>
          <w:p w14:paraId="4EB60CEE">
            <w:pPr>
              <w:snapToGrid w:val="0"/>
              <w:spacing w:line="240" w:lineRule="atLeast"/>
              <w:jc w:val="center"/>
              <w:rPr>
                <w:rFonts w:ascii="宋体" w:hAnsi="宋体"/>
                <w:color w:val="auto"/>
                <w:szCs w:val="21"/>
                <w:highlight w:val="none"/>
              </w:rPr>
            </w:pPr>
          </w:p>
        </w:tc>
        <w:tc>
          <w:tcPr>
            <w:tcW w:w="671" w:type="dxa"/>
            <w:vAlign w:val="center"/>
          </w:tcPr>
          <w:p w14:paraId="5327D302">
            <w:pPr>
              <w:snapToGrid w:val="0"/>
              <w:spacing w:line="240" w:lineRule="atLeast"/>
              <w:jc w:val="center"/>
              <w:rPr>
                <w:rFonts w:ascii="宋体" w:hAnsi="宋体"/>
                <w:color w:val="auto"/>
                <w:szCs w:val="21"/>
                <w:highlight w:val="none"/>
              </w:rPr>
            </w:pPr>
          </w:p>
        </w:tc>
        <w:tc>
          <w:tcPr>
            <w:tcW w:w="671" w:type="dxa"/>
            <w:vAlign w:val="center"/>
          </w:tcPr>
          <w:p w14:paraId="403C6630">
            <w:pPr>
              <w:snapToGrid w:val="0"/>
              <w:spacing w:line="240" w:lineRule="atLeast"/>
              <w:jc w:val="center"/>
              <w:rPr>
                <w:rFonts w:ascii="宋体" w:hAnsi="宋体"/>
                <w:color w:val="auto"/>
                <w:szCs w:val="21"/>
                <w:highlight w:val="none"/>
              </w:rPr>
            </w:pPr>
          </w:p>
        </w:tc>
        <w:tc>
          <w:tcPr>
            <w:tcW w:w="671" w:type="dxa"/>
            <w:vAlign w:val="center"/>
          </w:tcPr>
          <w:p w14:paraId="3C264EE8">
            <w:pPr>
              <w:snapToGrid w:val="0"/>
              <w:spacing w:line="240" w:lineRule="atLeast"/>
              <w:jc w:val="center"/>
              <w:rPr>
                <w:rFonts w:ascii="宋体" w:hAnsi="宋体"/>
                <w:color w:val="auto"/>
                <w:szCs w:val="21"/>
                <w:highlight w:val="none"/>
              </w:rPr>
            </w:pPr>
          </w:p>
        </w:tc>
        <w:tc>
          <w:tcPr>
            <w:tcW w:w="671" w:type="dxa"/>
            <w:vAlign w:val="center"/>
          </w:tcPr>
          <w:p w14:paraId="7032D762">
            <w:pPr>
              <w:snapToGrid w:val="0"/>
              <w:spacing w:line="240" w:lineRule="atLeast"/>
              <w:jc w:val="center"/>
              <w:rPr>
                <w:rFonts w:ascii="宋体" w:hAnsi="宋体"/>
                <w:color w:val="auto"/>
                <w:szCs w:val="21"/>
                <w:highlight w:val="none"/>
              </w:rPr>
            </w:pPr>
          </w:p>
        </w:tc>
        <w:tc>
          <w:tcPr>
            <w:tcW w:w="671" w:type="dxa"/>
            <w:vAlign w:val="center"/>
          </w:tcPr>
          <w:p w14:paraId="6222D4C3">
            <w:pPr>
              <w:snapToGrid w:val="0"/>
              <w:spacing w:line="240" w:lineRule="atLeast"/>
              <w:jc w:val="center"/>
              <w:rPr>
                <w:rFonts w:ascii="宋体" w:hAnsi="宋体"/>
                <w:color w:val="auto"/>
                <w:szCs w:val="21"/>
                <w:highlight w:val="none"/>
              </w:rPr>
            </w:pPr>
          </w:p>
        </w:tc>
        <w:tc>
          <w:tcPr>
            <w:tcW w:w="671" w:type="dxa"/>
            <w:vAlign w:val="center"/>
          </w:tcPr>
          <w:p w14:paraId="2571033E">
            <w:pPr>
              <w:snapToGrid w:val="0"/>
              <w:spacing w:line="240" w:lineRule="atLeast"/>
              <w:jc w:val="center"/>
              <w:rPr>
                <w:rFonts w:ascii="宋体" w:hAnsi="宋体"/>
                <w:color w:val="auto"/>
                <w:szCs w:val="21"/>
                <w:highlight w:val="none"/>
              </w:rPr>
            </w:pPr>
          </w:p>
        </w:tc>
        <w:tc>
          <w:tcPr>
            <w:tcW w:w="671" w:type="dxa"/>
            <w:vAlign w:val="center"/>
          </w:tcPr>
          <w:p w14:paraId="0F315D44">
            <w:pPr>
              <w:snapToGrid w:val="0"/>
              <w:spacing w:line="240" w:lineRule="atLeast"/>
              <w:jc w:val="center"/>
              <w:rPr>
                <w:rFonts w:ascii="宋体" w:hAnsi="宋体"/>
                <w:color w:val="auto"/>
                <w:szCs w:val="21"/>
                <w:highlight w:val="none"/>
              </w:rPr>
            </w:pPr>
          </w:p>
        </w:tc>
        <w:tc>
          <w:tcPr>
            <w:tcW w:w="671" w:type="dxa"/>
            <w:vAlign w:val="center"/>
          </w:tcPr>
          <w:p w14:paraId="47A8DB48">
            <w:pPr>
              <w:snapToGrid w:val="0"/>
              <w:spacing w:line="240" w:lineRule="atLeast"/>
              <w:jc w:val="center"/>
              <w:rPr>
                <w:rFonts w:ascii="宋体" w:hAnsi="宋体"/>
                <w:color w:val="auto"/>
                <w:szCs w:val="21"/>
                <w:highlight w:val="none"/>
              </w:rPr>
            </w:pPr>
          </w:p>
        </w:tc>
        <w:tc>
          <w:tcPr>
            <w:tcW w:w="671" w:type="dxa"/>
            <w:vAlign w:val="center"/>
          </w:tcPr>
          <w:p w14:paraId="1136347E">
            <w:pPr>
              <w:snapToGrid w:val="0"/>
              <w:spacing w:line="240" w:lineRule="atLeast"/>
              <w:jc w:val="center"/>
              <w:rPr>
                <w:rFonts w:ascii="宋体" w:hAnsi="宋体"/>
                <w:color w:val="auto"/>
                <w:szCs w:val="21"/>
                <w:highlight w:val="none"/>
              </w:rPr>
            </w:pPr>
          </w:p>
        </w:tc>
        <w:tc>
          <w:tcPr>
            <w:tcW w:w="672" w:type="dxa"/>
            <w:vAlign w:val="center"/>
          </w:tcPr>
          <w:p w14:paraId="7C6ADD7F">
            <w:pPr>
              <w:snapToGrid w:val="0"/>
              <w:spacing w:line="240" w:lineRule="atLeast"/>
              <w:jc w:val="center"/>
              <w:rPr>
                <w:rFonts w:ascii="宋体" w:hAnsi="宋体"/>
                <w:color w:val="auto"/>
                <w:szCs w:val="21"/>
                <w:highlight w:val="none"/>
              </w:rPr>
            </w:pPr>
          </w:p>
        </w:tc>
      </w:tr>
    </w:tbl>
    <w:p w14:paraId="53C8B87F">
      <w:pPr>
        <w:pStyle w:val="10"/>
        <w:adjustRightInd w:val="0"/>
        <w:snapToGrid w:val="0"/>
        <w:rPr>
          <w:rFonts w:ascii="宋体" w:hAnsi="宋体" w:cs="宋体"/>
          <w:color w:val="auto"/>
          <w:kern w:val="0"/>
          <w:szCs w:val="21"/>
          <w:highlight w:val="none"/>
        </w:rPr>
      </w:pPr>
    </w:p>
    <w:p w14:paraId="7AD76153">
      <w:pPr>
        <w:pStyle w:val="10"/>
        <w:adjustRightInd w:val="0"/>
        <w:snapToGrid w:val="0"/>
        <w:spacing w:line="360" w:lineRule="auto"/>
        <w:ind w:firstLine="0"/>
        <w:rPr>
          <w:rFonts w:ascii="宋体" w:hAnsi="宋体"/>
          <w:color w:val="auto"/>
          <w:szCs w:val="36"/>
          <w:highlight w:val="none"/>
        </w:rPr>
      </w:pPr>
    </w:p>
    <w:p w14:paraId="343EB66E">
      <w:pPr>
        <w:pStyle w:val="10"/>
        <w:adjustRightInd w:val="0"/>
        <w:snapToGrid w:val="0"/>
        <w:spacing w:line="360" w:lineRule="auto"/>
        <w:ind w:firstLine="0"/>
        <w:rPr>
          <w:rFonts w:ascii="宋体" w:hAnsi="宋体"/>
          <w:color w:val="auto"/>
          <w:szCs w:val="21"/>
          <w:highlight w:val="none"/>
        </w:rPr>
      </w:pPr>
      <w:r>
        <w:rPr>
          <w:rFonts w:hint="eastAsia" w:ascii="宋体" w:hAnsi="宋体"/>
          <w:color w:val="auto"/>
          <w:szCs w:val="21"/>
          <w:highlight w:val="none"/>
        </w:rPr>
        <w:t xml:space="preserve"> 评委签名：                                                 日期：</w:t>
      </w:r>
    </w:p>
    <w:p w14:paraId="503BDB55">
      <w:pPr>
        <w:pStyle w:val="6"/>
        <w:numPr>
          <w:ilvl w:val="0"/>
          <w:numId w:val="1"/>
        </w:numPr>
        <w:rPr>
          <w:color w:val="auto"/>
          <w:highlight w:val="none"/>
        </w:rPr>
      </w:pPr>
      <w:r>
        <w:rPr>
          <w:b w:val="0"/>
          <w:color w:val="auto"/>
          <w:spacing w:val="20"/>
          <w:highlight w:val="none"/>
        </w:rPr>
        <w:br w:type="page"/>
      </w:r>
      <w:bookmarkStart w:id="119" w:name="_Toc118553988"/>
      <w:bookmarkStart w:id="120" w:name="_Toc533357319"/>
      <w:r>
        <w:rPr>
          <w:rFonts w:hint="eastAsia"/>
          <w:color w:val="auto"/>
          <w:highlight w:val="none"/>
        </w:rPr>
        <w:t>评标方法</w:t>
      </w:r>
      <w:bookmarkEnd w:id="119"/>
      <w:bookmarkEnd w:id="120"/>
    </w:p>
    <w:p w14:paraId="28316471">
      <w:pPr>
        <w:rPr>
          <w:rFonts w:ascii="宋体" w:hAnsi="宋体"/>
          <w:color w:val="auto"/>
          <w:highlight w:val="none"/>
        </w:rPr>
      </w:pPr>
    </w:p>
    <w:p w14:paraId="1D7D0F1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评标采用综合评估法。评标委员会对满足招标文件实质性要求的投标文件，按照本章第2.2款规定的评分标准进行打分，并按总得分由高到低顺序推荐中标候选人，排序的前一~三名为第一中标候选人、第二中标候选人和第三中标候选人。总得分相等时，以投标报价低的优先；若投标报价也相等，以检测方案得分高的优先；若检测方案得分也相等，由评标委员会采用记名投票方式，以得票多的优先。</w:t>
      </w:r>
    </w:p>
    <w:p w14:paraId="1670E1AC">
      <w:pPr>
        <w:rPr>
          <w:rFonts w:ascii="宋体" w:hAnsi="宋体"/>
          <w:color w:val="auto"/>
          <w:highlight w:val="none"/>
        </w:rPr>
      </w:pPr>
    </w:p>
    <w:p w14:paraId="5C74D90D">
      <w:pPr>
        <w:pStyle w:val="6"/>
        <w:rPr>
          <w:color w:val="auto"/>
          <w:highlight w:val="none"/>
        </w:rPr>
      </w:pPr>
      <w:bookmarkStart w:id="121" w:name="bookmark85"/>
      <w:bookmarkEnd w:id="121"/>
      <w:bookmarkStart w:id="122" w:name="_Toc118553989"/>
      <w:bookmarkStart w:id="123" w:name="_Toc533357320"/>
      <w:r>
        <w:rPr>
          <w:color w:val="auto"/>
          <w:highlight w:val="none"/>
        </w:rPr>
        <w:t xml:space="preserve">2. </w:t>
      </w:r>
      <w:r>
        <w:rPr>
          <w:rFonts w:hint="eastAsia"/>
          <w:color w:val="auto"/>
          <w:highlight w:val="none"/>
        </w:rPr>
        <w:t>评审标准</w:t>
      </w:r>
      <w:bookmarkEnd w:id="122"/>
      <w:bookmarkEnd w:id="123"/>
    </w:p>
    <w:p w14:paraId="67BA2364">
      <w:pPr>
        <w:rPr>
          <w:rFonts w:ascii="宋体" w:hAnsi="宋体"/>
          <w:color w:val="auto"/>
          <w:highlight w:val="none"/>
        </w:rPr>
      </w:pPr>
    </w:p>
    <w:p w14:paraId="39D7DAA6">
      <w:pPr>
        <w:pStyle w:val="8"/>
        <w:ind w:firstLine="420"/>
        <w:rPr>
          <w:color w:val="auto"/>
          <w:highlight w:val="none"/>
        </w:rPr>
      </w:pPr>
      <w:bookmarkStart w:id="124" w:name="bookmark86"/>
      <w:bookmarkEnd w:id="124"/>
      <w:r>
        <w:rPr>
          <w:color w:val="auto"/>
          <w:highlight w:val="none"/>
        </w:rPr>
        <w:t xml:space="preserve">2.1 </w:t>
      </w:r>
      <w:r>
        <w:rPr>
          <w:rFonts w:hint="eastAsia"/>
          <w:color w:val="auto"/>
          <w:highlight w:val="none"/>
        </w:rPr>
        <w:t>初步评审标准</w:t>
      </w:r>
    </w:p>
    <w:p w14:paraId="21139F6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2.1.1</w:t>
      </w:r>
      <w:r>
        <w:rPr>
          <w:rFonts w:hint="eastAsia" w:ascii="宋体" w:hAnsi="宋体"/>
          <w:color w:val="auto"/>
          <w:sz w:val="24"/>
          <w:szCs w:val="24"/>
          <w:highlight w:val="none"/>
        </w:rPr>
        <w:t>形式评审标准：见评标办法前附表。</w:t>
      </w:r>
    </w:p>
    <w:p w14:paraId="53C6BB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2.1.2</w:t>
      </w:r>
      <w:r>
        <w:rPr>
          <w:rFonts w:hint="eastAsia" w:ascii="宋体" w:hAnsi="宋体"/>
          <w:color w:val="auto"/>
          <w:sz w:val="24"/>
          <w:szCs w:val="24"/>
          <w:highlight w:val="none"/>
        </w:rPr>
        <w:t>资格评审标准：见评标办法前附表。</w:t>
      </w:r>
    </w:p>
    <w:p w14:paraId="0C5E950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2.1.3</w:t>
      </w:r>
      <w:r>
        <w:rPr>
          <w:rFonts w:hint="eastAsia" w:ascii="宋体" w:hAnsi="宋体"/>
          <w:color w:val="auto"/>
          <w:sz w:val="24"/>
          <w:szCs w:val="24"/>
          <w:highlight w:val="none"/>
        </w:rPr>
        <w:t>响应性评审标准：见评标办法前附表。</w:t>
      </w:r>
    </w:p>
    <w:p w14:paraId="63170A6A">
      <w:pPr>
        <w:rPr>
          <w:rFonts w:ascii="宋体" w:hAnsi="宋体"/>
          <w:color w:val="auto"/>
          <w:highlight w:val="none"/>
        </w:rPr>
      </w:pPr>
    </w:p>
    <w:p w14:paraId="7FAAB452">
      <w:pPr>
        <w:pStyle w:val="8"/>
        <w:rPr>
          <w:color w:val="auto"/>
          <w:highlight w:val="none"/>
        </w:rPr>
      </w:pPr>
      <w:bookmarkStart w:id="125" w:name="bookmark87"/>
      <w:bookmarkEnd w:id="125"/>
      <w:r>
        <w:rPr>
          <w:color w:val="auto"/>
          <w:highlight w:val="none"/>
        </w:rPr>
        <w:t xml:space="preserve">2.2 </w:t>
      </w:r>
      <w:r>
        <w:rPr>
          <w:rFonts w:hint="eastAsia"/>
          <w:color w:val="auto"/>
          <w:highlight w:val="none"/>
        </w:rPr>
        <w:t>分值构成与评分标准</w:t>
      </w:r>
    </w:p>
    <w:p w14:paraId="2FD957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2.2.1</w:t>
      </w:r>
      <w:r>
        <w:rPr>
          <w:rFonts w:hint="eastAsia" w:ascii="宋体" w:hAnsi="宋体"/>
          <w:color w:val="auto"/>
          <w:sz w:val="24"/>
          <w:szCs w:val="24"/>
          <w:highlight w:val="none"/>
        </w:rPr>
        <w:t>分值构成</w:t>
      </w:r>
    </w:p>
    <w:p w14:paraId="741F8A2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）企业综合实力部分：见评标办法前附表；</w:t>
      </w:r>
    </w:p>
    <w:p w14:paraId="23DDCB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）技术方案部分：见评标办法前附表；</w:t>
      </w:r>
    </w:p>
    <w:p w14:paraId="314A8C7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）投标报价部分：见评标办法前附表；</w:t>
      </w:r>
    </w:p>
    <w:p w14:paraId="4D98B220">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w:t>
      </w:r>
      <w:r>
        <w:rPr>
          <w:rFonts w:ascii="宋体" w:hAnsi="宋体"/>
          <w:strike/>
          <w:color w:val="auto"/>
          <w:sz w:val="24"/>
          <w:szCs w:val="24"/>
          <w:highlight w:val="none"/>
        </w:rPr>
        <w:t>4</w:t>
      </w:r>
      <w:r>
        <w:rPr>
          <w:rFonts w:hint="eastAsia" w:ascii="宋体" w:hAnsi="宋体"/>
          <w:strike/>
          <w:color w:val="auto"/>
          <w:sz w:val="24"/>
          <w:szCs w:val="24"/>
          <w:highlight w:val="none"/>
        </w:rPr>
        <w:t>）其他因素部分：见评标办法前附表。</w:t>
      </w:r>
    </w:p>
    <w:p w14:paraId="0131DFF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2.2.2</w:t>
      </w:r>
      <w:r>
        <w:rPr>
          <w:rFonts w:hint="eastAsia" w:ascii="宋体" w:hAnsi="宋体"/>
          <w:color w:val="auto"/>
          <w:sz w:val="24"/>
          <w:szCs w:val="24"/>
          <w:highlight w:val="none"/>
        </w:rPr>
        <w:t>评标基准价计算</w:t>
      </w:r>
    </w:p>
    <w:p w14:paraId="10BA4C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评标基准价计算方法：见评标办法前附表。</w:t>
      </w:r>
    </w:p>
    <w:p w14:paraId="3F0656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2.2.3</w:t>
      </w:r>
      <w:r>
        <w:rPr>
          <w:rFonts w:hint="eastAsia" w:ascii="宋体" w:hAnsi="宋体"/>
          <w:color w:val="auto"/>
          <w:sz w:val="24"/>
          <w:szCs w:val="24"/>
          <w:highlight w:val="none"/>
        </w:rPr>
        <w:t>投标报价的计算</w:t>
      </w:r>
    </w:p>
    <w:p w14:paraId="17FE3B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投标报价的偏差率计算公式：见评标办法前附表。</w:t>
      </w:r>
    </w:p>
    <w:p w14:paraId="18F0672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2.2.4</w:t>
      </w:r>
      <w:r>
        <w:rPr>
          <w:rFonts w:hint="eastAsia" w:ascii="宋体" w:hAnsi="宋体"/>
          <w:color w:val="auto"/>
          <w:sz w:val="24"/>
          <w:szCs w:val="24"/>
          <w:highlight w:val="none"/>
        </w:rPr>
        <w:t>评分标准</w:t>
      </w:r>
    </w:p>
    <w:p w14:paraId="1CFA87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）企业综合实力评分标准：见评标办法前附表；</w:t>
      </w:r>
    </w:p>
    <w:p w14:paraId="7FC0D86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）技术方案评分标准：见评标办法前附表；</w:t>
      </w:r>
    </w:p>
    <w:p w14:paraId="5C9831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）投标报价评分标准：见评标办法前附表；</w:t>
      </w:r>
    </w:p>
    <w:p w14:paraId="00F542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）其他因素评分标准：见评标办法前附表。</w:t>
      </w:r>
    </w:p>
    <w:p w14:paraId="4EE30FE6">
      <w:pPr>
        <w:pStyle w:val="6"/>
        <w:rPr>
          <w:color w:val="auto"/>
          <w:highlight w:val="none"/>
        </w:rPr>
      </w:pPr>
      <w:bookmarkStart w:id="126" w:name="bookmark88"/>
      <w:bookmarkEnd w:id="126"/>
      <w:bookmarkStart w:id="127" w:name="_Toc118553990"/>
      <w:bookmarkStart w:id="128" w:name="_Toc533357321"/>
      <w:r>
        <w:rPr>
          <w:color w:val="auto"/>
          <w:highlight w:val="none"/>
        </w:rPr>
        <w:t xml:space="preserve">3. </w:t>
      </w:r>
      <w:r>
        <w:rPr>
          <w:rFonts w:hint="eastAsia"/>
          <w:color w:val="auto"/>
          <w:highlight w:val="none"/>
        </w:rPr>
        <w:t>评标程序</w:t>
      </w:r>
      <w:bookmarkEnd w:id="127"/>
      <w:bookmarkEnd w:id="128"/>
    </w:p>
    <w:p w14:paraId="1B5CBCB4">
      <w:pPr>
        <w:rPr>
          <w:rFonts w:ascii="宋体" w:hAnsi="宋体"/>
          <w:color w:val="auto"/>
          <w:highlight w:val="none"/>
        </w:rPr>
      </w:pPr>
    </w:p>
    <w:p w14:paraId="198C5BEE">
      <w:pPr>
        <w:pStyle w:val="8"/>
        <w:rPr>
          <w:color w:val="auto"/>
          <w:highlight w:val="none"/>
        </w:rPr>
      </w:pPr>
      <w:bookmarkStart w:id="129" w:name="bookmark89"/>
      <w:bookmarkEnd w:id="129"/>
      <w:r>
        <w:rPr>
          <w:color w:val="auto"/>
          <w:highlight w:val="none"/>
        </w:rPr>
        <w:t xml:space="preserve">3.1 </w:t>
      </w:r>
      <w:r>
        <w:rPr>
          <w:rFonts w:hint="eastAsia"/>
          <w:color w:val="auto"/>
          <w:highlight w:val="none"/>
        </w:rPr>
        <w:t>初步评审</w:t>
      </w:r>
    </w:p>
    <w:p w14:paraId="0B11E20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3.1.1</w:t>
      </w:r>
      <w:r>
        <w:rPr>
          <w:rFonts w:hint="eastAsia" w:ascii="宋体" w:hAnsi="宋体"/>
          <w:color w:val="auto"/>
          <w:sz w:val="24"/>
          <w:szCs w:val="24"/>
          <w:highlight w:val="none"/>
        </w:rPr>
        <w:t>评标委员会可以要求投标人提交第二章“投标人须知”规定的有关证明和证件的原件，以便核验。评标委员会依据本章第</w:t>
      </w:r>
      <w:r>
        <w:rPr>
          <w:rFonts w:ascii="宋体" w:hAnsi="宋体"/>
          <w:color w:val="auto"/>
          <w:sz w:val="24"/>
          <w:szCs w:val="24"/>
          <w:highlight w:val="none"/>
        </w:rPr>
        <w:t>2.1</w:t>
      </w:r>
      <w:r>
        <w:rPr>
          <w:rFonts w:hint="eastAsia" w:ascii="宋体" w:hAnsi="宋体"/>
          <w:color w:val="auto"/>
          <w:sz w:val="24"/>
          <w:szCs w:val="24"/>
          <w:highlight w:val="none"/>
        </w:rPr>
        <w:t>款规定的标准对投标文件进行初步评审。有一项不符合评审标准的，评标委员会应当否决其投标。</w:t>
      </w:r>
    </w:p>
    <w:p w14:paraId="4F7EFB1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3.1.2</w:t>
      </w:r>
      <w:r>
        <w:rPr>
          <w:rFonts w:hint="eastAsia" w:ascii="宋体" w:hAnsi="宋体"/>
          <w:color w:val="auto"/>
          <w:sz w:val="24"/>
          <w:szCs w:val="24"/>
          <w:highlight w:val="none"/>
        </w:rPr>
        <w:t>投标人有以下情形之一的，评标委员会应当否决其投标：</w:t>
      </w:r>
    </w:p>
    <w:p w14:paraId="262D2B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）投标文件没有对招标文件的实质性要求和条件作出响应，或者对招标文件的偏差超出招标文件规定的偏差范围或最高项数；</w:t>
      </w:r>
    </w:p>
    <w:p w14:paraId="17D3A98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）有串通投标、弄虚作假、行贿等违法行为。</w:t>
      </w:r>
    </w:p>
    <w:p w14:paraId="05B4FF9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3.1.3</w:t>
      </w:r>
      <w:r>
        <w:rPr>
          <w:rFonts w:hint="eastAsia" w:ascii="宋体" w:hAnsi="宋体"/>
          <w:color w:val="auto"/>
          <w:sz w:val="24"/>
          <w:szCs w:val="24"/>
          <w:highlight w:val="none"/>
        </w:rPr>
        <w:t>投标报价有算术错误及其他错误的，评标委员会按以下原则要求投标人对投标报价进行修正，并要求投标人书面澄清确认。投标人拒不澄清确认的，评标委员会应当否决其投标：</w:t>
      </w:r>
    </w:p>
    <w:p w14:paraId="113D2E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）投标文件中的大写金额与小写金额不一致的，以大写金额为准；</w:t>
      </w:r>
    </w:p>
    <w:p w14:paraId="21A25ED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（2）总价金额与单价金额不一致的，以单价金额为准，但单价金额小数点有明显错误的除外。</w:t>
      </w:r>
    </w:p>
    <w:p w14:paraId="6934E9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3.1.4 只有通过初步评审的投标人才能进入下一阶段详细评审。当通过初步评审的有效投标人不足四名时，招标人应当依法重新组织招标。在进行形式评审、资格评审、响应性评审过程中，若评委意见不一致时，则按少数服从多数的原则，决定该投标人是否通过相应阶段的评审，进入下一阶段评审。</w:t>
      </w:r>
    </w:p>
    <w:p w14:paraId="14AFE10D">
      <w:pPr>
        <w:rPr>
          <w:rFonts w:ascii="宋体" w:hAnsi="宋体"/>
          <w:color w:val="auto"/>
          <w:highlight w:val="none"/>
        </w:rPr>
      </w:pPr>
    </w:p>
    <w:p w14:paraId="60C82CB8">
      <w:pPr>
        <w:pStyle w:val="8"/>
        <w:rPr>
          <w:color w:val="auto"/>
          <w:highlight w:val="none"/>
        </w:rPr>
      </w:pPr>
      <w:bookmarkStart w:id="130" w:name="bookmark90"/>
      <w:bookmarkEnd w:id="130"/>
      <w:r>
        <w:rPr>
          <w:color w:val="auto"/>
          <w:highlight w:val="none"/>
        </w:rPr>
        <w:t xml:space="preserve">3.2 </w:t>
      </w:r>
      <w:r>
        <w:rPr>
          <w:rFonts w:hint="eastAsia"/>
          <w:color w:val="auto"/>
          <w:highlight w:val="none"/>
        </w:rPr>
        <w:t>详细评审</w:t>
      </w:r>
    </w:p>
    <w:p w14:paraId="60EF2AE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3.2.1</w:t>
      </w:r>
      <w:r>
        <w:rPr>
          <w:rFonts w:hint="eastAsia" w:ascii="宋体" w:hAnsi="宋体"/>
          <w:color w:val="auto"/>
          <w:sz w:val="24"/>
          <w:szCs w:val="24"/>
          <w:highlight w:val="none"/>
        </w:rPr>
        <w:t>评标委员会按本章第</w:t>
      </w:r>
      <w:r>
        <w:rPr>
          <w:rFonts w:ascii="宋体" w:hAnsi="宋体"/>
          <w:color w:val="auto"/>
          <w:sz w:val="24"/>
          <w:szCs w:val="24"/>
          <w:highlight w:val="none"/>
        </w:rPr>
        <w:t>2.2</w:t>
      </w:r>
      <w:r>
        <w:rPr>
          <w:rFonts w:hint="eastAsia" w:ascii="宋体" w:hAnsi="宋体"/>
          <w:color w:val="auto"/>
          <w:sz w:val="24"/>
          <w:szCs w:val="24"/>
          <w:highlight w:val="none"/>
        </w:rPr>
        <w:t>款规定的量化因素和分值进行打分，并计算出综合评估得分。</w:t>
      </w:r>
    </w:p>
    <w:p w14:paraId="67780B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）目规定的评审因素和分值对企业综合实力部分计算出得分</w:t>
      </w:r>
      <w:r>
        <w:rPr>
          <w:rFonts w:hint="eastAsia" w:ascii="宋体" w:hAnsi="宋体"/>
          <w:b/>
          <w:color w:val="auto"/>
          <w:szCs w:val="21"/>
          <w:highlight w:val="none"/>
        </w:rPr>
        <w:t>A</w:t>
      </w:r>
      <w:r>
        <w:rPr>
          <w:rFonts w:hint="eastAsia" w:ascii="宋体" w:hAnsi="宋体"/>
          <w:color w:val="auto"/>
          <w:sz w:val="24"/>
          <w:szCs w:val="24"/>
          <w:highlight w:val="none"/>
        </w:rPr>
        <w:t>；</w:t>
      </w:r>
    </w:p>
    <w:p w14:paraId="5B9109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）目规定的评审因素和分值对技术方案部分计算出得分</w:t>
      </w:r>
      <w:r>
        <w:rPr>
          <w:rFonts w:hint="eastAsia" w:ascii="宋体" w:hAnsi="宋体"/>
          <w:b/>
          <w:color w:val="auto"/>
          <w:szCs w:val="21"/>
          <w:highlight w:val="none"/>
        </w:rPr>
        <w:t>B</w:t>
      </w:r>
      <w:r>
        <w:rPr>
          <w:rFonts w:hint="eastAsia" w:ascii="宋体" w:hAnsi="宋体"/>
          <w:color w:val="auto"/>
          <w:sz w:val="24"/>
          <w:szCs w:val="24"/>
          <w:highlight w:val="none"/>
        </w:rPr>
        <w:t>；</w:t>
      </w:r>
    </w:p>
    <w:p w14:paraId="0D59AC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）目规定的评审因素和分值对投标报价部分计算出得分</w:t>
      </w:r>
      <w:r>
        <w:rPr>
          <w:rFonts w:hint="eastAsia" w:ascii="宋体" w:hAnsi="宋体"/>
          <w:b/>
          <w:color w:val="auto"/>
          <w:szCs w:val="21"/>
          <w:highlight w:val="none"/>
        </w:rPr>
        <w:t>C</w:t>
      </w:r>
      <w:r>
        <w:rPr>
          <w:rFonts w:hint="eastAsia" w:ascii="宋体" w:hAnsi="宋体"/>
          <w:color w:val="auto"/>
          <w:sz w:val="24"/>
          <w:szCs w:val="24"/>
          <w:highlight w:val="none"/>
        </w:rPr>
        <w:t>。</w:t>
      </w:r>
    </w:p>
    <w:p w14:paraId="748BB2C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3.2.2</w:t>
      </w:r>
      <w:r>
        <w:rPr>
          <w:rFonts w:hint="eastAsia" w:ascii="宋体" w:hAnsi="宋体"/>
          <w:color w:val="auto"/>
          <w:sz w:val="24"/>
          <w:szCs w:val="24"/>
          <w:highlight w:val="none"/>
        </w:rPr>
        <w:t>评分分值计算保留小数点后两位，小数点后第三位“四舍五入”。</w:t>
      </w:r>
    </w:p>
    <w:p w14:paraId="673CC8AF">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3.2.3</w:t>
      </w:r>
      <w:r>
        <w:rPr>
          <w:rFonts w:hint="eastAsia" w:ascii="宋体" w:hAnsi="宋体"/>
          <w:color w:val="auto"/>
          <w:sz w:val="24"/>
          <w:szCs w:val="24"/>
          <w:highlight w:val="none"/>
        </w:rPr>
        <w:t>投标人总得分=</w:t>
      </w:r>
      <w:r>
        <w:rPr>
          <w:rFonts w:hint="eastAsia" w:ascii="宋体" w:hAnsi="宋体"/>
          <w:color w:val="auto"/>
          <w:sz w:val="24"/>
          <w:szCs w:val="24"/>
          <w:highlight w:val="none"/>
          <w:u w:val="single"/>
        </w:rPr>
        <w:t xml:space="preserve"> A+B+C </w:t>
      </w:r>
    </w:p>
    <w:p w14:paraId="4735778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3.2.4</w:t>
      </w:r>
      <w:r>
        <w:rPr>
          <w:rFonts w:hint="eastAsia" w:ascii="宋体" w:hAnsi="宋体"/>
          <w:color w:val="auto"/>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8B13BF8">
      <w:pPr>
        <w:rPr>
          <w:rFonts w:ascii="宋体" w:hAnsi="宋体"/>
          <w:color w:val="auto"/>
          <w:highlight w:val="none"/>
        </w:rPr>
      </w:pPr>
    </w:p>
    <w:p w14:paraId="19978471">
      <w:pPr>
        <w:pStyle w:val="8"/>
        <w:rPr>
          <w:color w:val="auto"/>
          <w:highlight w:val="none"/>
        </w:rPr>
      </w:pPr>
      <w:bookmarkStart w:id="131" w:name="bookmark91"/>
      <w:bookmarkEnd w:id="131"/>
      <w:r>
        <w:rPr>
          <w:color w:val="auto"/>
          <w:highlight w:val="none"/>
        </w:rPr>
        <w:t xml:space="preserve">3.3 </w:t>
      </w:r>
      <w:r>
        <w:rPr>
          <w:rFonts w:hint="eastAsia"/>
          <w:color w:val="auto"/>
          <w:highlight w:val="none"/>
        </w:rPr>
        <w:t>投标文件的澄清</w:t>
      </w:r>
    </w:p>
    <w:p w14:paraId="25C9D07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3.3.1</w:t>
      </w:r>
      <w:r>
        <w:rPr>
          <w:rFonts w:hint="eastAsia" w:ascii="宋体" w:hAnsi="宋体"/>
          <w:color w:val="auto"/>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74F4E2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3.3.2</w:t>
      </w:r>
      <w:r>
        <w:rPr>
          <w:rFonts w:hint="eastAsia" w:ascii="宋体" w:hAnsi="宋体"/>
          <w:color w:val="auto"/>
          <w:sz w:val="24"/>
          <w:szCs w:val="24"/>
          <w:highlight w:val="none"/>
        </w:rPr>
        <w:t>澄清、说明或补正不得超出投标文件的范围且不得改变投标文件的实质性内容，并构成投标文件的组成部分。</w:t>
      </w:r>
    </w:p>
    <w:p w14:paraId="771E200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3.3.3</w:t>
      </w:r>
      <w:r>
        <w:rPr>
          <w:rFonts w:hint="eastAsia" w:ascii="宋体" w:hAnsi="宋体"/>
          <w:color w:val="auto"/>
          <w:sz w:val="24"/>
          <w:szCs w:val="24"/>
          <w:highlight w:val="none"/>
        </w:rPr>
        <w:t>评标委员会对投标人提交的澄清、说明或补正有疑问的，可以要求投标人进一步澄清、说明或补正，直至满足评标委员会的要求。</w:t>
      </w:r>
    </w:p>
    <w:p w14:paraId="702A7F8E">
      <w:pPr>
        <w:rPr>
          <w:rFonts w:ascii="宋体" w:hAnsi="宋体"/>
          <w:color w:val="auto"/>
          <w:highlight w:val="none"/>
        </w:rPr>
      </w:pPr>
    </w:p>
    <w:p w14:paraId="5ACEB631">
      <w:pPr>
        <w:pStyle w:val="8"/>
        <w:rPr>
          <w:color w:val="auto"/>
          <w:highlight w:val="none"/>
        </w:rPr>
      </w:pPr>
      <w:bookmarkStart w:id="132" w:name="bookmark92"/>
      <w:bookmarkEnd w:id="132"/>
      <w:r>
        <w:rPr>
          <w:color w:val="auto"/>
          <w:highlight w:val="none"/>
        </w:rPr>
        <w:t xml:space="preserve">3.4 </w:t>
      </w:r>
      <w:r>
        <w:rPr>
          <w:rFonts w:hint="eastAsia"/>
          <w:color w:val="auto"/>
          <w:highlight w:val="none"/>
        </w:rPr>
        <w:t>评标结果</w:t>
      </w:r>
    </w:p>
    <w:p w14:paraId="0E02E1D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3.4.1</w:t>
      </w:r>
      <w:r>
        <w:rPr>
          <w:rFonts w:hint="eastAsia" w:ascii="宋体" w:hAnsi="宋体"/>
          <w:color w:val="auto"/>
          <w:sz w:val="24"/>
          <w:szCs w:val="24"/>
          <w:highlight w:val="none"/>
        </w:rPr>
        <w:t>除第二章“投标人须知”前附表授权直接确定中标人外，评标委员会按照得分由高到低的顺序推荐中标候选人，并标明排序。</w:t>
      </w:r>
    </w:p>
    <w:p w14:paraId="4FE75EBE">
      <w:pPr>
        <w:ind w:firstLine="540" w:firstLineChars="225"/>
        <w:rPr>
          <w:rFonts w:ascii="宋体" w:hAnsi="宋体"/>
          <w:color w:val="auto"/>
          <w:sz w:val="24"/>
          <w:szCs w:val="24"/>
          <w:highlight w:val="none"/>
        </w:rPr>
      </w:pPr>
      <w:r>
        <w:rPr>
          <w:rFonts w:ascii="宋体" w:hAnsi="宋体"/>
          <w:color w:val="auto"/>
          <w:sz w:val="24"/>
          <w:szCs w:val="24"/>
          <w:highlight w:val="none"/>
        </w:rPr>
        <w:t>3.4.2</w:t>
      </w:r>
      <w:r>
        <w:rPr>
          <w:rFonts w:hint="eastAsia" w:ascii="宋体" w:hAnsi="宋体"/>
          <w:color w:val="auto"/>
          <w:sz w:val="24"/>
          <w:szCs w:val="24"/>
          <w:highlight w:val="none"/>
        </w:rPr>
        <w:t>评标委员会完成评标后，应当向招标人提交书面评标报告和中标候选人名单。</w:t>
      </w:r>
    </w:p>
    <w:p w14:paraId="3A0D2FD4">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 xml:space="preserve"> </w:t>
      </w:r>
    </w:p>
    <w:p w14:paraId="4FAB61DC">
      <w:pPr>
        <w:outlineLvl w:val="9"/>
        <w:rPr>
          <w:color w:val="auto"/>
          <w:sz w:val="24"/>
          <w:szCs w:val="24"/>
          <w:highlight w:val="none"/>
        </w:rPr>
      </w:pPr>
      <w:bookmarkStart w:id="133" w:name="_Toc533357322"/>
      <w:r>
        <w:rPr>
          <w:rFonts w:hint="eastAsia"/>
          <w:color w:val="auto"/>
          <w:sz w:val="24"/>
          <w:szCs w:val="24"/>
          <w:highlight w:val="none"/>
        </w:rPr>
        <w:t xml:space="preserve">       </w:t>
      </w:r>
    </w:p>
    <w:p w14:paraId="221DFC67">
      <w:pPr>
        <w:rPr>
          <w:color w:val="auto"/>
          <w:sz w:val="24"/>
          <w:szCs w:val="24"/>
          <w:highlight w:val="none"/>
        </w:rPr>
      </w:pPr>
      <w:r>
        <w:rPr>
          <w:rFonts w:hint="eastAsia"/>
          <w:color w:val="auto"/>
          <w:sz w:val="24"/>
          <w:szCs w:val="24"/>
          <w:highlight w:val="none"/>
        </w:rPr>
        <w:br w:type="page"/>
      </w:r>
    </w:p>
    <w:p w14:paraId="55018891">
      <w:pPr>
        <w:keepNext/>
        <w:keepLines/>
        <w:outlineLvl w:val="9"/>
        <w:rPr>
          <w:color w:val="auto"/>
          <w:sz w:val="24"/>
          <w:szCs w:val="24"/>
          <w:highlight w:val="none"/>
        </w:rPr>
      </w:pPr>
      <w:bookmarkStart w:id="134" w:name="_Toc118553991"/>
    </w:p>
    <w:p w14:paraId="3126224B">
      <w:pPr>
        <w:pStyle w:val="4"/>
        <w:rPr>
          <w:color w:val="auto"/>
          <w:highlight w:val="none"/>
        </w:rPr>
      </w:pPr>
      <w:r>
        <w:rPr>
          <w:rFonts w:hint="eastAsia"/>
          <w:color w:val="auto"/>
          <w:highlight w:val="none"/>
        </w:rPr>
        <w:t>第四章  合同条款及格式</w:t>
      </w:r>
      <w:bookmarkEnd w:id="133"/>
      <w:bookmarkEnd w:id="134"/>
      <w:bookmarkStart w:id="135" w:name="_Toc533357324"/>
    </w:p>
    <w:p w14:paraId="09169FDD">
      <w:pPr>
        <w:jc w:val="center"/>
        <w:rPr>
          <w:rFonts w:hint="eastAsia" w:eastAsia="宋体"/>
          <w:color w:val="auto"/>
          <w:sz w:val="52"/>
          <w:szCs w:val="56"/>
          <w:highlight w:val="none"/>
          <w:lang w:eastAsia="zh-CN"/>
        </w:rPr>
      </w:pPr>
      <w:bookmarkStart w:id="136" w:name="_Toc19059"/>
      <w:bookmarkEnd w:id="136"/>
      <w:bookmarkStart w:id="137" w:name="_Toc1562"/>
      <w:bookmarkEnd w:id="137"/>
      <w:bookmarkStart w:id="138" w:name="_Toc8835"/>
      <w:bookmarkEnd w:id="138"/>
      <w:bookmarkStart w:id="139" w:name="_Toc118553992"/>
      <w:r>
        <w:rPr>
          <w:rFonts w:hint="eastAsia"/>
          <w:color w:val="auto"/>
          <w:sz w:val="52"/>
          <w:szCs w:val="56"/>
          <w:highlight w:val="none"/>
          <w:lang w:eastAsia="zh-CN"/>
        </w:rPr>
        <w:t>（</w:t>
      </w:r>
      <w:r>
        <w:rPr>
          <w:rFonts w:hint="eastAsia"/>
          <w:color w:val="auto"/>
          <w:sz w:val="52"/>
          <w:szCs w:val="56"/>
          <w:highlight w:val="none"/>
          <w:lang w:val="en-US" w:eastAsia="zh-CN"/>
        </w:rPr>
        <w:t>另册</w:t>
      </w:r>
      <w:r>
        <w:rPr>
          <w:rFonts w:hint="eastAsia"/>
          <w:color w:val="auto"/>
          <w:sz w:val="52"/>
          <w:szCs w:val="56"/>
          <w:highlight w:val="none"/>
          <w:lang w:eastAsia="zh-CN"/>
        </w:rPr>
        <w:t>）</w:t>
      </w:r>
    </w:p>
    <w:p w14:paraId="51FF4EB2">
      <w:pPr>
        <w:rPr>
          <w:rFonts w:hint="eastAsia"/>
          <w:color w:val="auto"/>
          <w:highlight w:val="none"/>
        </w:rPr>
      </w:pPr>
      <w:r>
        <w:rPr>
          <w:rFonts w:hint="eastAsia"/>
          <w:color w:val="auto"/>
          <w:highlight w:val="none"/>
        </w:rPr>
        <w:br w:type="page"/>
      </w:r>
    </w:p>
    <w:p w14:paraId="12F18BB4">
      <w:pPr>
        <w:pStyle w:val="4"/>
        <w:rPr>
          <w:color w:val="auto"/>
          <w:highlight w:val="none"/>
        </w:rPr>
      </w:pPr>
      <w:r>
        <w:rPr>
          <w:rFonts w:hint="eastAsia"/>
          <w:color w:val="auto"/>
          <w:highlight w:val="none"/>
        </w:rPr>
        <w:t>第二卷</w:t>
      </w:r>
      <w:bookmarkEnd w:id="139"/>
    </w:p>
    <w:p w14:paraId="7AFE88E4">
      <w:pPr>
        <w:pStyle w:val="4"/>
        <w:numPr>
          <w:ilvl w:val="0"/>
          <w:numId w:val="2"/>
        </w:numPr>
        <w:rPr>
          <w:color w:val="auto"/>
          <w:highlight w:val="none"/>
        </w:rPr>
      </w:pPr>
      <w:r>
        <w:rPr>
          <w:rFonts w:hint="eastAsia"/>
          <w:color w:val="auto"/>
          <w:highlight w:val="none"/>
        </w:rPr>
        <w:t xml:space="preserve"> </w:t>
      </w:r>
      <w:bookmarkStart w:id="140" w:name="_Toc118553993"/>
      <w:r>
        <w:rPr>
          <w:rFonts w:hint="eastAsia"/>
          <w:color w:val="auto"/>
          <w:highlight w:val="none"/>
        </w:rPr>
        <w:t>委托人要求</w:t>
      </w:r>
      <w:bookmarkEnd w:id="140"/>
    </w:p>
    <w:p w14:paraId="4FF1D2CE">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1. 项目概况：</w:t>
      </w:r>
    </w:p>
    <w:p w14:paraId="518A58A9">
      <w:pPr>
        <w:spacing w:line="360" w:lineRule="auto"/>
        <w:ind w:firstLine="420" w:firstLineChars="175"/>
        <w:rPr>
          <w:rFonts w:hint="eastAsia" w:ascii="宋体" w:hAnsi="宋体"/>
          <w:color w:val="auto"/>
          <w:sz w:val="24"/>
          <w:szCs w:val="24"/>
          <w:highlight w:val="none"/>
          <w:u w:val="none"/>
          <w:lang w:eastAsia="zh-CN"/>
        </w:rPr>
      </w:pPr>
      <w:r>
        <w:rPr>
          <w:rFonts w:hint="eastAsia" w:ascii="宋体" w:hAnsi="宋体"/>
          <w:color w:val="auto"/>
          <w:sz w:val="24"/>
          <w:szCs w:val="24"/>
          <w:highlight w:val="none"/>
        </w:rPr>
        <w:t>1.1项目名称：</w:t>
      </w:r>
      <w:r>
        <w:rPr>
          <w:rFonts w:hint="eastAsia" w:ascii="宋体" w:hAnsi="宋体"/>
          <w:color w:val="auto"/>
          <w:sz w:val="24"/>
          <w:szCs w:val="24"/>
          <w:highlight w:val="none"/>
          <w:u w:val="none"/>
          <w:lang w:eastAsia="zh-CN"/>
        </w:rPr>
        <w:t xml:space="preserve"> 广州市黄埔区云埔街火村社区莲潭经济合作社城中村改造项目复建安置地块工程检测监测服务。</w:t>
      </w:r>
    </w:p>
    <w:p w14:paraId="59598475">
      <w:pPr>
        <w:spacing w:line="360" w:lineRule="auto"/>
        <w:ind w:firstLine="420" w:firstLineChars="175"/>
        <w:rPr>
          <w:rFonts w:hint="eastAsia" w:ascii="宋体" w:hAnsi="宋体" w:cs="宋体"/>
          <w:color w:val="auto"/>
          <w:sz w:val="24"/>
          <w:szCs w:val="24"/>
          <w:highlight w:val="none"/>
          <w:u w:val="single"/>
        </w:rPr>
      </w:pPr>
      <w:r>
        <w:rPr>
          <w:rFonts w:hint="eastAsia" w:ascii="宋体" w:hAnsi="宋体"/>
          <w:color w:val="auto"/>
          <w:sz w:val="24"/>
          <w:szCs w:val="24"/>
          <w:highlight w:val="none"/>
        </w:rPr>
        <w:t>1.2建设规模：</w:t>
      </w:r>
      <w:r>
        <w:rPr>
          <w:rFonts w:hint="eastAsia" w:ascii="宋体" w:hAnsi="宋体" w:cs="宋体"/>
          <w:color w:val="auto"/>
          <w:kern w:val="0"/>
          <w:sz w:val="24"/>
          <w:highlight w:val="none"/>
        </w:rPr>
        <w:t>总用地面积约21663.00平方米（详见建设用地规划红线图，不含幼儿园），用地性质为R2/B1二类居住用地兼容商业用地，容积率5.26，预计总建筑面积约为169280.47平方米，计容总建筑面积约113939.00平方米，建筑密度≤35%，绿地率≥35%，建筑高度100米，基坑安全等级为二级。建设内容包括复建安置住宅、地下车库、集体物业、公建配套等（具体规划指标以政府最终批复的规划条件为准）。</w:t>
      </w:r>
    </w:p>
    <w:p w14:paraId="22A52283">
      <w:pPr>
        <w:spacing w:line="360" w:lineRule="auto"/>
        <w:ind w:firstLine="420" w:firstLineChars="175"/>
        <w:rPr>
          <w:rFonts w:ascii="宋体" w:hAnsi="宋体"/>
          <w:color w:val="auto"/>
          <w:sz w:val="24"/>
          <w:szCs w:val="24"/>
          <w:highlight w:val="none"/>
        </w:rPr>
      </w:pPr>
      <w:r>
        <w:rPr>
          <w:rFonts w:hint="eastAsia" w:ascii="宋体" w:hAnsi="宋体"/>
          <w:color w:val="auto"/>
          <w:sz w:val="24"/>
          <w:szCs w:val="24"/>
          <w:highlight w:val="none"/>
        </w:rPr>
        <w:t>1.3建设地点：</w:t>
      </w:r>
      <w:r>
        <w:rPr>
          <w:rFonts w:hint="eastAsia" w:ascii="宋体" w:hAnsi="宋体" w:cs="宋体"/>
          <w:color w:val="auto"/>
          <w:sz w:val="24"/>
          <w:szCs w:val="24"/>
          <w:highlight w:val="none"/>
          <w:u w:val="none"/>
          <w:lang w:val="en-US" w:eastAsia="zh-CN"/>
        </w:rPr>
        <w:t>广州市黄埔区云埔街道广州市黄埔区云埔街道火村社区东南角，东至东鹏大道，南至骏业路，西至南岗河，北至骏达路。</w:t>
      </w:r>
    </w:p>
    <w:p w14:paraId="5C7FDD41">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1.4工程投资：</w:t>
      </w:r>
      <w:r>
        <w:rPr>
          <w:rFonts w:hint="eastAsia" w:ascii="宋体" w:hAnsi="宋体" w:cs="宋体"/>
          <w:color w:val="auto"/>
          <w:sz w:val="24"/>
          <w:szCs w:val="24"/>
          <w:highlight w:val="none"/>
        </w:rPr>
        <w:t>建设总投资</w:t>
      </w:r>
      <w:r>
        <w:rPr>
          <w:rFonts w:hint="eastAsia" w:ascii="宋体" w:hAnsi="宋体" w:cs="宋体"/>
          <w:color w:val="auto"/>
          <w:sz w:val="24"/>
          <w:szCs w:val="24"/>
          <w:highlight w:val="none"/>
          <w:u w:val="none"/>
          <w:lang w:val="en-US" w:eastAsia="zh-CN"/>
        </w:rPr>
        <w:t>暂定87455.25</w:t>
      </w:r>
      <w:r>
        <w:rPr>
          <w:rFonts w:hint="eastAsia" w:ascii="宋体" w:hAnsi="宋体" w:cs="宋体"/>
          <w:color w:val="auto"/>
          <w:sz w:val="24"/>
          <w:szCs w:val="24"/>
          <w:highlight w:val="none"/>
        </w:rPr>
        <w:t>万元。</w:t>
      </w:r>
    </w:p>
    <w:p w14:paraId="15EA1193">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1.5本次招标服务期：</w:t>
      </w:r>
    </w:p>
    <w:p w14:paraId="49E5A529">
      <w:pPr>
        <w:adjustRightInd/>
        <w:snapToGrid/>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Times New Roman" w:hAnsi="宋体" w:eastAsia="宋体" w:cs="宋体"/>
          <w:color w:val="auto"/>
          <w:sz w:val="24"/>
          <w:szCs w:val="24"/>
          <w:highlight w:val="none"/>
        </w:rPr>
        <w:t>签订</w:t>
      </w:r>
      <w:r>
        <w:rPr>
          <w:rFonts w:hint="eastAsia" w:ascii="宋体" w:hAnsi="宋体" w:eastAsia="宋体" w:cs="宋体"/>
          <w:color w:val="auto"/>
          <w:sz w:val="24"/>
          <w:szCs w:val="24"/>
          <w:highlight w:val="none"/>
        </w:rPr>
        <w:t>合同之日起，至</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所有服务项目完成并竣工验收备案为止（建筑</w:t>
      </w:r>
      <w:r>
        <w:rPr>
          <w:rFonts w:hint="eastAsia" w:ascii="宋体" w:hAnsi="宋体" w:cs="宋体"/>
          <w:color w:val="auto"/>
          <w:sz w:val="24"/>
          <w:szCs w:val="24"/>
          <w:highlight w:val="none"/>
          <w:lang w:eastAsia="zh-CN"/>
        </w:rPr>
        <w:t>主体沉降观测</w:t>
      </w:r>
      <w:r>
        <w:rPr>
          <w:rFonts w:hint="eastAsia" w:ascii="宋体" w:hAnsi="宋体" w:eastAsia="宋体" w:cs="宋体"/>
          <w:color w:val="auto"/>
          <w:sz w:val="24"/>
          <w:szCs w:val="24"/>
          <w:highlight w:val="none"/>
        </w:rPr>
        <w:t>除外，服务期限按国家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省、市、区相关</w:t>
      </w:r>
      <w:r>
        <w:rPr>
          <w:rFonts w:hint="eastAsia" w:ascii="宋体" w:hAnsi="宋体" w:eastAsia="宋体" w:cs="宋体"/>
          <w:color w:val="auto"/>
          <w:sz w:val="24"/>
          <w:szCs w:val="24"/>
          <w:highlight w:val="none"/>
        </w:rPr>
        <w:t>规范执行），具体开工日期以甲方发出要求开始的日期为准，服务周期必须满足实际施工要求，包括但不限于施工准备阶段、施工全过程及竣工验收需完成的相关服务。</w:t>
      </w:r>
    </w:p>
    <w:p w14:paraId="4BE157C0">
      <w:pPr>
        <w:adjustRightInd/>
        <w:snapToGrid/>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另外，在项目竣工验收备案后，需定期进行建筑沉降</w:t>
      </w:r>
      <w:r>
        <w:rPr>
          <w:rFonts w:hint="eastAsia" w:ascii="宋体" w:hAnsi="宋体" w:cs="宋体"/>
          <w:color w:val="auto"/>
          <w:sz w:val="24"/>
          <w:szCs w:val="24"/>
          <w:highlight w:val="none"/>
          <w:lang w:val="en-US" w:eastAsia="zh-CN"/>
        </w:rPr>
        <w:t>监</w:t>
      </w:r>
      <w:r>
        <w:rPr>
          <w:rFonts w:hint="eastAsia" w:ascii="宋体" w:hAnsi="宋体" w:eastAsia="宋体" w:cs="宋体"/>
          <w:color w:val="auto"/>
          <w:sz w:val="24"/>
          <w:szCs w:val="24"/>
          <w:highlight w:val="none"/>
        </w:rPr>
        <w:t>测，直至建筑沉降达到稳定状态为止。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具体以</w:t>
      </w:r>
      <w:r>
        <w:rPr>
          <w:rFonts w:hint="eastAsia" w:ascii="宋体" w:hAnsi="宋体" w:eastAsia="宋体" w:cs="宋体"/>
          <w:color w:val="auto"/>
          <w:sz w:val="24"/>
          <w:szCs w:val="24"/>
          <w:highlight w:val="none"/>
        </w:rPr>
        <w:t>国家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省、市、区</w:t>
      </w:r>
      <w:r>
        <w:rPr>
          <w:rFonts w:hint="eastAsia" w:ascii="宋体" w:hAnsi="宋体" w:eastAsia="宋体" w:cs="宋体"/>
          <w:color w:val="auto"/>
          <w:sz w:val="24"/>
          <w:szCs w:val="24"/>
          <w:highlight w:val="none"/>
          <w:lang w:val="en-US" w:eastAsia="zh-CN"/>
        </w:rPr>
        <w:t>相关规范及设计要求为准</w:t>
      </w:r>
      <w:r>
        <w:rPr>
          <w:rFonts w:hint="eastAsia" w:ascii="宋体" w:hAnsi="宋体" w:cs="宋体"/>
          <w:color w:val="auto"/>
          <w:sz w:val="24"/>
          <w:szCs w:val="24"/>
          <w:highlight w:val="none"/>
          <w:lang w:eastAsia="zh-CN"/>
        </w:rPr>
        <w:t>）</w:t>
      </w:r>
    </w:p>
    <w:p w14:paraId="0415FC9D">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1.6工程质量标准：</w:t>
      </w:r>
      <w:r>
        <w:rPr>
          <w:rFonts w:hint="eastAsia" w:ascii="宋体" w:hAnsi="宋体"/>
          <w:color w:val="auto"/>
          <w:sz w:val="24"/>
          <w:szCs w:val="24"/>
          <w:highlight w:val="none"/>
          <w:u w:val="none"/>
        </w:rPr>
        <w:t>符合国家及省、市</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区</w:t>
      </w:r>
      <w:r>
        <w:rPr>
          <w:rFonts w:hint="eastAsia" w:ascii="宋体" w:hAnsi="宋体"/>
          <w:color w:val="auto"/>
          <w:sz w:val="24"/>
          <w:szCs w:val="24"/>
          <w:highlight w:val="none"/>
          <w:u w:val="none"/>
        </w:rPr>
        <w:t>有关检测</w:t>
      </w:r>
      <w:r>
        <w:rPr>
          <w:rFonts w:hint="eastAsia" w:ascii="宋体" w:hAnsi="宋体"/>
          <w:color w:val="auto"/>
          <w:sz w:val="24"/>
          <w:szCs w:val="24"/>
          <w:highlight w:val="none"/>
          <w:u w:val="none"/>
          <w:lang w:val="en-US" w:eastAsia="zh-CN"/>
        </w:rPr>
        <w:t>监测</w:t>
      </w:r>
      <w:r>
        <w:rPr>
          <w:rFonts w:hint="eastAsia" w:ascii="宋体" w:hAnsi="宋体"/>
          <w:color w:val="auto"/>
          <w:sz w:val="24"/>
          <w:szCs w:val="24"/>
          <w:highlight w:val="none"/>
          <w:u w:val="none"/>
        </w:rPr>
        <w:t>标准</w:t>
      </w:r>
      <w:r>
        <w:rPr>
          <w:rFonts w:hint="eastAsia" w:ascii="宋体" w:hAnsi="宋体"/>
          <w:color w:val="auto"/>
          <w:sz w:val="24"/>
          <w:szCs w:val="24"/>
          <w:highlight w:val="none"/>
          <w:u w:val="none"/>
          <w:lang w:val="en-US" w:eastAsia="zh-CN"/>
        </w:rPr>
        <w:t>及相关监管或主管部门要求</w:t>
      </w:r>
      <w:r>
        <w:rPr>
          <w:rFonts w:hint="eastAsia" w:ascii="宋体" w:hAnsi="宋体"/>
          <w:color w:val="auto"/>
          <w:sz w:val="24"/>
          <w:szCs w:val="24"/>
          <w:highlight w:val="none"/>
          <w:u w:val="none"/>
        </w:rPr>
        <w:t>。</w:t>
      </w:r>
    </w:p>
    <w:p w14:paraId="4B1BA81A">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2.检测范围及内容：</w:t>
      </w:r>
    </w:p>
    <w:p w14:paraId="6174C40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本项目提供基坑支护监测、高支模监测、水土保持监测（含验收）、主体沉降观测、地基基础检测、支护结构检测、建筑工程材料检测、主体结构实体检测、人防结构实体及人防设备安装质量检测、消防检测、防雷检测、发电机组负载检测、智能建筑检测（含光纤入户）、室内环境检测、土壤氡检测、钢结构检测、园区道路及管道检测、建筑节能及绿色建筑检测、幕墙与门窗工程检测、结构安全鉴定等本项目施工及验收阶段相关的第三方检测及监测项目并提供合格的检测/监测报告，以及相关申报检测技术成果审批服务。具体以发包人最终实施的方案为准。</w:t>
      </w:r>
    </w:p>
    <w:p w14:paraId="2AA8FD3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具体工作内容及要求包括但不限于：</w:t>
      </w:r>
    </w:p>
    <w:p w14:paraId="3050F27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（1）具体检测/监测项目及工程量以清单报价表、设计图纸、甲方要求及有关规范要求为准。检测/监测工作须满足需满足本项目施工过程需要、竣工验收要求及相关主管监督部门的要求。</w:t>
      </w:r>
    </w:p>
    <w:p w14:paraId="5B010CA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设计文件、施工组织设计、相关规范和相关行政职能部门及甲方要求，结合本项目实际情况，编制检测/监测方案，并确保检测/监测方案符合有关规范要求及通过工程所在行政区域的相关建设行政主管部门和监督部门的审批，同时负责协调相关工作，申报检测/监测技术成果的审批，保证技术成果能够通过相关部门认可，确保不因检测/监测工作影响本项目的建设进度和竣工验收，由此产生的费用已包含在综合单价中。</w:t>
      </w:r>
    </w:p>
    <w:p w14:paraId="4459A56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（3）在进行检测/监测服务过程中，与本项目相关的施工、监理、设计、咨询、甲方等相关单位及建设行政主管部门和监督部门协调工作，由此产生的费用已包含在综合单价中。</w:t>
      </w:r>
    </w:p>
    <w:p w14:paraId="58149BB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（4）本工程已包含监督抽检的工作内容，监督抽检数量按建设行政主管部门要求实施，由此产生的费用已包含在综合单价中。</w:t>
      </w:r>
    </w:p>
    <w:p w14:paraId="092C188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检测/监测数据的有关信息（包括但不限于：合同、计划、方案等）须按当地政府规定上传至广州市建设工程质量检测监管平台及其他政府指定的信息管理系统（如有），根据《广州市城乡建设委员会关于启用地下工程及深基坑安全监测信息管理系统的通知》《广州市住房和城乡建设委员会关于启用高大模板实时监测管理平台的通知》等要求，需做好信息化管理工作（含电子数据上传）确保不因传输报送工作影响本项目的建设进度和竣工验收，由此产生的费用已包含在综合单价中。</w:t>
      </w:r>
    </w:p>
    <w:p w14:paraId="2F54B85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用于完成本工程检测/监测的仪器、设备和材料由乙方自行配备、运输、存管。仪器、设备和材料应有产品出厂合格证、检定/校准证书等合格证明，同时符合相关技术标准和检定要求，该费用已包含在综合单价中。</w:t>
      </w:r>
    </w:p>
    <w:p w14:paraId="4038FE8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乙方提交的检测/监测报告在甲方项目实施竣工验收备案时发现因乙方原因有遗漏或错误或需补充提供的，乙方应无条件进行补充或修订直至完成竣工验收备案相应工作，由此产生的费用已包含在综合单价中。</w:t>
      </w:r>
    </w:p>
    <w:p w14:paraId="0B48A54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监测/观测后，监测/观测数据报警或由于其他客观情况需要，甲方要求乙方进行复检时，乙方应负责进行监测/观测，由此发生的费用已包含在综合单价中，不再另行计取，基坑监测清单中观测费为传统监测费用，自动化监测费用已在观测点埋设中综合考虑，不再另行计取。</w:t>
      </w:r>
    </w:p>
    <w:p w14:paraId="2DBD3F9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（9）乙方应向甲方提供非驻场式的技术咨询、支持服务，包括参加本项目相关会议、安排技术人员到现场解决相关问题等服务，人员办公住宿等由乙方自行负责。</w:t>
      </w:r>
    </w:p>
    <w:p w14:paraId="795F9FC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乙方应具备自行完成约定项目的检测监测工作的能力，除另有约定外，原则上不得转包和分包；如乙方检测、监测资质不能涵盖的项目，或根据建设主管部门的要求，需要由不同工程质量检测(监测)机构进行检测(监测)的，由乙方报甲方书面批准后，乙方方可委托有资质的相应单位实施，并按相关要求取得相应管理部门确认，确保不影响项目验收。乙方须对该第三方出具的结果负责，此部分工作产生的费用由乙方自行承担并已包含于综合单价中，不再另行计取。</w:t>
      </w:r>
    </w:p>
    <w:p w14:paraId="0AE2B7E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本项目实施期间，如因本项目验收需要，经甲方确认需增加《工程量清单》中没有的其他检测、监测项目，且乙方也具备相应资质，则乙方不得以任何理由拒绝为甲方提供检测、监测，并出具符合验收要求的检测、监测报告。若乙方资质不能涵盖的项目，由乙方报甲方批准后委托有资质的相应单位实施，乙方应对该第三方出具的结果负责，并按相关要求取得相应管理部门确认，确保不影响项目验收。甲方亦可另行委托。</w:t>
      </w:r>
    </w:p>
    <w:p w14:paraId="30DC7381">
      <w:pPr>
        <w:spacing w:line="360" w:lineRule="auto"/>
        <w:ind w:firstLine="424" w:firstLineChars="177"/>
        <w:rPr>
          <w:rFonts w:ascii="宋体" w:hAnsi="宋体"/>
          <w:bCs/>
          <w:color w:val="auto"/>
          <w:sz w:val="24"/>
          <w:szCs w:val="24"/>
          <w:highlight w:val="none"/>
          <w:u w:val="none"/>
        </w:rPr>
      </w:pPr>
      <w:r>
        <w:rPr>
          <w:rFonts w:hint="eastAsia" w:ascii="宋体" w:hAnsi="宋体"/>
          <w:bCs/>
          <w:color w:val="auto"/>
          <w:sz w:val="24"/>
          <w:szCs w:val="24"/>
          <w:highlight w:val="none"/>
          <w:u w:val="none"/>
        </w:rPr>
        <w:t>具体以</w:t>
      </w:r>
      <w:r>
        <w:rPr>
          <w:rFonts w:hint="eastAsia" w:ascii="宋体" w:hAnsi="宋体"/>
          <w:bCs/>
          <w:color w:val="auto"/>
          <w:sz w:val="24"/>
          <w:szCs w:val="24"/>
          <w:highlight w:val="none"/>
          <w:u w:val="none"/>
          <w:lang w:val="en-US" w:eastAsia="zh-CN"/>
        </w:rPr>
        <w:t>合同约定</w:t>
      </w:r>
      <w:r>
        <w:rPr>
          <w:rFonts w:hint="eastAsia" w:ascii="宋体" w:hAnsi="宋体"/>
          <w:bCs/>
          <w:color w:val="auto"/>
          <w:sz w:val="24"/>
          <w:szCs w:val="24"/>
          <w:highlight w:val="none"/>
          <w:u w:val="none"/>
        </w:rPr>
        <w:t>为准。</w:t>
      </w:r>
    </w:p>
    <w:p w14:paraId="37C09296">
      <w:pPr>
        <w:spacing w:line="360" w:lineRule="auto"/>
        <w:ind w:firstLine="426" w:firstLineChars="177"/>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3.检测及监测标准：</w:t>
      </w:r>
      <w:r>
        <w:rPr>
          <w:rFonts w:hint="eastAsia" w:ascii="宋体" w:hAnsi="宋体"/>
          <w:b w:val="0"/>
          <w:bCs/>
          <w:color w:val="auto"/>
          <w:sz w:val="24"/>
          <w:szCs w:val="24"/>
          <w:highlight w:val="none"/>
        </w:rPr>
        <w:t>按照国家、地方政府以及行业主管部门现行有效的规范、标准、规程和文件，本合同约定的质量检测/监测服务适用的技术标准、规范等依据必须符合相关监督管理部门的规范标准。</w:t>
      </w:r>
      <w:r>
        <w:rPr>
          <w:rFonts w:hint="eastAsia" w:ascii="宋体" w:hAnsi="宋体"/>
          <w:b w:val="0"/>
          <w:bCs/>
          <w:color w:val="auto"/>
          <w:sz w:val="24"/>
          <w:szCs w:val="24"/>
          <w:highlight w:val="none"/>
          <w:lang w:val="en-US" w:eastAsia="zh-CN"/>
        </w:rPr>
        <w:t>标准包括但不限于：</w:t>
      </w:r>
    </w:p>
    <w:p w14:paraId="138D3C3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（1）《建筑工程施工质量验收统一标准》（GB50300-2013）；</w:t>
      </w:r>
    </w:p>
    <w:p w14:paraId="1AD3CD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（2）《建筑装饰装修工程质量验收规范》（GB50300-2018）；</w:t>
      </w:r>
    </w:p>
    <w:p w14:paraId="38E40B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（3）《广东省建筑节能与绿色建筑工程施工质量验收规范》DBJ 15-65-2021；</w:t>
      </w:r>
    </w:p>
    <w:p w14:paraId="55B33F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（4）《广东省公共建筑节能设计标准》DBJ 15-51-2020；</w:t>
      </w:r>
    </w:p>
    <w:p w14:paraId="427A53B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（5）《建筑节能工程施工质量验收规范》GB50411；</w:t>
      </w:r>
    </w:p>
    <w:p w14:paraId="4BA4E60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（6）《民用建筑工程室内环境污染控制标准》GB50325-2020；</w:t>
      </w:r>
    </w:p>
    <w:p w14:paraId="3968B5D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（7）《通风与空调工程施工质量验收规范》GB50243；</w:t>
      </w:r>
    </w:p>
    <w:p w14:paraId="6D2BA6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（8）《建筑电气工程施工质量验收规范》GB50303；</w:t>
      </w:r>
    </w:p>
    <w:p w14:paraId="7EE0D46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（9）《公共建筑节能检测标准》JGJ/T177；</w:t>
      </w:r>
    </w:p>
    <w:p w14:paraId="7551BA8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（10）《居住建筑节能检测标准》JGJ/T132；</w:t>
      </w:r>
    </w:p>
    <w:p w14:paraId="2223E1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（11）《照明测量方法》GB/T5700；</w:t>
      </w:r>
    </w:p>
    <w:p w14:paraId="0033FA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（12）《风机盘管机组》GB/T19232；</w:t>
      </w:r>
    </w:p>
    <w:p w14:paraId="2937AA4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（13）《建筑玻璃可见光透射比、太阳光直接透射比、太阳能总透射比、紫外线透射比及有关窗玻璃参数的测定》GB/T2680；</w:t>
      </w:r>
    </w:p>
    <w:p w14:paraId="36E4F6A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（14）《建筑门窗玻璃幕墙热工计算规程》JGJ/T151；</w:t>
      </w:r>
    </w:p>
    <w:p w14:paraId="561DA7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（15）《中空玻璃》GB/T11944；</w:t>
      </w:r>
    </w:p>
    <w:p w14:paraId="76EC100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（16）《绝热材料稳态热阻及有关特性的测定防护热板法》GB/T10294；</w:t>
      </w:r>
    </w:p>
    <w:p w14:paraId="181E4A7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（17）《绝热稳态传热性质的测定标定和防护热箱法》GB/T13475；</w:t>
      </w:r>
    </w:p>
    <w:p w14:paraId="2E6CE5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（18）《建筑外门窗保温性能分级及其检测方法》GB/T8484；</w:t>
      </w:r>
    </w:p>
    <w:p w14:paraId="191418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（19）《建筑材料及制品燃烧性能分级》GB8624；</w:t>
      </w:r>
    </w:p>
    <w:p w14:paraId="291469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（20）《建筑材料可燃性试验方法》GB/T8626；</w:t>
      </w:r>
    </w:p>
    <w:p w14:paraId="2712A8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（21）《建筑材料不燃性试验方法》GB/T5646；</w:t>
      </w:r>
    </w:p>
    <w:p w14:paraId="0C7504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（22）《建筑外门窗气密、水密、抗风压性能分级及检测方法》GB/T7106；</w:t>
      </w:r>
    </w:p>
    <w:p w14:paraId="440D1CB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（23）《泡沫塑料和橡胶表观密度的测定》GB/T6343；</w:t>
      </w:r>
    </w:p>
    <w:p w14:paraId="146014F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（24）《硬质泡沫塑料吸水率的测定》GB/T8810；</w:t>
      </w:r>
    </w:p>
    <w:p w14:paraId="78669E0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（25）《硬质泡沫塑料压缩性能的测定》GB/T8813；</w:t>
      </w:r>
    </w:p>
    <w:p w14:paraId="15E4111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（26）《无机硬质绝热制品试验方法》GB/T5486；</w:t>
      </w:r>
    </w:p>
    <w:p w14:paraId="216FF94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（27）《矿物棉及其制品试验方法》GB/T5480；</w:t>
      </w:r>
    </w:p>
    <w:p w14:paraId="6F7FDC6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（28）广州市地方标准《园林绿化植物材料》DB4401T37 -2019</w:t>
      </w:r>
      <w:r>
        <w:rPr>
          <w:rFonts w:hint="eastAsia" w:ascii="宋体" w:hAnsi="宋体" w:cs="宋体"/>
          <w:color w:val="auto"/>
          <w:sz w:val="24"/>
          <w:szCs w:val="24"/>
          <w:highlight w:val="none"/>
          <w:lang w:eastAsia="zh-CN"/>
        </w:rPr>
        <w:t>；</w:t>
      </w:r>
    </w:p>
    <w:p w14:paraId="315DDBC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（29）广东省标准《广东城市绿化工程施工和验收规范》DB44/T581-2009</w:t>
      </w:r>
      <w:r>
        <w:rPr>
          <w:rFonts w:hint="eastAsia" w:ascii="宋体" w:hAnsi="宋体" w:cs="宋体"/>
          <w:color w:val="auto"/>
          <w:sz w:val="24"/>
          <w:szCs w:val="24"/>
          <w:highlight w:val="none"/>
          <w:lang w:eastAsia="zh-CN"/>
        </w:rPr>
        <w:t>；</w:t>
      </w:r>
    </w:p>
    <w:p w14:paraId="33E1300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（30）广东省标准《园林绿化木本苗》CJ/T24-2018</w:t>
      </w:r>
      <w:r>
        <w:rPr>
          <w:rFonts w:hint="eastAsia" w:ascii="宋体" w:hAnsi="宋体" w:cs="宋体"/>
          <w:color w:val="auto"/>
          <w:sz w:val="24"/>
          <w:szCs w:val="24"/>
          <w:highlight w:val="none"/>
          <w:lang w:eastAsia="zh-CN"/>
        </w:rPr>
        <w:t>；</w:t>
      </w:r>
    </w:p>
    <w:p w14:paraId="065DF2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（31）其它国家和广东省、广州市的有关的法律、法规、规章、规范及标准，及本项目施工图纸及其会审、变更记录。</w:t>
      </w:r>
    </w:p>
    <w:p w14:paraId="52115893">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4.</w:t>
      </w:r>
      <w:bookmarkStart w:id="141" w:name="_Toc511557119"/>
      <w:bookmarkStart w:id="142" w:name="_Toc24882"/>
      <w:bookmarkStart w:id="143" w:name="_Toc9843"/>
      <w:r>
        <w:rPr>
          <w:rFonts w:hint="eastAsia" w:ascii="宋体" w:hAnsi="宋体"/>
          <w:b/>
          <w:color w:val="auto"/>
          <w:sz w:val="24"/>
          <w:szCs w:val="24"/>
          <w:highlight w:val="none"/>
        </w:rPr>
        <w:t>委托人的其他要求</w:t>
      </w:r>
      <w:bookmarkEnd w:id="141"/>
      <w:bookmarkEnd w:id="142"/>
      <w:bookmarkEnd w:id="143"/>
      <w:r>
        <w:rPr>
          <w:rFonts w:hint="eastAsia" w:ascii="宋体" w:hAnsi="宋体"/>
          <w:b/>
          <w:color w:val="auto"/>
          <w:sz w:val="24"/>
          <w:szCs w:val="24"/>
          <w:highlight w:val="none"/>
        </w:rPr>
        <w:t>：</w:t>
      </w:r>
    </w:p>
    <w:p w14:paraId="6067CF86">
      <w:pPr>
        <w:pStyle w:val="26"/>
        <w:spacing w:line="360" w:lineRule="auto"/>
        <w:ind w:left="0" w:leftChars="0" w:firstLine="480"/>
        <w:rPr>
          <w:rFonts w:hint="eastAsia" w:ascii="宋体" w:hAnsi="宋体"/>
          <w:color w:val="auto"/>
          <w:sz w:val="24"/>
          <w:highlight w:val="none"/>
        </w:rPr>
      </w:pPr>
      <w:r>
        <w:rPr>
          <w:rFonts w:hint="eastAsia" w:ascii="宋体" w:hAnsi="宋体"/>
          <w:color w:val="auto"/>
          <w:sz w:val="24"/>
          <w:highlight w:val="none"/>
        </w:rPr>
        <w:t>详见本招标文件的第一章投标人须知和本工程委托检测监测合同的相关约定。</w:t>
      </w:r>
    </w:p>
    <w:p w14:paraId="628D8822">
      <w:pPr>
        <w:numPr>
          <w:ilvl w:val="0"/>
          <w:numId w:val="0"/>
        </w:numPr>
        <w:spacing w:line="360" w:lineRule="auto"/>
        <w:ind w:left="0" w:leftChars="0" w:firstLine="426" w:firstLineChars="177"/>
        <w:rPr>
          <w:rFonts w:hint="eastAsia" w:ascii="宋体" w:hAnsi="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5.</w:t>
      </w:r>
      <w:r>
        <w:rPr>
          <w:rFonts w:hint="eastAsia" w:ascii="宋体" w:hAnsi="宋体" w:eastAsia="宋体" w:cs="宋体"/>
          <w:b/>
          <w:bCs/>
          <w:color w:val="auto"/>
          <w:kern w:val="2"/>
          <w:sz w:val="24"/>
          <w:szCs w:val="24"/>
          <w:highlight w:val="none"/>
          <w:lang w:val="en-US" w:eastAsia="zh-CN" w:bidi="ar-SA"/>
        </w:rPr>
        <w:t>招标控制价（含检测监测清单）</w:t>
      </w:r>
      <w:r>
        <w:rPr>
          <w:rFonts w:hint="eastAsia" w:ascii="宋体" w:hAnsi="宋体" w:cs="宋体"/>
          <w:b/>
          <w:bCs/>
          <w:color w:val="auto"/>
          <w:sz w:val="24"/>
          <w:szCs w:val="24"/>
          <w:highlight w:val="none"/>
        </w:rPr>
        <w:t>（另册）</w:t>
      </w:r>
    </w:p>
    <w:p w14:paraId="64A8249D">
      <w:pPr>
        <w:spacing w:line="360" w:lineRule="auto"/>
        <w:ind w:firstLine="482" w:firstLineChars="200"/>
        <w:rPr>
          <w:b/>
          <w:color w:val="auto"/>
          <w:sz w:val="24"/>
          <w:szCs w:val="24"/>
          <w:highlight w:val="none"/>
          <w:lang w:bidi="ar"/>
        </w:rPr>
      </w:pPr>
      <w:r>
        <w:rPr>
          <w:rFonts w:hint="eastAsia"/>
          <w:b/>
          <w:color w:val="auto"/>
          <w:sz w:val="24"/>
          <w:szCs w:val="24"/>
          <w:highlight w:val="none"/>
          <w:lang w:val="en-US" w:eastAsia="zh-CN" w:bidi="ar"/>
        </w:rPr>
        <w:t>6.</w:t>
      </w:r>
      <w:r>
        <w:rPr>
          <w:rFonts w:hint="eastAsia"/>
          <w:b/>
          <w:color w:val="auto"/>
          <w:sz w:val="24"/>
          <w:szCs w:val="24"/>
          <w:highlight w:val="none"/>
          <w:lang w:bidi="ar"/>
        </w:rPr>
        <w:t>检测</w:t>
      </w:r>
      <w:r>
        <w:rPr>
          <w:rFonts w:hint="eastAsia"/>
          <w:b/>
          <w:color w:val="auto"/>
          <w:sz w:val="24"/>
          <w:szCs w:val="24"/>
          <w:highlight w:val="none"/>
          <w:lang w:eastAsia="zh-CN" w:bidi="ar"/>
        </w:rPr>
        <w:t>监测</w:t>
      </w:r>
      <w:r>
        <w:rPr>
          <w:rFonts w:hint="eastAsia"/>
          <w:b/>
          <w:color w:val="auto"/>
          <w:sz w:val="24"/>
          <w:szCs w:val="24"/>
          <w:highlight w:val="none"/>
          <w:lang w:bidi="ar"/>
        </w:rPr>
        <w:t>设备要求</w:t>
      </w:r>
    </w:p>
    <w:p w14:paraId="6D1671E9">
      <w:pPr>
        <w:spacing w:line="360" w:lineRule="auto"/>
        <w:ind w:firstLine="480" w:firstLineChars="200"/>
        <w:rPr>
          <w:color w:val="auto"/>
          <w:sz w:val="24"/>
          <w:szCs w:val="24"/>
          <w:highlight w:val="none"/>
          <w:lang w:bidi="ar"/>
        </w:rPr>
      </w:pPr>
      <w:r>
        <w:rPr>
          <w:rFonts w:hint="eastAsia"/>
          <w:color w:val="auto"/>
          <w:sz w:val="24"/>
          <w:szCs w:val="24"/>
          <w:highlight w:val="none"/>
          <w:lang w:bidi="ar"/>
        </w:rPr>
        <w:t>用于完成本项目检测</w:t>
      </w:r>
      <w:r>
        <w:rPr>
          <w:rFonts w:hint="eastAsia"/>
          <w:color w:val="auto"/>
          <w:sz w:val="24"/>
          <w:szCs w:val="24"/>
          <w:highlight w:val="none"/>
          <w:lang w:eastAsia="zh-CN" w:bidi="ar"/>
        </w:rPr>
        <w:t>监测</w:t>
      </w:r>
      <w:r>
        <w:rPr>
          <w:rFonts w:hint="eastAsia"/>
          <w:color w:val="auto"/>
          <w:sz w:val="24"/>
          <w:szCs w:val="24"/>
          <w:highlight w:val="none"/>
          <w:lang w:bidi="ar"/>
        </w:rPr>
        <w:t>的仪器、设备和材料由乙方自行运输，存管。仪器、设备和材料应有产品出厂合格证，检定</w:t>
      </w:r>
      <w:r>
        <w:rPr>
          <w:color w:val="auto"/>
          <w:sz w:val="24"/>
          <w:szCs w:val="24"/>
          <w:highlight w:val="none"/>
          <w:lang w:bidi="ar"/>
        </w:rPr>
        <w:t>/</w:t>
      </w:r>
      <w:r>
        <w:rPr>
          <w:rFonts w:hint="eastAsia"/>
          <w:color w:val="auto"/>
          <w:sz w:val="24"/>
          <w:szCs w:val="24"/>
          <w:highlight w:val="none"/>
          <w:lang w:bidi="ar"/>
        </w:rPr>
        <w:t>校准证书，同时符合相关技术标准和检定要求。本项目应遵守广州市建设科学技术委员会等相关部门对本工程的相关批示及指导意见执行。</w:t>
      </w:r>
    </w:p>
    <w:p w14:paraId="3024AEE9">
      <w:pPr>
        <w:pStyle w:val="3"/>
        <w:spacing w:afterLines="50"/>
        <w:jc w:val="center"/>
        <w:rPr>
          <w:b/>
          <w:color w:val="auto"/>
          <w:sz w:val="28"/>
          <w:highlight w:val="none"/>
          <w:lang w:bidi="ar"/>
        </w:rPr>
      </w:pPr>
      <w:r>
        <w:rPr>
          <w:rFonts w:hint="eastAsia"/>
          <w:b/>
          <w:color w:val="auto"/>
          <w:sz w:val="28"/>
          <w:highlight w:val="none"/>
          <w:lang w:bidi="ar"/>
        </w:rPr>
        <w:t>拟投入本项目的检测、监测设备要求表</w:t>
      </w:r>
    </w:p>
    <w:tbl>
      <w:tblPr>
        <w:tblStyle w:val="27"/>
        <w:tblW w:w="8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520"/>
        <w:gridCol w:w="2268"/>
      </w:tblGrid>
      <w:tr w14:paraId="00BC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vMerge w:val="restart"/>
            <w:tcBorders>
              <w:top w:val="single" w:color="auto" w:sz="12" w:space="0"/>
              <w:left w:val="single" w:color="auto" w:sz="12" w:space="0"/>
            </w:tcBorders>
            <w:vAlign w:val="center"/>
          </w:tcPr>
          <w:p w14:paraId="0E8DCDCA">
            <w:pPr>
              <w:pStyle w:val="3"/>
              <w:adjustRightInd w:val="0"/>
              <w:snapToGrid w:val="0"/>
              <w:spacing w:after="0"/>
              <w:jc w:val="center"/>
              <w:rPr>
                <w:b/>
                <w:color w:val="auto"/>
                <w:highlight w:val="none"/>
                <w:lang w:bidi="ar"/>
              </w:rPr>
            </w:pPr>
            <w:r>
              <w:rPr>
                <w:rFonts w:hint="eastAsia"/>
                <w:b/>
                <w:color w:val="auto"/>
                <w:highlight w:val="none"/>
                <w:lang w:bidi="ar"/>
              </w:rPr>
              <w:t>序号</w:t>
            </w:r>
          </w:p>
        </w:tc>
        <w:tc>
          <w:tcPr>
            <w:tcW w:w="4520" w:type="dxa"/>
            <w:vMerge w:val="restart"/>
            <w:tcBorders>
              <w:top w:val="single" w:color="auto" w:sz="12" w:space="0"/>
            </w:tcBorders>
            <w:vAlign w:val="center"/>
          </w:tcPr>
          <w:p w14:paraId="22237F31">
            <w:pPr>
              <w:pStyle w:val="3"/>
              <w:adjustRightInd w:val="0"/>
              <w:snapToGrid w:val="0"/>
              <w:spacing w:after="0"/>
              <w:jc w:val="center"/>
              <w:rPr>
                <w:b/>
                <w:color w:val="auto"/>
                <w:highlight w:val="none"/>
                <w:lang w:bidi="ar"/>
              </w:rPr>
            </w:pPr>
            <w:r>
              <w:rPr>
                <w:rFonts w:hint="eastAsia"/>
                <w:b/>
                <w:color w:val="auto"/>
                <w:highlight w:val="none"/>
                <w:lang w:bidi="ar"/>
              </w:rPr>
              <w:t>设备名称</w:t>
            </w:r>
          </w:p>
        </w:tc>
        <w:tc>
          <w:tcPr>
            <w:tcW w:w="2268" w:type="dxa"/>
            <w:vMerge w:val="restart"/>
            <w:tcBorders>
              <w:top w:val="single" w:color="auto" w:sz="12" w:space="0"/>
            </w:tcBorders>
            <w:vAlign w:val="center"/>
          </w:tcPr>
          <w:p w14:paraId="400DF53C">
            <w:pPr>
              <w:pStyle w:val="3"/>
              <w:adjustRightInd w:val="0"/>
              <w:snapToGrid w:val="0"/>
              <w:spacing w:after="0"/>
              <w:jc w:val="center"/>
              <w:rPr>
                <w:b/>
                <w:color w:val="auto"/>
                <w:highlight w:val="none"/>
                <w:lang w:bidi="ar"/>
              </w:rPr>
            </w:pPr>
            <w:r>
              <w:rPr>
                <w:rFonts w:hint="eastAsia"/>
                <w:b/>
                <w:color w:val="auto"/>
                <w:highlight w:val="none"/>
                <w:lang w:bidi="ar"/>
              </w:rPr>
              <w:t>本项目数量基本要求</w:t>
            </w:r>
          </w:p>
        </w:tc>
      </w:tr>
      <w:tr w14:paraId="3922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61" w:type="dxa"/>
            <w:vMerge w:val="continue"/>
            <w:tcBorders>
              <w:left w:val="single" w:color="auto" w:sz="12" w:space="0"/>
              <w:bottom w:val="single" w:color="auto" w:sz="12" w:space="0"/>
            </w:tcBorders>
            <w:vAlign w:val="center"/>
          </w:tcPr>
          <w:p w14:paraId="2C173585">
            <w:pPr>
              <w:pStyle w:val="3"/>
              <w:adjustRightInd w:val="0"/>
              <w:snapToGrid w:val="0"/>
              <w:spacing w:after="0"/>
              <w:jc w:val="center"/>
              <w:rPr>
                <w:color w:val="auto"/>
                <w:highlight w:val="none"/>
                <w:lang w:bidi="ar"/>
              </w:rPr>
            </w:pPr>
          </w:p>
        </w:tc>
        <w:tc>
          <w:tcPr>
            <w:tcW w:w="4520" w:type="dxa"/>
            <w:vMerge w:val="continue"/>
            <w:tcBorders>
              <w:bottom w:val="single" w:color="auto" w:sz="12" w:space="0"/>
            </w:tcBorders>
            <w:vAlign w:val="center"/>
          </w:tcPr>
          <w:p w14:paraId="43FFB2A2">
            <w:pPr>
              <w:pStyle w:val="3"/>
              <w:adjustRightInd w:val="0"/>
              <w:snapToGrid w:val="0"/>
              <w:spacing w:after="0"/>
              <w:jc w:val="center"/>
              <w:rPr>
                <w:color w:val="auto"/>
                <w:highlight w:val="none"/>
                <w:lang w:bidi="ar"/>
              </w:rPr>
            </w:pPr>
          </w:p>
        </w:tc>
        <w:tc>
          <w:tcPr>
            <w:tcW w:w="2268" w:type="dxa"/>
            <w:vMerge w:val="continue"/>
            <w:tcBorders>
              <w:bottom w:val="single" w:color="auto" w:sz="12" w:space="0"/>
            </w:tcBorders>
            <w:vAlign w:val="center"/>
          </w:tcPr>
          <w:p w14:paraId="73A0B5BE">
            <w:pPr>
              <w:pStyle w:val="3"/>
              <w:adjustRightInd w:val="0"/>
              <w:snapToGrid w:val="0"/>
              <w:spacing w:after="0"/>
              <w:jc w:val="center"/>
              <w:rPr>
                <w:color w:val="auto"/>
                <w:highlight w:val="none"/>
                <w:lang w:bidi="ar"/>
              </w:rPr>
            </w:pPr>
          </w:p>
        </w:tc>
      </w:tr>
      <w:tr w14:paraId="73E4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top w:val="single" w:color="auto" w:sz="12" w:space="0"/>
              <w:left w:val="single" w:color="auto" w:sz="12" w:space="0"/>
            </w:tcBorders>
            <w:vAlign w:val="center"/>
          </w:tcPr>
          <w:p w14:paraId="17FDCAAB">
            <w:pPr>
              <w:pStyle w:val="3"/>
              <w:adjustRightInd w:val="0"/>
              <w:snapToGrid w:val="0"/>
              <w:spacing w:after="0"/>
              <w:jc w:val="center"/>
              <w:rPr>
                <w:color w:val="auto"/>
                <w:highlight w:val="none"/>
                <w:lang w:bidi="ar"/>
              </w:rPr>
            </w:pPr>
            <w:r>
              <w:rPr>
                <w:color w:val="auto"/>
                <w:highlight w:val="none"/>
                <w:lang w:bidi="ar"/>
              </w:rPr>
              <w:t>1</w:t>
            </w:r>
          </w:p>
        </w:tc>
        <w:tc>
          <w:tcPr>
            <w:tcW w:w="4520" w:type="dxa"/>
            <w:tcBorders>
              <w:top w:val="single" w:color="auto" w:sz="12" w:space="0"/>
            </w:tcBorders>
            <w:vAlign w:val="center"/>
          </w:tcPr>
          <w:p w14:paraId="2F366DF8">
            <w:pPr>
              <w:pStyle w:val="3"/>
              <w:adjustRightInd w:val="0"/>
              <w:snapToGrid w:val="0"/>
              <w:spacing w:after="0"/>
              <w:jc w:val="center"/>
              <w:rPr>
                <w:color w:val="auto"/>
                <w:highlight w:val="none"/>
                <w:lang w:bidi="ar"/>
              </w:rPr>
            </w:pPr>
            <w:r>
              <w:rPr>
                <w:rFonts w:hint="eastAsia"/>
                <w:color w:val="auto"/>
                <w:highlight w:val="none"/>
                <w:lang w:bidi="ar"/>
              </w:rPr>
              <w:t>电子天平</w:t>
            </w:r>
          </w:p>
        </w:tc>
        <w:tc>
          <w:tcPr>
            <w:tcW w:w="2268" w:type="dxa"/>
            <w:tcBorders>
              <w:top w:val="single" w:color="auto" w:sz="12" w:space="0"/>
            </w:tcBorders>
            <w:vAlign w:val="center"/>
          </w:tcPr>
          <w:p w14:paraId="5D581CB3">
            <w:pPr>
              <w:pStyle w:val="3"/>
              <w:adjustRightInd w:val="0"/>
              <w:snapToGrid w:val="0"/>
              <w:spacing w:after="0"/>
              <w:jc w:val="center"/>
              <w:rPr>
                <w:color w:val="auto"/>
                <w:highlight w:val="none"/>
                <w:lang w:bidi="ar"/>
              </w:rPr>
            </w:pPr>
            <w:r>
              <w:rPr>
                <w:rFonts w:hint="eastAsia"/>
                <w:color w:val="auto"/>
                <w:highlight w:val="none"/>
                <w:lang w:bidi="ar"/>
              </w:rPr>
              <w:t>1台</w:t>
            </w:r>
          </w:p>
        </w:tc>
      </w:tr>
      <w:tr w14:paraId="7130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2A5C1B99">
            <w:pPr>
              <w:pStyle w:val="3"/>
              <w:adjustRightInd w:val="0"/>
              <w:snapToGrid w:val="0"/>
              <w:spacing w:after="0"/>
              <w:jc w:val="center"/>
              <w:rPr>
                <w:color w:val="auto"/>
                <w:highlight w:val="none"/>
                <w:lang w:bidi="ar"/>
              </w:rPr>
            </w:pPr>
            <w:r>
              <w:rPr>
                <w:color w:val="auto"/>
                <w:highlight w:val="none"/>
                <w:lang w:bidi="ar"/>
              </w:rPr>
              <w:t>2</w:t>
            </w:r>
          </w:p>
        </w:tc>
        <w:tc>
          <w:tcPr>
            <w:tcW w:w="4520" w:type="dxa"/>
            <w:vAlign w:val="center"/>
          </w:tcPr>
          <w:p w14:paraId="41CA13F0">
            <w:pPr>
              <w:pStyle w:val="3"/>
              <w:adjustRightInd w:val="0"/>
              <w:snapToGrid w:val="0"/>
              <w:spacing w:after="0"/>
              <w:jc w:val="center"/>
              <w:rPr>
                <w:color w:val="auto"/>
                <w:highlight w:val="none"/>
                <w:lang w:bidi="ar"/>
              </w:rPr>
            </w:pPr>
            <w:r>
              <w:rPr>
                <w:rFonts w:hint="eastAsia"/>
                <w:color w:val="auto"/>
                <w:highlight w:val="none"/>
                <w:lang w:bidi="ar"/>
              </w:rPr>
              <w:t>震击式标准振筛机</w:t>
            </w:r>
          </w:p>
        </w:tc>
        <w:tc>
          <w:tcPr>
            <w:tcW w:w="2268" w:type="dxa"/>
            <w:vAlign w:val="center"/>
          </w:tcPr>
          <w:p w14:paraId="0747CD34">
            <w:pPr>
              <w:pStyle w:val="3"/>
              <w:adjustRightInd w:val="0"/>
              <w:snapToGrid w:val="0"/>
              <w:spacing w:after="0"/>
              <w:jc w:val="center"/>
              <w:rPr>
                <w:color w:val="auto"/>
                <w:highlight w:val="none"/>
                <w:lang w:bidi="ar"/>
              </w:rPr>
            </w:pPr>
            <w:r>
              <w:rPr>
                <w:rFonts w:hint="eastAsia"/>
                <w:color w:val="auto"/>
                <w:highlight w:val="none"/>
                <w:lang w:bidi="ar"/>
              </w:rPr>
              <w:t>1台</w:t>
            </w:r>
          </w:p>
        </w:tc>
      </w:tr>
      <w:tr w14:paraId="7563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71244BC5">
            <w:pPr>
              <w:pStyle w:val="3"/>
              <w:adjustRightInd w:val="0"/>
              <w:snapToGrid w:val="0"/>
              <w:spacing w:after="0"/>
              <w:jc w:val="center"/>
              <w:rPr>
                <w:color w:val="auto"/>
                <w:highlight w:val="none"/>
                <w:lang w:bidi="ar"/>
              </w:rPr>
            </w:pPr>
            <w:r>
              <w:rPr>
                <w:color w:val="auto"/>
                <w:highlight w:val="none"/>
                <w:lang w:bidi="ar"/>
              </w:rPr>
              <w:t>3</w:t>
            </w:r>
          </w:p>
        </w:tc>
        <w:tc>
          <w:tcPr>
            <w:tcW w:w="4520" w:type="dxa"/>
            <w:vAlign w:val="center"/>
          </w:tcPr>
          <w:p w14:paraId="1A0B3B6D">
            <w:pPr>
              <w:pStyle w:val="3"/>
              <w:adjustRightInd w:val="0"/>
              <w:snapToGrid w:val="0"/>
              <w:spacing w:after="0"/>
              <w:jc w:val="center"/>
              <w:rPr>
                <w:color w:val="auto"/>
                <w:highlight w:val="none"/>
                <w:lang w:bidi="ar"/>
              </w:rPr>
            </w:pPr>
            <w:r>
              <w:rPr>
                <w:rFonts w:hint="eastAsia"/>
                <w:color w:val="auto"/>
                <w:highlight w:val="none"/>
                <w:lang w:bidi="ar"/>
              </w:rPr>
              <w:t>微机控制电液伺服压力试验机</w:t>
            </w:r>
          </w:p>
        </w:tc>
        <w:tc>
          <w:tcPr>
            <w:tcW w:w="2268" w:type="dxa"/>
            <w:vAlign w:val="center"/>
          </w:tcPr>
          <w:p w14:paraId="68A685CF">
            <w:pPr>
              <w:pStyle w:val="3"/>
              <w:adjustRightInd w:val="0"/>
              <w:snapToGrid w:val="0"/>
              <w:spacing w:after="0"/>
              <w:jc w:val="center"/>
              <w:rPr>
                <w:color w:val="auto"/>
                <w:highlight w:val="none"/>
                <w:lang w:bidi="ar"/>
              </w:rPr>
            </w:pPr>
            <w:r>
              <w:rPr>
                <w:rFonts w:hint="eastAsia"/>
                <w:color w:val="auto"/>
                <w:highlight w:val="none"/>
                <w:lang w:bidi="ar"/>
              </w:rPr>
              <w:t>1台</w:t>
            </w:r>
          </w:p>
        </w:tc>
      </w:tr>
      <w:tr w14:paraId="3987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86E889F">
            <w:pPr>
              <w:pStyle w:val="3"/>
              <w:adjustRightInd w:val="0"/>
              <w:snapToGrid w:val="0"/>
              <w:spacing w:after="0"/>
              <w:jc w:val="center"/>
              <w:rPr>
                <w:color w:val="auto"/>
                <w:highlight w:val="none"/>
                <w:lang w:bidi="ar"/>
              </w:rPr>
            </w:pPr>
            <w:r>
              <w:rPr>
                <w:color w:val="auto"/>
                <w:highlight w:val="none"/>
                <w:lang w:bidi="ar"/>
              </w:rPr>
              <w:t>4</w:t>
            </w:r>
          </w:p>
        </w:tc>
        <w:tc>
          <w:tcPr>
            <w:tcW w:w="4520" w:type="dxa"/>
            <w:vAlign w:val="center"/>
          </w:tcPr>
          <w:p w14:paraId="29436462">
            <w:pPr>
              <w:pStyle w:val="3"/>
              <w:adjustRightInd w:val="0"/>
              <w:snapToGrid w:val="0"/>
              <w:spacing w:after="0"/>
              <w:jc w:val="center"/>
              <w:rPr>
                <w:color w:val="auto"/>
                <w:highlight w:val="none"/>
                <w:lang w:bidi="ar"/>
              </w:rPr>
            </w:pPr>
            <w:r>
              <w:rPr>
                <w:rFonts w:hint="eastAsia"/>
                <w:color w:val="auto"/>
                <w:highlight w:val="none"/>
                <w:lang w:bidi="ar"/>
              </w:rPr>
              <w:t>微机控制电子万能试验机</w:t>
            </w:r>
          </w:p>
        </w:tc>
        <w:tc>
          <w:tcPr>
            <w:tcW w:w="2268" w:type="dxa"/>
            <w:vAlign w:val="center"/>
          </w:tcPr>
          <w:p w14:paraId="3E15DB3F">
            <w:pPr>
              <w:pStyle w:val="3"/>
              <w:adjustRightInd w:val="0"/>
              <w:snapToGrid w:val="0"/>
              <w:spacing w:after="0"/>
              <w:jc w:val="center"/>
              <w:rPr>
                <w:color w:val="auto"/>
                <w:highlight w:val="none"/>
                <w:lang w:bidi="ar"/>
              </w:rPr>
            </w:pPr>
            <w:r>
              <w:rPr>
                <w:rFonts w:hint="eastAsia"/>
                <w:color w:val="auto"/>
                <w:highlight w:val="none"/>
                <w:lang w:bidi="ar"/>
              </w:rPr>
              <w:t>1台</w:t>
            </w:r>
          </w:p>
        </w:tc>
      </w:tr>
      <w:tr w14:paraId="4FFE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4358D321">
            <w:pPr>
              <w:pStyle w:val="3"/>
              <w:adjustRightInd w:val="0"/>
              <w:snapToGrid w:val="0"/>
              <w:spacing w:after="0"/>
              <w:jc w:val="center"/>
              <w:rPr>
                <w:color w:val="auto"/>
                <w:highlight w:val="none"/>
                <w:lang w:bidi="ar"/>
              </w:rPr>
            </w:pPr>
            <w:r>
              <w:rPr>
                <w:color w:val="auto"/>
                <w:highlight w:val="none"/>
                <w:lang w:bidi="ar"/>
              </w:rPr>
              <w:t>5</w:t>
            </w:r>
          </w:p>
        </w:tc>
        <w:tc>
          <w:tcPr>
            <w:tcW w:w="4520" w:type="dxa"/>
            <w:vAlign w:val="center"/>
          </w:tcPr>
          <w:p w14:paraId="139F1517">
            <w:pPr>
              <w:pStyle w:val="3"/>
              <w:adjustRightInd w:val="0"/>
              <w:snapToGrid w:val="0"/>
              <w:spacing w:after="0"/>
              <w:jc w:val="center"/>
              <w:rPr>
                <w:rFonts w:hint="eastAsia" w:eastAsia="宋体"/>
                <w:color w:val="auto"/>
                <w:highlight w:val="none"/>
                <w:lang w:eastAsia="zh-CN" w:bidi="ar"/>
              </w:rPr>
            </w:pPr>
            <w:r>
              <w:rPr>
                <w:rFonts w:hint="eastAsia"/>
                <w:color w:val="auto"/>
                <w:highlight w:val="none"/>
                <w:lang w:eastAsia="zh-CN" w:bidi="ar"/>
              </w:rPr>
              <w:t>氯离子自动滴定仪</w:t>
            </w:r>
          </w:p>
        </w:tc>
        <w:tc>
          <w:tcPr>
            <w:tcW w:w="2268" w:type="dxa"/>
            <w:vAlign w:val="center"/>
          </w:tcPr>
          <w:p w14:paraId="30DE6C0E">
            <w:pPr>
              <w:pStyle w:val="3"/>
              <w:adjustRightInd w:val="0"/>
              <w:snapToGrid w:val="0"/>
              <w:spacing w:after="0"/>
              <w:jc w:val="center"/>
              <w:rPr>
                <w:color w:val="auto"/>
                <w:highlight w:val="none"/>
                <w:lang w:bidi="ar"/>
              </w:rPr>
            </w:pPr>
            <w:r>
              <w:rPr>
                <w:rFonts w:hint="eastAsia"/>
                <w:color w:val="auto"/>
                <w:highlight w:val="none"/>
                <w:lang w:bidi="ar"/>
              </w:rPr>
              <w:t>1台</w:t>
            </w:r>
          </w:p>
        </w:tc>
      </w:tr>
      <w:tr w14:paraId="60A7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6EB4AF8F">
            <w:pPr>
              <w:pStyle w:val="3"/>
              <w:adjustRightInd w:val="0"/>
              <w:snapToGrid w:val="0"/>
              <w:spacing w:after="0"/>
              <w:jc w:val="center"/>
              <w:rPr>
                <w:color w:val="auto"/>
                <w:highlight w:val="none"/>
                <w:lang w:bidi="ar"/>
              </w:rPr>
            </w:pPr>
            <w:r>
              <w:rPr>
                <w:color w:val="auto"/>
                <w:highlight w:val="none"/>
                <w:lang w:bidi="ar"/>
              </w:rPr>
              <w:t>6</w:t>
            </w:r>
          </w:p>
        </w:tc>
        <w:tc>
          <w:tcPr>
            <w:tcW w:w="4520" w:type="dxa"/>
            <w:vAlign w:val="center"/>
          </w:tcPr>
          <w:p w14:paraId="2C921F62">
            <w:pPr>
              <w:pStyle w:val="3"/>
              <w:adjustRightInd w:val="0"/>
              <w:snapToGrid w:val="0"/>
              <w:spacing w:after="0"/>
              <w:jc w:val="center"/>
              <w:rPr>
                <w:color w:val="auto"/>
                <w:highlight w:val="none"/>
                <w:lang w:bidi="ar"/>
              </w:rPr>
            </w:pPr>
            <w:r>
              <w:rPr>
                <w:rFonts w:hint="eastAsia"/>
                <w:color w:val="auto"/>
                <w:highlight w:val="none"/>
                <w:lang w:bidi="ar"/>
              </w:rPr>
              <w:t>沸煮箱</w:t>
            </w:r>
          </w:p>
        </w:tc>
        <w:tc>
          <w:tcPr>
            <w:tcW w:w="2268" w:type="dxa"/>
            <w:vAlign w:val="center"/>
          </w:tcPr>
          <w:p w14:paraId="2BA657A3">
            <w:pPr>
              <w:pStyle w:val="3"/>
              <w:adjustRightInd w:val="0"/>
              <w:snapToGrid w:val="0"/>
              <w:spacing w:after="0"/>
              <w:jc w:val="center"/>
              <w:rPr>
                <w:color w:val="auto"/>
                <w:highlight w:val="none"/>
                <w:lang w:bidi="ar"/>
              </w:rPr>
            </w:pPr>
            <w:r>
              <w:rPr>
                <w:rFonts w:hint="eastAsia"/>
                <w:color w:val="auto"/>
                <w:highlight w:val="none"/>
                <w:lang w:bidi="ar"/>
              </w:rPr>
              <w:t>1台</w:t>
            </w:r>
          </w:p>
        </w:tc>
      </w:tr>
      <w:tr w14:paraId="619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6BFEE38D">
            <w:pPr>
              <w:pStyle w:val="3"/>
              <w:adjustRightInd w:val="0"/>
              <w:snapToGrid w:val="0"/>
              <w:spacing w:after="0"/>
              <w:jc w:val="center"/>
              <w:rPr>
                <w:color w:val="auto"/>
                <w:highlight w:val="none"/>
                <w:lang w:bidi="ar"/>
              </w:rPr>
            </w:pPr>
            <w:r>
              <w:rPr>
                <w:color w:val="auto"/>
                <w:highlight w:val="none"/>
                <w:lang w:bidi="ar"/>
              </w:rPr>
              <w:t>7</w:t>
            </w:r>
          </w:p>
        </w:tc>
        <w:tc>
          <w:tcPr>
            <w:tcW w:w="4520" w:type="dxa"/>
            <w:vAlign w:val="center"/>
          </w:tcPr>
          <w:p w14:paraId="6AE4F391">
            <w:pPr>
              <w:pStyle w:val="3"/>
              <w:adjustRightInd w:val="0"/>
              <w:snapToGrid w:val="0"/>
              <w:spacing w:after="0"/>
              <w:jc w:val="center"/>
              <w:rPr>
                <w:color w:val="auto"/>
                <w:highlight w:val="none"/>
                <w:lang w:bidi="ar"/>
              </w:rPr>
            </w:pPr>
            <w:r>
              <w:rPr>
                <w:rFonts w:hint="eastAsia"/>
                <w:color w:val="auto"/>
                <w:highlight w:val="none"/>
                <w:lang w:bidi="ar"/>
              </w:rPr>
              <w:t>雷氏夹测定仪</w:t>
            </w:r>
          </w:p>
        </w:tc>
        <w:tc>
          <w:tcPr>
            <w:tcW w:w="2268" w:type="dxa"/>
            <w:vAlign w:val="center"/>
          </w:tcPr>
          <w:p w14:paraId="66479736">
            <w:pPr>
              <w:pStyle w:val="3"/>
              <w:adjustRightInd w:val="0"/>
              <w:snapToGrid w:val="0"/>
              <w:spacing w:after="0"/>
              <w:jc w:val="center"/>
              <w:rPr>
                <w:color w:val="auto"/>
                <w:highlight w:val="none"/>
                <w:lang w:bidi="ar"/>
              </w:rPr>
            </w:pPr>
            <w:r>
              <w:rPr>
                <w:rFonts w:hint="eastAsia"/>
                <w:color w:val="auto"/>
                <w:highlight w:val="none"/>
                <w:lang w:bidi="ar"/>
              </w:rPr>
              <w:t>1台</w:t>
            </w:r>
          </w:p>
        </w:tc>
      </w:tr>
      <w:tr w14:paraId="2718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72F65D3A">
            <w:pPr>
              <w:pStyle w:val="3"/>
              <w:adjustRightInd w:val="0"/>
              <w:snapToGrid w:val="0"/>
              <w:spacing w:after="0"/>
              <w:jc w:val="center"/>
              <w:rPr>
                <w:color w:val="auto"/>
                <w:highlight w:val="none"/>
                <w:lang w:bidi="ar"/>
              </w:rPr>
            </w:pPr>
            <w:r>
              <w:rPr>
                <w:color w:val="auto"/>
                <w:highlight w:val="none"/>
                <w:lang w:bidi="ar"/>
              </w:rPr>
              <w:t>8</w:t>
            </w:r>
          </w:p>
        </w:tc>
        <w:tc>
          <w:tcPr>
            <w:tcW w:w="4520" w:type="dxa"/>
            <w:vAlign w:val="center"/>
          </w:tcPr>
          <w:p w14:paraId="51278B64">
            <w:pPr>
              <w:pStyle w:val="3"/>
              <w:adjustRightInd w:val="0"/>
              <w:snapToGrid w:val="0"/>
              <w:spacing w:after="0"/>
              <w:jc w:val="center"/>
              <w:rPr>
                <w:color w:val="auto"/>
                <w:highlight w:val="none"/>
                <w:lang w:bidi="ar"/>
              </w:rPr>
            </w:pPr>
            <w:r>
              <w:rPr>
                <w:rFonts w:hint="eastAsia"/>
                <w:color w:val="auto"/>
                <w:highlight w:val="none"/>
                <w:lang w:bidi="ar"/>
              </w:rPr>
              <w:t>雷氏夹膨胀</w:t>
            </w:r>
          </w:p>
          <w:p w14:paraId="72CC5D97">
            <w:pPr>
              <w:pStyle w:val="3"/>
              <w:adjustRightInd w:val="0"/>
              <w:snapToGrid w:val="0"/>
              <w:spacing w:after="0"/>
              <w:jc w:val="center"/>
              <w:rPr>
                <w:color w:val="auto"/>
                <w:highlight w:val="none"/>
                <w:lang w:bidi="ar"/>
              </w:rPr>
            </w:pPr>
            <w:r>
              <w:rPr>
                <w:rFonts w:hint="eastAsia"/>
                <w:color w:val="auto"/>
                <w:highlight w:val="none"/>
                <w:lang w:bidi="ar"/>
              </w:rPr>
              <w:t>测定仪</w:t>
            </w:r>
          </w:p>
        </w:tc>
        <w:tc>
          <w:tcPr>
            <w:tcW w:w="2268" w:type="dxa"/>
            <w:vAlign w:val="center"/>
          </w:tcPr>
          <w:p w14:paraId="03C76C91">
            <w:pPr>
              <w:pStyle w:val="3"/>
              <w:adjustRightInd w:val="0"/>
              <w:snapToGrid w:val="0"/>
              <w:spacing w:after="0"/>
              <w:jc w:val="center"/>
              <w:rPr>
                <w:color w:val="auto"/>
                <w:highlight w:val="none"/>
                <w:lang w:bidi="ar"/>
              </w:rPr>
            </w:pPr>
            <w:r>
              <w:rPr>
                <w:rFonts w:hint="eastAsia"/>
                <w:color w:val="auto"/>
                <w:highlight w:val="none"/>
                <w:lang w:bidi="ar"/>
              </w:rPr>
              <w:t>1台</w:t>
            </w:r>
          </w:p>
        </w:tc>
      </w:tr>
      <w:tr w14:paraId="1FA6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21E1C626">
            <w:pPr>
              <w:pStyle w:val="3"/>
              <w:adjustRightInd w:val="0"/>
              <w:snapToGrid w:val="0"/>
              <w:spacing w:after="0"/>
              <w:jc w:val="center"/>
              <w:rPr>
                <w:color w:val="auto"/>
                <w:highlight w:val="none"/>
                <w:lang w:bidi="ar"/>
              </w:rPr>
            </w:pPr>
            <w:r>
              <w:rPr>
                <w:color w:val="auto"/>
                <w:highlight w:val="none"/>
                <w:lang w:bidi="ar"/>
              </w:rPr>
              <w:t>9</w:t>
            </w:r>
          </w:p>
        </w:tc>
        <w:tc>
          <w:tcPr>
            <w:tcW w:w="4520" w:type="dxa"/>
            <w:vAlign w:val="center"/>
          </w:tcPr>
          <w:p w14:paraId="189616B5">
            <w:pPr>
              <w:pStyle w:val="3"/>
              <w:adjustRightInd w:val="0"/>
              <w:snapToGrid w:val="0"/>
              <w:spacing w:after="0"/>
              <w:jc w:val="center"/>
              <w:rPr>
                <w:color w:val="auto"/>
                <w:highlight w:val="none"/>
                <w:lang w:bidi="ar"/>
              </w:rPr>
            </w:pPr>
            <w:r>
              <w:rPr>
                <w:rFonts w:hint="eastAsia"/>
                <w:color w:val="auto"/>
                <w:highlight w:val="none"/>
                <w:lang w:bidi="ar"/>
              </w:rPr>
              <w:t>电热鼓风干燥箱</w:t>
            </w:r>
          </w:p>
        </w:tc>
        <w:tc>
          <w:tcPr>
            <w:tcW w:w="2268" w:type="dxa"/>
            <w:vAlign w:val="center"/>
          </w:tcPr>
          <w:p w14:paraId="3AAA45DE">
            <w:pPr>
              <w:pStyle w:val="3"/>
              <w:adjustRightInd w:val="0"/>
              <w:snapToGrid w:val="0"/>
              <w:spacing w:after="0"/>
              <w:jc w:val="center"/>
              <w:rPr>
                <w:color w:val="auto"/>
                <w:highlight w:val="none"/>
                <w:lang w:bidi="ar"/>
              </w:rPr>
            </w:pPr>
            <w:r>
              <w:rPr>
                <w:rFonts w:hint="eastAsia"/>
                <w:color w:val="auto"/>
                <w:highlight w:val="none"/>
                <w:lang w:bidi="ar"/>
              </w:rPr>
              <w:t>1台</w:t>
            </w:r>
          </w:p>
        </w:tc>
      </w:tr>
      <w:tr w14:paraId="0C51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72FF6CC5">
            <w:pPr>
              <w:pStyle w:val="3"/>
              <w:adjustRightInd w:val="0"/>
              <w:snapToGrid w:val="0"/>
              <w:spacing w:after="0"/>
              <w:jc w:val="center"/>
              <w:rPr>
                <w:color w:val="auto"/>
                <w:highlight w:val="none"/>
                <w:lang w:bidi="ar"/>
              </w:rPr>
            </w:pPr>
            <w:r>
              <w:rPr>
                <w:color w:val="auto"/>
                <w:highlight w:val="none"/>
                <w:lang w:bidi="ar"/>
              </w:rPr>
              <w:t>10</w:t>
            </w:r>
          </w:p>
        </w:tc>
        <w:tc>
          <w:tcPr>
            <w:tcW w:w="4520" w:type="dxa"/>
            <w:vAlign w:val="center"/>
          </w:tcPr>
          <w:p w14:paraId="5DF41DD3">
            <w:pPr>
              <w:pStyle w:val="3"/>
              <w:adjustRightInd w:val="0"/>
              <w:snapToGrid w:val="0"/>
              <w:spacing w:after="0"/>
              <w:jc w:val="center"/>
              <w:rPr>
                <w:color w:val="auto"/>
                <w:highlight w:val="none"/>
                <w:lang w:bidi="ar"/>
              </w:rPr>
            </w:pPr>
            <w:r>
              <w:rPr>
                <w:rFonts w:hint="eastAsia"/>
                <w:color w:val="auto"/>
                <w:highlight w:val="none"/>
                <w:lang w:bidi="ar"/>
              </w:rPr>
              <w:t>微机控制压折试验机</w:t>
            </w:r>
          </w:p>
        </w:tc>
        <w:tc>
          <w:tcPr>
            <w:tcW w:w="2268" w:type="dxa"/>
            <w:vAlign w:val="center"/>
          </w:tcPr>
          <w:p w14:paraId="5DC7F5E8">
            <w:pPr>
              <w:pStyle w:val="3"/>
              <w:adjustRightInd w:val="0"/>
              <w:snapToGrid w:val="0"/>
              <w:spacing w:after="0"/>
              <w:jc w:val="center"/>
              <w:rPr>
                <w:color w:val="auto"/>
                <w:highlight w:val="none"/>
                <w:lang w:bidi="ar"/>
              </w:rPr>
            </w:pPr>
            <w:r>
              <w:rPr>
                <w:rFonts w:hint="eastAsia"/>
                <w:color w:val="auto"/>
                <w:highlight w:val="none"/>
                <w:lang w:bidi="ar"/>
              </w:rPr>
              <w:t>1台</w:t>
            </w:r>
          </w:p>
        </w:tc>
      </w:tr>
      <w:tr w14:paraId="765B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787E3391">
            <w:pPr>
              <w:pStyle w:val="3"/>
              <w:adjustRightInd w:val="0"/>
              <w:snapToGrid w:val="0"/>
              <w:spacing w:after="0"/>
              <w:jc w:val="center"/>
              <w:rPr>
                <w:color w:val="auto"/>
                <w:highlight w:val="none"/>
                <w:lang w:bidi="ar"/>
              </w:rPr>
            </w:pPr>
            <w:r>
              <w:rPr>
                <w:color w:val="auto"/>
                <w:highlight w:val="none"/>
                <w:lang w:bidi="ar"/>
              </w:rPr>
              <w:t>11</w:t>
            </w:r>
          </w:p>
        </w:tc>
        <w:tc>
          <w:tcPr>
            <w:tcW w:w="4520" w:type="dxa"/>
            <w:vAlign w:val="center"/>
          </w:tcPr>
          <w:p w14:paraId="0B26081B">
            <w:pPr>
              <w:pStyle w:val="3"/>
              <w:adjustRightInd w:val="0"/>
              <w:snapToGrid w:val="0"/>
              <w:spacing w:after="0"/>
              <w:jc w:val="center"/>
              <w:rPr>
                <w:rFonts w:hint="eastAsia" w:eastAsia="宋体"/>
                <w:color w:val="auto"/>
                <w:highlight w:val="none"/>
                <w:lang w:eastAsia="zh-CN" w:bidi="ar"/>
              </w:rPr>
            </w:pPr>
            <w:r>
              <w:rPr>
                <w:rFonts w:hint="eastAsia"/>
                <w:color w:val="auto"/>
                <w:highlight w:val="none"/>
                <w:lang w:eastAsia="zh-CN" w:bidi="ar"/>
              </w:rPr>
              <w:t>钢筋弯曲机</w:t>
            </w:r>
          </w:p>
        </w:tc>
        <w:tc>
          <w:tcPr>
            <w:tcW w:w="2268" w:type="dxa"/>
            <w:vAlign w:val="center"/>
          </w:tcPr>
          <w:p w14:paraId="5A995CEE">
            <w:pPr>
              <w:pStyle w:val="3"/>
              <w:adjustRightInd w:val="0"/>
              <w:snapToGrid w:val="0"/>
              <w:spacing w:after="0"/>
              <w:jc w:val="center"/>
              <w:rPr>
                <w:color w:val="auto"/>
                <w:highlight w:val="none"/>
                <w:lang w:bidi="ar"/>
              </w:rPr>
            </w:pPr>
            <w:r>
              <w:rPr>
                <w:rFonts w:hint="eastAsia"/>
                <w:color w:val="auto"/>
                <w:highlight w:val="none"/>
                <w:lang w:bidi="ar"/>
              </w:rPr>
              <w:t>1台</w:t>
            </w:r>
          </w:p>
        </w:tc>
      </w:tr>
      <w:tr w14:paraId="1D65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4CD8CA43">
            <w:pPr>
              <w:pStyle w:val="3"/>
              <w:adjustRightInd w:val="0"/>
              <w:snapToGrid w:val="0"/>
              <w:spacing w:after="0"/>
              <w:jc w:val="center"/>
              <w:rPr>
                <w:color w:val="auto"/>
                <w:highlight w:val="none"/>
                <w:lang w:bidi="ar"/>
              </w:rPr>
            </w:pPr>
            <w:r>
              <w:rPr>
                <w:color w:val="auto"/>
                <w:highlight w:val="none"/>
                <w:lang w:bidi="ar"/>
              </w:rPr>
              <w:t>12</w:t>
            </w:r>
          </w:p>
        </w:tc>
        <w:tc>
          <w:tcPr>
            <w:tcW w:w="4520" w:type="dxa"/>
            <w:vAlign w:val="center"/>
          </w:tcPr>
          <w:p w14:paraId="3C7D989C">
            <w:pPr>
              <w:pStyle w:val="3"/>
              <w:adjustRightInd w:val="0"/>
              <w:snapToGrid w:val="0"/>
              <w:spacing w:after="0"/>
              <w:jc w:val="center"/>
              <w:rPr>
                <w:rFonts w:hint="eastAsia" w:eastAsia="宋体"/>
                <w:color w:val="auto"/>
                <w:highlight w:val="none"/>
                <w:lang w:eastAsia="zh-CN" w:bidi="ar"/>
              </w:rPr>
            </w:pPr>
            <w:r>
              <w:rPr>
                <w:rFonts w:hint="eastAsia"/>
                <w:color w:val="auto"/>
                <w:highlight w:val="none"/>
                <w:lang w:eastAsia="zh-CN" w:bidi="ar"/>
              </w:rPr>
              <w:t>钢筋扫描仪</w:t>
            </w:r>
          </w:p>
        </w:tc>
        <w:tc>
          <w:tcPr>
            <w:tcW w:w="2268" w:type="dxa"/>
            <w:vAlign w:val="center"/>
          </w:tcPr>
          <w:p w14:paraId="5E5D5684">
            <w:pPr>
              <w:pStyle w:val="3"/>
              <w:adjustRightInd w:val="0"/>
              <w:snapToGrid w:val="0"/>
              <w:spacing w:after="0"/>
              <w:jc w:val="center"/>
              <w:rPr>
                <w:color w:val="auto"/>
                <w:highlight w:val="none"/>
                <w:lang w:bidi="ar"/>
              </w:rPr>
            </w:pPr>
            <w:r>
              <w:rPr>
                <w:rFonts w:hint="eastAsia"/>
                <w:color w:val="auto"/>
                <w:highlight w:val="none"/>
                <w:lang w:bidi="ar"/>
              </w:rPr>
              <w:t>1台</w:t>
            </w:r>
          </w:p>
        </w:tc>
      </w:tr>
      <w:tr w14:paraId="3891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6BDA27C2">
            <w:pPr>
              <w:pStyle w:val="3"/>
              <w:adjustRightInd w:val="0"/>
              <w:snapToGrid w:val="0"/>
              <w:spacing w:after="0"/>
              <w:jc w:val="center"/>
              <w:rPr>
                <w:color w:val="auto"/>
                <w:highlight w:val="none"/>
                <w:lang w:bidi="ar"/>
              </w:rPr>
            </w:pPr>
            <w:r>
              <w:rPr>
                <w:color w:val="auto"/>
                <w:highlight w:val="none"/>
                <w:lang w:bidi="ar"/>
              </w:rPr>
              <w:t>13</w:t>
            </w:r>
          </w:p>
        </w:tc>
        <w:tc>
          <w:tcPr>
            <w:tcW w:w="4520" w:type="dxa"/>
            <w:vAlign w:val="center"/>
          </w:tcPr>
          <w:p w14:paraId="53F9D079">
            <w:pPr>
              <w:pStyle w:val="3"/>
              <w:adjustRightInd w:val="0"/>
              <w:snapToGrid w:val="0"/>
              <w:spacing w:after="0"/>
              <w:jc w:val="center"/>
              <w:rPr>
                <w:color w:val="auto"/>
                <w:highlight w:val="none"/>
                <w:lang w:bidi="ar"/>
              </w:rPr>
            </w:pPr>
            <w:r>
              <w:rPr>
                <w:rFonts w:hint="eastAsia"/>
                <w:color w:val="auto"/>
                <w:highlight w:val="none"/>
                <w:lang w:bidi="ar"/>
              </w:rPr>
              <w:t>裂缝测宽仪</w:t>
            </w:r>
          </w:p>
        </w:tc>
        <w:tc>
          <w:tcPr>
            <w:tcW w:w="2268" w:type="dxa"/>
            <w:vAlign w:val="center"/>
          </w:tcPr>
          <w:p w14:paraId="25665DEC">
            <w:pPr>
              <w:pStyle w:val="3"/>
              <w:adjustRightInd w:val="0"/>
              <w:snapToGrid w:val="0"/>
              <w:spacing w:after="0"/>
              <w:jc w:val="center"/>
              <w:rPr>
                <w:color w:val="auto"/>
                <w:highlight w:val="none"/>
                <w:lang w:bidi="ar"/>
              </w:rPr>
            </w:pPr>
            <w:r>
              <w:rPr>
                <w:rFonts w:hint="eastAsia"/>
                <w:color w:val="auto"/>
                <w:highlight w:val="none"/>
                <w:lang w:bidi="ar"/>
              </w:rPr>
              <w:t>1台</w:t>
            </w:r>
          </w:p>
        </w:tc>
      </w:tr>
      <w:tr w14:paraId="49F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0CA6E5C5">
            <w:pPr>
              <w:pStyle w:val="3"/>
              <w:adjustRightInd w:val="0"/>
              <w:snapToGrid w:val="0"/>
              <w:spacing w:after="0"/>
              <w:jc w:val="center"/>
              <w:rPr>
                <w:color w:val="auto"/>
                <w:highlight w:val="none"/>
                <w:lang w:bidi="ar"/>
              </w:rPr>
            </w:pPr>
            <w:r>
              <w:rPr>
                <w:color w:val="auto"/>
                <w:highlight w:val="none"/>
                <w:lang w:bidi="ar"/>
              </w:rPr>
              <w:t>14</w:t>
            </w:r>
          </w:p>
        </w:tc>
        <w:tc>
          <w:tcPr>
            <w:tcW w:w="4520" w:type="dxa"/>
            <w:vAlign w:val="center"/>
          </w:tcPr>
          <w:p w14:paraId="136B0F39">
            <w:pPr>
              <w:pStyle w:val="3"/>
              <w:adjustRightInd w:val="0"/>
              <w:snapToGrid w:val="0"/>
              <w:spacing w:after="0"/>
              <w:jc w:val="center"/>
              <w:rPr>
                <w:rFonts w:hint="eastAsia" w:ascii="Times New Roman" w:hAnsi="Times New Roman" w:eastAsia="宋体" w:cs="Times New Roman"/>
                <w:color w:val="auto"/>
                <w:kern w:val="2"/>
                <w:sz w:val="21"/>
                <w:szCs w:val="20"/>
                <w:highlight w:val="none"/>
                <w:lang w:val="en-US" w:eastAsia="zh-CN" w:bidi="ar"/>
              </w:rPr>
            </w:pPr>
            <w:r>
              <w:rPr>
                <w:rFonts w:hint="eastAsia"/>
                <w:color w:val="auto"/>
                <w:highlight w:val="none"/>
                <w:lang w:eastAsia="zh-CN" w:bidi="ar"/>
              </w:rPr>
              <w:t>震击式标准振筛机</w:t>
            </w:r>
          </w:p>
        </w:tc>
        <w:tc>
          <w:tcPr>
            <w:tcW w:w="2268" w:type="dxa"/>
            <w:vAlign w:val="center"/>
          </w:tcPr>
          <w:p w14:paraId="191E7A6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51D5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5CDBEEC">
            <w:pPr>
              <w:pStyle w:val="3"/>
              <w:adjustRightInd w:val="0"/>
              <w:snapToGrid w:val="0"/>
              <w:spacing w:after="0"/>
              <w:jc w:val="center"/>
              <w:rPr>
                <w:color w:val="auto"/>
                <w:highlight w:val="none"/>
                <w:lang w:bidi="ar"/>
              </w:rPr>
            </w:pPr>
            <w:r>
              <w:rPr>
                <w:color w:val="auto"/>
                <w:highlight w:val="none"/>
                <w:lang w:bidi="ar"/>
              </w:rPr>
              <w:t>15</w:t>
            </w:r>
          </w:p>
        </w:tc>
        <w:tc>
          <w:tcPr>
            <w:tcW w:w="4520" w:type="dxa"/>
            <w:vAlign w:val="center"/>
          </w:tcPr>
          <w:p w14:paraId="5237677A">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水泥细度负压筛析仪</w:t>
            </w:r>
          </w:p>
        </w:tc>
        <w:tc>
          <w:tcPr>
            <w:tcW w:w="2268" w:type="dxa"/>
            <w:vAlign w:val="center"/>
          </w:tcPr>
          <w:p w14:paraId="0CAFC9F5">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774E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181B2F72">
            <w:pPr>
              <w:pStyle w:val="3"/>
              <w:adjustRightInd w:val="0"/>
              <w:snapToGrid w:val="0"/>
              <w:spacing w:after="0"/>
              <w:jc w:val="center"/>
              <w:rPr>
                <w:color w:val="auto"/>
                <w:highlight w:val="none"/>
                <w:lang w:bidi="ar"/>
              </w:rPr>
            </w:pPr>
            <w:r>
              <w:rPr>
                <w:color w:val="auto"/>
                <w:highlight w:val="none"/>
                <w:lang w:bidi="ar"/>
              </w:rPr>
              <w:t>16</w:t>
            </w:r>
          </w:p>
        </w:tc>
        <w:tc>
          <w:tcPr>
            <w:tcW w:w="4520" w:type="dxa"/>
            <w:vAlign w:val="center"/>
          </w:tcPr>
          <w:p w14:paraId="0F3417F6">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抗渗仪</w:t>
            </w:r>
          </w:p>
        </w:tc>
        <w:tc>
          <w:tcPr>
            <w:tcW w:w="2268" w:type="dxa"/>
            <w:vAlign w:val="center"/>
          </w:tcPr>
          <w:p w14:paraId="0D441A2B">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1B83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57C32933">
            <w:pPr>
              <w:pStyle w:val="3"/>
              <w:adjustRightInd w:val="0"/>
              <w:snapToGrid w:val="0"/>
              <w:spacing w:after="0"/>
              <w:jc w:val="center"/>
              <w:rPr>
                <w:color w:val="auto"/>
                <w:highlight w:val="none"/>
                <w:lang w:bidi="ar"/>
              </w:rPr>
            </w:pPr>
            <w:r>
              <w:rPr>
                <w:color w:val="auto"/>
                <w:highlight w:val="none"/>
                <w:lang w:bidi="ar"/>
              </w:rPr>
              <w:t>17</w:t>
            </w:r>
          </w:p>
        </w:tc>
        <w:tc>
          <w:tcPr>
            <w:tcW w:w="4520" w:type="dxa"/>
            <w:vAlign w:val="center"/>
          </w:tcPr>
          <w:p w14:paraId="41F148E5">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高强螺栓检测仪</w:t>
            </w:r>
          </w:p>
        </w:tc>
        <w:tc>
          <w:tcPr>
            <w:tcW w:w="2268" w:type="dxa"/>
            <w:vAlign w:val="center"/>
          </w:tcPr>
          <w:p w14:paraId="7B93F407">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2F6B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468F0621">
            <w:pPr>
              <w:pStyle w:val="3"/>
              <w:adjustRightInd w:val="0"/>
              <w:snapToGrid w:val="0"/>
              <w:spacing w:after="0"/>
              <w:jc w:val="center"/>
              <w:rPr>
                <w:color w:val="auto"/>
                <w:highlight w:val="none"/>
                <w:lang w:bidi="ar"/>
              </w:rPr>
            </w:pPr>
            <w:r>
              <w:rPr>
                <w:color w:val="auto"/>
                <w:highlight w:val="none"/>
                <w:lang w:bidi="ar"/>
              </w:rPr>
              <w:t>18</w:t>
            </w:r>
          </w:p>
        </w:tc>
        <w:tc>
          <w:tcPr>
            <w:tcW w:w="4520" w:type="dxa"/>
            <w:vAlign w:val="center"/>
          </w:tcPr>
          <w:p w14:paraId="1B8CFCA6">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激光测距仪</w:t>
            </w:r>
          </w:p>
        </w:tc>
        <w:tc>
          <w:tcPr>
            <w:tcW w:w="2268" w:type="dxa"/>
            <w:vAlign w:val="center"/>
          </w:tcPr>
          <w:p w14:paraId="492DF05A">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572E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53F7853B">
            <w:pPr>
              <w:pStyle w:val="3"/>
              <w:adjustRightInd w:val="0"/>
              <w:snapToGrid w:val="0"/>
              <w:spacing w:after="0"/>
              <w:jc w:val="center"/>
              <w:rPr>
                <w:color w:val="auto"/>
                <w:highlight w:val="none"/>
                <w:lang w:bidi="ar"/>
              </w:rPr>
            </w:pPr>
            <w:r>
              <w:rPr>
                <w:color w:val="auto"/>
                <w:highlight w:val="none"/>
                <w:lang w:bidi="ar"/>
              </w:rPr>
              <w:t>19</w:t>
            </w:r>
          </w:p>
        </w:tc>
        <w:tc>
          <w:tcPr>
            <w:tcW w:w="4520" w:type="dxa"/>
            <w:vAlign w:val="center"/>
          </w:tcPr>
          <w:p w14:paraId="2F304E3C">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箱式电阻炉</w:t>
            </w:r>
          </w:p>
        </w:tc>
        <w:tc>
          <w:tcPr>
            <w:tcW w:w="2268" w:type="dxa"/>
            <w:vAlign w:val="center"/>
          </w:tcPr>
          <w:p w14:paraId="1C5AAF65">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5F9C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4F1F60A3">
            <w:pPr>
              <w:pStyle w:val="3"/>
              <w:adjustRightInd w:val="0"/>
              <w:snapToGrid w:val="0"/>
              <w:spacing w:after="0"/>
              <w:jc w:val="center"/>
              <w:rPr>
                <w:color w:val="auto"/>
                <w:highlight w:val="none"/>
                <w:lang w:bidi="ar"/>
              </w:rPr>
            </w:pPr>
            <w:r>
              <w:rPr>
                <w:color w:val="auto"/>
                <w:highlight w:val="none"/>
                <w:lang w:bidi="ar"/>
              </w:rPr>
              <w:t>20</w:t>
            </w:r>
          </w:p>
        </w:tc>
        <w:tc>
          <w:tcPr>
            <w:tcW w:w="4520" w:type="dxa"/>
            <w:vAlign w:val="center"/>
          </w:tcPr>
          <w:p w14:paraId="38F0B47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低温试验箱</w:t>
            </w:r>
          </w:p>
        </w:tc>
        <w:tc>
          <w:tcPr>
            <w:tcW w:w="2268" w:type="dxa"/>
            <w:vAlign w:val="center"/>
          </w:tcPr>
          <w:p w14:paraId="5272F75D">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17B2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4AFB24F">
            <w:pPr>
              <w:pStyle w:val="3"/>
              <w:adjustRightInd w:val="0"/>
              <w:snapToGrid w:val="0"/>
              <w:spacing w:after="0"/>
              <w:jc w:val="center"/>
              <w:rPr>
                <w:color w:val="auto"/>
                <w:highlight w:val="none"/>
                <w:lang w:bidi="ar"/>
              </w:rPr>
            </w:pPr>
            <w:r>
              <w:rPr>
                <w:color w:val="auto"/>
                <w:highlight w:val="none"/>
                <w:lang w:bidi="ar"/>
              </w:rPr>
              <w:t>21</w:t>
            </w:r>
          </w:p>
        </w:tc>
        <w:tc>
          <w:tcPr>
            <w:tcW w:w="4520" w:type="dxa"/>
            <w:vAlign w:val="center"/>
          </w:tcPr>
          <w:p w14:paraId="74A45481">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涂层测厚仪</w:t>
            </w:r>
          </w:p>
        </w:tc>
        <w:tc>
          <w:tcPr>
            <w:tcW w:w="2268" w:type="dxa"/>
            <w:vAlign w:val="center"/>
          </w:tcPr>
          <w:p w14:paraId="4FA85FE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079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CA6F025">
            <w:pPr>
              <w:pStyle w:val="3"/>
              <w:adjustRightInd w:val="0"/>
              <w:snapToGrid w:val="0"/>
              <w:spacing w:after="0"/>
              <w:jc w:val="center"/>
              <w:rPr>
                <w:color w:val="auto"/>
                <w:highlight w:val="none"/>
                <w:lang w:bidi="ar"/>
              </w:rPr>
            </w:pPr>
            <w:r>
              <w:rPr>
                <w:color w:val="auto"/>
                <w:highlight w:val="none"/>
                <w:lang w:bidi="ar"/>
              </w:rPr>
              <w:t>22</w:t>
            </w:r>
          </w:p>
        </w:tc>
        <w:tc>
          <w:tcPr>
            <w:tcW w:w="4520" w:type="dxa"/>
            <w:vAlign w:val="center"/>
          </w:tcPr>
          <w:p w14:paraId="249A4E39">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数字回弹仪</w:t>
            </w:r>
          </w:p>
        </w:tc>
        <w:tc>
          <w:tcPr>
            <w:tcW w:w="2268" w:type="dxa"/>
            <w:vAlign w:val="center"/>
          </w:tcPr>
          <w:p w14:paraId="725BD780">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23F6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1E9E0F0E">
            <w:pPr>
              <w:pStyle w:val="3"/>
              <w:adjustRightInd w:val="0"/>
              <w:snapToGrid w:val="0"/>
              <w:spacing w:after="0"/>
              <w:jc w:val="center"/>
              <w:rPr>
                <w:color w:val="auto"/>
                <w:highlight w:val="none"/>
                <w:lang w:bidi="ar"/>
              </w:rPr>
            </w:pPr>
            <w:r>
              <w:rPr>
                <w:color w:val="auto"/>
                <w:highlight w:val="none"/>
                <w:lang w:bidi="ar"/>
              </w:rPr>
              <w:t>23</w:t>
            </w:r>
          </w:p>
        </w:tc>
        <w:tc>
          <w:tcPr>
            <w:tcW w:w="4520" w:type="dxa"/>
            <w:vAlign w:val="center"/>
          </w:tcPr>
          <w:p w14:paraId="7CDCF6C2">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基桩动测仪</w:t>
            </w:r>
          </w:p>
        </w:tc>
        <w:tc>
          <w:tcPr>
            <w:tcW w:w="2268" w:type="dxa"/>
            <w:vAlign w:val="center"/>
          </w:tcPr>
          <w:p w14:paraId="13978B31">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4502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07ECE62D">
            <w:pPr>
              <w:pStyle w:val="3"/>
              <w:adjustRightInd w:val="0"/>
              <w:snapToGrid w:val="0"/>
              <w:spacing w:after="0"/>
              <w:jc w:val="center"/>
              <w:rPr>
                <w:color w:val="auto"/>
                <w:highlight w:val="none"/>
                <w:lang w:bidi="ar"/>
              </w:rPr>
            </w:pPr>
            <w:r>
              <w:rPr>
                <w:color w:val="auto"/>
                <w:highlight w:val="none"/>
                <w:lang w:bidi="ar"/>
              </w:rPr>
              <w:t>24</w:t>
            </w:r>
          </w:p>
        </w:tc>
        <w:tc>
          <w:tcPr>
            <w:tcW w:w="4520" w:type="dxa"/>
            <w:vAlign w:val="center"/>
          </w:tcPr>
          <w:p w14:paraId="357DA16C">
            <w:pPr>
              <w:pStyle w:val="3"/>
              <w:adjustRightInd w:val="0"/>
              <w:snapToGrid w:val="0"/>
              <w:spacing w:after="0"/>
              <w:jc w:val="center"/>
              <w:rPr>
                <w:rFonts w:hint="eastAsia" w:ascii="Times New Roman" w:hAnsi="Times New Roman" w:eastAsia="宋体" w:cs="Times New Roman"/>
                <w:color w:val="auto"/>
                <w:kern w:val="2"/>
                <w:sz w:val="21"/>
                <w:szCs w:val="20"/>
                <w:highlight w:val="none"/>
                <w:lang w:val="en-US" w:eastAsia="zh-CN" w:bidi="ar"/>
              </w:rPr>
            </w:pPr>
            <w:r>
              <w:rPr>
                <w:rFonts w:hint="eastAsia"/>
                <w:color w:val="auto"/>
                <w:highlight w:val="none"/>
                <w:lang w:eastAsia="zh-CN" w:bidi="ar"/>
              </w:rPr>
              <w:t>静载荷测试仪</w:t>
            </w:r>
          </w:p>
        </w:tc>
        <w:tc>
          <w:tcPr>
            <w:tcW w:w="2268" w:type="dxa"/>
            <w:vAlign w:val="center"/>
          </w:tcPr>
          <w:p w14:paraId="4D086A95">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61A4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579E44FE">
            <w:pPr>
              <w:pStyle w:val="3"/>
              <w:adjustRightInd w:val="0"/>
              <w:snapToGrid w:val="0"/>
              <w:spacing w:after="0"/>
              <w:jc w:val="center"/>
              <w:rPr>
                <w:color w:val="auto"/>
                <w:highlight w:val="none"/>
                <w:lang w:bidi="ar"/>
              </w:rPr>
            </w:pPr>
            <w:r>
              <w:rPr>
                <w:color w:val="auto"/>
                <w:highlight w:val="none"/>
                <w:lang w:bidi="ar"/>
              </w:rPr>
              <w:t>25</w:t>
            </w:r>
          </w:p>
        </w:tc>
        <w:tc>
          <w:tcPr>
            <w:tcW w:w="4520" w:type="dxa"/>
            <w:vAlign w:val="center"/>
          </w:tcPr>
          <w:p w14:paraId="6F389398">
            <w:pPr>
              <w:pStyle w:val="3"/>
              <w:adjustRightInd w:val="0"/>
              <w:snapToGrid w:val="0"/>
              <w:spacing w:after="0"/>
              <w:jc w:val="center"/>
              <w:rPr>
                <w:rFonts w:hint="eastAsia" w:ascii="Times New Roman" w:hAnsi="Times New Roman" w:eastAsia="宋体" w:cs="Times New Roman"/>
                <w:color w:val="auto"/>
                <w:kern w:val="2"/>
                <w:sz w:val="21"/>
                <w:szCs w:val="20"/>
                <w:highlight w:val="none"/>
                <w:lang w:val="en-US" w:eastAsia="zh-CN" w:bidi="ar"/>
              </w:rPr>
            </w:pPr>
            <w:r>
              <w:rPr>
                <w:rFonts w:hint="eastAsia"/>
                <w:color w:val="auto"/>
                <w:highlight w:val="none"/>
                <w:lang w:eastAsia="zh-CN" w:bidi="ar"/>
              </w:rPr>
              <w:t>平板载荷测定仪</w:t>
            </w:r>
          </w:p>
        </w:tc>
        <w:tc>
          <w:tcPr>
            <w:tcW w:w="2268" w:type="dxa"/>
            <w:vAlign w:val="center"/>
          </w:tcPr>
          <w:p w14:paraId="29ED2AB0">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6EC2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2ACCF7EC">
            <w:pPr>
              <w:pStyle w:val="3"/>
              <w:adjustRightInd w:val="0"/>
              <w:snapToGrid w:val="0"/>
              <w:spacing w:after="0"/>
              <w:jc w:val="center"/>
              <w:rPr>
                <w:color w:val="auto"/>
                <w:highlight w:val="none"/>
                <w:lang w:bidi="ar"/>
              </w:rPr>
            </w:pPr>
            <w:r>
              <w:rPr>
                <w:color w:val="auto"/>
                <w:highlight w:val="none"/>
                <w:lang w:bidi="ar"/>
              </w:rPr>
              <w:t>26</w:t>
            </w:r>
          </w:p>
        </w:tc>
        <w:tc>
          <w:tcPr>
            <w:tcW w:w="4520" w:type="dxa"/>
            <w:vAlign w:val="center"/>
          </w:tcPr>
          <w:p w14:paraId="57E4682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全站仪</w:t>
            </w:r>
          </w:p>
        </w:tc>
        <w:tc>
          <w:tcPr>
            <w:tcW w:w="2268" w:type="dxa"/>
            <w:vAlign w:val="center"/>
          </w:tcPr>
          <w:p w14:paraId="57C7636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3台</w:t>
            </w:r>
          </w:p>
        </w:tc>
      </w:tr>
      <w:tr w14:paraId="071E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5F97B411">
            <w:pPr>
              <w:pStyle w:val="3"/>
              <w:adjustRightInd w:val="0"/>
              <w:snapToGrid w:val="0"/>
              <w:spacing w:after="0"/>
              <w:jc w:val="center"/>
              <w:rPr>
                <w:color w:val="auto"/>
                <w:highlight w:val="none"/>
                <w:lang w:bidi="ar"/>
              </w:rPr>
            </w:pPr>
            <w:r>
              <w:rPr>
                <w:color w:val="auto"/>
                <w:highlight w:val="none"/>
                <w:lang w:bidi="ar"/>
              </w:rPr>
              <w:t>27</w:t>
            </w:r>
          </w:p>
        </w:tc>
        <w:tc>
          <w:tcPr>
            <w:tcW w:w="4520" w:type="dxa"/>
            <w:vAlign w:val="center"/>
          </w:tcPr>
          <w:p w14:paraId="55248CF2">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测斜仪</w:t>
            </w:r>
          </w:p>
        </w:tc>
        <w:tc>
          <w:tcPr>
            <w:tcW w:w="2268" w:type="dxa"/>
            <w:vAlign w:val="center"/>
          </w:tcPr>
          <w:p w14:paraId="765E707F">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3台</w:t>
            </w:r>
          </w:p>
        </w:tc>
      </w:tr>
      <w:tr w14:paraId="57B3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1DE1DBCD">
            <w:pPr>
              <w:pStyle w:val="3"/>
              <w:adjustRightInd w:val="0"/>
              <w:snapToGrid w:val="0"/>
              <w:spacing w:after="0"/>
              <w:jc w:val="center"/>
              <w:rPr>
                <w:color w:val="auto"/>
                <w:highlight w:val="none"/>
                <w:lang w:bidi="ar"/>
              </w:rPr>
            </w:pPr>
            <w:r>
              <w:rPr>
                <w:color w:val="auto"/>
                <w:highlight w:val="none"/>
                <w:lang w:bidi="ar"/>
              </w:rPr>
              <w:t>28</w:t>
            </w:r>
          </w:p>
        </w:tc>
        <w:tc>
          <w:tcPr>
            <w:tcW w:w="4520" w:type="dxa"/>
            <w:vAlign w:val="center"/>
          </w:tcPr>
          <w:p w14:paraId="0D8A4613">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振弦读数仪</w:t>
            </w:r>
          </w:p>
        </w:tc>
        <w:tc>
          <w:tcPr>
            <w:tcW w:w="2268" w:type="dxa"/>
            <w:vAlign w:val="center"/>
          </w:tcPr>
          <w:p w14:paraId="544299F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3台</w:t>
            </w:r>
          </w:p>
        </w:tc>
      </w:tr>
      <w:tr w14:paraId="0D6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739B8AE">
            <w:pPr>
              <w:pStyle w:val="3"/>
              <w:adjustRightInd w:val="0"/>
              <w:snapToGrid w:val="0"/>
              <w:spacing w:after="0"/>
              <w:jc w:val="center"/>
              <w:rPr>
                <w:color w:val="auto"/>
                <w:highlight w:val="none"/>
                <w:lang w:bidi="ar"/>
              </w:rPr>
            </w:pPr>
            <w:r>
              <w:rPr>
                <w:color w:val="auto"/>
                <w:highlight w:val="none"/>
                <w:lang w:bidi="ar"/>
              </w:rPr>
              <w:t>29</w:t>
            </w:r>
          </w:p>
        </w:tc>
        <w:tc>
          <w:tcPr>
            <w:tcW w:w="4520" w:type="dxa"/>
            <w:vAlign w:val="center"/>
          </w:tcPr>
          <w:p w14:paraId="23DB35C4">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水位计</w:t>
            </w:r>
          </w:p>
        </w:tc>
        <w:tc>
          <w:tcPr>
            <w:tcW w:w="2268" w:type="dxa"/>
            <w:vAlign w:val="center"/>
          </w:tcPr>
          <w:p w14:paraId="0C643CBB">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3台</w:t>
            </w:r>
          </w:p>
        </w:tc>
      </w:tr>
    </w:tbl>
    <w:p w14:paraId="7AA96D40">
      <w:pPr>
        <w:pStyle w:val="24"/>
        <w:numPr>
          <w:ilvl w:val="-1"/>
          <w:numId w:val="0"/>
        </w:numPr>
        <w:ind w:left="0" w:leftChars="0"/>
        <w:rPr>
          <w:rFonts w:hint="eastAsia"/>
          <w:color w:val="auto"/>
          <w:highlight w:val="none"/>
        </w:rPr>
      </w:pPr>
    </w:p>
    <w:p w14:paraId="5867D6BB">
      <w:pPr>
        <w:pStyle w:val="4"/>
        <w:ind w:firstLine="482" w:firstLineChars="200"/>
        <w:jc w:val="center"/>
        <w:rPr>
          <w:color w:val="auto"/>
          <w:highlight w:val="none"/>
        </w:rPr>
      </w:pPr>
      <w:bookmarkStart w:id="210" w:name="_GoBack"/>
      <w:bookmarkEnd w:id="210"/>
      <w:r>
        <w:rPr>
          <w:rFonts w:hint="eastAsia" w:cs="宋体"/>
          <w:bCs/>
          <w:color w:val="auto"/>
          <w:sz w:val="24"/>
          <w:szCs w:val="24"/>
          <w:highlight w:val="none"/>
        </w:rPr>
        <w:br w:type="page"/>
      </w:r>
      <w:bookmarkStart w:id="144" w:name="_Toc118553994"/>
      <w:r>
        <w:rPr>
          <w:rFonts w:hint="eastAsia"/>
          <w:color w:val="auto"/>
          <w:highlight w:val="none"/>
        </w:rPr>
        <w:t>第三卷</w:t>
      </w:r>
      <w:bookmarkEnd w:id="135"/>
      <w:bookmarkEnd w:id="144"/>
    </w:p>
    <w:p w14:paraId="614BBC1D">
      <w:pPr>
        <w:pStyle w:val="4"/>
        <w:rPr>
          <w:color w:val="auto"/>
          <w:highlight w:val="none"/>
        </w:rPr>
      </w:pPr>
      <w:bookmarkStart w:id="145" w:name="_Toc118553995"/>
      <w:bookmarkStart w:id="146" w:name="_Toc533357327"/>
      <w:r>
        <w:rPr>
          <w:rFonts w:hint="eastAsia"/>
          <w:color w:val="auto"/>
          <w:highlight w:val="none"/>
        </w:rPr>
        <w:t>第六章  投标文件格式</w:t>
      </w:r>
      <w:bookmarkEnd w:id="145"/>
      <w:bookmarkEnd w:id="146"/>
    </w:p>
    <w:p w14:paraId="7FB9835B">
      <w:pPr>
        <w:spacing w:line="360" w:lineRule="auto"/>
        <w:jc w:val="center"/>
        <w:rPr>
          <w:rFonts w:ascii="宋体" w:hAnsi="宋体"/>
          <w:color w:val="auto"/>
          <w:sz w:val="20"/>
          <w:szCs w:val="24"/>
          <w:highlight w:val="none"/>
        </w:rPr>
      </w:pPr>
      <w:r>
        <w:rPr>
          <w:color w:val="auto"/>
          <w:highlight w:val="none"/>
        </w:rPr>
        <w:br w:type="page"/>
      </w:r>
      <w:r>
        <w:rPr>
          <w:rFonts w:hint="eastAsia" w:ascii="宋体" w:hAnsi="宋体" w:cs="宋体"/>
          <w:color w:val="auto"/>
          <w:sz w:val="44"/>
          <w:szCs w:val="44"/>
          <w:highlight w:val="none"/>
          <w:lang w:eastAsia="zh-CN"/>
        </w:rPr>
        <w:t xml:space="preserve"> 广州市黄埔区云埔街火村社区莲潭经济合作社城中村改造项目复建安置地块工程检测监测服务</w:t>
      </w:r>
    </w:p>
    <w:p w14:paraId="007589E4">
      <w:pPr>
        <w:tabs>
          <w:tab w:val="left" w:pos="3780"/>
          <w:tab w:val="left" w:pos="4440"/>
          <w:tab w:val="left" w:pos="5100"/>
        </w:tabs>
        <w:spacing w:line="549" w:lineRule="exact"/>
        <w:ind w:left="3138" w:right="2659"/>
        <w:jc w:val="center"/>
        <w:rPr>
          <w:rFonts w:ascii="宋体" w:hAnsi="宋体"/>
          <w:color w:val="auto"/>
          <w:sz w:val="44"/>
          <w:szCs w:val="24"/>
          <w:highlight w:val="none"/>
        </w:rPr>
      </w:pPr>
    </w:p>
    <w:p w14:paraId="731148C8">
      <w:pPr>
        <w:pStyle w:val="26"/>
        <w:rPr>
          <w:rFonts w:ascii="宋体" w:hAnsi="宋体"/>
          <w:color w:val="auto"/>
          <w:sz w:val="44"/>
          <w:szCs w:val="24"/>
          <w:highlight w:val="none"/>
        </w:rPr>
      </w:pPr>
    </w:p>
    <w:p w14:paraId="761AA709">
      <w:pPr>
        <w:pStyle w:val="26"/>
        <w:rPr>
          <w:rFonts w:ascii="宋体" w:hAnsi="宋体"/>
          <w:color w:val="auto"/>
          <w:sz w:val="44"/>
          <w:szCs w:val="24"/>
          <w:highlight w:val="none"/>
        </w:rPr>
      </w:pPr>
    </w:p>
    <w:p w14:paraId="2FEC3ECD">
      <w:pPr>
        <w:pStyle w:val="26"/>
        <w:rPr>
          <w:rFonts w:ascii="宋体" w:hAnsi="宋体"/>
          <w:color w:val="auto"/>
          <w:sz w:val="44"/>
          <w:szCs w:val="24"/>
          <w:highlight w:val="none"/>
        </w:rPr>
      </w:pPr>
    </w:p>
    <w:p w14:paraId="1F08E913">
      <w:pPr>
        <w:pStyle w:val="26"/>
        <w:rPr>
          <w:rFonts w:ascii="宋体" w:hAnsi="宋体"/>
          <w:color w:val="auto"/>
          <w:sz w:val="44"/>
          <w:szCs w:val="24"/>
          <w:highlight w:val="none"/>
        </w:rPr>
      </w:pPr>
    </w:p>
    <w:p w14:paraId="2EDC078B">
      <w:pPr>
        <w:pStyle w:val="34"/>
        <w:rPr>
          <w:color w:val="auto"/>
          <w:highlight w:val="none"/>
        </w:rPr>
      </w:pPr>
    </w:p>
    <w:p w14:paraId="4D9E0EBB">
      <w:pPr>
        <w:pStyle w:val="34"/>
        <w:rPr>
          <w:color w:val="auto"/>
          <w:highlight w:val="none"/>
        </w:rPr>
      </w:pPr>
    </w:p>
    <w:p w14:paraId="03865F75">
      <w:pPr>
        <w:tabs>
          <w:tab w:val="left" w:pos="3780"/>
          <w:tab w:val="left" w:pos="4440"/>
          <w:tab w:val="left" w:pos="5100"/>
        </w:tabs>
        <w:spacing w:line="549" w:lineRule="exact"/>
        <w:ind w:left="3138" w:right="2659"/>
        <w:jc w:val="center"/>
        <w:rPr>
          <w:rFonts w:ascii="宋体" w:hAnsi="宋体"/>
          <w:color w:val="auto"/>
          <w:sz w:val="44"/>
          <w:szCs w:val="24"/>
          <w:highlight w:val="none"/>
        </w:rPr>
      </w:pPr>
      <w:r>
        <w:rPr>
          <w:rFonts w:ascii="宋体" w:hAnsi="宋体"/>
          <w:color w:val="auto"/>
          <w:sz w:val="44"/>
          <w:szCs w:val="24"/>
          <w:highlight w:val="none"/>
        </w:rPr>
        <w:t>投标文</w:t>
      </w:r>
      <w:r>
        <w:rPr>
          <w:rFonts w:ascii="宋体" w:hAnsi="宋体"/>
          <w:color w:val="auto"/>
          <w:w w:val="99"/>
          <w:sz w:val="44"/>
          <w:szCs w:val="24"/>
          <w:highlight w:val="none"/>
        </w:rPr>
        <w:t>件</w:t>
      </w:r>
    </w:p>
    <w:p w14:paraId="3B746DBF">
      <w:pPr>
        <w:spacing w:line="200" w:lineRule="exact"/>
        <w:jc w:val="left"/>
        <w:rPr>
          <w:rFonts w:ascii="宋体" w:hAnsi="宋体"/>
          <w:color w:val="auto"/>
          <w:sz w:val="20"/>
          <w:szCs w:val="24"/>
          <w:highlight w:val="none"/>
        </w:rPr>
      </w:pPr>
    </w:p>
    <w:p w14:paraId="707D1BCA">
      <w:pPr>
        <w:spacing w:line="200" w:lineRule="exact"/>
        <w:jc w:val="left"/>
        <w:rPr>
          <w:rFonts w:ascii="宋体" w:hAnsi="宋体"/>
          <w:color w:val="auto"/>
          <w:sz w:val="20"/>
          <w:szCs w:val="24"/>
          <w:highlight w:val="none"/>
        </w:rPr>
      </w:pPr>
    </w:p>
    <w:p w14:paraId="63109E57">
      <w:pPr>
        <w:spacing w:line="200" w:lineRule="exact"/>
        <w:jc w:val="left"/>
        <w:rPr>
          <w:rFonts w:ascii="宋体" w:hAnsi="宋体"/>
          <w:color w:val="auto"/>
          <w:sz w:val="20"/>
          <w:szCs w:val="24"/>
          <w:highlight w:val="none"/>
        </w:rPr>
      </w:pPr>
    </w:p>
    <w:p w14:paraId="6E2270E1">
      <w:pPr>
        <w:spacing w:line="200" w:lineRule="exact"/>
        <w:jc w:val="left"/>
        <w:rPr>
          <w:rFonts w:ascii="宋体" w:hAnsi="宋体"/>
          <w:color w:val="auto"/>
          <w:sz w:val="20"/>
          <w:szCs w:val="24"/>
          <w:highlight w:val="none"/>
        </w:rPr>
      </w:pPr>
    </w:p>
    <w:p w14:paraId="455548A2">
      <w:pPr>
        <w:spacing w:line="200" w:lineRule="exact"/>
        <w:jc w:val="left"/>
        <w:rPr>
          <w:rFonts w:ascii="宋体" w:hAnsi="宋体"/>
          <w:color w:val="auto"/>
          <w:sz w:val="20"/>
          <w:szCs w:val="24"/>
          <w:highlight w:val="none"/>
        </w:rPr>
      </w:pPr>
    </w:p>
    <w:p w14:paraId="626D94EE">
      <w:pPr>
        <w:spacing w:line="200" w:lineRule="exact"/>
        <w:jc w:val="left"/>
        <w:rPr>
          <w:rFonts w:ascii="宋体" w:hAnsi="宋体"/>
          <w:color w:val="auto"/>
          <w:sz w:val="20"/>
          <w:szCs w:val="24"/>
          <w:highlight w:val="none"/>
        </w:rPr>
      </w:pPr>
    </w:p>
    <w:p w14:paraId="4D902F1C">
      <w:pPr>
        <w:spacing w:line="200" w:lineRule="exact"/>
        <w:jc w:val="left"/>
        <w:rPr>
          <w:rFonts w:ascii="宋体" w:hAnsi="宋体"/>
          <w:color w:val="auto"/>
          <w:sz w:val="20"/>
          <w:szCs w:val="24"/>
          <w:highlight w:val="none"/>
        </w:rPr>
      </w:pPr>
    </w:p>
    <w:p w14:paraId="1BA66C04">
      <w:pPr>
        <w:spacing w:line="200" w:lineRule="exact"/>
        <w:jc w:val="left"/>
        <w:rPr>
          <w:rFonts w:ascii="宋体" w:hAnsi="宋体"/>
          <w:color w:val="auto"/>
          <w:sz w:val="20"/>
          <w:szCs w:val="24"/>
          <w:highlight w:val="none"/>
        </w:rPr>
      </w:pPr>
    </w:p>
    <w:p w14:paraId="198A7CD5">
      <w:pPr>
        <w:spacing w:line="200" w:lineRule="exact"/>
        <w:jc w:val="left"/>
        <w:rPr>
          <w:rFonts w:ascii="宋体" w:hAnsi="宋体"/>
          <w:color w:val="auto"/>
          <w:sz w:val="20"/>
          <w:szCs w:val="24"/>
          <w:highlight w:val="none"/>
        </w:rPr>
      </w:pPr>
    </w:p>
    <w:p w14:paraId="36571881">
      <w:pPr>
        <w:spacing w:line="200" w:lineRule="exact"/>
        <w:jc w:val="left"/>
        <w:rPr>
          <w:rFonts w:ascii="宋体" w:hAnsi="宋体"/>
          <w:color w:val="auto"/>
          <w:sz w:val="20"/>
          <w:szCs w:val="24"/>
          <w:highlight w:val="none"/>
        </w:rPr>
      </w:pPr>
    </w:p>
    <w:p w14:paraId="137869A8">
      <w:pPr>
        <w:spacing w:line="200" w:lineRule="exact"/>
        <w:jc w:val="left"/>
        <w:rPr>
          <w:rFonts w:ascii="宋体" w:hAnsi="宋体"/>
          <w:color w:val="auto"/>
          <w:sz w:val="20"/>
          <w:szCs w:val="24"/>
          <w:highlight w:val="none"/>
        </w:rPr>
      </w:pPr>
    </w:p>
    <w:p w14:paraId="12D6E35F">
      <w:pPr>
        <w:spacing w:line="200" w:lineRule="exact"/>
        <w:jc w:val="left"/>
        <w:rPr>
          <w:rFonts w:ascii="宋体" w:hAnsi="宋体"/>
          <w:color w:val="auto"/>
          <w:sz w:val="20"/>
          <w:szCs w:val="24"/>
          <w:highlight w:val="none"/>
        </w:rPr>
      </w:pPr>
    </w:p>
    <w:p w14:paraId="29A45829">
      <w:pPr>
        <w:spacing w:line="200" w:lineRule="exact"/>
        <w:jc w:val="left"/>
        <w:rPr>
          <w:rFonts w:ascii="宋体" w:hAnsi="宋体"/>
          <w:color w:val="auto"/>
          <w:sz w:val="20"/>
          <w:szCs w:val="24"/>
          <w:highlight w:val="none"/>
        </w:rPr>
      </w:pPr>
    </w:p>
    <w:p w14:paraId="5DF4FE51">
      <w:pPr>
        <w:spacing w:line="200" w:lineRule="exact"/>
        <w:jc w:val="left"/>
        <w:rPr>
          <w:rFonts w:ascii="宋体" w:hAnsi="宋体"/>
          <w:color w:val="auto"/>
          <w:sz w:val="20"/>
          <w:szCs w:val="24"/>
          <w:highlight w:val="none"/>
        </w:rPr>
      </w:pPr>
    </w:p>
    <w:p w14:paraId="14902843">
      <w:pPr>
        <w:spacing w:line="200" w:lineRule="exact"/>
        <w:jc w:val="left"/>
        <w:rPr>
          <w:rFonts w:ascii="宋体" w:hAnsi="宋体"/>
          <w:color w:val="auto"/>
          <w:sz w:val="20"/>
          <w:szCs w:val="24"/>
          <w:highlight w:val="none"/>
        </w:rPr>
      </w:pPr>
    </w:p>
    <w:p w14:paraId="12255DC3">
      <w:pPr>
        <w:spacing w:line="200" w:lineRule="exact"/>
        <w:jc w:val="left"/>
        <w:rPr>
          <w:rFonts w:ascii="宋体" w:hAnsi="宋体"/>
          <w:color w:val="auto"/>
          <w:sz w:val="20"/>
          <w:szCs w:val="24"/>
          <w:highlight w:val="none"/>
        </w:rPr>
      </w:pPr>
    </w:p>
    <w:p w14:paraId="24889909">
      <w:pPr>
        <w:spacing w:line="200" w:lineRule="exact"/>
        <w:jc w:val="left"/>
        <w:rPr>
          <w:rFonts w:ascii="宋体" w:hAnsi="宋体"/>
          <w:color w:val="auto"/>
          <w:sz w:val="20"/>
          <w:szCs w:val="24"/>
          <w:highlight w:val="none"/>
        </w:rPr>
      </w:pPr>
    </w:p>
    <w:p w14:paraId="5442AFF7">
      <w:pPr>
        <w:spacing w:before="17" w:line="240" w:lineRule="exact"/>
        <w:jc w:val="left"/>
        <w:rPr>
          <w:rFonts w:ascii="宋体" w:hAnsi="宋体"/>
          <w:color w:val="auto"/>
          <w:sz w:val="24"/>
          <w:szCs w:val="24"/>
          <w:highlight w:val="none"/>
        </w:rPr>
      </w:pPr>
    </w:p>
    <w:p w14:paraId="05202253">
      <w:pPr>
        <w:tabs>
          <w:tab w:val="left" w:pos="4480"/>
          <w:tab w:val="left" w:pos="6940"/>
        </w:tabs>
        <w:spacing w:line="540" w:lineRule="atLeast"/>
        <w:ind w:left="1201" w:right="-34"/>
        <w:jc w:val="left"/>
        <w:rPr>
          <w:rFonts w:ascii="宋体" w:hAnsi="宋体"/>
          <w:color w:val="auto"/>
          <w:sz w:val="28"/>
          <w:szCs w:val="24"/>
          <w:highlight w:val="none"/>
        </w:rPr>
      </w:pPr>
      <w:r>
        <w:rPr>
          <w:rFonts w:ascii="宋体" w:hAnsi="宋体"/>
          <w:color w:val="auto"/>
          <w:sz w:val="28"/>
          <w:szCs w:val="24"/>
          <w:highlight w:val="none"/>
        </w:rPr>
        <w:t>投标人：</w:t>
      </w:r>
      <w:r>
        <w:rPr>
          <w:rFonts w:ascii="宋体" w:hAnsi="宋体"/>
          <w:color w:val="auto"/>
          <w:sz w:val="28"/>
          <w:szCs w:val="24"/>
          <w:highlight w:val="none"/>
          <w:u w:val="single"/>
        </w:rPr>
        <w:t xml:space="preserve">  </w:t>
      </w:r>
      <w:r>
        <w:rPr>
          <w:rFonts w:hint="eastAsia"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z w:val="28"/>
          <w:szCs w:val="24"/>
          <w:highlight w:val="none"/>
        </w:rPr>
        <w:t>（盖</w:t>
      </w:r>
      <w:r>
        <w:rPr>
          <w:rFonts w:ascii="宋体" w:hAnsi="宋体"/>
          <w:color w:val="auto"/>
          <w:spacing w:val="-3"/>
          <w:sz w:val="28"/>
          <w:szCs w:val="24"/>
          <w:highlight w:val="none"/>
        </w:rPr>
        <w:t>单</w:t>
      </w:r>
      <w:r>
        <w:rPr>
          <w:rFonts w:ascii="宋体" w:hAnsi="宋体"/>
          <w:color w:val="auto"/>
          <w:sz w:val="28"/>
          <w:szCs w:val="24"/>
          <w:highlight w:val="none"/>
        </w:rPr>
        <w:t>位</w:t>
      </w:r>
      <w:r>
        <w:rPr>
          <w:rFonts w:ascii="宋体" w:hAnsi="宋体"/>
          <w:color w:val="auto"/>
          <w:spacing w:val="-3"/>
          <w:sz w:val="28"/>
          <w:szCs w:val="24"/>
          <w:highlight w:val="none"/>
        </w:rPr>
        <w:t>章</w:t>
      </w:r>
      <w:r>
        <w:rPr>
          <w:rFonts w:ascii="宋体" w:hAnsi="宋体"/>
          <w:color w:val="auto"/>
          <w:sz w:val="28"/>
          <w:szCs w:val="24"/>
          <w:highlight w:val="none"/>
        </w:rPr>
        <w:t xml:space="preserve">） </w:t>
      </w:r>
    </w:p>
    <w:p w14:paraId="43888886">
      <w:pPr>
        <w:tabs>
          <w:tab w:val="left" w:pos="4480"/>
          <w:tab w:val="left" w:pos="6940"/>
        </w:tabs>
        <w:spacing w:line="540" w:lineRule="atLeast"/>
        <w:ind w:left="1201" w:right="-34"/>
        <w:jc w:val="left"/>
        <w:rPr>
          <w:rFonts w:ascii="宋体" w:hAnsi="宋体"/>
          <w:color w:val="auto"/>
          <w:sz w:val="28"/>
          <w:szCs w:val="24"/>
          <w:highlight w:val="none"/>
        </w:rPr>
      </w:pPr>
      <w:r>
        <w:rPr>
          <w:rFonts w:ascii="宋体" w:hAnsi="宋体"/>
          <w:color w:val="auto"/>
          <w:sz w:val="28"/>
          <w:szCs w:val="24"/>
          <w:highlight w:val="none"/>
        </w:rPr>
        <w:t>法定代</w:t>
      </w:r>
      <w:r>
        <w:rPr>
          <w:rFonts w:ascii="宋体" w:hAnsi="宋体"/>
          <w:color w:val="auto"/>
          <w:spacing w:val="-3"/>
          <w:sz w:val="28"/>
          <w:szCs w:val="24"/>
          <w:highlight w:val="none"/>
        </w:rPr>
        <w:t>表</w:t>
      </w:r>
      <w:r>
        <w:rPr>
          <w:rFonts w:ascii="宋体" w:hAnsi="宋体"/>
          <w:color w:val="auto"/>
          <w:sz w:val="28"/>
          <w:szCs w:val="24"/>
          <w:highlight w:val="none"/>
        </w:rPr>
        <w:t>人或</w:t>
      </w:r>
      <w:r>
        <w:rPr>
          <w:rFonts w:ascii="宋体" w:hAnsi="宋体"/>
          <w:color w:val="auto"/>
          <w:spacing w:val="-3"/>
          <w:sz w:val="28"/>
          <w:szCs w:val="24"/>
          <w:highlight w:val="none"/>
        </w:rPr>
        <w:t>其委</w:t>
      </w:r>
      <w:r>
        <w:rPr>
          <w:rFonts w:ascii="宋体" w:hAnsi="宋体"/>
          <w:color w:val="auto"/>
          <w:sz w:val="28"/>
          <w:szCs w:val="24"/>
          <w:highlight w:val="none"/>
        </w:rPr>
        <w:t>托代理</w:t>
      </w:r>
      <w:r>
        <w:rPr>
          <w:rFonts w:ascii="宋体" w:hAnsi="宋体"/>
          <w:color w:val="auto"/>
          <w:spacing w:val="-3"/>
          <w:sz w:val="28"/>
          <w:szCs w:val="24"/>
          <w:highlight w:val="none"/>
        </w:rPr>
        <w:t>人</w:t>
      </w:r>
      <w:r>
        <w:rPr>
          <w:rFonts w:ascii="宋体" w:hAnsi="宋体"/>
          <w:color w:val="auto"/>
          <w:spacing w:val="1"/>
          <w:sz w:val="28"/>
          <w:szCs w:val="24"/>
          <w:highlight w:val="none"/>
        </w:rPr>
        <w:t>：</w:t>
      </w:r>
      <w:r>
        <w:rPr>
          <w:rFonts w:ascii="宋体" w:hAnsi="宋体"/>
          <w:color w:val="auto"/>
          <w:sz w:val="28"/>
          <w:szCs w:val="24"/>
          <w:highlight w:val="none"/>
          <w:u w:val="single"/>
        </w:rPr>
        <w:t xml:space="preserve"> </w:t>
      </w:r>
      <w:r>
        <w:rPr>
          <w:rFonts w:hint="eastAsia" w:ascii="宋体" w:hAnsi="宋体"/>
          <w:color w:val="auto"/>
          <w:sz w:val="28"/>
          <w:szCs w:val="24"/>
          <w:highlight w:val="none"/>
          <w:u w:val="single"/>
        </w:rPr>
        <w:t xml:space="preserve">             </w:t>
      </w:r>
      <w:r>
        <w:rPr>
          <w:rFonts w:ascii="宋体" w:hAnsi="宋体"/>
          <w:color w:val="auto"/>
          <w:sz w:val="28"/>
          <w:szCs w:val="24"/>
          <w:highlight w:val="none"/>
          <w:u w:val="single"/>
        </w:rPr>
        <w:t xml:space="preserve"> </w:t>
      </w:r>
      <w:r>
        <w:rPr>
          <w:rFonts w:ascii="宋体" w:hAnsi="宋体"/>
          <w:color w:val="auto"/>
          <w:spacing w:val="-3"/>
          <w:sz w:val="28"/>
          <w:szCs w:val="24"/>
          <w:highlight w:val="none"/>
        </w:rPr>
        <w:t>（</w:t>
      </w:r>
      <w:r>
        <w:rPr>
          <w:rFonts w:ascii="宋体" w:hAnsi="宋体"/>
          <w:color w:val="auto"/>
          <w:sz w:val="28"/>
          <w:szCs w:val="24"/>
          <w:highlight w:val="none"/>
        </w:rPr>
        <w:t>签字</w:t>
      </w:r>
      <w:r>
        <w:rPr>
          <w:rFonts w:hint="eastAsia" w:ascii="宋体" w:hAnsi="宋体"/>
          <w:color w:val="auto"/>
          <w:sz w:val="28"/>
          <w:szCs w:val="24"/>
          <w:highlight w:val="none"/>
        </w:rPr>
        <w:t>或盖章</w:t>
      </w:r>
      <w:r>
        <w:rPr>
          <w:rFonts w:ascii="宋体" w:hAnsi="宋体"/>
          <w:color w:val="auto"/>
          <w:sz w:val="28"/>
          <w:szCs w:val="24"/>
          <w:highlight w:val="none"/>
        </w:rPr>
        <w:t>）</w:t>
      </w:r>
    </w:p>
    <w:p w14:paraId="1D13E27B">
      <w:pPr>
        <w:spacing w:before="5" w:line="130" w:lineRule="exact"/>
        <w:jc w:val="left"/>
        <w:rPr>
          <w:rFonts w:ascii="宋体" w:hAnsi="宋体"/>
          <w:color w:val="auto"/>
          <w:sz w:val="13"/>
          <w:szCs w:val="24"/>
          <w:highlight w:val="none"/>
        </w:rPr>
      </w:pPr>
    </w:p>
    <w:p w14:paraId="7254B84A">
      <w:pPr>
        <w:spacing w:line="200" w:lineRule="exact"/>
        <w:jc w:val="left"/>
        <w:rPr>
          <w:rFonts w:ascii="宋体" w:hAnsi="宋体"/>
          <w:color w:val="auto"/>
          <w:sz w:val="20"/>
          <w:szCs w:val="24"/>
          <w:highlight w:val="none"/>
        </w:rPr>
      </w:pPr>
    </w:p>
    <w:p w14:paraId="7E4F5479">
      <w:pPr>
        <w:spacing w:line="200" w:lineRule="exact"/>
        <w:jc w:val="left"/>
        <w:rPr>
          <w:rFonts w:ascii="宋体" w:hAnsi="宋体"/>
          <w:color w:val="auto"/>
          <w:sz w:val="20"/>
          <w:szCs w:val="24"/>
          <w:highlight w:val="none"/>
        </w:rPr>
      </w:pPr>
    </w:p>
    <w:p w14:paraId="3D049954">
      <w:pPr>
        <w:widowControl/>
        <w:jc w:val="center"/>
        <w:rPr>
          <w:color w:val="auto"/>
          <w:highlight w:val="none"/>
        </w:rPr>
      </w:pPr>
      <w:r>
        <w:rPr>
          <w:rFonts w:ascii="宋体" w:hAnsi="宋体"/>
          <w:color w:val="auto"/>
          <w:sz w:val="28"/>
          <w:szCs w:val="24"/>
          <w:highlight w:val="none"/>
          <w:u w:val="single"/>
        </w:rPr>
        <w:tab/>
      </w:r>
      <w:r>
        <w:rPr>
          <w:rFonts w:hint="eastAsia" w:ascii="宋体" w:hAnsi="宋体"/>
          <w:color w:val="auto"/>
          <w:sz w:val="28"/>
          <w:szCs w:val="24"/>
          <w:highlight w:val="none"/>
          <w:u w:val="single"/>
        </w:rPr>
        <w:t xml:space="preserve"> </w:t>
      </w:r>
      <w:r>
        <w:rPr>
          <w:rFonts w:ascii="宋体" w:hAnsi="宋体"/>
          <w:color w:val="auto"/>
          <w:spacing w:val="2"/>
          <w:sz w:val="28"/>
          <w:szCs w:val="24"/>
          <w:highlight w:val="none"/>
        </w:rPr>
        <w:t>年</w:t>
      </w:r>
      <w:r>
        <w:rPr>
          <w:rFonts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pacing w:val="2"/>
          <w:sz w:val="28"/>
          <w:szCs w:val="24"/>
          <w:highlight w:val="none"/>
        </w:rPr>
        <w:t>月</w:t>
      </w:r>
      <w:r>
        <w:rPr>
          <w:rFonts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z w:val="28"/>
          <w:szCs w:val="24"/>
          <w:highlight w:val="none"/>
        </w:rPr>
        <w:t>日</w:t>
      </w:r>
    </w:p>
    <w:p w14:paraId="692BCB60">
      <w:pPr>
        <w:widowControl/>
        <w:jc w:val="left"/>
        <w:rPr>
          <w:color w:val="auto"/>
          <w:highlight w:val="none"/>
        </w:rPr>
      </w:pPr>
      <w:r>
        <w:rPr>
          <w:color w:val="auto"/>
          <w:highlight w:val="none"/>
        </w:rPr>
        <w:br w:type="page"/>
      </w:r>
    </w:p>
    <w:p w14:paraId="1780B209">
      <w:pPr>
        <w:rPr>
          <w:color w:val="auto"/>
          <w:highlight w:val="none"/>
        </w:rPr>
      </w:pPr>
    </w:p>
    <w:p w14:paraId="426752BE">
      <w:pPr>
        <w:pStyle w:val="26"/>
        <w:rPr>
          <w:rFonts w:ascii="Calibri" w:hAnsi="Calibri"/>
          <w:color w:val="auto"/>
          <w:highlight w:val="none"/>
        </w:rPr>
      </w:pPr>
    </w:p>
    <w:p w14:paraId="025EDB14">
      <w:pPr>
        <w:jc w:val="center"/>
        <w:rPr>
          <w:rFonts w:ascii="宋体" w:hAnsi="宋体"/>
          <w:b/>
          <w:color w:val="auto"/>
          <w:sz w:val="28"/>
          <w:szCs w:val="28"/>
          <w:highlight w:val="none"/>
        </w:rPr>
      </w:pPr>
      <w:r>
        <w:rPr>
          <w:rFonts w:hint="eastAsia" w:ascii="宋体" w:hAnsi="宋体"/>
          <w:b/>
          <w:color w:val="auto"/>
          <w:sz w:val="28"/>
          <w:szCs w:val="28"/>
          <w:highlight w:val="none"/>
        </w:rPr>
        <w:t>目  录</w:t>
      </w:r>
    </w:p>
    <w:p w14:paraId="00B05D70">
      <w:pPr>
        <w:pStyle w:val="2"/>
        <w:tabs>
          <w:tab w:val="left" w:pos="960"/>
        </w:tabs>
        <w:spacing w:line="440" w:lineRule="exact"/>
        <w:ind w:left="960"/>
        <w:rPr>
          <w:rFonts w:ascii="宋体" w:hAnsi="宋体"/>
          <w:color w:val="auto"/>
          <w:sz w:val="24"/>
          <w:highlight w:val="none"/>
        </w:rPr>
      </w:pPr>
      <w:bookmarkStart w:id="147" w:name="_Toc390704763"/>
      <w:bookmarkStart w:id="148" w:name="_Toc266373528"/>
      <w:r>
        <w:rPr>
          <w:rFonts w:hint="eastAsia" w:ascii="宋体" w:hAnsi="宋体"/>
          <w:color w:val="auto"/>
          <w:sz w:val="24"/>
          <w:highlight w:val="none"/>
        </w:rPr>
        <w:t>一、投标函及其附表</w:t>
      </w:r>
    </w:p>
    <w:p w14:paraId="6081DBBB">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二、法定代表人证明书及授权委托书</w:t>
      </w:r>
    </w:p>
    <w:p w14:paraId="10D9B59E">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三、投标保证金</w:t>
      </w:r>
    </w:p>
    <w:p w14:paraId="67A7B865">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四、投标报价书</w:t>
      </w:r>
    </w:p>
    <w:p w14:paraId="6DC89DEF">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五、资格审查资料</w:t>
      </w:r>
    </w:p>
    <w:p w14:paraId="672F4D83">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六、类似项目业绩表</w:t>
      </w:r>
    </w:p>
    <w:p w14:paraId="16084D76">
      <w:pPr>
        <w:pStyle w:val="2"/>
        <w:tabs>
          <w:tab w:val="left" w:pos="960"/>
        </w:tabs>
        <w:spacing w:line="440" w:lineRule="exact"/>
        <w:ind w:left="960"/>
        <w:rPr>
          <w:rFonts w:hint="eastAsia" w:ascii="宋体" w:hAnsi="宋体"/>
          <w:color w:val="auto"/>
          <w:sz w:val="24"/>
          <w:highlight w:val="none"/>
        </w:rPr>
      </w:pPr>
      <w:r>
        <w:rPr>
          <w:rFonts w:hint="eastAsia" w:ascii="宋体" w:hAnsi="宋体"/>
          <w:color w:val="auto"/>
          <w:sz w:val="24"/>
          <w:highlight w:val="none"/>
        </w:rPr>
        <w:t>七、投标人信誉证明材料</w:t>
      </w:r>
    </w:p>
    <w:p w14:paraId="12DEB172">
      <w:pPr>
        <w:pStyle w:val="2"/>
        <w:tabs>
          <w:tab w:val="left" w:pos="960"/>
        </w:tabs>
        <w:spacing w:line="440" w:lineRule="exact"/>
        <w:ind w:left="960"/>
        <w:rPr>
          <w:rFonts w:hint="default" w:ascii="宋体" w:hAnsi="宋体"/>
          <w:color w:val="auto"/>
          <w:sz w:val="24"/>
          <w:highlight w:val="none"/>
          <w:lang w:val="en-US"/>
        </w:rPr>
      </w:pPr>
      <w:r>
        <w:rPr>
          <w:rFonts w:hint="eastAsia" w:ascii="宋体" w:hAnsi="宋体" w:cs="Times New Roman"/>
          <w:b w:val="0"/>
          <w:bCs w:val="0"/>
          <w:color w:val="auto"/>
          <w:sz w:val="24"/>
          <w:szCs w:val="24"/>
          <w:highlight w:val="none"/>
          <w:lang w:val="en-US" w:eastAsia="zh-CN"/>
        </w:rPr>
        <w:t>八</w:t>
      </w:r>
      <w:r>
        <w:rPr>
          <w:rFonts w:hint="eastAsia" w:ascii="宋体" w:hAnsi="宋体" w:cs="Times New Roman"/>
          <w:b w:val="0"/>
          <w:bCs w:val="0"/>
          <w:color w:val="auto"/>
          <w:sz w:val="24"/>
          <w:szCs w:val="24"/>
          <w:highlight w:val="none"/>
        </w:rPr>
        <w:t>、投标人廉洁承诺书</w:t>
      </w:r>
    </w:p>
    <w:p w14:paraId="7163EF71">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、拟投入本项目的检测、监测人员资格证明材料</w:t>
      </w:r>
    </w:p>
    <w:p w14:paraId="384FA25E">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lang w:val="en-US" w:eastAsia="zh-CN"/>
        </w:rPr>
        <w:t>十</w:t>
      </w:r>
      <w:r>
        <w:rPr>
          <w:rFonts w:hint="eastAsia" w:ascii="宋体" w:hAnsi="宋体"/>
          <w:color w:val="auto"/>
          <w:sz w:val="24"/>
          <w:highlight w:val="none"/>
        </w:rPr>
        <w:t>、拟投入本项目的主要检测、监测仪器设备一览表</w:t>
      </w:r>
    </w:p>
    <w:p w14:paraId="12165FBF">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十</w:t>
      </w:r>
      <w:r>
        <w:rPr>
          <w:rFonts w:hint="eastAsia" w:ascii="宋体" w:hAnsi="宋体"/>
          <w:color w:val="auto"/>
          <w:sz w:val="24"/>
          <w:highlight w:val="none"/>
          <w:lang w:val="en-US" w:eastAsia="zh-CN"/>
        </w:rPr>
        <w:t>一</w:t>
      </w:r>
      <w:r>
        <w:rPr>
          <w:rFonts w:hint="eastAsia" w:ascii="宋体" w:hAnsi="宋体"/>
          <w:color w:val="auto"/>
          <w:sz w:val="24"/>
          <w:highlight w:val="none"/>
        </w:rPr>
        <w:t>、检测、监测方案</w:t>
      </w:r>
    </w:p>
    <w:p w14:paraId="4D185C27">
      <w:pPr>
        <w:pStyle w:val="2"/>
        <w:tabs>
          <w:tab w:val="left" w:pos="960"/>
        </w:tabs>
        <w:spacing w:line="440" w:lineRule="exact"/>
        <w:ind w:left="960"/>
        <w:rPr>
          <w:rFonts w:ascii="宋体" w:hAnsi="宋体"/>
          <w:color w:val="auto"/>
          <w:kern w:val="0"/>
          <w:sz w:val="18"/>
          <w:highlight w:val="none"/>
        </w:rPr>
      </w:pPr>
      <w:r>
        <w:rPr>
          <w:rFonts w:hint="eastAsia" w:ascii="宋体" w:hAnsi="宋体"/>
          <w:color w:val="auto"/>
          <w:sz w:val="24"/>
          <w:highlight w:val="none"/>
        </w:rPr>
        <w:t>十</w:t>
      </w:r>
      <w:r>
        <w:rPr>
          <w:rFonts w:hint="eastAsia" w:ascii="宋体" w:hAnsi="宋体"/>
          <w:color w:val="auto"/>
          <w:sz w:val="24"/>
          <w:highlight w:val="none"/>
          <w:lang w:val="en-US" w:eastAsia="zh-CN"/>
        </w:rPr>
        <w:t>二</w:t>
      </w:r>
      <w:r>
        <w:rPr>
          <w:rFonts w:hint="eastAsia" w:ascii="宋体" w:hAnsi="宋体"/>
          <w:color w:val="auto"/>
          <w:sz w:val="24"/>
          <w:highlight w:val="none"/>
        </w:rPr>
        <w:t>、其他资料</w:t>
      </w:r>
      <w:r>
        <w:rPr>
          <w:rFonts w:ascii="宋体" w:hAnsi="宋体"/>
          <w:color w:val="auto"/>
          <w:sz w:val="24"/>
          <w:highlight w:val="none"/>
        </w:rPr>
        <w:br w:type="page"/>
      </w:r>
      <w:bookmarkEnd w:id="147"/>
    </w:p>
    <w:p w14:paraId="25C47852">
      <w:pPr>
        <w:pStyle w:val="6"/>
        <w:jc w:val="center"/>
        <w:rPr>
          <w:color w:val="auto"/>
          <w:highlight w:val="none"/>
        </w:rPr>
      </w:pPr>
      <w:bookmarkStart w:id="149" w:name="_Toc533334219"/>
      <w:bookmarkStart w:id="150" w:name="_Toc118553996"/>
      <w:bookmarkStart w:id="151" w:name="_Toc11434"/>
      <w:bookmarkStart w:id="152" w:name="_Toc533357328"/>
      <w:bookmarkStart w:id="153" w:name="_Toc390704764"/>
      <w:r>
        <w:rPr>
          <w:rFonts w:hint="eastAsia"/>
          <w:color w:val="auto"/>
          <w:highlight w:val="none"/>
        </w:rPr>
        <w:t>一、</w:t>
      </w:r>
      <w:bookmarkStart w:id="154" w:name="_Toc369531692"/>
      <w:bookmarkStart w:id="155" w:name="_Toc6931"/>
      <w:bookmarkStart w:id="156" w:name="_Toc352691656"/>
      <w:r>
        <w:rPr>
          <w:rFonts w:hint="eastAsia"/>
          <w:color w:val="auto"/>
          <w:highlight w:val="none"/>
        </w:rPr>
        <w:t>投标函及其附表</w:t>
      </w:r>
      <w:bookmarkEnd w:id="149"/>
      <w:bookmarkEnd w:id="150"/>
    </w:p>
    <w:bookmarkEnd w:id="154"/>
    <w:bookmarkEnd w:id="155"/>
    <w:bookmarkEnd w:id="156"/>
    <w:p w14:paraId="0A8DBFC4">
      <w:pPr>
        <w:spacing w:line="360" w:lineRule="auto"/>
        <w:jc w:val="center"/>
        <w:rPr>
          <w:rFonts w:ascii="宋体" w:hAnsi="宋体"/>
          <w:color w:val="auto"/>
          <w:sz w:val="28"/>
          <w:szCs w:val="28"/>
          <w:highlight w:val="none"/>
        </w:rPr>
      </w:pPr>
      <w:r>
        <w:rPr>
          <w:rFonts w:hint="eastAsia" w:ascii="宋体" w:hAnsi="宋体"/>
          <w:b/>
          <w:bCs/>
          <w:color w:val="auto"/>
          <w:sz w:val="28"/>
          <w:szCs w:val="28"/>
          <w:highlight w:val="none"/>
        </w:rPr>
        <w:t>（一）投标函</w:t>
      </w:r>
    </w:p>
    <w:p w14:paraId="0852A8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color w:val="auto"/>
          <w:sz w:val="24"/>
          <w:szCs w:val="24"/>
          <w:highlight w:val="none"/>
          <w:u w:val="single"/>
        </w:rPr>
        <w:t>（招标人）</w:t>
      </w:r>
      <w:r>
        <w:rPr>
          <w:rFonts w:ascii="宋体" w:hAnsi="宋体"/>
          <w:color w:val="auto"/>
          <w:sz w:val="24"/>
          <w:szCs w:val="24"/>
          <w:highlight w:val="none"/>
          <w:u w:val="single"/>
        </w:rPr>
        <w:t xml:space="preserve">          </w:t>
      </w:r>
    </w:p>
    <w:p w14:paraId="09113617">
      <w:pPr>
        <w:pStyle w:val="3"/>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在仔细分析研究了贵单位提供的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招标文件后，我方愿意以总价为人民币（大写）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rPr>
        <w:t>（小写</w:t>
      </w:r>
      <w:r>
        <w:rPr>
          <w:rFonts w:hint="eastAsia" w:ascii="宋体" w:hAnsi="宋体"/>
          <w:color w:val="auto"/>
          <w:sz w:val="24"/>
          <w:szCs w:val="24"/>
          <w:highlight w:val="none"/>
          <w:u w:val="single"/>
        </w:rPr>
        <w:t>　　　　　</w:t>
      </w:r>
      <w:r>
        <w:rPr>
          <w:rFonts w:hint="eastAsia" w:ascii="宋体" w:hAnsi="宋体"/>
          <w:color w:val="auto"/>
          <w:sz w:val="24"/>
          <w:szCs w:val="24"/>
          <w:highlight w:val="none"/>
        </w:rPr>
        <w:t>）作为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服务费的总价，并遵照招标文件的有关规定要求，承担全部服务任务工作。</w:t>
      </w:r>
    </w:p>
    <w:p w14:paraId="44024A3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14:paraId="14BED17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如果贵单位接受我方的投标，我方保证按合同规定的期限内开始本工程的检测工作并按投标书中规定的期限内完成合同规定的全部任务。</w:t>
      </w:r>
    </w:p>
    <w:p w14:paraId="2E19765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我方同意在从规定的</w:t>
      </w:r>
      <w:r>
        <w:rPr>
          <w:rFonts w:hint="eastAsia" w:ascii="宋体" w:hAnsi="宋体"/>
          <w:b/>
          <w:bCs/>
          <w:color w:val="auto"/>
          <w:sz w:val="24"/>
          <w:szCs w:val="24"/>
          <w:highlight w:val="none"/>
        </w:rPr>
        <w:t>递交投标文件截止之日起</w:t>
      </w:r>
      <w:r>
        <w:rPr>
          <w:rFonts w:ascii="宋体" w:hAnsi="宋体"/>
          <w:b/>
          <w:bCs/>
          <w:color w:val="auto"/>
          <w:sz w:val="24"/>
          <w:szCs w:val="24"/>
          <w:highlight w:val="none"/>
        </w:rPr>
        <w:t>90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14:paraId="4813F32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在合同协议制定和签署之前，本投标书连同贵单位的中标通知书、双方签认的补充、修正或澄清文件及其他文件和附件应成为约束贵、我双方的合同文件。</w:t>
      </w:r>
    </w:p>
    <w:p w14:paraId="3A2D401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我们理解，贵单位不一定接受最低标价的投标文件或可能接受其他任何投标文件，同时也理解，贵单位不负担我们的任何投标费用。</w:t>
      </w:r>
    </w:p>
    <w:p w14:paraId="546CF896">
      <w:pPr>
        <w:rPr>
          <w:rFonts w:ascii="宋体" w:hAnsi="宋体"/>
          <w:color w:val="auto"/>
          <w:highlight w:val="none"/>
        </w:rPr>
      </w:pPr>
    </w:p>
    <w:p w14:paraId="1AA358A4">
      <w:pPr>
        <w:spacing w:line="440" w:lineRule="exact"/>
        <w:ind w:firstLine="2520" w:firstLineChars="1200"/>
        <w:jc w:val="left"/>
        <w:rPr>
          <w:rFonts w:ascii="宋体" w:hAnsi="宋体"/>
          <w:color w:val="auto"/>
          <w:szCs w:val="21"/>
          <w:highlight w:val="none"/>
        </w:rPr>
      </w:pPr>
    </w:p>
    <w:p w14:paraId="2C6A90B5">
      <w:pPr>
        <w:pStyle w:val="3"/>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14:paraId="4A4221E7">
      <w:pPr>
        <w:spacing w:before="13"/>
        <w:rPr>
          <w:rFonts w:ascii="宋体" w:hAnsi="宋体" w:cs="宋体"/>
          <w:color w:val="auto"/>
          <w:sz w:val="24"/>
          <w:szCs w:val="24"/>
          <w:highlight w:val="none"/>
        </w:rPr>
      </w:pPr>
    </w:p>
    <w:p w14:paraId="4495981F">
      <w:pPr>
        <w:pStyle w:val="3"/>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14:paraId="0771E9D8">
      <w:pPr>
        <w:spacing w:before="10"/>
        <w:rPr>
          <w:rFonts w:ascii="宋体" w:hAnsi="宋体" w:cs="宋体"/>
          <w:color w:val="auto"/>
          <w:sz w:val="24"/>
          <w:szCs w:val="24"/>
          <w:highlight w:val="none"/>
        </w:rPr>
      </w:pPr>
    </w:p>
    <w:p w14:paraId="7A376D2E">
      <w:pPr>
        <w:spacing w:line="440" w:lineRule="exact"/>
        <w:ind w:firstLine="5400" w:firstLineChars="2250"/>
        <w:jc w:val="right"/>
        <w:rPr>
          <w:rFonts w:ascii="宋体" w:hAnsi="宋体"/>
          <w:color w:val="auto"/>
          <w:sz w:val="24"/>
          <w:szCs w:val="24"/>
          <w:highlight w:val="none"/>
        </w:rPr>
      </w:pP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日</w:t>
      </w:r>
    </w:p>
    <w:p w14:paraId="3AA5252C">
      <w:pPr>
        <w:spacing w:line="360" w:lineRule="auto"/>
        <w:jc w:val="center"/>
        <w:rPr>
          <w:rFonts w:ascii="宋体" w:hAnsi="宋体"/>
          <w:b/>
          <w:bCs/>
          <w:color w:val="auto"/>
          <w:sz w:val="28"/>
          <w:szCs w:val="28"/>
          <w:highlight w:val="none"/>
        </w:rPr>
      </w:pPr>
      <w:bookmarkStart w:id="157" w:name="_Toc13516"/>
      <w:bookmarkStart w:id="158" w:name="_Toc482188652"/>
      <w:bookmarkStart w:id="159" w:name="_Toc391394112"/>
      <w:bookmarkStart w:id="160" w:name="_Toc532390635"/>
      <w:bookmarkStart w:id="161" w:name="_Toc528170356"/>
      <w:bookmarkStart w:id="162" w:name="_Toc359594236"/>
      <w:bookmarkStart w:id="163" w:name="_Toc533334220"/>
      <w:bookmarkStart w:id="164" w:name="_Toc385943066"/>
      <w:bookmarkStart w:id="165" w:name="_Toc370676427"/>
      <w:r>
        <w:rPr>
          <w:rFonts w:ascii="宋体" w:hAnsi="宋体"/>
          <w:b/>
          <w:color w:val="auto"/>
          <w:szCs w:val="21"/>
          <w:highlight w:val="none"/>
        </w:rPr>
        <w:br w:type="page"/>
      </w:r>
      <w:r>
        <w:rPr>
          <w:rFonts w:hint="eastAsia" w:ascii="宋体" w:hAnsi="宋体"/>
          <w:b/>
          <w:bCs/>
          <w:color w:val="auto"/>
          <w:sz w:val="28"/>
          <w:szCs w:val="28"/>
          <w:highlight w:val="none"/>
        </w:rPr>
        <w:t>（二）投标函附</w:t>
      </w:r>
      <w:bookmarkEnd w:id="157"/>
      <w:bookmarkEnd w:id="158"/>
      <w:bookmarkEnd w:id="159"/>
      <w:bookmarkEnd w:id="160"/>
      <w:bookmarkEnd w:id="161"/>
      <w:bookmarkEnd w:id="162"/>
      <w:bookmarkEnd w:id="163"/>
      <w:bookmarkEnd w:id="164"/>
      <w:bookmarkEnd w:id="165"/>
      <w:r>
        <w:rPr>
          <w:rFonts w:hint="eastAsia" w:ascii="宋体" w:hAnsi="宋体"/>
          <w:b/>
          <w:bCs/>
          <w:color w:val="auto"/>
          <w:sz w:val="28"/>
          <w:szCs w:val="28"/>
          <w:highlight w:val="none"/>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89"/>
        <w:gridCol w:w="4126"/>
        <w:gridCol w:w="1654"/>
      </w:tblGrid>
      <w:tr w14:paraId="4906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1149787">
            <w:pPr>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1889" w:type="dxa"/>
            <w:tcBorders>
              <w:top w:val="single" w:color="auto" w:sz="4" w:space="0"/>
              <w:left w:val="single" w:color="auto" w:sz="4" w:space="0"/>
              <w:bottom w:val="single" w:color="auto" w:sz="4" w:space="0"/>
              <w:right w:val="single" w:color="auto" w:sz="4" w:space="0"/>
            </w:tcBorders>
            <w:vAlign w:val="center"/>
          </w:tcPr>
          <w:p w14:paraId="5FCC2A17">
            <w:pPr>
              <w:jc w:val="center"/>
              <w:rPr>
                <w:rFonts w:ascii="宋体" w:hAnsi="宋体"/>
                <w:b/>
                <w:color w:val="auto"/>
                <w:sz w:val="24"/>
                <w:szCs w:val="28"/>
                <w:highlight w:val="none"/>
              </w:rPr>
            </w:pPr>
            <w:r>
              <w:rPr>
                <w:rFonts w:hint="eastAsia" w:ascii="宋体" w:hAnsi="宋体"/>
                <w:b/>
                <w:color w:val="auto"/>
                <w:sz w:val="24"/>
                <w:szCs w:val="28"/>
                <w:highlight w:val="none"/>
              </w:rPr>
              <w:t>条款名称</w:t>
            </w:r>
          </w:p>
        </w:tc>
        <w:tc>
          <w:tcPr>
            <w:tcW w:w="4126" w:type="dxa"/>
            <w:tcBorders>
              <w:top w:val="single" w:color="auto" w:sz="4" w:space="0"/>
              <w:left w:val="single" w:color="auto" w:sz="4" w:space="0"/>
              <w:bottom w:val="single" w:color="auto" w:sz="4" w:space="0"/>
              <w:right w:val="single" w:color="auto" w:sz="4" w:space="0"/>
            </w:tcBorders>
            <w:vAlign w:val="center"/>
          </w:tcPr>
          <w:p w14:paraId="4A543935">
            <w:pPr>
              <w:jc w:val="center"/>
              <w:rPr>
                <w:rFonts w:ascii="宋体" w:hAnsi="宋体"/>
                <w:b/>
                <w:color w:val="auto"/>
                <w:sz w:val="24"/>
                <w:szCs w:val="28"/>
                <w:highlight w:val="none"/>
              </w:rPr>
            </w:pPr>
            <w:r>
              <w:rPr>
                <w:rFonts w:hint="eastAsia" w:ascii="宋体" w:hAnsi="宋体"/>
                <w:b/>
                <w:color w:val="auto"/>
                <w:sz w:val="24"/>
                <w:szCs w:val="28"/>
                <w:highlight w:val="none"/>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14:paraId="4237B7B2">
            <w:pPr>
              <w:jc w:val="center"/>
              <w:rPr>
                <w:rFonts w:ascii="宋体" w:hAnsi="宋体"/>
                <w:b/>
                <w:color w:val="auto"/>
                <w:sz w:val="24"/>
                <w:szCs w:val="28"/>
                <w:highlight w:val="none"/>
              </w:rPr>
            </w:pPr>
            <w:r>
              <w:rPr>
                <w:rFonts w:hint="eastAsia" w:ascii="宋体" w:hAnsi="宋体"/>
                <w:b/>
                <w:color w:val="auto"/>
                <w:sz w:val="24"/>
                <w:szCs w:val="28"/>
                <w:highlight w:val="none"/>
              </w:rPr>
              <w:t>备注</w:t>
            </w:r>
          </w:p>
        </w:tc>
      </w:tr>
      <w:tr w14:paraId="2AB9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F253568">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89" w:type="dxa"/>
            <w:tcBorders>
              <w:top w:val="single" w:color="auto" w:sz="4" w:space="0"/>
              <w:left w:val="single" w:color="auto" w:sz="4" w:space="0"/>
              <w:bottom w:val="single" w:color="auto" w:sz="4" w:space="0"/>
              <w:right w:val="single" w:color="auto" w:sz="4" w:space="0"/>
            </w:tcBorders>
            <w:vAlign w:val="center"/>
          </w:tcPr>
          <w:p w14:paraId="3CBAC641">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4126" w:type="dxa"/>
            <w:tcBorders>
              <w:top w:val="single" w:color="auto" w:sz="4" w:space="0"/>
              <w:left w:val="single" w:color="auto" w:sz="4" w:space="0"/>
              <w:bottom w:val="single" w:color="auto" w:sz="4" w:space="0"/>
              <w:right w:val="single" w:color="auto" w:sz="4" w:space="0"/>
            </w:tcBorders>
            <w:vAlign w:val="center"/>
          </w:tcPr>
          <w:p w14:paraId="7E12BB2C">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姓    名：</w:t>
            </w:r>
            <w:r>
              <w:rPr>
                <w:rFonts w:hint="eastAsia" w:ascii="宋体" w:hAnsi="宋体" w:cs="宋体"/>
                <w:bCs/>
                <w:color w:val="auto"/>
                <w:sz w:val="24"/>
                <w:szCs w:val="24"/>
                <w:highlight w:val="none"/>
                <w:u w:val="single"/>
              </w:rPr>
              <w:t xml:space="preserve">           </w:t>
            </w:r>
          </w:p>
          <w:p w14:paraId="221A8891">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45C2E5DF">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专    业：</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313E0A99">
            <w:pPr>
              <w:jc w:val="center"/>
              <w:rPr>
                <w:rFonts w:ascii="宋体" w:hAnsi="宋体"/>
                <w:b/>
                <w:color w:val="auto"/>
                <w:szCs w:val="21"/>
                <w:highlight w:val="none"/>
              </w:rPr>
            </w:pPr>
          </w:p>
        </w:tc>
      </w:tr>
      <w:tr w14:paraId="472C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17E0E9F">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889" w:type="dxa"/>
            <w:tcBorders>
              <w:top w:val="single" w:color="auto" w:sz="4" w:space="0"/>
              <w:left w:val="single" w:color="auto" w:sz="4" w:space="0"/>
              <w:bottom w:val="single" w:color="auto" w:sz="4" w:space="0"/>
              <w:right w:val="single" w:color="auto" w:sz="4" w:space="0"/>
            </w:tcBorders>
            <w:vAlign w:val="center"/>
          </w:tcPr>
          <w:p w14:paraId="3B2CDA9D">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4126" w:type="dxa"/>
            <w:tcBorders>
              <w:top w:val="single" w:color="auto" w:sz="4" w:space="0"/>
              <w:left w:val="single" w:color="auto" w:sz="4" w:space="0"/>
              <w:bottom w:val="single" w:color="auto" w:sz="4" w:space="0"/>
              <w:right w:val="single" w:color="auto" w:sz="4" w:space="0"/>
            </w:tcBorders>
            <w:vAlign w:val="center"/>
          </w:tcPr>
          <w:p w14:paraId="2EE58F8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7921FBCD">
            <w:pPr>
              <w:jc w:val="center"/>
              <w:rPr>
                <w:rFonts w:ascii="宋体" w:hAnsi="宋体"/>
                <w:b/>
                <w:color w:val="auto"/>
                <w:szCs w:val="21"/>
                <w:highlight w:val="none"/>
              </w:rPr>
            </w:pPr>
          </w:p>
        </w:tc>
      </w:tr>
      <w:tr w14:paraId="3F2A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1DBDB27">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889" w:type="dxa"/>
            <w:tcBorders>
              <w:top w:val="single" w:color="auto" w:sz="4" w:space="0"/>
              <w:left w:val="single" w:color="auto" w:sz="4" w:space="0"/>
              <w:bottom w:val="single" w:color="auto" w:sz="4" w:space="0"/>
              <w:right w:val="single" w:color="auto" w:sz="4" w:space="0"/>
            </w:tcBorders>
            <w:vAlign w:val="center"/>
          </w:tcPr>
          <w:p w14:paraId="2B22B158">
            <w:pPr>
              <w:jc w:val="center"/>
              <w:rPr>
                <w:rFonts w:ascii="宋体" w:hAnsi="宋体" w:cs="宋体"/>
                <w:color w:val="auto"/>
                <w:sz w:val="24"/>
                <w:szCs w:val="24"/>
                <w:highlight w:val="none"/>
              </w:rPr>
            </w:pPr>
            <w:r>
              <w:rPr>
                <w:rFonts w:hint="eastAsia" w:ascii="宋体" w:hAnsi="宋体" w:cs="宋体"/>
                <w:color w:val="auto"/>
                <w:sz w:val="24"/>
                <w:szCs w:val="24"/>
                <w:highlight w:val="none"/>
              </w:rPr>
              <w:t>合同价款</w:t>
            </w:r>
          </w:p>
          <w:p w14:paraId="07634CD7">
            <w:pPr>
              <w:jc w:val="center"/>
              <w:rPr>
                <w:rFonts w:ascii="宋体" w:hAnsi="宋体" w:cs="宋体"/>
                <w:color w:val="auto"/>
                <w:sz w:val="24"/>
                <w:szCs w:val="24"/>
                <w:highlight w:val="none"/>
              </w:rPr>
            </w:pPr>
            <w:r>
              <w:rPr>
                <w:rFonts w:hint="eastAsia" w:ascii="宋体" w:hAnsi="宋体" w:cs="宋体"/>
                <w:color w:val="auto"/>
                <w:sz w:val="24"/>
                <w:szCs w:val="24"/>
                <w:highlight w:val="none"/>
              </w:rPr>
              <w:t>确定方式</w:t>
            </w:r>
          </w:p>
        </w:tc>
        <w:tc>
          <w:tcPr>
            <w:tcW w:w="4126" w:type="dxa"/>
            <w:tcBorders>
              <w:top w:val="single" w:color="auto" w:sz="4" w:space="0"/>
              <w:left w:val="single" w:color="auto" w:sz="4" w:space="0"/>
              <w:bottom w:val="single" w:color="auto" w:sz="4" w:space="0"/>
              <w:right w:val="single" w:color="auto" w:sz="4" w:space="0"/>
            </w:tcBorders>
            <w:vAlign w:val="center"/>
          </w:tcPr>
          <w:p w14:paraId="48FAB309">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2F563BD3">
            <w:pPr>
              <w:jc w:val="center"/>
              <w:rPr>
                <w:rFonts w:ascii="宋体" w:hAnsi="宋体"/>
                <w:b/>
                <w:color w:val="auto"/>
                <w:szCs w:val="21"/>
                <w:highlight w:val="none"/>
              </w:rPr>
            </w:pPr>
          </w:p>
        </w:tc>
      </w:tr>
      <w:tr w14:paraId="2F6A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AE3F60C">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889" w:type="dxa"/>
            <w:tcBorders>
              <w:top w:val="single" w:color="auto" w:sz="4" w:space="0"/>
              <w:left w:val="single" w:color="auto" w:sz="4" w:space="0"/>
              <w:bottom w:val="single" w:color="auto" w:sz="4" w:space="0"/>
              <w:right w:val="single" w:color="auto" w:sz="4" w:space="0"/>
            </w:tcBorders>
            <w:vAlign w:val="center"/>
          </w:tcPr>
          <w:p w14:paraId="124698E3">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126" w:type="dxa"/>
            <w:tcBorders>
              <w:top w:val="single" w:color="auto" w:sz="4" w:space="0"/>
              <w:left w:val="single" w:color="auto" w:sz="4" w:space="0"/>
              <w:bottom w:val="single" w:color="auto" w:sz="4" w:space="0"/>
              <w:right w:val="single" w:color="auto" w:sz="4" w:space="0"/>
            </w:tcBorders>
            <w:vAlign w:val="center"/>
          </w:tcPr>
          <w:p w14:paraId="710FA44B">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符合国家及省、市</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区</w:t>
            </w:r>
            <w:r>
              <w:rPr>
                <w:rFonts w:hint="eastAsia" w:ascii="宋体" w:hAnsi="宋体" w:cs="宋体"/>
                <w:bCs/>
                <w:color w:val="auto"/>
                <w:sz w:val="24"/>
                <w:szCs w:val="24"/>
                <w:highlight w:val="none"/>
              </w:rPr>
              <w:t>有关检测标准。</w:t>
            </w:r>
          </w:p>
        </w:tc>
        <w:tc>
          <w:tcPr>
            <w:tcW w:w="1654" w:type="dxa"/>
            <w:tcBorders>
              <w:top w:val="single" w:color="auto" w:sz="4" w:space="0"/>
              <w:left w:val="single" w:color="auto" w:sz="4" w:space="0"/>
              <w:bottom w:val="single" w:color="auto" w:sz="4" w:space="0"/>
              <w:right w:val="single" w:color="auto" w:sz="4" w:space="0"/>
            </w:tcBorders>
            <w:vAlign w:val="center"/>
          </w:tcPr>
          <w:p w14:paraId="621B70C3">
            <w:pPr>
              <w:jc w:val="center"/>
              <w:rPr>
                <w:rFonts w:ascii="宋体" w:hAnsi="宋体"/>
                <w:b/>
                <w:color w:val="auto"/>
                <w:szCs w:val="21"/>
                <w:highlight w:val="none"/>
              </w:rPr>
            </w:pPr>
          </w:p>
        </w:tc>
      </w:tr>
      <w:tr w14:paraId="033A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69" w:type="dxa"/>
            <w:vMerge w:val="restart"/>
            <w:tcBorders>
              <w:top w:val="single" w:color="auto" w:sz="4" w:space="0"/>
              <w:left w:val="single" w:color="auto" w:sz="4" w:space="0"/>
              <w:right w:val="single" w:color="auto" w:sz="4" w:space="0"/>
            </w:tcBorders>
            <w:vAlign w:val="center"/>
          </w:tcPr>
          <w:p w14:paraId="2A1E6544">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889" w:type="dxa"/>
            <w:vMerge w:val="restart"/>
            <w:tcBorders>
              <w:top w:val="single" w:color="auto" w:sz="4" w:space="0"/>
              <w:left w:val="single" w:color="auto" w:sz="4" w:space="0"/>
              <w:right w:val="single" w:color="auto" w:sz="4" w:space="0"/>
            </w:tcBorders>
            <w:vAlign w:val="center"/>
          </w:tcPr>
          <w:p w14:paraId="1211AA8F">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126" w:type="dxa"/>
            <w:tcBorders>
              <w:top w:val="single" w:color="auto" w:sz="4" w:space="0"/>
              <w:left w:val="single" w:color="auto" w:sz="4" w:space="0"/>
              <w:bottom w:val="single" w:color="auto" w:sz="4" w:space="0"/>
              <w:right w:val="single" w:color="auto" w:sz="4" w:space="0"/>
            </w:tcBorders>
            <w:vAlign w:val="center"/>
          </w:tcPr>
          <w:p w14:paraId="4BD71080">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7F4EF69E">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21E0C866">
            <w:pPr>
              <w:jc w:val="center"/>
              <w:rPr>
                <w:rFonts w:ascii="宋体" w:hAnsi="宋体"/>
                <w:b/>
                <w:color w:val="auto"/>
                <w:szCs w:val="21"/>
                <w:highlight w:val="none"/>
              </w:rPr>
            </w:pPr>
            <w:r>
              <w:rPr>
                <w:rFonts w:hint="eastAsia" w:ascii="宋体" w:hAnsi="宋体"/>
                <w:b/>
                <w:color w:val="auto"/>
                <w:szCs w:val="21"/>
                <w:highlight w:val="none"/>
              </w:rPr>
              <w:t>以“元”为单位，精确到小数点后2位。</w:t>
            </w:r>
          </w:p>
        </w:tc>
      </w:tr>
      <w:tr w14:paraId="4F0C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tcBorders>
              <w:left w:val="single" w:color="auto" w:sz="4" w:space="0"/>
              <w:bottom w:val="single" w:color="auto" w:sz="4" w:space="0"/>
              <w:right w:val="single" w:color="auto" w:sz="4" w:space="0"/>
            </w:tcBorders>
            <w:vAlign w:val="center"/>
          </w:tcPr>
          <w:p w14:paraId="343515F0">
            <w:pPr>
              <w:jc w:val="center"/>
              <w:rPr>
                <w:rFonts w:ascii="宋体" w:hAnsi="宋体" w:cs="宋体"/>
                <w:color w:val="auto"/>
                <w:sz w:val="24"/>
                <w:szCs w:val="24"/>
                <w:highlight w:val="none"/>
              </w:rPr>
            </w:pPr>
          </w:p>
        </w:tc>
        <w:tc>
          <w:tcPr>
            <w:tcW w:w="1889" w:type="dxa"/>
            <w:vMerge w:val="continue"/>
            <w:tcBorders>
              <w:left w:val="single" w:color="auto" w:sz="4" w:space="0"/>
              <w:bottom w:val="single" w:color="auto" w:sz="4" w:space="0"/>
              <w:right w:val="single" w:color="auto" w:sz="4" w:space="0"/>
            </w:tcBorders>
            <w:vAlign w:val="center"/>
          </w:tcPr>
          <w:p w14:paraId="2EFF031F">
            <w:pPr>
              <w:jc w:val="center"/>
              <w:rPr>
                <w:rFonts w:ascii="宋体" w:hAnsi="宋体" w:cs="宋体"/>
                <w:color w:val="auto"/>
                <w:sz w:val="24"/>
                <w:szCs w:val="24"/>
                <w:highlight w:val="none"/>
              </w:rPr>
            </w:pPr>
          </w:p>
        </w:tc>
        <w:tc>
          <w:tcPr>
            <w:tcW w:w="4126" w:type="dxa"/>
            <w:tcBorders>
              <w:top w:val="single" w:color="auto" w:sz="4" w:space="0"/>
              <w:left w:val="single" w:color="auto" w:sz="4" w:space="0"/>
              <w:bottom w:val="single" w:color="auto" w:sz="4" w:space="0"/>
              <w:right w:val="single" w:color="auto" w:sz="4" w:space="0"/>
            </w:tcBorders>
            <w:vAlign w:val="center"/>
          </w:tcPr>
          <w:p w14:paraId="2A6A7BDF">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45675CDC">
            <w:pPr>
              <w:jc w:val="center"/>
              <w:rPr>
                <w:rFonts w:ascii="宋体" w:hAnsi="宋体"/>
                <w:b/>
                <w:color w:val="auto"/>
                <w:szCs w:val="21"/>
                <w:highlight w:val="none"/>
              </w:rPr>
            </w:pPr>
            <w:r>
              <w:rPr>
                <w:rFonts w:hint="eastAsia" w:ascii="宋体" w:hAnsi="宋体"/>
                <w:b/>
                <w:color w:val="auto"/>
                <w:szCs w:val="21"/>
                <w:highlight w:val="none"/>
              </w:rPr>
              <w:t>（1-投标报价/</w:t>
            </w:r>
            <w:r>
              <w:rPr>
                <w:rFonts w:hint="eastAsia" w:ascii="Calibri" w:hAnsi="Calibri"/>
                <w:b/>
                <w:bCs w:val="0"/>
                <w:color w:val="auto"/>
                <w:highlight w:val="none"/>
                <w:u w:val="none"/>
                <w:lang w:val="en-US" w:eastAsia="zh-CN"/>
              </w:rPr>
              <w:t>投标基准价</w:t>
            </w:r>
            <w:r>
              <w:rPr>
                <w:rFonts w:hint="eastAsia" w:ascii="宋体" w:hAnsi="宋体"/>
                <w:b/>
                <w:color w:val="auto"/>
                <w:szCs w:val="21"/>
                <w:highlight w:val="none"/>
              </w:rPr>
              <w:t>）*100%</w:t>
            </w:r>
          </w:p>
        </w:tc>
      </w:tr>
      <w:tr w14:paraId="5342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0C67647">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889" w:type="dxa"/>
            <w:tcBorders>
              <w:top w:val="single" w:color="auto" w:sz="4" w:space="0"/>
              <w:left w:val="single" w:color="auto" w:sz="4" w:space="0"/>
              <w:bottom w:val="single" w:color="auto" w:sz="4" w:space="0"/>
              <w:right w:val="single" w:color="auto" w:sz="4" w:space="0"/>
            </w:tcBorders>
            <w:vAlign w:val="center"/>
          </w:tcPr>
          <w:p w14:paraId="15073679">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126" w:type="dxa"/>
            <w:tcBorders>
              <w:top w:val="single" w:color="auto" w:sz="4" w:space="0"/>
              <w:left w:val="single" w:color="auto" w:sz="4" w:space="0"/>
              <w:bottom w:val="single" w:color="auto" w:sz="4" w:space="0"/>
              <w:right w:val="single" w:color="auto" w:sz="4" w:space="0"/>
            </w:tcBorders>
            <w:vAlign w:val="center"/>
          </w:tcPr>
          <w:p w14:paraId="315FA56C">
            <w:pPr>
              <w:jc w:val="left"/>
              <w:rPr>
                <w:rFonts w:ascii="宋体" w:hAnsi="宋体" w:cs="宋体"/>
                <w:bCs/>
                <w:color w:val="auto"/>
                <w:sz w:val="24"/>
                <w:szCs w:val="24"/>
                <w:highlight w:val="none"/>
              </w:rPr>
            </w:pPr>
            <w:r>
              <w:rPr>
                <w:rFonts w:hint="eastAsia" w:ascii="宋体" w:hAnsi="宋体" w:cs="宋体"/>
                <w:bCs/>
                <w:color w:val="auto"/>
                <w:sz w:val="24"/>
                <w:highlight w:val="none"/>
              </w:rPr>
              <w:t xml:space="preserve"> 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06C7EBBD">
            <w:pPr>
              <w:jc w:val="center"/>
              <w:rPr>
                <w:rFonts w:ascii="宋体" w:hAnsi="宋体"/>
                <w:b/>
                <w:color w:val="auto"/>
                <w:szCs w:val="21"/>
                <w:highlight w:val="none"/>
              </w:rPr>
            </w:pPr>
          </w:p>
        </w:tc>
      </w:tr>
    </w:tbl>
    <w:p w14:paraId="095B243F">
      <w:pPr>
        <w:spacing w:line="440" w:lineRule="exact"/>
        <w:ind w:firstLine="2520" w:firstLineChars="1200"/>
        <w:jc w:val="left"/>
        <w:rPr>
          <w:rFonts w:ascii="宋体" w:hAnsi="宋体"/>
          <w:color w:val="auto"/>
          <w:szCs w:val="21"/>
          <w:highlight w:val="none"/>
        </w:rPr>
      </w:pPr>
    </w:p>
    <w:p w14:paraId="06302AC9">
      <w:pPr>
        <w:pStyle w:val="3"/>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14:paraId="31A82A4B">
      <w:pPr>
        <w:spacing w:before="13"/>
        <w:rPr>
          <w:rFonts w:ascii="宋体" w:hAnsi="宋体" w:cs="宋体"/>
          <w:color w:val="auto"/>
          <w:sz w:val="24"/>
          <w:szCs w:val="24"/>
          <w:highlight w:val="none"/>
        </w:rPr>
      </w:pPr>
    </w:p>
    <w:p w14:paraId="7A8A4FBD">
      <w:pPr>
        <w:pStyle w:val="3"/>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14:paraId="23BBE89D">
      <w:pPr>
        <w:spacing w:before="10"/>
        <w:rPr>
          <w:rFonts w:ascii="宋体" w:hAnsi="宋体" w:cs="宋体"/>
          <w:color w:val="auto"/>
          <w:sz w:val="24"/>
          <w:szCs w:val="24"/>
          <w:highlight w:val="none"/>
        </w:rPr>
      </w:pPr>
    </w:p>
    <w:p w14:paraId="2867CBB8">
      <w:pPr>
        <w:spacing w:line="440" w:lineRule="exact"/>
        <w:ind w:firstLine="5280" w:firstLineChars="2200"/>
        <w:rPr>
          <w:rFonts w:ascii="宋体" w:hAnsi="宋体"/>
          <w:color w:val="auto"/>
          <w:sz w:val="24"/>
          <w:szCs w:val="24"/>
          <w:highlight w:val="none"/>
        </w:rPr>
      </w:pP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日</w:t>
      </w:r>
    </w:p>
    <w:p w14:paraId="635F3DD9">
      <w:pPr>
        <w:spacing w:line="440" w:lineRule="exact"/>
        <w:ind w:firstLine="4620" w:firstLineChars="2200"/>
        <w:rPr>
          <w:rFonts w:ascii="宋体" w:hAnsi="宋体"/>
          <w:color w:val="auto"/>
          <w:sz w:val="24"/>
          <w:highlight w:val="none"/>
        </w:rPr>
      </w:pPr>
      <w:r>
        <w:rPr>
          <w:rFonts w:ascii="宋体" w:hAnsi="宋体"/>
          <w:color w:val="auto"/>
          <w:highlight w:val="none"/>
        </w:rPr>
        <w:br w:type="page"/>
      </w:r>
      <w:bookmarkEnd w:id="151"/>
      <w:bookmarkEnd w:id="152"/>
      <w:bookmarkEnd w:id="153"/>
      <w:bookmarkStart w:id="166" w:name="_Toc21863"/>
      <w:bookmarkStart w:id="167" w:name="_Toc333829918"/>
      <w:bookmarkStart w:id="168" w:name="_Toc374536213"/>
      <w:bookmarkStart w:id="169" w:name="_Toc390704765"/>
      <w:bookmarkStart w:id="170" w:name="_Toc533357330"/>
    </w:p>
    <w:bookmarkEnd w:id="148"/>
    <w:bookmarkEnd w:id="166"/>
    <w:bookmarkEnd w:id="167"/>
    <w:bookmarkEnd w:id="168"/>
    <w:bookmarkEnd w:id="169"/>
    <w:bookmarkEnd w:id="170"/>
    <w:p w14:paraId="1142FC55">
      <w:pPr>
        <w:pStyle w:val="6"/>
        <w:jc w:val="center"/>
        <w:rPr>
          <w:color w:val="auto"/>
          <w:highlight w:val="none"/>
        </w:rPr>
      </w:pPr>
      <w:bookmarkStart w:id="171" w:name="_Toc118553997"/>
      <w:r>
        <w:rPr>
          <w:rFonts w:hint="eastAsia"/>
          <w:color w:val="auto"/>
          <w:highlight w:val="none"/>
        </w:rPr>
        <w:t>二、法定代表人证明书及授权委托书</w:t>
      </w:r>
      <w:bookmarkEnd w:id="171"/>
    </w:p>
    <w:p w14:paraId="3AF61000">
      <w:pPr>
        <w:spacing w:before="156"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法定代表人证明书</w:t>
      </w:r>
    </w:p>
    <w:p w14:paraId="13E4BC9D">
      <w:pPr>
        <w:spacing w:line="360" w:lineRule="auto"/>
        <w:jc w:val="center"/>
        <w:rPr>
          <w:rFonts w:ascii="宋体" w:hAnsi="宋体"/>
          <w:color w:val="auto"/>
          <w:sz w:val="30"/>
          <w:szCs w:val="30"/>
          <w:highlight w:val="none"/>
        </w:rPr>
      </w:pPr>
      <w:r>
        <w:rPr>
          <w:rFonts w:ascii="宋体" w:hAnsi="宋体"/>
          <w:color w:val="auto"/>
          <w:sz w:val="30"/>
          <w:szCs w:val="30"/>
          <w:highlight w:val="none"/>
        </w:rPr>
        <mc:AlternateContent>
          <mc:Choice Requires="wpg">
            <w:drawing>
              <wp:inline distT="0" distB="0" distL="0" distR="0">
                <wp:extent cx="5800725" cy="2639060"/>
                <wp:effectExtent l="12700" t="11430" r="6350" b="6985"/>
                <wp:docPr id="3" name="组合 3"/>
                <wp:cNvGraphicFramePr/>
                <a:graphic xmlns:a="http://schemas.openxmlformats.org/drawingml/2006/main">
                  <a:graphicData uri="http://schemas.microsoft.com/office/word/2010/wordprocessingGroup">
                    <wpg:wgp>
                      <wpg:cNvGrpSpPr/>
                      <wpg:grpSpPr>
                        <a:xfrm>
                          <a:off x="0" y="0"/>
                          <a:ext cx="5800725" cy="2639060"/>
                          <a:chOff x="0" y="0"/>
                          <a:chExt cx="7140" cy="3468"/>
                        </a:xfrm>
                      </wpg:grpSpPr>
                      <wps:wsp>
                        <wps:cNvPr id="4" name="图片 4"/>
                        <wps:cNvSpPr>
                          <a:spLocks noChangeAspect="1" noChangeArrowheads="1" noTextEdit="1"/>
                        </wps:cNvSpPr>
                        <wps:spPr bwMode="auto">
                          <a:xfrm>
                            <a:off x="0" y="0"/>
                            <a:ext cx="7140" cy="3468"/>
                          </a:xfrm>
                          <a:prstGeom prst="rect">
                            <a:avLst/>
                          </a:prstGeom>
                          <a:noFill/>
                          <a:ln>
                            <a:noFill/>
                          </a:ln>
                        </wps:spPr>
                        <wps:bodyPr rot="0" vert="horz" wrap="square" lIns="91440" tIns="45720" rIns="91440" bIns="45720" anchor="t" anchorCtr="0" upright="1">
                          <a:noAutofit/>
                        </wps:bodyPr>
                      </wps:wsp>
                      <wps:wsp>
                        <wps:cNvPr id="5"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wps:spPr>
                        <wps:txbx>
                          <w:txbxContent>
                            <w:p w14:paraId="1F5D2518">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14:paraId="577306E1">
                              <w:pPr>
                                <w:snapToGrid w:val="0"/>
                                <w:spacing w:line="480" w:lineRule="atLeast"/>
                                <w:rPr>
                                  <w:sz w:val="24"/>
                                  <w:szCs w:val="24"/>
                                </w:rPr>
                              </w:pPr>
                              <w:r>
                                <w:rPr>
                                  <w:rFonts w:hint="eastAsia" w:cs="宋体"/>
                                  <w:sz w:val="24"/>
                                  <w:szCs w:val="24"/>
                                </w:rPr>
                                <w:t>特此证明。</w:t>
                              </w:r>
                            </w:p>
                            <w:p w14:paraId="669B2C86">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444D8FE">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3ED46876">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358961C2">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1A7598BC">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14:paraId="75A6288A">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MwlbfDXAAAABQEAAA8AAAAAAAAAAQAgAAAA&#10;IgAAAGRycy9kb3ducmV2LnhtbFBLAQIUABQAAAAIAIdO4kBCWTer8AIAAPQHAAAOAAAAAAAAAAEA&#10;IAAAACYBAABkcnMvZTJvRG9jLnhtbFBLBQYAAAAABgAGAFkBAACIBgAAAAA=&#10;">
                <o:lock v:ext="edit" aspectratio="f"/>
                <v:rect id="图片 4" o:spid="_x0000_s1026" o:spt="1" style="position:absolute;left:0;top:0;height:3468;width:714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0;top:0;height:3468;width:714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F5D2518">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14:paraId="577306E1">
                        <w:pPr>
                          <w:snapToGrid w:val="0"/>
                          <w:spacing w:line="480" w:lineRule="atLeast"/>
                          <w:rPr>
                            <w:sz w:val="24"/>
                            <w:szCs w:val="24"/>
                          </w:rPr>
                        </w:pPr>
                        <w:r>
                          <w:rPr>
                            <w:rFonts w:hint="eastAsia" w:cs="宋体"/>
                            <w:sz w:val="24"/>
                            <w:szCs w:val="24"/>
                          </w:rPr>
                          <w:t>特此证明。</w:t>
                        </w:r>
                      </w:p>
                      <w:p w14:paraId="669B2C86">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444D8FE">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3ED46876">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358961C2">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1A7598BC">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14:paraId="75A6288A">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75C930B9">
      <w:pPr>
        <w:spacing w:line="360" w:lineRule="auto"/>
        <w:rPr>
          <w:rFonts w:ascii="宋体" w:hAnsi="宋体"/>
          <w:color w:val="auto"/>
          <w:sz w:val="24"/>
          <w:szCs w:val="24"/>
          <w:highlight w:val="none"/>
        </w:rPr>
      </w:pPr>
      <w:r>
        <w:rPr>
          <w:rFonts w:hint="eastAsia" w:ascii="宋体" w:hAnsi="宋体" w:cs="宋体"/>
          <w:color w:val="auto"/>
          <w:sz w:val="24"/>
          <w:szCs w:val="24"/>
          <w:highlight w:val="none"/>
        </w:rPr>
        <w:t>注：按提供的该表格格式填写，或使用工商管理（市场监督）部门的格式填写。</w:t>
      </w:r>
    </w:p>
    <w:p w14:paraId="76270D88">
      <w:pPr>
        <w:spacing w:before="156" w:beforeLines="50"/>
        <w:ind w:firstLine="482" w:firstLineChars="200"/>
        <w:jc w:val="center"/>
        <w:rPr>
          <w:rFonts w:ascii="宋体" w:hAnsi="宋体" w:cs="宋体"/>
          <w:b/>
          <w:color w:val="auto"/>
          <w:sz w:val="24"/>
          <w:szCs w:val="24"/>
          <w:highlight w:val="none"/>
        </w:rPr>
      </w:pPr>
    </w:p>
    <w:p w14:paraId="0052C952">
      <w:pPr>
        <w:spacing w:before="156"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bookmarkEnd w:id="0"/>
      <w:bookmarkEnd w:id="1"/>
      <w:bookmarkEnd w:id="2"/>
    </w:p>
    <w:p w14:paraId="045D8AE9">
      <w:pPr>
        <w:widowControl/>
        <w:spacing w:before="260" w:after="260"/>
        <w:ind w:right="1542"/>
        <w:jc w:val="center"/>
        <w:rPr>
          <w:rFonts w:ascii="宋体" w:hAnsi="宋体" w:cs="宋体"/>
          <w:b/>
          <w:bCs/>
          <w:color w:val="auto"/>
          <w:kern w:val="0"/>
          <w:sz w:val="32"/>
          <w:szCs w:val="32"/>
          <w:highlight w:val="none"/>
        </w:rPr>
      </w:pPr>
      <w:r>
        <w:rPr>
          <w:rFonts w:ascii="宋体" w:hAnsi="宋体" w:cs="宋体"/>
          <w:b/>
          <w:bCs/>
          <w:color w:val="auto"/>
          <w:kern w:val="0"/>
          <w:sz w:val="32"/>
          <w:szCs w:val="32"/>
          <w:highlight w:val="none"/>
        </w:rPr>
        <mc:AlternateContent>
          <mc:Choice Requires="wps">
            <w:drawing>
              <wp:inline distT="0" distB="0" distL="0" distR="0">
                <wp:extent cx="6129020" cy="2946400"/>
                <wp:effectExtent l="9525" t="6985" r="5080" b="8890"/>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9020" cy="2946400"/>
                        </a:xfrm>
                        <a:prstGeom prst="rect">
                          <a:avLst/>
                        </a:prstGeom>
                        <a:solidFill>
                          <a:srgbClr val="FFFFFF"/>
                        </a:solidFill>
                        <a:ln w="9525" cmpd="sng">
                          <a:solidFill>
                            <a:srgbClr val="000000"/>
                          </a:solidFill>
                          <a:miter lim="800000"/>
                        </a:ln>
                      </wps:spPr>
                      <wps:txbx>
                        <w:txbxContent>
                          <w:p w14:paraId="3111AD27">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61C3EF29">
                            <w:pPr>
                              <w:snapToGrid w:val="0"/>
                              <w:spacing w:line="480" w:lineRule="atLeast"/>
                              <w:rPr>
                                <w:sz w:val="24"/>
                                <w:szCs w:val="24"/>
                                <w:u w:val="single"/>
                              </w:rPr>
                            </w:pPr>
                            <w:r>
                              <w:rPr>
                                <w:sz w:val="24"/>
                                <w:szCs w:val="24"/>
                                <w:u w:val="single"/>
                              </w:rPr>
                              <w:t xml:space="preserve">                                                                        </w:t>
                            </w:r>
                          </w:p>
                          <w:p w14:paraId="225DF0FD">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41EECF9A">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53657CE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1AEC7B95">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7AEEA958">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2F97EB39">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67F14BFB">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82.6pt;" fillcolor="#FFFFFF" filled="t" stroked="t" coordsize="21600,21600" o:gfxdata="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fRdcAAAAFAQAADwAAAAAAAAABACAA&#10;AAAiAAAAZHJzL2Rvd25yZXYueG1sUEsBAhQAFAAAAAgAh07iQIvSZaRHAgAAkwQAAA4AAAAAAAAA&#10;AQAgAAAAJgEAAGRycy9lMm9Eb2MueG1sUEsFBgAAAAAGAAYAWQEAAN8FAAAAAA==&#10;">
                <v:fill on="t" focussize="0,0"/>
                <v:stroke color="#000000" miterlimit="8" joinstyle="miter"/>
                <v:imagedata o:title=""/>
                <o:lock v:ext="edit" aspectratio="f"/>
                <v:textbox>
                  <w:txbxContent>
                    <w:p w14:paraId="3111AD27">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61C3EF29">
                      <w:pPr>
                        <w:snapToGrid w:val="0"/>
                        <w:spacing w:line="480" w:lineRule="atLeast"/>
                        <w:rPr>
                          <w:sz w:val="24"/>
                          <w:szCs w:val="24"/>
                          <w:u w:val="single"/>
                        </w:rPr>
                      </w:pPr>
                      <w:r>
                        <w:rPr>
                          <w:sz w:val="24"/>
                          <w:szCs w:val="24"/>
                          <w:u w:val="single"/>
                        </w:rPr>
                        <w:t xml:space="preserve">                                                                        </w:t>
                      </w:r>
                    </w:p>
                    <w:p w14:paraId="225DF0FD">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41EECF9A">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53657CE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1AEC7B95">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7AEEA958">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2F97EB39">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67F14BFB">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50794AB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注：按提供的该表格格式填写，或使用工商管理（市场监督）部门的格式填写。</w:t>
      </w:r>
    </w:p>
    <w:p w14:paraId="41485C30">
      <w:pPr>
        <w:pStyle w:val="6"/>
        <w:jc w:val="center"/>
        <w:rPr>
          <w:color w:val="auto"/>
          <w:highlight w:val="none"/>
        </w:rPr>
      </w:pPr>
      <w:r>
        <w:rPr>
          <w:color w:val="auto"/>
          <w:highlight w:val="none"/>
        </w:rPr>
        <w:br w:type="page"/>
      </w:r>
      <w:bookmarkStart w:id="172" w:name="_Toc118553998"/>
      <w:bookmarkStart w:id="173" w:name="_Toc533334223"/>
      <w:r>
        <w:rPr>
          <w:rFonts w:hint="eastAsia"/>
          <w:color w:val="auto"/>
          <w:highlight w:val="none"/>
        </w:rPr>
        <w:t>三、</w:t>
      </w:r>
      <w:bookmarkStart w:id="174" w:name="_Toc361508757"/>
      <w:bookmarkStart w:id="175" w:name="_Toc384308381"/>
      <w:bookmarkStart w:id="176" w:name="_Toc152042581"/>
      <w:bookmarkStart w:id="177" w:name="_Toc247514284"/>
      <w:bookmarkStart w:id="178" w:name="_Toc300835214"/>
      <w:bookmarkStart w:id="179" w:name="_Toc369531702"/>
      <w:bookmarkStart w:id="180" w:name="_Toc144974861"/>
      <w:bookmarkStart w:id="181" w:name="_Toc152045792"/>
      <w:bookmarkStart w:id="182" w:name="_Toc352691666"/>
      <w:bookmarkStart w:id="183" w:name="_Toc247527832"/>
      <w:bookmarkStart w:id="184" w:name="_Toc13469"/>
      <w:r>
        <w:rPr>
          <w:rFonts w:hint="eastAsia"/>
          <w:color w:val="auto"/>
          <w:highlight w:val="none"/>
        </w:rPr>
        <w:t>投标保证金</w:t>
      </w:r>
      <w:bookmarkEnd w:id="172"/>
    </w:p>
    <w:bookmarkEnd w:id="173"/>
    <w:bookmarkEnd w:id="174"/>
    <w:bookmarkEnd w:id="175"/>
    <w:bookmarkEnd w:id="176"/>
    <w:bookmarkEnd w:id="177"/>
    <w:bookmarkEnd w:id="178"/>
    <w:bookmarkEnd w:id="179"/>
    <w:bookmarkEnd w:id="180"/>
    <w:bookmarkEnd w:id="181"/>
    <w:bookmarkEnd w:id="182"/>
    <w:bookmarkEnd w:id="183"/>
    <w:bookmarkEnd w:id="184"/>
    <w:p w14:paraId="3F55CCFF">
      <w:pPr>
        <w:spacing w:line="360" w:lineRule="auto"/>
        <w:ind w:firstLine="420" w:firstLineChars="200"/>
        <w:rPr>
          <w:rFonts w:ascii="宋体" w:hAnsi="宋体"/>
          <w:color w:val="auto"/>
          <w:highlight w:val="none"/>
        </w:rPr>
      </w:pPr>
      <w:r>
        <w:rPr>
          <w:rFonts w:hint="eastAsia" w:ascii="宋体" w:hAnsi="宋体"/>
          <w:color w:val="auto"/>
          <w:highlight w:val="none"/>
        </w:rPr>
        <w:t>注：如采用现金或者支票方式提交的，由</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代收。保证金从投标人基本账户转账至</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。其缴纳情况以开标时</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数据库查询信息为准。缴纳时间：递交投标文件开始时至递交投标文件截止时间前。具体操作步骤参见</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最新的投标保证金缴纳操作流程。</w:t>
      </w:r>
    </w:p>
    <w:p w14:paraId="715E722C">
      <w:pPr>
        <w:spacing w:line="360" w:lineRule="auto"/>
        <w:ind w:firstLine="420" w:firstLineChars="200"/>
        <w:rPr>
          <w:rFonts w:ascii="宋体" w:hAnsi="宋体"/>
          <w:color w:val="auto"/>
          <w:highlight w:val="none"/>
        </w:rPr>
      </w:pPr>
      <w:r>
        <w:rPr>
          <w:rFonts w:hint="eastAsia" w:ascii="宋体" w:hAnsi="宋体"/>
          <w:color w:val="auto"/>
          <w:highlight w:val="none"/>
        </w:rPr>
        <w:t>如采用投标保函或投标保证保险的方式提交的，投标保函需开具给招标人；保证保险需开具给招标人（受益人也必须是招标人）。在开标前不需要提交纸质原件，投标人应在投标文件中提交投标保函或投标保险等的扫描件并加盖投标人电子印章。完成评标后，由中标候选人在中标候选人公示前提交纸质原件给招标代理单位，纸质原件将在网上公示。若以交易系统支持的电子保函或电子投标保证保险递交的，到账情况以开标时</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数据库查询信息为准。具体操作步骤参见</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最新的建设工程电子投标保函操作指引。</w:t>
      </w:r>
    </w:p>
    <w:p w14:paraId="5D8FDC1A">
      <w:pPr>
        <w:spacing w:line="360" w:lineRule="auto"/>
        <w:rPr>
          <w:color w:val="auto"/>
          <w:highlight w:val="none"/>
        </w:rPr>
      </w:pPr>
      <w:r>
        <w:rPr>
          <w:rFonts w:hint="eastAsia" w:ascii="宋体" w:hAnsi="宋体"/>
          <w:color w:val="auto"/>
          <w:highlight w:val="none"/>
        </w:rPr>
        <w:t xml:space="preserve">   </w:t>
      </w:r>
    </w:p>
    <w:p w14:paraId="17A7A81C">
      <w:pPr>
        <w:spacing w:line="360" w:lineRule="auto"/>
        <w:rPr>
          <w:rFonts w:ascii="宋体" w:hAnsi="宋体"/>
          <w:color w:val="auto"/>
          <w:highlight w:val="none"/>
        </w:rPr>
      </w:pPr>
    </w:p>
    <w:p w14:paraId="337BD336">
      <w:pPr>
        <w:pStyle w:val="6"/>
        <w:jc w:val="center"/>
        <w:rPr>
          <w:color w:val="auto"/>
          <w:highlight w:val="none"/>
        </w:rPr>
      </w:pPr>
      <w:r>
        <w:rPr>
          <w:color w:val="auto"/>
          <w:highlight w:val="none"/>
        </w:rPr>
        <w:br w:type="page"/>
      </w:r>
      <w:bookmarkStart w:id="185" w:name="_Toc390704766"/>
      <w:bookmarkStart w:id="186" w:name="_Toc374536214"/>
      <w:bookmarkStart w:id="187" w:name="_Toc118553999"/>
      <w:bookmarkStart w:id="188" w:name="_Toc11199"/>
      <w:bookmarkStart w:id="189" w:name="_Toc533357333"/>
      <w:r>
        <w:rPr>
          <w:rFonts w:hint="eastAsia"/>
          <w:color w:val="auto"/>
          <w:szCs w:val="32"/>
          <w:highlight w:val="none"/>
        </w:rPr>
        <w:t>四</w:t>
      </w:r>
      <w:bookmarkEnd w:id="185"/>
      <w:bookmarkEnd w:id="186"/>
      <w:r>
        <w:rPr>
          <w:rFonts w:hint="eastAsia"/>
          <w:color w:val="auto"/>
          <w:szCs w:val="32"/>
          <w:highlight w:val="none"/>
        </w:rPr>
        <w:t>、</w:t>
      </w:r>
      <w:r>
        <w:rPr>
          <w:rFonts w:hint="eastAsia"/>
          <w:color w:val="auto"/>
          <w:highlight w:val="none"/>
        </w:rPr>
        <w:t>投</w:t>
      </w:r>
      <w:r>
        <w:rPr>
          <w:rFonts w:hint="eastAsia"/>
          <w:color w:val="auto"/>
          <w:szCs w:val="22"/>
          <w:highlight w:val="none"/>
        </w:rPr>
        <w:t>标</w:t>
      </w:r>
      <w:r>
        <w:rPr>
          <w:rFonts w:hint="eastAsia"/>
          <w:color w:val="auto"/>
          <w:highlight w:val="none"/>
        </w:rPr>
        <w:t>报价书</w:t>
      </w:r>
      <w:bookmarkEnd w:id="187"/>
      <w:bookmarkEnd w:id="188"/>
      <w:bookmarkEnd w:id="189"/>
    </w:p>
    <w:p w14:paraId="3F70CBBE">
      <w:pPr>
        <w:spacing w:line="500" w:lineRule="exact"/>
        <w:jc w:val="center"/>
        <w:rPr>
          <w:rFonts w:ascii="宋体" w:hAnsi="宋体"/>
          <w:b/>
          <w:bCs/>
          <w:color w:val="auto"/>
          <w:sz w:val="30"/>
          <w:highlight w:val="none"/>
        </w:rPr>
      </w:pPr>
      <w:r>
        <w:rPr>
          <w:rFonts w:hint="eastAsia" w:ascii="宋体" w:hAnsi="宋体"/>
          <w:b/>
          <w:bCs/>
          <w:color w:val="auto"/>
          <w:sz w:val="30"/>
          <w:highlight w:val="none"/>
        </w:rPr>
        <w:t xml:space="preserve"> </w:t>
      </w:r>
    </w:p>
    <w:p w14:paraId="55CA4723">
      <w:pPr>
        <w:spacing w:line="500" w:lineRule="exact"/>
        <w:jc w:val="center"/>
        <w:rPr>
          <w:rFonts w:ascii="宋体" w:hAnsi="宋体"/>
          <w:b/>
          <w:bCs/>
          <w:color w:val="auto"/>
          <w:sz w:val="30"/>
          <w:highlight w:val="none"/>
        </w:rPr>
      </w:pPr>
      <w:r>
        <w:rPr>
          <w:rFonts w:hint="eastAsia" w:ascii="宋体" w:hAnsi="宋体"/>
          <w:b/>
          <w:bCs/>
          <w:color w:val="auto"/>
          <w:sz w:val="30"/>
          <w:highlight w:val="none"/>
        </w:rPr>
        <w:t xml:space="preserve"> </w:t>
      </w:r>
      <w:r>
        <w:rPr>
          <w:rFonts w:hint="eastAsia" w:ascii="宋体" w:hAnsi="宋体"/>
          <w:b/>
          <w:bCs/>
          <w:color w:val="auto"/>
          <w:sz w:val="30"/>
          <w:highlight w:val="none"/>
          <w:lang w:eastAsia="zh-CN"/>
        </w:rPr>
        <w:t xml:space="preserve"> 广州市黄埔区云埔街火村社区莲潭经济合作社城中村改造项目复建安置地块工程检测监测服务</w:t>
      </w:r>
    </w:p>
    <w:p w14:paraId="721476E4">
      <w:pPr>
        <w:pStyle w:val="34"/>
        <w:rPr>
          <w:rFonts w:ascii="宋体" w:hAnsi="宋体"/>
          <w:bCs/>
          <w:color w:val="auto"/>
          <w:sz w:val="30"/>
          <w:highlight w:val="none"/>
        </w:rPr>
      </w:pPr>
    </w:p>
    <w:p w14:paraId="12F877F4">
      <w:pPr>
        <w:pStyle w:val="34"/>
        <w:rPr>
          <w:rFonts w:ascii="宋体" w:hAnsi="宋体"/>
          <w:bCs/>
          <w:color w:val="auto"/>
          <w:sz w:val="30"/>
          <w:highlight w:val="none"/>
        </w:rPr>
      </w:pPr>
    </w:p>
    <w:p w14:paraId="2BBE2565">
      <w:pPr>
        <w:pStyle w:val="34"/>
        <w:rPr>
          <w:rFonts w:ascii="宋体" w:hAnsi="宋体"/>
          <w:bCs/>
          <w:color w:val="auto"/>
          <w:sz w:val="30"/>
          <w:highlight w:val="none"/>
        </w:rPr>
      </w:pPr>
    </w:p>
    <w:p w14:paraId="4B056255">
      <w:pPr>
        <w:spacing w:line="500" w:lineRule="exact"/>
        <w:jc w:val="center"/>
        <w:rPr>
          <w:rFonts w:ascii="宋体" w:hAnsi="宋体"/>
          <w:b/>
          <w:bCs/>
          <w:color w:val="auto"/>
          <w:sz w:val="30"/>
          <w:highlight w:val="none"/>
        </w:rPr>
      </w:pPr>
    </w:p>
    <w:p w14:paraId="209A1665">
      <w:pPr>
        <w:spacing w:line="600" w:lineRule="exact"/>
        <w:jc w:val="center"/>
        <w:rPr>
          <w:rFonts w:ascii="宋体" w:hAnsi="宋体"/>
          <w:b/>
          <w:bCs/>
          <w:color w:val="auto"/>
          <w:sz w:val="52"/>
          <w:highlight w:val="none"/>
        </w:rPr>
      </w:pPr>
      <w:r>
        <w:rPr>
          <w:rFonts w:hint="eastAsia" w:ascii="宋体" w:hAnsi="宋体"/>
          <w:b/>
          <w:bCs/>
          <w:color w:val="auto"/>
          <w:sz w:val="52"/>
          <w:highlight w:val="none"/>
        </w:rPr>
        <w:t>投标报价书</w:t>
      </w:r>
    </w:p>
    <w:p w14:paraId="4CBAD3D3">
      <w:pPr>
        <w:spacing w:line="500" w:lineRule="exact"/>
        <w:jc w:val="center"/>
        <w:rPr>
          <w:rFonts w:ascii="宋体" w:hAnsi="宋体"/>
          <w:b/>
          <w:bCs/>
          <w:color w:val="auto"/>
          <w:sz w:val="30"/>
          <w:highlight w:val="none"/>
        </w:rPr>
      </w:pPr>
    </w:p>
    <w:p w14:paraId="574C6E3E">
      <w:pPr>
        <w:spacing w:line="500" w:lineRule="exact"/>
        <w:jc w:val="center"/>
        <w:rPr>
          <w:rFonts w:ascii="宋体" w:hAnsi="宋体"/>
          <w:b/>
          <w:bCs/>
          <w:color w:val="auto"/>
          <w:sz w:val="30"/>
          <w:highlight w:val="none"/>
        </w:rPr>
      </w:pPr>
    </w:p>
    <w:p w14:paraId="6E905845">
      <w:pPr>
        <w:spacing w:line="500" w:lineRule="exact"/>
        <w:jc w:val="center"/>
        <w:rPr>
          <w:rFonts w:ascii="宋体" w:hAnsi="宋体"/>
          <w:b/>
          <w:bCs/>
          <w:color w:val="auto"/>
          <w:sz w:val="30"/>
          <w:highlight w:val="none"/>
        </w:rPr>
      </w:pPr>
    </w:p>
    <w:p w14:paraId="286CC5AE">
      <w:pPr>
        <w:spacing w:line="500" w:lineRule="exact"/>
        <w:jc w:val="center"/>
        <w:rPr>
          <w:rFonts w:ascii="宋体" w:hAnsi="宋体"/>
          <w:b/>
          <w:bCs/>
          <w:color w:val="auto"/>
          <w:sz w:val="30"/>
          <w:highlight w:val="none"/>
        </w:rPr>
      </w:pPr>
    </w:p>
    <w:p w14:paraId="43FD9BD1">
      <w:pPr>
        <w:spacing w:line="500" w:lineRule="exact"/>
        <w:jc w:val="center"/>
        <w:rPr>
          <w:rFonts w:ascii="宋体" w:hAnsi="宋体"/>
          <w:b/>
          <w:bCs/>
          <w:color w:val="auto"/>
          <w:sz w:val="30"/>
          <w:highlight w:val="none"/>
        </w:rPr>
      </w:pPr>
    </w:p>
    <w:p w14:paraId="169DFEFC">
      <w:pPr>
        <w:spacing w:line="500" w:lineRule="exact"/>
        <w:jc w:val="center"/>
        <w:rPr>
          <w:rFonts w:ascii="宋体" w:hAnsi="宋体"/>
          <w:b/>
          <w:bCs/>
          <w:color w:val="auto"/>
          <w:sz w:val="30"/>
          <w:highlight w:val="none"/>
        </w:rPr>
      </w:pPr>
    </w:p>
    <w:p w14:paraId="15446CD0">
      <w:pPr>
        <w:spacing w:line="500" w:lineRule="exact"/>
        <w:rPr>
          <w:rFonts w:ascii="宋体" w:hAnsi="宋体"/>
          <w:b/>
          <w:bCs/>
          <w:color w:val="auto"/>
          <w:sz w:val="30"/>
          <w:highlight w:val="none"/>
        </w:rPr>
      </w:pPr>
    </w:p>
    <w:p w14:paraId="17D4AFBF">
      <w:pPr>
        <w:spacing w:line="500" w:lineRule="exact"/>
        <w:ind w:firstLine="2125" w:firstLineChars="756"/>
        <w:rPr>
          <w:rFonts w:ascii="宋体" w:hAnsi="宋体"/>
          <w:b/>
          <w:bCs/>
          <w:color w:val="auto"/>
          <w:sz w:val="28"/>
          <w:highlight w:val="none"/>
        </w:rPr>
      </w:pPr>
      <w:r>
        <w:rPr>
          <w:rFonts w:hint="eastAsia" w:ascii="宋体" w:hAnsi="宋体"/>
          <w:b/>
          <w:bCs/>
          <w:color w:val="auto"/>
          <w:sz w:val="28"/>
          <w:highlight w:val="none"/>
        </w:rPr>
        <w:t>投标人：（公章）</w:t>
      </w:r>
      <w:r>
        <w:rPr>
          <w:rFonts w:ascii="宋体" w:hAnsi="宋体"/>
          <w:b/>
          <w:bCs/>
          <w:color w:val="auto"/>
          <w:sz w:val="28"/>
          <w:highlight w:val="none"/>
        </w:rPr>
        <w:t xml:space="preserve"> </w:t>
      </w:r>
    </w:p>
    <w:p w14:paraId="4164DEF7">
      <w:pPr>
        <w:spacing w:line="500" w:lineRule="exact"/>
        <w:ind w:firstLine="2125" w:firstLineChars="756"/>
        <w:jc w:val="left"/>
        <w:rPr>
          <w:rFonts w:ascii="宋体" w:hAnsi="宋体"/>
          <w:b/>
          <w:bCs/>
          <w:color w:val="auto"/>
          <w:sz w:val="28"/>
          <w:highlight w:val="none"/>
        </w:rPr>
      </w:pPr>
      <w:r>
        <w:rPr>
          <w:rFonts w:hint="eastAsia" w:ascii="宋体" w:hAnsi="宋体"/>
          <w:b/>
          <w:bCs/>
          <w:color w:val="auto"/>
          <w:sz w:val="28"/>
          <w:highlight w:val="none"/>
        </w:rPr>
        <w:t>法定代表人(签字或盖章)：</w:t>
      </w:r>
    </w:p>
    <w:p w14:paraId="73B7CE90">
      <w:pPr>
        <w:spacing w:line="500" w:lineRule="exact"/>
        <w:jc w:val="center"/>
        <w:rPr>
          <w:rFonts w:ascii="宋体" w:hAnsi="宋体"/>
          <w:b/>
          <w:bCs/>
          <w:color w:val="auto"/>
          <w:sz w:val="28"/>
          <w:highlight w:val="none"/>
        </w:rPr>
      </w:pPr>
      <w:r>
        <w:rPr>
          <w:rFonts w:hint="eastAsia" w:ascii="宋体" w:hAnsi="宋体"/>
          <w:b/>
          <w:bCs/>
          <w:color w:val="auto"/>
          <w:sz w:val="28"/>
          <w:highlight w:val="none"/>
        </w:rPr>
        <w:t>年</w:t>
      </w:r>
      <w:r>
        <w:rPr>
          <w:rFonts w:ascii="宋体" w:hAnsi="宋体"/>
          <w:b/>
          <w:bCs/>
          <w:color w:val="auto"/>
          <w:sz w:val="28"/>
          <w:highlight w:val="none"/>
        </w:rPr>
        <w:t xml:space="preserve">   </w:t>
      </w:r>
      <w:r>
        <w:rPr>
          <w:rFonts w:hint="eastAsia" w:ascii="宋体" w:hAnsi="宋体"/>
          <w:b/>
          <w:bCs/>
          <w:color w:val="auto"/>
          <w:sz w:val="28"/>
          <w:highlight w:val="none"/>
        </w:rPr>
        <w:t>月</w:t>
      </w:r>
      <w:r>
        <w:rPr>
          <w:rFonts w:ascii="宋体" w:hAnsi="宋体"/>
          <w:b/>
          <w:bCs/>
          <w:color w:val="auto"/>
          <w:sz w:val="28"/>
          <w:highlight w:val="none"/>
        </w:rPr>
        <w:t xml:space="preserve">   </w:t>
      </w:r>
      <w:r>
        <w:rPr>
          <w:rFonts w:hint="eastAsia" w:ascii="宋体" w:hAnsi="宋体"/>
          <w:b/>
          <w:bCs/>
          <w:color w:val="auto"/>
          <w:sz w:val="28"/>
          <w:highlight w:val="none"/>
        </w:rPr>
        <w:t>日</w:t>
      </w:r>
    </w:p>
    <w:p w14:paraId="072DAB5D">
      <w:pPr>
        <w:spacing w:line="500" w:lineRule="exact"/>
        <w:jc w:val="center"/>
        <w:rPr>
          <w:rFonts w:ascii="宋体" w:hAnsi="宋体"/>
          <w:b/>
          <w:bCs/>
          <w:color w:val="auto"/>
          <w:sz w:val="30"/>
          <w:highlight w:val="none"/>
        </w:rPr>
      </w:pPr>
    </w:p>
    <w:p w14:paraId="77A92562">
      <w:pPr>
        <w:spacing w:line="500" w:lineRule="exact"/>
        <w:jc w:val="center"/>
        <w:rPr>
          <w:rFonts w:ascii="宋体" w:hAnsi="宋体"/>
          <w:b/>
          <w:bCs/>
          <w:color w:val="auto"/>
          <w:sz w:val="30"/>
          <w:highlight w:val="none"/>
        </w:rPr>
      </w:pPr>
    </w:p>
    <w:p w14:paraId="014D4B7E">
      <w:pPr>
        <w:spacing w:line="500" w:lineRule="exact"/>
        <w:rPr>
          <w:rFonts w:ascii="宋体" w:hAnsi="宋体"/>
          <w:color w:val="auto"/>
          <w:szCs w:val="21"/>
          <w:highlight w:val="none"/>
        </w:rPr>
        <w:sectPr>
          <w:headerReference r:id="rId5" w:type="default"/>
          <w:footerReference r:id="rId6" w:type="default"/>
          <w:pgSz w:w="11906" w:h="16838"/>
          <w:pgMar w:top="1440" w:right="1080" w:bottom="1440" w:left="1080" w:header="851" w:footer="1021"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20" w:num="1"/>
          <w:docGrid w:type="lines" w:linePitch="312" w:charSpace="0"/>
        </w:sectPr>
      </w:pPr>
    </w:p>
    <w:p w14:paraId="1AAF6849">
      <w:pPr>
        <w:tabs>
          <w:tab w:val="left" w:pos="5560"/>
          <w:tab w:val="left" w:pos="6940"/>
        </w:tabs>
        <w:spacing w:line="480" w:lineRule="auto"/>
        <w:ind w:right="85" w:firstLine="3213" w:firstLineChars="1000"/>
        <w:jc w:val="left"/>
        <w:rPr>
          <w:rFonts w:ascii="宋体" w:hAnsi="宋体"/>
          <w:b/>
          <w:color w:val="auto"/>
          <w:sz w:val="32"/>
          <w:szCs w:val="28"/>
          <w:highlight w:val="none"/>
        </w:rPr>
      </w:pPr>
      <w:bookmarkStart w:id="190" w:name="_Toc31556"/>
      <w:bookmarkStart w:id="191" w:name="_Toc266373531"/>
      <w:bookmarkStart w:id="192" w:name="_Toc374536218"/>
      <w:bookmarkStart w:id="193" w:name="_Toc333829923"/>
      <w:bookmarkStart w:id="194" w:name="_Toc390704770"/>
      <w:bookmarkStart w:id="195" w:name="_Toc374610687"/>
      <w:r>
        <w:rPr>
          <w:rFonts w:hint="eastAsia" w:ascii="宋体" w:hAnsi="宋体"/>
          <w:b/>
          <w:color w:val="auto"/>
          <w:sz w:val="32"/>
          <w:szCs w:val="28"/>
          <w:highlight w:val="none"/>
        </w:rPr>
        <w:t>投标报价汇总表</w:t>
      </w:r>
    </w:p>
    <w:p w14:paraId="2A8FFA5E">
      <w:pPr>
        <w:pStyle w:val="26"/>
        <w:rPr>
          <w:rFonts w:ascii="Calibri" w:hAnsi="Calibri"/>
          <w:color w:val="auto"/>
          <w:highlight w:val="none"/>
        </w:rPr>
      </w:pPr>
    </w:p>
    <w:tbl>
      <w:tblPr>
        <w:tblStyle w:val="27"/>
        <w:tblpPr w:leftFromText="180" w:rightFromText="180" w:vertAnchor="text" w:horzAnchor="page" w:tblpX="1192" w:tblpY="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2573"/>
        <w:gridCol w:w="2191"/>
        <w:gridCol w:w="1729"/>
      </w:tblGrid>
      <w:tr w14:paraId="2886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26" w:type="dxa"/>
            <w:vAlign w:val="center"/>
          </w:tcPr>
          <w:p w14:paraId="0D4D32BF">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val="en-US" w:eastAsia="zh-CN" w:bidi="ar"/>
              </w:rPr>
              <w:t>项目</w:t>
            </w:r>
            <w:r>
              <w:rPr>
                <w:rFonts w:hint="eastAsia" w:ascii="宋体" w:hAnsi="宋体" w:cs="华文楷体"/>
                <w:b/>
                <w:color w:val="auto"/>
                <w:kern w:val="0"/>
                <w:sz w:val="24"/>
                <w:szCs w:val="24"/>
                <w:highlight w:val="none"/>
                <w:lang w:bidi="ar"/>
              </w:rPr>
              <w:t>名称</w:t>
            </w:r>
          </w:p>
        </w:tc>
        <w:tc>
          <w:tcPr>
            <w:tcW w:w="2573" w:type="dxa"/>
          </w:tcPr>
          <w:p w14:paraId="407D161E">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val="en-US" w:eastAsia="zh-CN" w:bidi="ar"/>
              </w:rPr>
              <w:t>最高投标限价</w:t>
            </w:r>
            <w:r>
              <w:rPr>
                <w:rFonts w:hint="eastAsia" w:ascii="宋体" w:hAnsi="宋体" w:cs="华文楷体"/>
                <w:b/>
                <w:color w:val="auto"/>
                <w:kern w:val="0"/>
                <w:sz w:val="24"/>
                <w:szCs w:val="24"/>
                <w:highlight w:val="none"/>
                <w:lang w:bidi="ar"/>
              </w:rPr>
              <w:t>（含税）</w:t>
            </w:r>
          </w:p>
          <w:p w14:paraId="1D677BCB">
            <w:pPr>
              <w:jc w:val="center"/>
              <w:rPr>
                <w:rFonts w:ascii="宋体" w:hAnsi="宋体" w:cs="华文楷体"/>
                <w:bCs/>
                <w:color w:val="auto"/>
                <w:kern w:val="0"/>
                <w:sz w:val="24"/>
                <w:szCs w:val="24"/>
                <w:highlight w:val="none"/>
                <w:lang w:bidi="ar"/>
              </w:rPr>
            </w:pPr>
            <w:r>
              <w:rPr>
                <w:rFonts w:hint="eastAsia" w:ascii="宋体" w:hAnsi="宋体" w:cs="华文楷体"/>
                <w:b/>
                <w:color w:val="auto"/>
                <w:kern w:val="0"/>
                <w:sz w:val="24"/>
                <w:szCs w:val="24"/>
                <w:highlight w:val="none"/>
                <w:lang w:bidi="ar"/>
              </w:rPr>
              <w:t>（元）</w:t>
            </w:r>
          </w:p>
        </w:tc>
        <w:tc>
          <w:tcPr>
            <w:tcW w:w="2191" w:type="dxa"/>
          </w:tcPr>
          <w:p w14:paraId="22DF6963">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投标报价（含税）</w:t>
            </w:r>
          </w:p>
          <w:p w14:paraId="18E69041">
            <w:pPr>
              <w:jc w:val="center"/>
              <w:rPr>
                <w:rFonts w:hint="eastAsia"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（元）</w:t>
            </w:r>
          </w:p>
        </w:tc>
        <w:tc>
          <w:tcPr>
            <w:tcW w:w="1729" w:type="dxa"/>
            <w:vAlign w:val="center"/>
          </w:tcPr>
          <w:p w14:paraId="2A0C10BB">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投标下浮率</w:t>
            </w:r>
          </w:p>
          <w:p w14:paraId="23A46E77">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w:t>
            </w:r>
          </w:p>
        </w:tc>
      </w:tr>
      <w:tr w14:paraId="3400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3026" w:type="dxa"/>
            <w:vAlign w:val="center"/>
          </w:tcPr>
          <w:p w14:paraId="493A3572">
            <w:pPr>
              <w:jc w:val="center"/>
              <w:rPr>
                <w:rFonts w:ascii="宋体" w:hAnsi="宋体" w:cs="华文楷体"/>
                <w:bCs/>
                <w:color w:val="auto"/>
                <w:kern w:val="0"/>
                <w:sz w:val="24"/>
                <w:szCs w:val="24"/>
                <w:highlight w:val="none"/>
                <w:lang w:bidi="ar"/>
              </w:rPr>
            </w:pPr>
            <w:r>
              <w:rPr>
                <w:rFonts w:hint="eastAsia" w:ascii="宋体" w:hAnsi="宋体" w:cs="华文楷体"/>
                <w:bCs/>
                <w:color w:val="auto"/>
                <w:kern w:val="0"/>
                <w:sz w:val="24"/>
                <w:szCs w:val="24"/>
                <w:highlight w:val="none"/>
                <w:lang w:eastAsia="zh-CN" w:bidi="ar"/>
              </w:rPr>
              <w:t xml:space="preserve"> 广州市黄埔区云埔街火村社区莲潭经济合作社城中村改造项目复建安置地块工程检测监测服务</w:t>
            </w:r>
          </w:p>
        </w:tc>
        <w:tc>
          <w:tcPr>
            <w:tcW w:w="2573" w:type="dxa"/>
            <w:vAlign w:val="center"/>
          </w:tcPr>
          <w:p w14:paraId="0734380E">
            <w:pPr>
              <w:jc w:val="center"/>
              <w:textAlignment w:val="center"/>
              <w:rPr>
                <w:rFonts w:hint="default" w:ascii="宋体" w:hAnsi="宋体" w:eastAsia="宋体" w:cs="华文楷体"/>
                <w:b/>
                <w:color w:val="auto"/>
                <w:kern w:val="0"/>
                <w:sz w:val="24"/>
                <w:szCs w:val="24"/>
                <w:highlight w:val="none"/>
                <w:u w:val="none"/>
                <w:lang w:val="en-US" w:eastAsia="zh-CN" w:bidi="ar"/>
              </w:rPr>
            </w:pPr>
            <w:r>
              <w:rPr>
                <w:rFonts w:hint="eastAsia" w:ascii="宋体" w:hAnsi="宋体"/>
                <w:color w:val="auto"/>
                <w:sz w:val="24"/>
                <w:szCs w:val="24"/>
                <w:highlight w:val="none"/>
                <w:u w:val="none"/>
                <w:lang w:val="en-US" w:eastAsia="zh-CN"/>
              </w:rPr>
              <w:t xml:space="preserve"> </w:t>
            </w:r>
          </w:p>
        </w:tc>
        <w:tc>
          <w:tcPr>
            <w:tcW w:w="2191" w:type="dxa"/>
            <w:vAlign w:val="center"/>
          </w:tcPr>
          <w:p w14:paraId="62190537">
            <w:pPr>
              <w:jc w:val="center"/>
              <w:textAlignment w:val="center"/>
              <w:rPr>
                <w:rFonts w:ascii="宋体" w:hAnsi="宋体" w:cs="华文楷体"/>
                <w:b/>
                <w:color w:val="auto"/>
                <w:kern w:val="0"/>
                <w:sz w:val="24"/>
                <w:szCs w:val="24"/>
                <w:highlight w:val="none"/>
                <w:u w:val="none"/>
                <w:lang w:bidi="ar"/>
              </w:rPr>
            </w:pPr>
          </w:p>
        </w:tc>
        <w:tc>
          <w:tcPr>
            <w:tcW w:w="1729" w:type="dxa"/>
            <w:vAlign w:val="center"/>
          </w:tcPr>
          <w:p w14:paraId="429F1E1C">
            <w:pPr>
              <w:jc w:val="center"/>
              <w:rPr>
                <w:rFonts w:ascii="宋体" w:hAnsi="宋体" w:cs="华文楷体"/>
                <w:b/>
                <w:color w:val="auto"/>
                <w:kern w:val="0"/>
                <w:sz w:val="24"/>
                <w:szCs w:val="24"/>
                <w:highlight w:val="none"/>
                <w:u w:val="none"/>
                <w:lang w:bidi="ar"/>
              </w:rPr>
            </w:pPr>
          </w:p>
        </w:tc>
      </w:tr>
    </w:tbl>
    <w:p w14:paraId="1F9749A8">
      <w:pPr>
        <w:rPr>
          <w:rFonts w:ascii="宋体" w:hAnsi="宋体"/>
          <w:color w:val="auto"/>
          <w:highlight w:val="none"/>
        </w:rPr>
      </w:pPr>
    </w:p>
    <w:p w14:paraId="53CCCD5D">
      <w:pPr>
        <w:pStyle w:val="26"/>
        <w:ind w:firstLine="422"/>
        <w:rPr>
          <w:rFonts w:ascii="Calibri" w:hAnsi="Calibri"/>
          <w:b/>
          <w:color w:val="auto"/>
          <w:highlight w:val="none"/>
          <w:u w:val="single"/>
        </w:rPr>
      </w:pPr>
      <w:r>
        <w:rPr>
          <w:rFonts w:hint="eastAsia" w:ascii="Calibri" w:hAnsi="Calibri"/>
          <w:b/>
          <w:color w:val="auto"/>
          <w:highlight w:val="none"/>
          <w:u w:val="single"/>
        </w:rPr>
        <w:t>注：</w:t>
      </w:r>
    </w:p>
    <w:p w14:paraId="411ACCCE">
      <w:pPr>
        <w:pStyle w:val="26"/>
        <w:numPr>
          <w:ilvl w:val="0"/>
          <w:numId w:val="3"/>
        </w:numPr>
        <w:ind w:firstLine="422"/>
        <w:rPr>
          <w:rFonts w:hint="eastAsia" w:ascii="Calibri" w:hAnsi="Calibri"/>
          <w:b w:val="0"/>
          <w:bCs/>
          <w:color w:val="auto"/>
          <w:highlight w:val="none"/>
          <w:u w:val="single"/>
          <w:lang w:val="en-US" w:eastAsia="zh-CN"/>
        </w:rPr>
      </w:pPr>
      <w:r>
        <w:rPr>
          <w:rFonts w:hint="eastAsia" w:ascii="Calibri" w:hAnsi="Calibri"/>
          <w:b w:val="0"/>
          <w:bCs/>
          <w:color w:val="auto"/>
          <w:highlight w:val="none"/>
          <w:u w:val="single"/>
          <w:lang w:val="en-US" w:eastAsia="zh-CN"/>
        </w:rPr>
        <w:t>投标基准价为本项目检测监测清单根据相关计费文件计取，即14247806.80元；最高投标限价计取为投标基准价下浮25 %，即10685855.10元。</w:t>
      </w:r>
    </w:p>
    <w:p w14:paraId="274FC27C">
      <w:pPr>
        <w:pStyle w:val="26"/>
        <w:ind w:firstLine="422"/>
        <w:rPr>
          <w:rFonts w:hint="eastAsia" w:ascii="Times New Roman" w:hAnsi="宋体" w:cs="宋体"/>
          <w:b w:val="0"/>
          <w:bCs/>
          <w:color w:val="auto"/>
          <w:szCs w:val="21"/>
          <w:highlight w:val="none"/>
          <w:u w:val="single"/>
        </w:rPr>
      </w:pPr>
      <w:r>
        <w:rPr>
          <w:rFonts w:hint="eastAsia" w:ascii="Calibri" w:hAnsi="Calibri"/>
          <w:b w:val="0"/>
          <w:bCs/>
          <w:color w:val="auto"/>
          <w:highlight w:val="none"/>
          <w:u w:val="single"/>
          <w:lang w:val="en-US" w:eastAsia="zh-CN"/>
        </w:rPr>
        <w:t>2</w:t>
      </w:r>
      <w:r>
        <w:rPr>
          <w:rFonts w:hint="eastAsia" w:ascii="Calibri" w:hAnsi="Calibri"/>
          <w:b w:val="0"/>
          <w:bCs/>
          <w:color w:val="auto"/>
          <w:highlight w:val="none"/>
          <w:u w:val="single"/>
        </w:rPr>
        <w:t>、</w:t>
      </w:r>
      <w:r>
        <w:rPr>
          <w:rFonts w:hint="eastAsia" w:ascii="Calibri" w:hAnsi="Calibri"/>
          <w:bCs/>
          <w:color w:val="auto"/>
          <w:highlight w:val="none"/>
          <w:u w:val="single"/>
        </w:rPr>
        <w:t>投标下浮率以</w:t>
      </w:r>
      <w:r>
        <w:rPr>
          <w:rFonts w:hint="eastAsia" w:ascii="Calibri" w:hAnsi="Calibri"/>
          <w:bCs/>
          <w:color w:val="auto"/>
          <w:highlight w:val="none"/>
          <w:u w:val="single"/>
          <w:lang w:val="en-US" w:eastAsia="zh-CN"/>
        </w:rPr>
        <w:t>投标基准价</w:t>
      </w:r>
      <w:r>
        <w:rPr>
          <w:rFonts w:hint="eastAsia" w:ascii="Calibri" w:hAnsi="Calibri"/>
          <w:bCs/>
          <w:color w:val="auto"/>
          <w:highlight w:val="none"/>
          <w:u w:val="single"/>
        </w:rPr>
        <w:t>为下浮基数。投标报价=</w:t>
      </w:r>
      <w:r>
        <w:rPr>
          <w:rFonts w:hint="eastAsia" w:ascii="Calibri" w:hAnsi="Calibri"/>
          <w:b w:val="0"/>
          <w:bCs/>
          <w:color w:val="auto"/>
          <w:highlight w:val="none"/>
          <w:u w:val="single"/>
          <w:lang w:val="en-US" w:eastAsia="zh-CN"/>
        </w:rPr>
        <w:t>投标基准价</w:t>
      </w:r>
      <w:r>
        <w:rPr>
          <w:rFonts w:hint="eastAsia" w:ascii="Calibri" w:hAnsi="Calibri"/>
          <w:bCs/>
          <w:color w:val="auto"/>
          <w:highlight w:val="none"/>
          <w:u w:val="single"/>
        </w:rPr>
        <w:t>*（1-投标下浮率）。</w:t>
      </w:r>
      <w:r>
        <w:rPr>
          <w:rFonts w:hint="eastAsia" w:ascii="Calibri" w:hAnsi="Calibri"/>
          <w:bCs/>
          <w:color w:val="auto"/>
          <w:highlight w:val="none"/>
          <w:u w:val="single"/>
          <w:lang w:val="en-US" w:eastAsia="zh-CN"/>
        </w:rPr>
        <w:t>投标</w:t>
      </w:r>
      <w:r>
        <w:rPr>
          <w:rFonts w:hint="eastAsia" w:ascii="宋体" w:hAnsi="宋体" w:cs="宋体"/>
          <w:bCs/>
          <w:color w:val="auto"/>
          <w:szCs w:val="21"/>
          <w:highlight w:val="none"/>
          <w:u w:val="single"/>
          <w:lang w:val="zh-CN"/>
        </w:rPr>
        <w:t>下浮率=【1-（投标报价/</w:t>
      </w:r>
      <w:r>
        <w:rPr>
          <w:rFonts w:hint="eastAsia" w:ascii="Calibri" w:hAnsi="Calibri"/>
          <w:b w:val="0"/>
          <w:bCs/>
          <w:color w:val="auto"/>
          <w:highlight w:val="none"/>
          <w:u w:val="single"/>
          <w:lang w:val="en-US" w:eastAsia="zh-CN"/>
        </w:rPr>
        <w:t>投标基准价</w:t>
      </w:r>
      <w:r>
        <w:rPr>
          <w:rFonts w:hint="eastAsia" w:ascii="宋体" w:hAnsi="宋体" w:cs="宋体"/>
          <w:bCs/>
          <w:color w:val="auto"/>
          <w:szCs w:val="21"/>
          <w:highlight w:val="none"/>
          <w:u w:val="single"/>
          <w:lang w:val="zh-CN"/>
        </w:rPr>
        <w:t>）】×100%，</w:t>
      </w:r>
      <w:r>
        <w:rPr>
          <w:rFonts w:hint="eastAsia" w:ascii="宋体" w:hAnsi="宋体"/>
          <w:bCs/>
          <w:color w:val="auto"/>
          <w:highlight w:val="none"/>
          <w:u w:val="single"/>
        </w:rPr>
        <w:t>（1-投标下浮率）</w:t>
      </w:r>
      <w:r>
        <w:rPr>
          <w:rFonts w:hint="eastAsia" w:hAnsi="宋体" w:cs="宋体"/>
          <w:bCs/>
          <w:color w:val="auto"/>
          <w:szCs w:val="21"/>
          <w:highlight w:val="none"/>
          <w:u w:val="single"/>
        </w:rPr>
        <w:t>与</w:t>
      </w:r>
      <w:r>
        <w:rPr>
          <w:rFonts w:hint="eastAsia" w:ascii="Calibri" w:hAnsi="Calibri"/>
          <w:b w:val="0"/>
          <w:bCs/>
          <w:color w:val="auto"/>
          <w:highlight w:val="none"/>
          <w:u w:val="single"/>
          <w:lang w:val="en-US" w:eastAsia="zh-CN"/>
        </w:rPr>
        <w:t>投标基准价</w:t>
      </w:r>
      <w:r>
        <w:rPr>
          <w:rFonts w:hint="eastAsia" w:hAnsi="宋体" w:cs="宋体"/>
          <w:bCs/>
          <w:color w:val="auto"/>
          <w:szCs w:val="21"/>
          <w:highlight w:val="none"/>
          <w:u w:val="single"/>
        </w:rPr>
        <w:t>乘积不等于投标报价的，</w:t>
      </w:r>
      <w:r>
        <w:rPr>
          <w:rFonts w:hint="eastAsia" w:ascii="宋体" w:hAnsi="宋体"/>
          <w:bCs/>
          <w:color w:val="auto"/>
          <w:highlight w:val="none"/>
          <w:u w:val="single"/>
        </w:rPr>
        <w:t>按</w:t>
      </w:r>
      <w:r>
        <w:rPr>
          <w:rFonts w:hint="eastAsia" w:ascii="Calibri" w:hAnsi="Calibri"/>
          <w:b w:val="0"/>
          <w:bCs/>
          <w:color w:val="auto"/>
          <w:highlight w:val="none"/>
          <w:u w:val="single"/>
          <w:lang w:val="en-US" w:eastAsia="zh-CN"/>
        </w:rPr>
        <w:t>投标基准价</w:t>
      </w:r>
      <w:r>
        <w:rPr>
          <w:rFonts w:hint="eastAsia" w:ascii="宋体" w:hAnsi="宋体"/>
          <w:bCs/>
          <w:color w:val="auto"/>
          <w:highlight w:val="none"/>
          <w:u w:val="single"/>
        </w:rPr>
        <w:t>*（1-投标下浮率）修正投标报价。</w:t>
      </w:r>
      <w:r>
        <w:rPr>
          <w:rFonts w:hint="eastAsia" w:ascii="宋体" w:hAnsi="宋体"/>
          <w:bCs/>
          <w:color w:val="auto"/>
          <w:highlight w:val="none"/>
          <w:u w:val="single"/>
          <w:lang w:val="en-US" w:eastAsia="zh-CN"/>
        </w:rPr>
        <w:t>投标总价及</w:t>
      </w:r>
      <w:r>
        <w:rPr>
          <w:rFonts w:hint="eastAsia" w:ascii="Times New Roman" w:hAnsi="宋体" w:eastAsia="宋体" w:cs="宋体"/>
          <w:bCs/>
          <w:color w:val="auto"/>
          <w:sz w:val="21"/>
          <w:szCs w:val="21"/>
          <w:highlight w:val="none"/>
          <w:u w:val="single"/>
        </w:rPr>
        <w:t>各项综合单价</w:t>
      </w:r>
      <w:r>
        <w:rPr>
          <w:rFonts w:hint="eastAsia" w:hAnsi="宋体" w:cs="宋体"/>
          <w:bCs/>
          <w:color w:val="auto"/>
          <w:szCs w:val="21"/>
          <w:highlight w:val="none"/>
          <w:u w:val="single"/>
          <w:lang w:val="en-US" w:eastAsia="zh-CN"/>
        </w:rPr>
        <w:t>均按同等</w:t>
      </w:r>
      <w:r>
        <w:rPr>
          <w:rFonts w:hint="eastAsia" w:ascii="Calibri" w:hAnsi="Calibri"/>
          <w:bCs/>
          <w:color w:val="auto"/>
          <w:highlight w:val="none"/>
          <w:u w:val="single"/>
        </w:rPr>
        <w:t>投标</w:t>
      </w:r>
      <w:r>
        <w:rPr>
          <w:rFonts w:hint="eastAsia" w:hAnsi="宋体" w:cs="宋体"/>
          <w:bCs/>
          <w:color w:val="auto"/>
          <w:szCs w:val="21"/>
          <w:highlight w:val="none"/>
          <w:u w:val="single"/>
          <w:lang w:val="en-US" w:eastAsia="zh-CN"/>
        </w:rPr>
        <w:t>下浮率执行，</w:t>
      </w:r>
      <w:r>
        <w:rPr>
          <w:rFonts w:hint="eastAsia" w:hAnsi="宋体" w:cs="宋体"/>
          <w:bCs/>
          <w:color w:val="auto"/>
          <w:szCs w:val="21"/>
          <w:highlight w:val="none"/>
          <w:u w:val="single"/>
        </w:rPr>
        <w:t>投标报价（含下浮率）精确到小数点后两位。</w:t>
      </w:r>
    </w:p>
    <w:p w14:paraId="79213907">
      <w:pPr>
        <w:pStyle w:val="26"/>
        <w:ind w:firstLine="422"/>
        <w:rPr>
          <w:rFonts w:hint="eastAsia" w:ascii="Times New Roman" w:hAnsi="宋体" w:eastAsia="宋体" w:cs="宋体"/>
          <w:bCs/>
          <w:color w:val="auto"/>
          <w:szCs w:val="21"/>
          <w:highlight w:val="none"/>
          <w:u w:val="single"/>
          <w:lang w:val="en-US" w:eastAsia="zh-CN"/>
        </w:rPr>
      </w:pPr>
      <w:r>
        <w:rPr>
          <w:rFonts w:hint="eastAsia" w:hAnsi="宋体" w:cs="宋体"/>
          <w:bCs/>
          <w:color w:val="auto"/>
          <w:szCs w:val="21"/>
          <w:highlight w:val="none"/>
          <w:u w:val="single"/>
          <w:lang w:val="en-US" w:eastAsia="zh-CN"/>
        </w:rPr>
        <w:t>3</w:t>
      </w:r>
      <w:r>
        <w:rPr>
          <w:rFonts w:hint="eastAsia" w:ascii="Times New Roman" w:hAnsi="宋体" w:cs="宋体"/>
          <w:bCs/>
          <w:color w:val="auto"/>
          <w:szCs w:val="21"/>
          <w:highlight w:val="none"/>
          <w:u w:val="single"/>
          <w:lang w:val="en-US" w:eastAsia="zh-CN"/>
        </w:rPr>
        <w:t>、</w:t>
      </w:r>
      <w:r>
        <w:rPr>
          <w:rFonts w:hint="eastAsia" w:ascii="Times New Roman" w:hAnsi="宋体" w:eastAsia="宋体" w:cs="宋体"/>
          <w:bCs/>
          <w:color w:val="auto"/>
          <w:sz w:val="21"/>
          <w:szCs w:val="21"/>
          <w:highlight w:val="none"/>
          <w:u w:val="single"/>
        </w:rPr>
        <w:t>各项综合单价包括但不限于人工费、材料费、设备使用费、设备进出场费（综合考虑按现场实际可能存在多次进出场情况）、措施费、基准点及观测点埋设和损坏修复费（并且包括在建筑物全过程中观测频率不得少于设计文件和规范要求所规定的频率）、检（监）测试验费、报告编写费、各项管理费及所有因工程质量检（监）测应交纳的政府规费、利润、税金等，包括完成对应检（监）测项目所需发生的全部费用以及本合同明示或暗示的所有风险而进一步产生的费用，结算时综合单价不作调整。本合同工程量为暂定数量，不作为结算的依据, 以经甲方确认的实际工程量为结算依据。</w:t>
      </w:r>
    </w:p>
    <w:p w14:paraId="108BD802">
      <w:pPr>
        <w:pStyle w:val="26"/>
        <w:rPr>
          <w:rFonts w:ascii="Calibri" w:hAnsi="Calibri"/>
          <w:color w:val="auto"/>
          <w:highlight w:val="none"/>
        </w:rPr>
      </w:pPr>
    </w:p>
    <w:p w14:paraId="2F74640E">
      <w:pPr>
        <w:pStyle w:val="26"/>
        <w:rPr>
          <w:rFonts w:ascii="Calibri" w:hAnsi="Calibri"/>
          <w:color w:val="auto"/>
          <w:highlight w:val="none"/>
        </w:rPr>
      </w:pPr>
    </w:p>
    <w:p w14:paraId="3BB5C069">
      <w:pPr>
        <w:pStyle w:val="3"/>
        <w:tabs>
          <w:tab w:val="left" w:pos="7321"/>
        </w:tabs>
        <w:spacing w:before="36"/>
        <w:ind w:left="2701"/>
        <w:jc w:val="right"/>
        <w:rPr>
          <w:rFonts w:ascii="宋体" w:hAnsi="宋体"/>
          <w:color w:val="auto"/>
          <w:highlight w:val="none"/>
        </w:rPr>
      </w:pPr>
      <w:r>
        <w:rPr>
          <w:rFonts w:hint="eastAsia" w:ascii="宋体" w:hAnsi="宋体"/>
          <w:color w:val="auto"/>
          <w:highlight w:val="none"/>
        </w:rPr>
        <w:t>投标人：</w:t>
      </w:r>
      <w:r>
        <w:rPr>
          <w:rFonts w:ascii="宋体" w:hAnsi="宋体"/>
          <w:color w:val="auto"/>
          <w:highlight w:val="none"/>
          <w:u w:val="single" w:color="000000"/>
        </w:rPr>
        <w:tab/>
      </w:r>
      <w:r>
        <w:rPr>
          <w:rFonts w:hint="eastAsia" w:ascii="宋体" w:hAnsi="宋体"/>
          <w:color w:val="auto"/>
          <w:highlight w:val="none"/>
        </w:rPr>
        <w:t>（盖单位章）</w:t>
      </w:r>
    </w:p>
    <w:p w14:paraId="0201644B">
      <w:pPr>
        <w:spacing w:before="13"/>
        <w:jc w:val="right"/>
        <w:rPr>
          <w:rFonts w:ascii="宋体" w:hAnsi="宋体" w:cs="宋体"/>
          <w:color w:val="auto"/>
          <w:sz w:val="9"/>
          <w:szCs w:val="9"/>
          <w:highlight w:val="none"/>
        </w:rPr>
      </w:pPr>
    </w:p>
    <w:p w14:paraId="429A0A6D">
      <w:pPr>
        <w:pStyle w:val="3"/>
        <w:tabs>
          <w:tab w:val="left" w:pos="6481"/>
        </w:tabs>
        <w:spacing w:before="36"/>
        <w:ind w:left="2701"/>
        <w:jc w:val="right"/>
        <w:rPr>
          <w:rFonts w:ascii="宋体" w:hAnsi="宋体"/>
          <w:color w:val="auto"/>
          <w:highlight w:val="none"/>
        </w:rPr>
      </w:pPr>
      <w:r>
        <w:rPr>
          <w:rFonts w:hint="eastAsia" w:ascii="宋体" w:hAnsi="宋体"/>
          <w:color w:val="auto"/>
          <w:spacing w:val="-2"/>
          <w:highlight w:val="none"/>
        </w:rPr>
        <w:t>法定代表人或其委托代理人：</w:t>
      </w:r>
      <w:r>
        <w:rPr>
          <w:rFonts w:ascii="宋体" w:hAnsi="宋体"/>
          <w:color w:val="auto"/>
          <w:spacing w:val="-2"/>
          <w:highlight w:val="none"/>
          <w:u w:val="single" w:color="000000"/>
        </w:rPr>
        <w:tab/>
      </w:r>
      <w:r>
        <w:rPr>
          <w:rFonts w:hint="eastAsia" w:ascii="宋体" w:hAnsi="宋体"/>
          <w:color w:val="auto"/>
          <w:spacing w:val="-1"/>
          <w:highlight w:val="none"/>
        </w:rPr>
        <w:t>（签字或盖章）</w:t>
      </w:r>
    </w:p>
    <w:p w14:paraId="6DABDA5F">
      <w:pPr>
        <w:spacing w:before="10"/>
        <w:jc w:val="right"/>
        <w:rPr>
          <w:rFonts w:ascii="宋体" w:hAnsi="宋体" w:cs="宋体"/>
          <w:color w:val="auto"/>
          <w:sz w:val="9"/>
          <w:szCs w:val="9"/>
          <w:highlight w:val="none"/>
        </w:rPr>
      </w:pPr>
    </w:p>
    <w:p w14:paraId="6284CD8E">
      <w:pPr>
        <w:pStyle w:val="26"/>
        <w:jc w:val="right"/>
        <w:rPr>
          <w:rFonts w:ascii="Calibri" w:hAnsi="Calibri"/>
          <w:color w:val="auto"/>
          <w:highlight w:val="none"/>
        </w:rPr>
      </w:pPr>
      <w:r>
        <w:rPr>
          <w:rFonts w:ascii="宋体" w:hAnsi="宋体"/>
          <w:color w:val="auto"/>
          <w:highlight w:val="none"/>
          <w:u w:val="single" w:color="000000"/>
        </w:rPr>
        <w:tab/>
      </w:r>
      <w:r>
        <w:rPr>
          <w:rFonts w:hint="eastAsia" w:ascii="宋体" w:hAnsi="宋体"/>
          <w:color w:val="auto"/>
          <w:highlight w:val="none"/>
        </w:rPr>
        <w:t>年</w:t>
      </w:r>
      <w:r>
        <w:rPr>
          <w:rFonts w:ascii="宋体" w:hAnsi="宋体"/>
          <w:color w:val="auto"/>
          <w:highlight w:val="none"/>
          <w:u w:val="single" w:color="000000"/>
        </w:rPr>
        <w:tab/>
      </w:r>
      <w:r>
        <w:rPr>
          <w:rFonts w:ascii="宋体" w:hAnsi="宋体"/>
          <w:color w:val="auto"/>
          <w:highlight w:val="none"/>
          <w:u w:val="single" w:color="000000"/>
        </w:rPr>
        <w:t xml:space="preserve"> </w:t>
      </w:r>
      <w:r>
        <w:rPr>
          <w:rFonts w:hint="eastAsia" w:ascii="宋体" w:hAnsi="宋体"/>
          <w:color w:val="auto"/>
          <w:highlight w:val="none"/>
        </w:rPr>
        <w:t>月</w:t>
      </w:r>
      <w:r>
        <w:rPr>
          <w:rFonts w:ascii="宋体" w:hAnsi="宋体"/>
          <w:color w:val="auto"/>
          <w:highlight w:val="none"/>
          <w:u w:val="single" w:color="000000"/>
        </w:rPr>
        <w:tab/>
      </w:r>
      <w:r>
        <w:rPr>
          <w:rFonts w:ascii="宋体" w:hAnsi="宋体"/>
          <w:color w:val="auto"/>
          <w:highlight w:val="none"/>
          <w:u w:val="single" w:color="000000"/>
        </w:rPr>
        <w:t xml:space="preserve">  </w:t>
      </w:r>
      <w:r>
        <w:rPr>
          <w:rFonts w:hint="eastAsia" w:ascii="宋体" w:hAnsi="宋体"/>
          <w:color w:val="auto"/>
          <w:highlight w:val="none"/>
        </w:rPr>
        <w:t>日</w:t>
      </w:r>
    </w:p>
    <w:p w14:paraId="46872150">
      <w:pPr>
        <w:widowControl/>
        <w:jc w:val="left"/>
        <w:rPr>
          <w:rFonts w:ascii="宋体" w:hAnsi="宋体"/>
          <w:color w:val="auto"/>
          <w:szCs w:val="24"/>
          <w:highlight w:val="none"/>
        </w:rPr>
      </w:pPr>
      <w:r>
        <w:rPr>
          <w:rFonts w:ascii="宋体" w:hAnsi="宋体"/>
          <w:color w:val="auto"/>
          <w:highlight w:val="none"/>
        </w:rPr>
        <w:br w:type="page"/>
      </w:r>
    </w:p>
    <w:bookmarkEnd w:id="190"/>
    <w:bookmarkEnd w:id="191"/>
    <w:bookmarkEnd w:id="192"/>
    <w:bookmarkEnd w:id="193"/>
    <w:bookmarkEnd w:id="194"/>
    <w:bookmarkEnd w:id="195"/>
    <w:p w14:paraId="1EF3BDBD">
      <w:pPr>
        <w:pStyle w:val="6"/>
        <w:jc w:val="center"/>
        <w:rPr>
          <w:color w:val="auto"/>
          <w:highlight w:val="none"/>
        </w:rPr>
      </w:pPr>
      <w:bookmarkStart w:id="196" w:name="_Toc118554000"/>
      <w:r>
        <w:rPr>
          <w:rFonts w:hint="eastAsia"/>
          <w:color w:val="auto"/>
          <w:highlight w:val="none"/>
        </w:rPr>
        <w:t>五、资格审查资料</w:t>
      </w:r>
      <w:bookmarkEnd w:id="196"/>
    </w:p>
    <w:p w14:paraId="2248577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（一）投标人基本情况表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4248F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3338FC4">
            <w:pPr>
              <w:topLinePunct/>
              <w:spacing w:line="440" w:lineRule="exact"/>
              <w:jc w:val="center"/>
              <w:rPr>
                <w:rFonts w:ascii="宋体" w:hAnsi="宋体"/>
                <w:color w:val="auto"/>
                <w:highlight w:val="none"/>
              </w:rPr>
            </w:pPr>
            <w:r>
              <w:rPr>
                <w:rFonts w:hint="eastAsia" w:ascii="宋体" w:hAnsi="宋体"/>
                <w:color w:val="auto"/>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77385C8B">
            <w:pPr>
              <w:topLinePunct/>
              <w:spacing w:line="440" w:lineRule="exact"/>
              <w:jc w:val="center"/>
              <w:rPr>
                <w:rFonts w:ascii="宋体" w:hAnsi="宋体"/>
                <w:color w:val="auto"/>
                <w:highlight w:val="none"/>
              </w:rPr>
            </w:pPr>
          </w:p>
        </w:tc>
      </w:tr>
      <w:tr w14:paraId="1BBEA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5839C05">
            <w:pPr>
              <w:topLinePunct/>
              <w:spacing w:line="440" w:lineRule="exact"/>
              <w:jc w:val="center"/>
              <w:rPr>
                <w:rFonts w:ascii="宋体" w:hAnsi="宋体"/>
                <w:color w:val="auto"/>
                <w:highlight w:val="none"/>
              </w:rPr>
            </w:pPr>
            <w:r>
              <w:rPr>
                <w:rFonts w:hint="eastAsia" w:ascii="宋体" w:hAnsi="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2BF38EF">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F8C19A9">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7851E717">
            <w:pPr>
              <w:topLinePunct/>
              <w:spacing w:line="440" w:lineRule="exact"/>
              <w:jc w:val="center"/>
              <w:rPr>
                <w:rFonts w:ascii="宋体" w:hAnsi="宋体"/>
                <w:color w:val="auto"/>
                <w:highlight w:val="none"/>
              </w:rPr>
            </w:pPr>
          </w:p>
        </w:tc>
      </w:tr>
      <w:tr w14:paraId="4EE9B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4D109E85">
            <w:pPr>
              <w:topLinePunct/>
              <w:spacing w:line="440" w:lineRule="exact"/>
              <w:jc w:val="center"/>
              <w:rPr>
                <w:rFonts w:ascii="宋体" w:hAnsi="宋体"/>
                <w:color w:val="auto"/>
                <w:highlight w:val="none"/>
              </w:rPr>
            </w:pPr>
            <w:r>
              <w:rPr>
                <w:rFonts w:hint="eastAsia" w:ascii="宋体" w:hAnsi="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4D075AA">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109F1B5">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3AE875B">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2342" w:type="dxa"/>
            <w:gridSpan w:val="3"/>
            <w:tcBorders>
              <w:top w:val="single" w:color="auto" w:sz="4" w:space="0"/>
              <w:left w:val="single" w:color="auto" w:sz="4" w:space="0"/>
              <w:bottom w:val="single" w:color="auto" w:sz="4" w:space="0"/>
            </w:tcBorders>
            <w:vAlign w:val="center"/>
          </w:tcPr>
          <w:p w14:paraId="7112BF12">
            <w:pPr>
              <w:topLinePunct/>
              <w:spacing w:line="440" w:lineRule="exact"/>
              <w:jc w:val="center"/>
              <w:rPr>
                <w:rFonts w:ascii="宋体" w:hAnsi="宋体"/>
                <w:color w:val="auto"/>
                <w:highlight w:val="none"/>
              </w:rPr>
            </w:pPr>
          </w:p>
        </w:tc>
      </w:tr>
      <w:tr w14:paraId="20FFB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75B980BC">
            <w:pPr>
              <w:jc w:val="center"/>
              <w:rPr>
                <w:rFonts w:ascii="宋体" w:hAnsi="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01DA9BD5">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267D2A7">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8E6A46E">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网址</w:t>
            </w:r>
          </w:p>
        </w:tc>
        <w:tc>
          <w:tcPr>
            <w:tcW w:w="2342" w:type="dxa"/>
            <w:gridSpan w:val="3"/>
            <w:tcBorders>
              <w:top w:val="single" w:color="auto" w:sz="4" w:space="0"/>
              <w:left w:val="single" w:color="auto" w:sz="4" w:space="0"/>
              <w:bottom w:val="single" w:color="auto" w:sz="4" w:space="0"/>
            </w:tcBorders>
            <w:vAlign w:val="center"/>
          </w:tcPr>
          <w:p w14:paraId="628BAEBF">
            <w:pPr>
              <w:topLinePunct/>
              <w:spacing w:line="440" w:lineRule="exact"/>
              <w:jc w:val="center"/>
              <w:rPr>
                <w:rFonts w:ascii="宋体" w:hAnsi="宋体"/>
                <w:color w:val="auto"/>
                <w:highlight w:val="none"/>
              </w:rPr>
            </w:pPr>
          </w:p>
        </w:tc>
      </w:tr>
      <w:tr w14:paraId="6EE29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EC39D59">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E573F38">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298798D">
            <w:pPr>
              <w:topLinePunct/>
              <w:spacing w:line="440" w:lineRule="exact"/>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7328C00">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204D901">
            <w:pPr>
              <w:topLinePunct/>
              <w:spacing w:line="440" w:lineRule="exact"/>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4B78193">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62CD70BB">
            <w:pPr>
              <w:topLinePunct/>
              <w:spacing w:line="440" w:lineRule="exact"/>
              <w:jc w:val="center"/>
              <w:rPr>
                <w:rFonts w:ascii="宋体" w:hAnsi="宋体"/>
                <w:color w:val="auto"/>
                <w:highlight w:val="none"/>
              </w:rPr>
            </w:pPr>
          </w:p>
        </w:tc>
      </w:tr>
      <w:tr w14:paraId="3F326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6E52D38">
            <w:pPr>
              <w:topLinePunct/>
              <w:spacing w:line="440" w:lineRule="exact"/>
              <w:jc w:val="center"/>
              <w:rPr>
                <w:rFonts w:ascii="宋体" w:hAnsi="宋体"/>
                <w:color w:val="auto"/>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2CF2DB7">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737647F">
            <w:pPr>
              <w:topLinePunct/>
              <w:spacing w:line="440" w:lineRule="exact"/>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0F6B7326">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7AF6D84">
            <w:pPr>
              <w:topLinePunct/>
              <w:spacing w:line="440" w:lineRule="exact"/>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8C25B4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59F6EF13">
            <w:pPr>
              <w:topLinePunct/>
              <w:spacing w:line="440" w:lineRule="exact"/>
              <w:jc w:val="center"/>
              <w:rPr>
                <w:rFonts w:ascii="宋体" w:hAnsi="宋体"/>
                <w:color w:val="auto"/>
                <w:highlight w:val="none"/>
              </w:rPr>
            </w:pPr>
          </w:p>
        </w:tc>
      </w:tr>
      <w:tr w14:paraId="3C7DF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08B3C85">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345F3372">
            <w:pPr>
              <w:topLinePunct/>
              <w:spacing w:before="100" w:beforeAutospacing="1" w:after="100" w:afterAutospacing="1" w:line="440" w:lineRule="exact"/>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33B19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4C07E5C">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0F95211F">
            <w:pPr>
              <w:topLinePunct/>
              <w:spacing w:before="100" w:beforeAutospacing="1" w:after="100" w:afterAutospacing="1" w:line="440" w:lineRule="exact"/>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1EAB6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3F2B5F9">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0586FE8">
            <w:pPr>
              <w:topLinePunct/>
              <w:spacing w:line="440" w:lineRule="exact"/>
              <w:jc w:val="center"/>
              <w:rPr>
                <w:rFonts w:ascii="宋体" w:hAnsi="宋体"/>
                <w:color w:val="auto"/>
                <w:highlight w:val="none"/>
              </w:rPr>
            </w:pPr>
          </w:p>
        </w:tc>
        <w:tc>
          <w:tcPr>
            <w:tcW w:w="3629" w:type="dxa"/>
            <w:gridSpan w:val="5"/>
            <w:tcBorders>
              <w:top w:val="single" w:color="auto" w:sz="4" w:space="0"/>
              <w:left w:val="single" w:color="auto" w:sz="4" w:space="0"/>
              <w:bottom w:val="single" w:color="auto" w:sz="4" w:space="0"/>
            </w:tcBorders>
            <w:vAlign w:val="center"/>
          </w:tcPr>
          <w:p w14:paraId="27C4DAB4">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员工总人数：</w:t>
            </w:r>
          </w:p>
        </w:tc>
      </w:tr>
      <w:tr w14:paraId="20CF8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6576678">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DDBEA91">
            <w:pPr>
              <w:topLinePunct/>
              <w:spacing w:line="440" w:lineRule="exact"/>
              <w:jc w:val="center"/>
              <w:rPr>
                <w:rFonts w:ascii="宋体" w:hAnsi="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278A92D9">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ADCCD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75E388B4">
            <w:pPr>
              <w:topLinePunct/>
              <w:spacing w:line="440" w:lineRule="exact"/>
              <w:jc w:val="center"/>
              <w:rPr>
                <w:rFonts w:ascii="宋体" w:hAnsi="宋体"/>
                <w:color w:val="auto"/>
                <w:highlight w:val="none"/>
              </w:rPr>
            </w:pPr>
          </w:p>
        </w:tc>
      </w:tr>
      <w:tr w14:paraId="36EB1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2053097">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A90630D">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56B70C54">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D507951">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6A8084BC">
            <w:pPr>
              <w:topLinePunct/>
              <w:spacing w:line="440" w:lineRule="exact"/>
              <w:jc w:val="center"/>
              <w:rPr>
                <w:rFonts w:ascii="宋体" w:hAnsi="宋体"/>
                <w:color w:val="auto"/>
                <w:highlight w:val="none"/>
              </w:rPr>
            </w:pPr>
          </w:p>
        </w:tc>
      </w:tr>
      <w:tr w14:paraId="07B7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CDDC883">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0958941">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4BEFABDF">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CEECD54">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069BC690">
            <w:pPr>
              <w:topLinePunct/>
              <w:spacing w:line="440" w:lineRule="exact"/>
              <w:jc w:val="center"/>
              <w:rPr>
                <w:rFonts w:ascii="宋体" w:hAnsi="宋体"/>
                <w:color w:val="auto"/>
                <w:highlight w:val="none"/>
              </w:rPr>
            </w:pPr>
          </w:p>
        </w:tc>
      </w:tr>
      <w:tr w14:paraId="108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61F10CB">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E40BE51">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62A5E0E8">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D3527B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76002DDE">
            <w:pPr>
              <w:topLinePunct/>
              <w:spacing w:line="440" w:lineRule="exact"/>
              <w:jc w:val="center"/>
              <w:rPr>
                <w:rFonts w:ascii="宋体" w:hAnsi="宋体"/>
                <w:color w:val="auto"/>
                <w:highlight w:val="none"/>
              </w:rPr>
            </w:pPr>
          </w:p>
        </w:tc>
      </w:tr>
      <w:tr w14:paraId="1F7BB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54DFBB8A">
            <w:pPr>
              <w:topLinePunct/>
              <w:spacing w:before="100" w:beforeAutospacing="1" w:after="100" w:afterAutospacing="1" w:line="440" w:lineRule="exact"/>
              <w:ind w:firstLine="210" w:firstLineChars="100"/>
              <w:jc w:val="center"/>
              <w:rPr>
                <w:rFonts w:ascii="宋体" w:hAnsi="宋体"/>
                <w:color w:val="auto"/>
                <w:highlight w:val="none"/>
              </w:rPr>
            </w:pPr>
            <w:r>
              <w:rPr>
                <w:rFonts w:hint="eastAsia" w:ascii="宋体" w:hAnsi="宋体"/>
                <w:color w:val="auto"/>
                <w:highlight w:val="none"/>
              </w:rPr>
              <w:t>经营范围</w:t>
            </w:r>
          </w:p>
        </w:tc>
        <w:tc>
          <w:tcPr>
            <w:tcW w:w="6840" w:type="dxa"/>
            <w:gridSpan w:val="8"/>
            <w:tcBorders>
              <w:top w:val="single" w:color="auto" w:sz="4" w:space="0"/>
              <w:left w:val="single" w:color="auto" w:sz="4" w:space="0"/>
            </w:tcBorders>
            <w:vAlign w:val="center"/>
          </w:tcPr>
          <w:p w14:paraId="5F140C22">
            <w:pPr>
              <w:topLinePunct/>
              <w:spacing w:line="440" w:lineRule="exact"/>
              <w:jc w:val="center"/>
              <w:rPr>
                <w:rFonts w:ascii="宋体" w:hAnsi="宋体"/>
                <w:color w:val="auto"/>
                <w:highlight w:val="none"/>
              </w:rPr>
            </w:pPr>
          </w:p>
        </w:tc>
      </w:tr>
      <w:tr w14:paraId="424BB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669AEB3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5C3DD677">
            <w:pPr>
              <w:topLinePunct/>
              <w:spacing w:line="440" w:lineRule="exact"/>
              <w:jc w:val="center"/>
              <w:rPr>
                <w:rFonts w:ascii="宋体" w:hAnsi="宋体"/>
                <w:color w:val="auto"/>
                <w:highlight w:val="none"/>
              </w:rPr>
            </w:pPr>
          </w:p>
        </w:tc>
      </w:tr>
      <w:tr w14:paraId="75949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5A318D7F">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备注</w:t>
            </w:r>
          </w:p>
        </w:tc>
        <w:tc>
          <w:tcPr>
            <w:tcW w:w="6840" w:type="dxa"/>
            <w:gridSpan w:val="8"/>
            <w:tcBorders>
              <w:top w:val="single" w:color="auto" w:sz="4" w:space="0"/>
              <w:left w:val="single" w:color="auto" w:sz="4" w:space="0"/>
              <w:bottom w:val="single" w:color="auto" w:sz="4" w:space="0"/>
            </w:tcBorders>
            <w:vAlign w:val="center"/>
          </w:tcPr>
          <w:p w14:paraId="1CCF06F7">
            <w:pPr>
              <w:topLinePunct/>
              <w:spacing w:line="440" w:lineRule="exact"/>
              <w:jc w:val="center"/>
              <w:rPr>
                <w:rFonts w:ascii="宋体" w:hAnsi="宋体"/>
                <w:color w:val="auto"/>
                <w:highlight w:val="none"/>
              </w:rPr>
            </w:pPr>
          </w:p>
        </w:tc>
      </w:tr>
    </w:tbl>
    <w:p w14:paraId="134E9C09">
      <w:pPr>
        <w:snapToGrid w:val="0"/>
        <w:rPr>
          <w:rFonts w:ascii="宋体" w:hAnsi="宋体"/>
          <w:color w:val="auto"/>
          <w:spacing w:val="-5"/>
          <w:szCs w:val="21"/>
          <w:highlight w:val="none"/>
        </w:rPr>
      </w:pPr>
    </w:p>
    <w:p w14:paraId="16C4E257">
      <w:pPr>
        <w:snapToGrid w:val="0"/>
        <w:rPr>
          <w:rFonts w:ascii="宋体" w:hAnsi="宋体"/>
          <w:color w:val="auto"/>
          <w:spacing w:val="-5"/>
          <w:szCs w:val="21"/>
          <w:highlight w:val="none"/>
        </w:rPr>
      </w:pPr>
      <w:r>
        <w:rPr>
          <w:rFonts w:hint="eastAsia" w:ascii="宋体" w:hAnsi="宋体"/>
          <w:color w:val="auto"/>
          <w:spacing w:val="-5"/>
          <w:szCs w:val="21"/>
          <w:highlight w:val="none"/>
        </w:rPr>
        <w:t>注：</w:t>
      </w:r>
      <w:r>
        <w:rPr>
          <w:rFonts w:ascii="宋体" w:hAnsi="宋体"/>
          <w:color w:val="auto"/>
          <w:spacing w:val="-5"/>
          <w:szCs w:val="21"/>
          <w:highlight w:val="none"/>
        </w:rPr>
        <w:t>1</w:t>
      </w:r>
      <w:r>
        <w:rPr>
          <w:rFonts w:hint="eastAsia" w:ascii="宋体" w:hAnsi="宋体"/>
          <w:color w:val="auto"/>
          <w:spacing w:val="-5"/>
          <w:szCs w:val="21"/>
          <w:highlight w:val="none"/>
        </w:rPr>
        <w:t>、联系人栏应填写两个人的联系方式以便于联系。</w:t>
      </w:r>
    </w:p>
    <w:p w14:paraId="457A75ED">
      <w:pPr>
        <w:snapToGrid w:val="0"/>
        <w:ind w:firstLine="420" w:firstLineChars="200"/>
        <w:rPr>
          <w:rFonts w:ascii="宋体" w:hAnsi="宋体"/>
          <w:color w:val="auto"/>
          <w:position w:val="-30"/>
          <w:sz w:val="22"/>
          <w:highlight w:val="none"/>
        </w:rPr>
      </w:pPr>
      <w:r>
        <w:rPr>
          <w:rFonts w:ascii="宋体" w:hAnsi="宋体"/>
          <w:color w:val="auto"/>
          <w:position w:val="-30"/>
          <w:szCs w:val="21"/>
          <w:highlight w:val="none"/>
        </w:rPr>
        <w:t>2</w:t>
      </w:r>
      <w:r>
        <w:rPr>
          <w:rFonts w:hint="eastAsia" w:ascii="宋体" w:hAnsi="宋体"/>
          <w:color w:val="auto"/>
          <w:position w:val="-30"/>
          <w:szCs w:val="21"/>
          <w:highlight w:val="none"/>
        </w:rPr>
        <w:t>、本表后附证明材料要求详见招标文件第二章第3.5.1款规定。</w:t>
      </w:r>
    </w:p>
    <w:p w14:paraId="547BB198">
      <w:pPr>
        <w:widowControl/>
        <w:jc w:val="center"/>
        <w:rPr>
          <w:rFonts w:ascii="宋体" w:hAnsi="宋体" w:cs="宋体"/>
          <w:b/>
          <w:bCs/>
          <w:color w:val="auto"/>
          <w:kern w:val="0"/>
          <w:sz w:val="28"/>
          <w:szCs w:val="28"/>
          <w:highlight w:val="none"/>
        </w:rPr>
      </w:pPr>
      <w:r>
        <w:rPr>
          <w:rFonts w:ascii="宋体" w:hAnsi="宋体"/>
          <w:color w:val="auto"/>
          <w:position w:val="-30"/>
          <w:sz w:val="22"/>
          <w:highlight w:val="none"/>
        </w:rPr>
        <w:br w:type="page"/>
      </w:r>
      <w:r>
        <w:rPr>
          <w:rFonts w:hint="eastAsia" w:ascii="宋体" w:hAnsi="宋体" w:cs="宋体"/>
          <w:b/>
          <w:bCs/>
          <w:color w:val="auto"/>
          <w:kern w:val="0"/>
          <w:sz w:val="28"/>
          <w:szCs w:val="28"/>
          <w:highlight w:val="none"/>
        </w:rPr>
        <w:t>（二）投标申请人声明</w:t>
      </w:r>
    </w:p>
    <w:p w14:paraId="2CA8CACF">
      <w:pPr>
        <w:widowControl/>
        <w:jc w:val="center"/>
        <w:rPr>
          <w:rFonts w:ascii="宋体" w:hAnsi="宋体" w:cs="宋体"/>
          <w:b/>
          <w:bCs/>
          <w:color w:val="auto"/>
          <w:kern w:val="0"/>
          <w:szCs w:val="21"/>
          <w:highlight w:val="none"/>
        </w:rPr>
      </w:pPr>
      <w:r>
        <w:rPr>
          <w:rFonts w:hint="eastAsia"/>
          <w:color w:val="auto"/>
          <w:highlight w:val="none"/>
          <w:lang w:val="en-US" w:eastAsia="zh-CN"/>
        </w:rPr>
        <w:t>格式详见招标公告附件</w:t>
      </w:r>
    </w:p>
    <w:p w14:paraId="3955D413">
      <w:pPr>
        <w:widowControl/>
        <w:jc w:val="center"/>
        <w:rPr>
          <w:rFonts w:ascii="宋体" w:hAnsi="宋体" w:cs="宋体"/>
          <w:b/>
          <w:bCs/>
          <w:color w:val="auto"/>
          <w:kern w:val="0"/>
          <w:szCs w:val="21"/>
          <w:highlight w:val="none"/>
        </w:rPr>
      </w:pPr>
    </w:p>
    <w:p w14:paraId="2FC38D7B">
      <w:pPr>
        <w:widowControl/>
        <w:rPr>
          <w:rFonts w:ascii="宋体" w:hAnsi="宋体" w:cs="宋体"/>
          <w:b/>
          <w:bCs/>
          <w:color w:val="auto"/>
          <w:kern w:val="0"/>
          <w:szCs w:val="21"/>
          <w:highlight w:val="none"/>
        </w:rPr>
      </w:pPr>
    </w:p>
    <w:p w14:paraId="36C47475">
      <w:pPr>
        <w:widowControl/>
        <w:jc w:val="center"/>
        <w:rPr>
          <w:color w:val="auto"/>
          <w:highlight w:val="none"/>
        </w:rPr>
      </w:pPr>
      <w:r>
        <w:rPr>
          <w:color w:val="auto"/>
          <w:highlight w:val="none"/>
        </w:rPr>
        <w:br w:type="page"/>
      </w:r>
    </w:p>
    <w:p w14:paraId="77735A56">
      <w:pPr>
        <w:widowControl/>
        <w:jc w:val="center"/>
        <w:rPr>
          <w:rFonts w:ascii="宋体" w:hAnsi="宋体" w:cs="宋体"/>
          <w:b/>
          <w:bCs/>
          <w:color w:val="auto"/>
          <w:kern w:val="0"/>
          <w:sz w:val="28"/>
          <w:szCs w:val="28"/>
          <w:highlight w:val="none"/>
        </w:rPr>
      </w:pPr>
    </w:p>
    <w:p w14:paraId="054DD899">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（三）拟派项目负责人资格证明材料</w:t>
      </w:r>
    </w:p>
    <w:p w14:paraId="1F452C55">
      <w:pPr>
        <w:widowControl/>
        <w:jc w:val="center"/>
        <w:rPr>
          <w:rFonts w:ascii="宋体" w:hAnsi="宋体"/>
          <w:color w:val="auto"/>
          <w:sz w:val="24"/>
          <w:szCs w:val="24"/>
          <w:highlight w:val="none"/>
        </w:rPr>
      </w:pPr>
    </w:p>
    <w:p w14:paraId="5478C23F">
      <w:pPr>
        <w:widowControl/>
        <w:jc w:val="center"/>
        <w:rPr>
          <w:rFonts w:ascii="宋体" w:hAnsi="宋体"/>
          <w:color w:val="auto"/>
          <w:sz w:val="24"/>
          <w:szCs w:val="24"/>
          <w:highlight w:val="none"/>
        </w:rPr>
      </w:pPr>
      <w:r>
        <w:rPr>
          <w:rFonts w:hint="eastAsia" w:ascii="宋体" w:hAnsi="宋体"/>
          <w:color w:val="auto"/>
          <w:sz w:val="24"/>
          <w:szCs w:val="24"/>
          <w:highlight w:val="none"/>
        </w:rPr>
        <w:t>按招标文件第二章第</w:t>
      </w:r>
      <w:r>
        <w:rPr>
          <w:rFonts w:ascii="宋体" w:hAnsi="宋体"/>
          <w:color w:val="auto"/>
          <w:sz w:val="24"/>
          <w:szCs w:val="24"/>
          <w:highlight w:val="none"/>
        </w:rPr>
        <w:t>3.5款规定提交证明材料，格式自定</w:t>
      </w:r>
      <w:r>
        <w:rPr>
          <w:rFonts w:hint="eastAsia" w:ascii="宋体" w:hAnsi="宋体"/>
          <w:color w:val="auto"/>
          <w:sz w:val="24"/>
          <w:szCs w:val="24"/>
          <w:highlight w:val="none"/>
        </w:rPr>
        <w:t>。</w:t>
      </w:r>
    </w:p>
    <w:p w14:paraId="624F2BE9">
      <w:pPr>
        <w:widowControl/>
        <w:jc w:val="center"/>
        <w:rPr>
          <w:rFonts w:ascii="宋体" w:hAnsi="宋体" w:cs="宋体"/>
          <w:b/>
          <w:bCs/>
          <w:color w:val="auto"/>
          <w:kern w:val="0"/>
          <w:sz w:val="24"/>
          <w:szCs w:val="24"/>
          <w:highlight w:val="none"/>
        </w:rPr>
      </w:pPr>
    </w:p>
    <w:p w14:paraId="390A4C27">
      <w:pPr>
        <w:widowControl/>
        <w:jc w:val="center"/>
        <w:rPr>
          <w:rFonts w:ascii="宋体" w:hAnsi="宋体" w:cs="宋体"/>
          <w:b/>
          <w:bCs/>
          <w:color w:val="auto"/>
          <w:kern w:val="0"/>
          <w:sz w:val="28"/>
          <w:szCs w:val="28"/>
          <w:highlight w:val="none"/>
        </w:rPr>
      </w:pPr>
    </w:p>
    <w:p w14:paraId="3F90D940">
      <w:pPr>
        <w:widowControl/>
        <w:jc w:val="center"/>
        <w:rPr>
          <w:rFonts w:ascii="宋体" w:hAnsi="宋体" w:cs="宋体"/>
          <w:b/>
          <w:bCs/>
          <w:color w:val="auto"/>
          <w:kern w:val="0"/>
          <w:sz w:val="28"/>
          <w:szCs w:val="28"/>
          <w:highlight w:val="none"/>
        </w:rPr>
      </w:pPr>
    </w:p>
    <w:p w14:paraId="43944232">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（四）广州市住房和城乡建设局企业信用档案相关网页截图</w:t>
      </w:r>
    </w:p>
    <w:p w14:paraId="4F8D1FAE">
      <w:pPr>
        <w:widowControl/>
        <w:jc w:val="center"/>
        <w:rPr>
          <w:rFonts w:ascii="宋体" w:hAnsi="宋体"/>
          <w:color w:val="auto"/>
          <w:sz w:val="24"/>
          <w:szCs w:val="24"/>
          <w:highlight w:val="none"/>
        </w:rPr>
      </w:pPr>
    </w:p>
    <w:p w14:paraId="0AC1A8C7">
      <w:pPr>
        <w:widowControl/>
        <w:jc w:val="center"/>
        <w:rPr>
          <w:rFonts w:ascii="宋体" w:hAnsi="宋体" w:cs="宋体"/>
          <w:b/>
          <w:bCs/>
          <w:color w:val="auto"/>
          <w:kern w:val="0"/>
          <w:sz w:val="28"/>
          <w:szCs w:val="28"/>
          <w:highlight w:val="none"/>
        </w:rPr>
      </w:pPr>
      <w:r>
        <w:rPr>
          <w:rFonts w:hint="eastAsia" w:ascii="宋体" w:hAnsi="宋体"/>
          <w:color w:val="auto"/>
          <w:sz w:val="24"/>
          <w:szCs w:val="24"/>
          <w:highlight w:val="none"/>
        </w:rPr>
        <w:t>按招标文件第二章第3.5款规定提交资料。</w:t>
      </w:r>
    </w:p>
    <w:p w14:paraId="112D37F0">
      <w:pPr>
        <w:widowControl/>
        <w:jc w:val="center"/>
        <w:rPr>
          <w:rFonts w:ascii="宋体" w:hAnsi="宋体" w:cs="宋体"/>
          <w:b/>
          <w:bCs/>
          <w:color w:val="auto"/>
          <w:kern w:val="0"/>
          <w:sz w:val="28"/>
          <w:szCs w:val="28"/>
          <w:highlight w:val="none"/>
        </w:rPr>
      </w:pPr>
    </w:p>
    <w:p w14:paraId="39FDA354">
      <w:pPr>
        <w:widowControl/>
        <w:jc w:val="center"/>
        <w:rPr>
          <w:color w:val="auto"/>
          <w:highlight w:val="none"/>
        </w:rPr>
      </w:pPr>
    </w:p>
    <w:p w14:paraId="33753873">
      <w:pPr>
        <w:widowControl/>
        <w:jc w:val="left"/>
        <w:rPr>
          <w:rFonts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p>
    <w:p w14:paraId="57CD93E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（五）联合体协议书</w:t>
      </w:r>
    </w:p>
    <w:p w14:paraId="103D6852">
      <w:pPr>
        <w:tabs>
          <w:tab w:val="left" w:pos="2200"/>
          <w:tab w:val="left" w:pos="6000"/>
        </w:tabs>
        <w:spacing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（所</w:t>
      </w:r>
      <w:r>
        <w:rPr>
          <w:rFonts w:hint="eastAsia" w:ascii="宋体" w:hAnsi="宋体" w:cs="华文楷体"/>
          <w:color w:val="auto"/>
          <w:spacing w:val="-2"/>
          <w:position w:val="-4"/>
          <w:sz w:val="24"/>
          <w:szCs w:val="24"/>
          <w:highlight w:val="none"/>
        </w:rPr>
        <w:t>有</w:t>
      </w:r>
      <w:r>
        <w:rPr>
          <w:rFonts w:hint="eastAsia" w:ascii="宋体" w:hAnsi="宋体" w:cs="华文楷体"/>
          <w:color w:val="auto"/>
          <w:position w:val="-4"/>
          <w:sz w:val="24"/>
          <w:szCs w:val="24"/>
          <w:highlight w:val="none"/>
        </w:rPr>
        <w:t>成员单位名称）自愿组</w:t>
      </w:r>
      <w:r>
        <w:rPr>
          <w:rFonts w:hint="eastAsia" w:ascii="宋体" w:hAnsi="宋体" w:cs="华文楷体"/>
          <w:color w:val="auto"/>
          <w:spacing w:val="1"/>
          <w:position w:val="-4"/>
          <w:sz w:val="24"/>
          <w:szCs w:val="24"/>
          <w:highlight w:val="none"/>
        </w:rPr>
        <w:t>成</w:t>
      </w:r>
      <w:r>
        <w:rPr>
          <w:rFonts w:hint="eastAsia" w:ascii="宋体" w:hAnsi="宋体" w:cs="华文楷体"/>
          <w:color w:val="auto"/>
          <w:position w:val="-4"/>
          <w:sz w:val="24"/>
          <w:szCs w:val="24"/>
          <w:highlight w:val="none"/>
          <w:u w:val="single"/>
        </w:rPr>
        <w:t xml:space="preserve"> </w:t>
      </w:r>
      <w:r>
        <w:rPr>
          <w:rFonts w:hint="eastAsia" w:ascii="宋体" w:hAnsi="宋体" w:cs="华文楷体"/>
          <w:color w:val="auto"/>
          <w:spacing w:val="1"/>
          <w:position w:val="-4"/>
          <w:sz w:val="24"/>
          <w:szCs w:val="24"/>
          <w:highlight w:val="none"/>
          <w:u w:val="single"/>
        </w:rPr>
        <w:t xml:space="preserve"> </w:t>
      </w: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（联合体名称）联合体，共同</w:t>
      </w:r>
      <w:r>
        <w:rPr>
          <w:rFonts w:hint="eastAsia" w:ascii="宋体" w:hAnsi="宋体" w:cs="华文楷体"/>
          <w:color w:val="auto"/>
          <w:position w:val="-2"/>
          <w:sz w:val="24"/>
          <w:szCs w:val="24"/>
          <w:highlight w:val="none"/>
        </w:rPr>
        <w:t>参加</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项目</w:t>
      </w:r>
      <w:r>
        <w:rPr>
          <w:rFonts w:hint="eastAsia" w:ascii="宋体" w:hAnsi="宋体" w:cs="华文楷体"/>
          <w:color w:val="auto"/>
          <w:spacing w:val="-2"/>
          <w:position w:val="-2"/>
          <w:sz w:val="24"/>
          <w:szCs w:val="24"/>
          <w:highlight w:val="none"/>
        </w:rPr>
        <w:t>名</w:t>
      </w:r>
      <w:r>
        <w:rPr>
          <w:rFonts w:hint="eastAsia" w:ascii="宋体" w:hAnsi="宋体" w:cs="华文楷体"/>
          <w:color w:val="auto"/>
          <w:position w:val="-2"/>
          <w:sz w:val="24"/>
          <w:szCs w:val="24"/>
          <w:highlight w:val="none"/>
        </w:rPr>
        <w:t>称</w:t>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招</w:t>
      </w:r>
      <w:r>
        <w:rPr>
          <w:rFonts w:hint="eastAsia" w:ascii="宋体" w:hAnsi="宋体" w:cs="华文楷体"/>
          <w:color w:val="auto"/>
          <w:spacing w:val="-2"/>
          <w:position w:val="-2"/>
          <w:sz w:val="24"/>
          <w:szCs w:val="24"/>
          <w:highlight w:val="none"/>
        </w:rPr>
        <w:t>标</w:t>
      </w:r>
      <w:r>
        <w:rPr>
          <w:rFonts w:hint="eastAsia" w:ascii="宋体" w:hAnsi="宋体" w:cs="华文楷体"/>
          <w:color w:val="auto"/>
          <w:position w:val="-2"/>
          <w:sz w:val="24"/>
          <w:szCs w:val="24"/>
          <w:highlight w:val="none"/>
        </w:rPr>
        <w:t>项</w:t>
      </w:r>
      <w:r>
        <w:rPr>
          <w:rFonts w:hint="eastAsia" w:ascii="宋体" w:hAnsi="宋体" w:cs="华文楷体"/>
          <w:color w:val="auto"/>
          <w:spacing w:val="-2"/>
          <w:position w:val="-2"/>
          <w:sz w:val="24"/>
          <w:szCs w:val="24"/>
          <w:highlight w:val="none"/>
        </w:rPr>
        <w:t>目</w:t>
      </w:r>
      <w:r>
        <w:rPr>
          <w:rFonts w:hint="eastAsia" w:ascii="宋体" w:hAnsi="宋体" w:cs="华文楷体"/>
          <w:color w:val="auto"/>
          <w:position w:val="-2"/>
          <w:sz w:val="24"/>
          <w:szCs w:val="24"/>
          <w:highlight w:val="none"/>
        </w:rPr>
        <w:t>投标</w:t>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现</w:t>
      </w:r>
      <w:r>
        <w:rPr>
          <w:rFonts w:hint="eastAsia" w:ascii="宋体" w:hAnsi="宋体" w:cs="华文楷体"/>
          <w:color w:val="auto"/>
          <w:spacing w:val="-2"/>
          <w:position w:val="-2"/>
          <w:sz w:val="24"/>
          <w:szCs w:val="24"/>
          <w:highlight w:val="none"/>
        </w:rPr>
        <w:t>就</w:t>
      </w:r>
      <w:r>
        <w:rPr>
          <w:rFonts w:hint="eastAsia" w:ascii="宋体" w:hAnsi="宋体" w:cs="华文楷体"/>
          <w:color w:val="auto"/>
          <w:position w:val="-2"/>
          <w:sz w:val="24"/>
          <w:szCs w:val="24"/>
          <w:highlight w:val="none"/>
        </w:rPr>
        <w:t>联</w:t>
      </w:r>
      <w:r>
        <w:rPr>
          <w:rFonts w:hint="eastAsia" w:ascii="宋体" w:hAnsi="宋体" w:cs="华文楷体"/>
          <w:color w:val="auto"/>
          <w:spacing w:val="-2"/>
          <w:position w:val="-2"/>
          <w:sz w:val="24"/>
          <w:szCs w:val="24"/>
          <w:highlight w:val="none"/>
        </w:rPr>
        <w:t>合</w:t>
      </w:r>
      <w:r>
        <w:rPr>
          <w:rFonts w:hint="eastAsia" w:ascii="宋体" w:hAnsi="宋体" w:cs="华文楷体"/>
          <w:color w:val="auto"/>
          <w:spacing w:val="2"/>
          <w:position w:val="-2"/>
          <w:sz w:val="24"/>
          <w:szCs w:val="24"/>
          <w:highlight w:val="none"/>
        </w:rPr>
        <w:t>体</w:t>
      </w:r>
      <w:r>
        <w:rPr>
          <w:rFonts w:hint="eastAsia" w:ascii="宋体" w:hAnsi="宋体" w:cs="华文楷体"/>
          <w:color w:val="auto"/>
          <w:position w:val="-2"/>
          <w:sz w:val="24"/>
          <w:szCs w:val="24"/>
          <w:highlight w:val="none"/>
        </w:rPr>
        <w:t>投</w:t>
      </w:r>
      <w:r>
        <w:rPr>
          <w:rFonts w:hint="eastAsia" w:ascii="宋体" w:hAnsi="宋体" w:cs="华文楷体"/>
          <w:color w:val="auto"/>
          <w:spacing w:val="2"/>
          <w:position w:val="-2"/>
          <w:sz w:val="24"/>
          <w:szCs w:val="24"/>
          <w:highlight w:val="none"/>
        </w:rPr>
        <w:t>标</w:t>
      </w:r>
      <w:r>
        <w:rPr>
          <w:rFonts w:hint="eastAsia" w:ascii="宋体" w:hAnsi="宋体" w:cs="华文楷体"/>
          <w:color w:val="auto"/>
          <w:position w:val="-2"/>
          <w:sz w:val="24"/>
          <w:szCs w:val="24"/>
          <w:highlight w:val="none"/>
        </w:rPr>
        <w:t>事</w:t>
      </w:r>
      <w:r>
        <w:rPr>
          <w:rFonts w:hint="eastAsia" w:ascii="宋体" w:hAnsi="宋体" w:cs="华文楷体"/>
          <w:color w:val="auto"/>
          <w:spacing w:val="2"/>
          <w:position w:val="-2"/>
          <w:sz w:val="24"/>
          <w:szCs w:val="24"/>
          <w:highlight w:val="none"/>
        </w:rPr>
        <w:t>宜订</w:t>
      </w:r>
      <w:r>
        <w:rPr>
          <w:rFonts w:hint="eastAsia" w:ascii="宋体" w:hAnsi="宋体" w:cs="华文楷体"/>
          <w:color w:val="auto"/>
          <w:position w:val="-2"/>
          <w:sz w:val="24"/>
          <w:szCs w:val="24"/>
          <w:highlight w:val="none"/>
        </w:rPr>
        <w:t>立</w:t>
      </w:r>
      <w:r>
        <w:rPr>
          <w:rFonts w:hint="eastAsia" w:ascii="宋体" w:hAnsi="宋体" w:cs="华文楷体"/>
          <w:color w:val="auto"/>
          <w:spacing w:val="2"/>
          <w:position w:val="-2"/>
          <w:sz w:val="24"/>
          <w:szCs w:val="24"/>
          <w:highlight w:val="none"/>
        </w:rPr>
        <w:t>如</w:t>
      </w:r>
      <w:r>
        <w:rPr>
          <w:rFonts w:hint="eastAsia" w:ascii="宋体" w:hAnsi="宋体" w:cs="华文楷体"/>
          <w:color w:val="auto"/>
          <w:position w:val="-2"/>
          <w:sz w:val="24"/>
          <w:szCs w:val="24"/>
          <w:highlight w:val="none"/>
        </w:rPr>
        <w:t>下</w:t>
      </w:r>
      <w:r>
        <w:rPr>
          <w:rFonts w:hint="eastAsia" w:ascii="宋体" w:hAnsi="宋体" w:cs="华文楷体"/>
          <w:color w:val="auto"/>
          <w:spacing w:val="2"/>
          <w:position w:val="-2"/>
          <w:sz w:val="24"/>
          <w:szCs w:val="24"/>
          <w:highlight w:val="none"/>
        </w:rPr>
        <w:t>协</w:t>
      </w:r>
      <w:r>
        <w:rPr>
          <w:rFonts w:hint="eastAsia" w:ascii="宋体" w:hAnsi="宋体" w:cs="华文楷体"/>
          <w:color w:val="auto"/>
          <w:position w:val="-2"/>
          <w:sz w:val="24"/>
          <w:szCs w:val="24"/>
          <w:highlight w:val="none"/>
        </w:rPr>
        <w:t>议。</w:t>
      </w:r>
    </w:p>
    <w:p w14:paraId="0DF0D4E3">
      <w:pPr>
        <w:tabs>
          <w:tab w:val="left" w:pos="2660"/>
          <w:tab w:val="left" w:pos="5600"/>
        </w:tabs>
        <w:spacing w:line="360" w:lineRule="auto"/>
        <w:ind w:right="-23" w:firstLine="480" w:firstLineChars="200"/>
        <w:jc w:val="left"/>
        <w:rPr>
          <w:rFonts w:ascii="宋体" w:hAnsi="宋体" w:cs="华文楷体"/>
          <w:color w:val="auto"/>
          <w:sz w:val="24"/>
          <w:szCs w:val="24"/>
          <w:highlight w:val="none"/>
        </w:rPr>
      </w:pPr>
      <w:r>
        <w:rPr>
          <w:rFonts w:hint="eastAsia" w:ascii="宋体" w:hAnsi="宋体" w:cs="华文楷体"/>
          <w:color w:val="auto"/>
          <w:position w:val="-1"/>
          <w:sz w:val="24"/>
          <w:szCs w:val="24"/>
          <w:highlight w:val="none"/>
        </w:rPr>
        <w:t xml:space="preserve">1. </w:t>
      </w:r>
      <w:r>
        <w:rPr>
          <w:rFonts w:hint="eastAsia" w:ascii="宋体" w:hAnsi="宋体" w:cs="华文楷体"/>
          <w:color w:val="auto"/>
          <w:position w:val="-1"/>
          <w:sz w:val="24"/>
          <w:szCs w:val="24"/>
          <w:highlight w:val="none"/>
          <w:u w:val="single"/>
        </w:rPr>
        <w:t xml:space="preserve"> </w:t>
      </w:r>
      <w:r>
        <w:rPr>
          <w:rFonts w:hint="eastAsia" w:ascii="宋体" w:hAnsi="宋体" w:cs="华文楷体"/>
          <w:color w:val="auto"/>
          <w:position w:val="-1"/>
          <w:sz w:val="24"/>
          <w:szCs w:val="24"/>
          <w:highlight w:val="none"/>
          <w:u w:val="single"/>
        </w:rPr>
        <w:tab/>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某成</w:t>
      </w:r>
      <w:r>
        <w:rPr>
          <w:rFonts w:hint="eastAsia" w:ascii="宋体" w:hAnsi="宋体" w:cs="华文楷体"/>
          <w:color w:val="auto"/>
          <w:spacing w:val="-2"/>
          <w:position w:val="-1"/>
          <w:sz w:val="24"/>
          <w:szCs w:val="24"/>
          <w:highlight w:val="none"/>
        </w:rPr>
        <w:t>员</w:t>
      </w:r>
      <w:r>
        <w:rPr>
          <w:rFonts w:hint="eastAsia" w:ascii="宋体" w:hAnsi="宋体" w:cs="华文楷体"/>
          <w:color w:val="auto"/>
          <w:position w:val="-1"/>
          <w:sz w:val="24"/>
          <w:szCs w:val="24"/>
          <w:highlight w:val="none"/>
        </w:rPr>
        <w:t>单</w:t>
      </w:r>
      <w:r>
        <w:rPr>
          <w:rFonts w:hint="eastAsia" w:ascii="宋体" w:hAnsi="宋体" w:cs="华文楷体"/>
          <w:color w:val="auto"/>
          <w:spacing w:val="-2"/>
          <w:position w:val="-1"/>
          <w:sz w:val="24"/>
          <w:szCs w:val="24"/>
          <w:highlight w:val="none"/>
        </w:rPr>
        <w:t>位</w:t>
      </w:r>
      <w:r>
        <w:rPr>
          <w:rFonts w:hint="eastAsia" w:ascii="宋体" w:hAnsi="宋体" w:cs="华文楷体"/>
          <w:color w:val="auto"/>
          <w:position w:val="-1"/>
          <w:sz w:val="24"/>
          <w:szCs w:val="24"/>
          <w:highlight w:val="none"/>
        </w:rPr>
        <w:t>名</w:t>
      </w:r>
      <w:r>
        <w:rPr>
          <w:rFonts w:hint="eastAsia" w:ascii="宋体" w:hAnsi="宋体" w:cs="华文楷体"/>
          <w:color w:val="auto"/>
          <w:spacing w:val="-2"/>
          <w:position w:val="-1"/>
          <w:sz w:val="24"/>
          <w:szCs w:val="24"/>
          <w:highlight w:val="none"/>
        </w:rPr>
        <w:t>称</w:t>
      </w:r>
      <w:r>
        <w:rPr>
          <w:rFonts w:hint="eastAsia" w:ascii="宋体" w:hAnsi="宋体" w:cs="华文楷体"/>
          <w:color w:val="auto"/>
          <w:position w:val="-1"/>
          <w:sz w:val="24"/>
          <w:szCs w:val="24"/>
          <w:highlight w:val="none"/>
        </w:rPr>
        <w:t>）</w:t>
      </w:r>
      <w:r>
        <w:rPr>
          <w:rFonts w:hint="eastAsia" w:ascii="宋体" w:hAnsi="宋体" w:cs="华文楷体"/>
          <w:color w:val="auto"/>
          <w:spacing w:val="-3"/>
          <w:position w:val="-1"/>
          <w:sz w:val="24"/>
          <w:szCs w:val="24"/>
          <w:highlight w:val="none"/>
        </w:rPr>
        <w:t>为</w:t>
      </w:r>
      <w:r>
        <w:rPr>
          <w:rFonts w:hint="eastAsia" w:ascii="宋体" w:hAnsi="宋体" w:cs="华文楷体"/>
          <w:color w:val="auto"/>
          <w:position w:val="-1"/>
          <w:sz w:val="24"/>
          <w:szCs w:val="24"/>
          <w:highlight w:val="none"/>
          <w:u w:val="single"/>
        </w:rPr>
        <w:t xml:space="preserve"> </w:t>
      </w:r>
      <w:r>
        <w:rPr>
          <w:rFonts w:hint="eastAsia" w:ascii="宋体" w:hAnsi="宋体" w:cs="华文楷体"/>
          <w:color w:val="auto"/>
          <w:spacing w:val="1"/>
          <w:position w:val="-1"/>
          <w:sz w:val="24"/>
          <w:szCs w:val="24"/>
          <w:highlight w:val="none"/>
          <w:u w:val="single"/>
        </w:rPr>
        <w:t xml:space="preserve"> </w:t>
      </w:r>
      <w:r>
        <w:rPr>
          <w:rFonts w:hint="eastAsia" w:ascii="宋体" w:hAnsi="宋体" w:cs="华文楷体"/>
          <w:color w:val="auto"/>
          <w:position w:val="-1"/>
          <w:sz w:val="24"/>
          <w:szCs w:val="24"/>
          <w:highlight w:val="none"/>
          <w:u w:val="single"/>
        </w:rPr>
        <w:tab/>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联</w:t>
      </w:r>
      <w:r>
        <w:rPr>
          <w:rFonts w:hint="eastAsia" w:ascii="宋体" w:hAnsi="宋体" w:cs="华文楷体"/>
          <w:color w:val="auto"/>
          <w:spacing w:val="-2"/>
          <w:position w:val="-1"/>
          <w:sz w:val="24"/>
          <w:szCs w:val="24"/>
          <w:highlight w:val="none"/>
        </w:rPr>
        <w:t>合</w:t>
      </w:r>
      <w:r>
        <w:rPr>
          <w:rFonts w:hint="eastAsia" w:ascii="宋体" w:hAnsi="宋体" w:cs="华文楷体"/>
          <w:color w:val="auto"/>
          <w:position w:val="-1"/>
          <w:sz w:val="24"/>
          <w:szCs w:val="24"/>
          <w:highlight w:val="none"/>
        </w:rPr>
        <w:t>体</w:t>
      </w:r>
      <w:r>
        <w:rPr>
          <w:rFonts w:hint="eastAsia" w:ascii="宋体" w:hAnsi="宋体" w:cs="华文楷体"/>
          <w:color w:val="auto"/>
          <w:spacing w:val="-2"/>
          <w:position w:val="-1"/>
          <w:sz w:val="24"/>
          <w:szCs w:val="24"/>
          <w:highlight w:val="none"/>
        </w:rPr>
        <w:t>名</w:t>
      </w:r>
      <w:r>
        <w:rPr>
          <w:rFonts w:hint="eastAsia" w:ascii="宋体" w:hAnsi="宋体" w:cs="华文楷体"/>
          <w:color w:val="auto"/>
          <w:position w:val="-1"/>
          <w:sz w:val="24"/>
          <w:szCs w:val="24"/>
          <w:highlight w:val="none"/>
        </w:rPr>
        <w:t>称</w:t>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牵</w:t>
      </w:r>
      <w:r>
        <w:rPr>
          <w:rFonts w:hint="eastAsia" w:ascii="宋体" w:hAnsi="宋体" w:cs="华文楷体"/>
          <w:color w:val="auto"/>
          <w:spacing w:val="-2"/>
          <w:position w:val="-1"/>
          <w:sz w:val="24"/>
          <w:szCs w:val="24"/>
          <w:highlight w:val="none"/>
        </w:rPr>
        <w:t>头人</w:t>
      </w:r>
      <w:r>
        <w:rPr>
          <w:rFonts w:hint="eastAsia" w:ascii="宋体" w:hAnsi="宋体" w:cs="华文楷体"/>
          <w:color w:val="auto"/>
          <w:position w:val="-1"/>
          <w:sz w:val="24"/>
          <w:szCs w:val="24"/>
          <w:highlight w:val="none"/>
        </w:rPr>
        <w:t>。</w:t>
      </w:r>
    </w:p>
    <w:p w14:paraId="2C1E131E">
      <w:pPr>
        <w:spacing w:before="78"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2.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各</w:t>
      </w:r>
      <w:r>
        <w:rPr>
          <w:rFonts w:hint="eastAsia" w:ascii="宋体" w:hAnsi="宋体" w:cs="华文楷体"/>
          <w:color w:val="auto"/>
          <w:spacing w:val="-2"/>
          <w:sz w:val="24"/>
          <w:szCs w:val="24"/>
          <w:highlight w:val="none"/>
        </w:rPr>
        <w:t>成</w:t>
      </w:r>
      <w:r>
        <w:rPr>
          <w:rFonts w:hint="eastAsia" w:ascii="宋体" w:hAnsi="宋体" w:cs="华文楷体"/>
          <w:color w:val="auto"/>
          <w:sz w:val="24"/>
          <w:szCs w:val="24"/>
          <w:highlight w:val="none"/>
        </w:rPr>
        <w:t>员</w:t>
      </w:r>
      <w:r>
        <w:rPr>
          <w:rFonts w:hint="eastAsia" w:ascii="宋体" w:hAnsi="宋体" w:cs="华文楷体"/>
          <w:color w:val="auto"/>
          <w:spacing w:val="-2"/>
          <w:sz w:val="24"/>
          <w:szCs w:val="24"/>
          <w:highlight w:val="none"/>
        </w:rPr>
        <w:t>授</w:t>
      </w:r>
      <w:r>
        <w:rPr>
          <w:rFonts w:hint="eastAsia" w:ascii="宋体" w:hAnsi="宋体" w:cs="华文楷体"/>
          <w:color w:val="auto"/>
          <w:sz w:val="24"/>
          <w:szCs w:val="24"/>
          <w:highlight w:val="none"/>
        </w:rPr>
        <w:t>权</w:t>
      </w:r>
      <w:r>
        <w:rPr>
          <w:rFonts w:hint="eastAsia" w:ascii="宋体" w:hAnsi="宋体" w:cs="华文楷体"/>
          <w:color w:val="auto"/>
          <w:spacing w:val="-2"/>
          <w:sz w:val="24"/>
          <w:szCs w:val="24"/>
          <w:highlight w:val="none"/>
        </w:rPr>
        <w:t>牵头</w:t>
      </w:r>
      <w:r>
        <w:rPr>
          <w:rFonts w:hint="eastAsia" w:ascii="宋体" w:hAnsi="宋体" w:cs="华文楷体"/>
          <w:color w:val="auto"/>
          <w:sz w:val="24"/>
          <w:szCs w:val="24"/>
          <w:highlight w:val="none"/>
        </w:rPr>
        <w:t>人（即主办方）代</w:t>
      </w:r>
      <w:r>
        <w:rPr>
          <w:rFonts w:hint="eastAsia" w:ascii="宋体" w:hAnsi="宋体" w:cs="华文楷体"/>
          <w:color w:val="auto"/>
          <w:spacing w:val="-2"/>
          <w:sz w:val="24"/>
          <w:szCs w:val="24"/>
          <w:highlight w:val="none"/>
        </w:rPr>
        <w:t>表</w:t>
      </w:r>
      <w:r>
        <w:rPr>
          <w:rFonts w:hint="eastAsia" w:ascii="宋体" w:hAnsi="宋体" w:cs="华文楷体"/>
          <w:color w:val="auto"/>
          <w:sz w:val="24"/>
          <w:szCs w:val="24"/>
          <w:highlight w:val="none"/>
        </w:rPr>
        <w:t>联</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体</w:t>
      </w:r>
      <w:r>
        <w:rPr>
          <w:rFonts w:hint="eastAsia" w:ascii="宋体" w:hAnsi="宋体" w:cs="华文楷体"/>
          <w:color w:val="auto"/>
          <w:spacing w:val="-2"/>
          <w:sz w:val="24"/>
          <w:szCs w:val="24"/>
          <w:highlight w:val="none"/>
        </w:rPr>
        <w:t>参</w:t>
      </w:r>
      <w:r>
        <w:rPr>
          <w:rFonts w:hint="eastAsia" w:ascii="宋体" w:hAnsi="宋体" w:cs="华文楷体"/>
          <w:color w:val="auto"/>
          <w:sz w:val="24"/>
          <w:szCs w:val="24"/>
          <w:highlight w:val="none"/>
        </w:rPr>
        <w:t>加</w:t>
      </w:r>
      <w:r>
        <w:rPr>
          <w:rFonts w:hint="eastAsia" w:ascii="宋体" w:hAnsi="宋体" w:cs="华文楷体"/>
          <w:color w:val="auto"/>
          <w:spacing w:val="-2"/>
          <w:sz w:val="24"/>
          <w:szCs w:val="24"/>
          <w:highlight w:val="none"/>
        </w:rPr>
        <w:t>投</w:t>
      </w:r>
      <w:r>
        <w:rPr>
          <w:rFonts w:hint="eastAsia" w:ascii="宋体" w:hAnsi="宋体" w:cs="华文楷体"/>
          <w:color w:val="auto"/>
          <w:sz w:val="24"/>
          <w:szCs w:val="24"/>
          <w:highlight w:val="none"/>
        </w:rPr>
        <w:t>标</w:t>
      </w:r>
      <w:r>
        <w:rPr>
          <w:rFonts w:hint="eastAsia" w:ascii="宋体" w:hAnsi="宋体" w:cs="华文楷体"/>
          <w:color w:val="auto"/>
          <w:spacing w:val="-2"/>
          <w:sz w:val="24"/>
          <w:szCs w:val="24"/>
          <w:highlight w:val="none"/>
        </w:rPr>
        <w:t>活</w:t>
      </w:r>
      <w:r>
        <w:rPr>
          <w:rFonts w:hint="eastAsia" w:ascii="宋体" w:hAnsi="宋体" w:cs="华文楷体"/>
          <w:color w:val="auto"/>
          <w:sz w:val="24"/>
          <w:szCs w:val="24"/>
          <w:highlight w:val="none"/>
        </w:rPr>
        <w:t>动</w:t>
      </w:r>
      <w:r>
        <w:rPr>
          <w:rFonts w:hint="eastAsia" w:ascii="宋体" w:hAnsi="宋体" w:cs="华文楷体"/>
          <w:color w:val="auto"/>
          <w:spacing w:val="-65"/>
          <w:sz w:val="24"/>
          <w:szCs w:val="24"/>
          <w:highlight w:val="none"/>
        </w:rPr>
        <w:t>，</w:t>
      </w:r>
      <w:r>
        <w:rPr>
          <w:rFonts w:hint="eastAsia" w:ascii="宋体" w:hAnsi="宋体" w:cs="华文楷体"/>
          <w:color w:val="auto"/>
          <w:spacing w:val="-2"/>
          <w:sz w:val="24"/>
          <w:szCs w:val="24"/>
          <w:highlight w:val="none"/>
        </w:rPr>
        <w:t>签</w:t>
      </w:r>
      <w:r>
        <w:rPr>
          <w:rFonts w:hint="eastAsia" w:ascii="宋体" w:hAnsi="宋体" w:cs="华文楷体"/>
          <w:color w:val="auto"/>
          <w:sz w:val="24"/>
          <w:szCs w:val="24"/>
          <w:highlight w:val="none"/>
        </w:rPr>
        <w:t>署</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w:t>
      </w:r>
      <w:r>
        <w:rPr>
          <w:rFonts w:hint="eastAsia" w:ascii="宋体" w:hAnsi="宋体" w:cs="华文楷体"/>
          <w:color w:val="auto"/>
          <w:spacing w:val="-65"/>
          <w:sz w:val="24"/>
          <w:szCs w:val="24"/>
          <w:highlight w:val="none"/>
        </w:rPr>
        <w:t>，</w:t>
      </w:r>
      <w:r>
        <w:rPr>
          <w:rFonts w:hint="eastAsia" w:ascii="宋体" w:hAnsi="宋体" w:cs="华文楷体"/>
          <w:color w:val="auto"/>
          <w:spacing w:val="-2"/>
          <w:sz w:val="24"/>
          <w:szCs w:val="24"/>
          <w:highlight w:val="none"/>
        </w:rPr>
        <w:t>提</w:t>
      </w:r>
      <w:r>
        <w:rPr>
          <w:rFonts w:hint="eastAsia" w:ascii="宋体" w:hAnsi="宋体" w:cs="华文楷体"/>
          <w:color w:val="auto"/>
          <w:sz w:val="24"/>
          <w:szCs w:val="24"/>
          <w:highlight w:val="none"/>
        </w:rPr>
        <w:t>交</w:t>
      </w:r>
      <w:r>
        <w:rPr>
          <w:rFonts w:hint="eastAsia" w:ascii="宋体" w:hAnsi="宋体" w:cs="华文楷体"/>
          <w:color w:val="auto"/>
          <w:spacing w:val="-2"/>
          <w:sz w:val="24"/>
          <w:szCs w:val="24"/>
          <w:highlight w:val="none"/>
        </w:rPr>
        <w:t>和</w:t>
      </w:r>
      <w:r>
        <w:rPr>
          <w:rFonts w:hint="eastAsia" w:ascii="宋体" w:hAnsi="宋体" w:cs="华文楷体"/>
          <w:color w:val="auto"/>
          <w:sz w:val="24"/>
          <w:szCs w:val="24"/>
          <w:highlight w:val="none"/>
        </w:rPr>
        <w:t>接</w:t>
      </w:r>
      <w:r>
        <w:rPr>
          <w:rFonts w:hint="eastAsia" w:ascii="宋体" w:hAnsi="宋体" w:cs="华文楷体"/>
          <w:color w:val="auto"/>
          <w:spacing w:val="-2"/>
          <w:sz w:val="24"/>
          <w:szCs w:val="24"/>
          <w:highlight w:val="none"/>
        </w:rPr>
        <w:t>收</w:t>
      </w:r>
      <w:r>
        <w:rPr>
          <w:rFonts w:hint="eastAsia" w:ascii="宋体" w:hAnsi="宋体" w:cs="华文楷体"/>
          <w:color w:val="auto"/>
          <w:sz w:val="24"/>
          <w:szCs w:val="24"/>
          <w:highlight w:val="none"/>
        </w:rPr>
        <w:t>相关</w:t>
      </w:r>
      <w:r>
        <w:rPr>
          <w:rFonts w:hint="eastAsia" w:ascii="宋体" w:hAnsi="宋体" w:cs="华文楷体"/>
          <w:color w:val="auto"/>
          <w:spacing w:val="-2"/>
          <w:sz w:val="24"/>
          <w:szCs w:val="24"/>
          <w:highlight w:val="none"/>
        </w:rPr>
        <w:t>的</w:t>
      </w:r>
      <w:r>
        <w:rPr>
          <w:rFonts w:hint="eastAsia" w:ascii="宋体" w:hAnsi="宋体" w:cs="华文楷体"/>
          <w:color w:val="auto"/>
          <w:sz w:val="24"/>
          <w:szCs w:val="24"/>
          <w:highlight w:val="none"/>
        </w:rPr>
        <w:t>资</w:t>
      </w:r>
      <w:r>
        <w:rPr>
          <w:rFonts w:hint="eastAsia" w:ascii="宋体" w:hAnsi="宋体" w:cs="华文楷体"/>
          <w:color w:val="auto"/>
          <w:spacing w:val="-2"/>
          <w:sz w:val="24"/>
          <w:szCs w:val="24"/>
          <w:highlight w:val="none"/>
        </w:rPr>
        <w:t>料</w:t>
      </w:r>
      <w:r>
        <w:rPr>
          <w:rFonts w:hint="eastAsia" w:ascii="宋体" w:hAnsi="宋体" w:cs="华文楷体"/>
          <w:color w:val="auto"/>
          <w:sz w:val="24"/>
          <w:szCs w:val="24"/>
          <w:highlight w:val="none"/>
        </w:rPr>
        <w:t>、信息及指示，进</w:t>
      </w:r>
      <w:r>
        <w:rPr>
          <w:rFonts w:hint="eastAsia" w:ascii="宋体" w:hAnsi="宋体" w:cs="华文楷体"/>
          <w:color w:val="auto"/>
          <w:spacing w:val="-2"/>
          <w:sz w:val="24"/>
          <w:szCs w:val="24"/>
          <w:highlight w:val="none"/>
        </w:rPr>
        <w:t>行</w:t>
      </w:r>
      <w:r>
        <w:rPr>
          <w:rFonts w:hint="eastAsia" w:ascii="宋体" w:hAnsi="宋体" w:cs="华文楷体"/>
          <w:color w:val="auto"/>
          <w:sz w:val="24"/>
          <w:szCs w:val="24"/>
          <w:highlight w:val="none"/>
        </w:rPr>
        <w:t>合同</w:t>
      </w:r>
      <w:r>
        <w:rPr>
          <w:rFonts w:hint="eastAsia" w:ascii="宋体" w:hAnsi="宋体" w:cs="华文楷体"/>
          <w:color w:val="auto"/>
          <w:spacing w:val="-2"/>
          <w:sz w:val="24"/>
          <w:szCs w:val="24"/>
          <w:highlight w:val="none"/>
        </w:rPr>
        <w:t>谈</w:t>
      </w:r>
      <w:r>
        <w:rPr>
          <w:rFonts w:hint="eastAsia" w:ascii="宋体" w:hAnsi="宋体" w:cs="华文楷体"/>
          <w:color w:val="auto"/>
          <w:sz w:val="24"/>
          <w:szCs w:val="24"/>
          <w:highlight w:val="none"/>
        </w:rPr>
        <w:t>判活动，负责合</w:t>
      </w:r>
      <w:r>
        <w:rPr>
          <w:rFonts w:hint="eastAsia" w:ascii="宋体" w:hAnsi="宋体" w:cs="华文楷体"/>
          <w:color w:val="auto"/>
          <w:spacing w:val="-2"/>
          <w:sz w:val="24"/>
          <w:szCs w:val="24"/>
          <w:highlight w:val="none"/>
        </w:rPr>
        <w:t>同</w:t>
      </w:r>
      <w:r>
        <w:rPr>
          <w:rFonts w:hint="eastAsia" w:ascii="宋体" w:hAnsi="宋体" w:cs="华文楷体"/>
          <w:color w:val="auto"/>
          <w:sz w:val="24"/>
          <w:szCs w:val="24"/>
          <w:highlight w:val="none"/>
        </w:rPr>
        <w:t>实施</w:t>
      </w:r>
      <w:r>
        <w:rPr>
          <w:rFonts w:hint="eastAsia" w:ascii="宋体" w:hAnsi="宋体" w:cs="华文楷体"/>
          <w:color w:val="auto"/>
          <w:spacing w:val="-2"/>
          <w:sz w:val="24"/>
          <w:szCs w:val="24"/>
          <w:highlight w:val="none"/>
        </w:rPr>
        <w:t>阶</w:t>
      </w:r>
      <w:r>
        <w:rPr>
          <w:rFonts w:hint="eastAsia" w:ascii="宋体" w:hAnsi="宋体" w:cs="华文楷体"/>
          <w:color w:val="auto"/>
          <w:sz w:val="24"/>
          <w:szCs w:val="24"/>
          <w:highlight w:val="none"/>
        </w:rPr>
        <w:t>段的组织和协调</w:t>
      </w:r>
      <w:r>
        <w:rPr>
          <w:rFonts w:hint="eastAsia" w:ascii="宋体" w:hAnsi="宋体" w:cs="华文楷体"/>
          <w:color w:val="auto"/>
          <w:spacing w:val="-2"/>
          <w:sz w:val="24"/>
          <w:szCs w:val="24"/>
          <w:highlight w:val="none"/>
        </w:rPr>
        <w:t>工</w:t>
      </w:r>
      <w:r>
        <w:rPr>
          <w:rFonts w:hint="eastAsia" w:ascii="宋体" w:hAnsi="宋体" w:cs="华文楷体"/>
          <w:color w:val="auto"/>
          <w:sz w:val="24"/>
          <w:szCs w:val="24"/>
          <w:highlight w:val="none"/>
        </w:rPr>
        <w:t>作，</w:t>
      </w:r>
      <w:r>
        <w:rPr>
          <w:rFonts w:hint="eastAsia" w:ascii="宋体" w:hAnsi="宋体" w:cs="华文楷体"/>
          <w:color w:val="auto"/>
          <w:spacing w:val="-2"/>
          <w:sz w:val="24"/>
          <w:szCs w:val="24"/>
          <w:highlight w:val="none"/>
        </w:rPr>
        <w:t>以</w:t>
      </w:r>
      <w:r>
        <w:rPr>
          <w:rFonts w:hint="eastAsia" w:ascii="宋体" w:hAnsi="宋体" w:cs="华文楷体"/>
          <w:color w:val="auto"/>
          <w:sz w:val="24"/>
          <w:szCs w:val="24"/>
          <w:highlight w:val="none"/>
        </w:rPr>
        <w:t>及处理与本招</w:t>
      </w:r>
      <w:r>
        <w:rPr>
          <w:rFonts w:hint="eastAsia" w:ascii="宋体" w:hAnsi="宋体" w:cs="华文楷体"/>
          <w:color w:val="auto"/>
          <w:spacing w:val="-2"/>
          <w:sz w:val="24"/>
          <w:szCs w:val="24"/>
          <w:highlight w:val="none"/>
        </w:rPr>
        <w:t>标</w:t>
      </w:r>
      <w:r>
        <w:rPr>
          <w:rFonts w:hint="eastAsia" w:ascii="宋体" w:hAnsi="宋体" w:cs="华文楷体"/>
          <w:color w:val="auto"/>
          <w:sz w:val="24"/>
          <w:szCs w:val="24"/>
          <w:highlight w:val="none"/>
        </w:rPr>
        <w:t>项目有</w:t>
      </w:r>
      <w:r>
        <w:rPr>
          <w:rFonts w:hint="eastAsia" w:ascii="宋体" w:hAnsi="宋体" w:cs="华文楷体"/>
          <w:color w:val="auto"/>
          <w:spacing w:val="-2"/>
          <w:sz w:val="24"/>
          <w:szCs w:val="24"/>
          <w:highlight w:val="none"/>
        </w:rPr>
        <w:t>关</w:t>
      </w:r>
      <w:r>
        <w:rPr>
          <w:rFonts w:hint="eastAsia" w:ascii="宋体" w:hAnsi="宋体" w:cs="华文楷体"/>
          <w:color w:val="auto"/>
          <w:sz w:val="24"/>
          <w:szCs w:val="24"/>
          <w:highlight w:val="none"/>
        </w:rPr>
        <w:t>的</w:t>
      </w:r>
      <w:r>
        <w:rPr>
          <w:rFonts w:hint="eastAsia" w:ascii="宋体" w:hAnsi="宋体" w:cs="华文楷体"/>
          <w:color w:val="auto"/>
          <w:spacing w:val="-2"/>
          <w:sz w:val="24"/>
          <w:szCs w:val="24"/>
          <w:highlight w:val="none"/>
        </w:rPr>
        <w:t>一</w:t>
      </w:r>
      <w:r>
        <w:rPr>
          <w:rFonts w:hint="eastAsia" w:ascii="宋体" w:hAnsi="宋体" w:cs="华文楷体"/>
          <w:color w:val="auto"/>
          <w:sz w:val="24"/>
          <w:szCs w:val="24"/>
          <w:highlight w:val="none"/>
        </w:rPr>
        <w:t>切</w:t>
      </w:r>
      <w:r>
        <w:rPr>
          <w:rFonts w:hint="eastAsia" w:ascii="宋体" w:hAnsi="宋体" w:cs="华文楷体"/>
          <w:color w:val="auto"/>
          <w:spacing w:val="-2"/>
          <w:sz w:val="24"/>
          <w:szCs w:val="24"/>
          <w:highlight w:val="none"/>
        </w:rPr>
        <w:t>事</w:t>
      </w:r>
      <w:r>
        <w:rPr>
          <w:rFonts w:hint="eastAsia" w:ascii="宋体" w:hAnsi="宋体" w:cs="华文楷体"/>
          <w:color w:val="auto"/>
          <w:sz w:val="24"/>
          <w:szCs w:val="24"/>
          <w:highlight w:val="none"/>
        </w:rPr>
        <w:t>宜。</w:t>
      </w:r>
    </w:p>
    <w:p w14:paraId="71A3FF0E">
      <w:pPr>
        <w:spacing w:before="16"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3.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牵</w:t>
      </w:r>
      <w:r>
        <w:rPr>
          <w:rFonts w:hint="eastAsia" w:ascii="宋体" w:hAnsi="宋体" w:cs="华文楷体"/>
          <w:color w:val="auto"/>
          <w:spacing w:val="-2"/>
          <w:sz w:val="24"/>
          <w:szCs w:val="24"/>
          <w:highlight w:val="none"/>
        </w:rPr>
        <w:t>头</w:t>
      </w:r>
      <w:r>
        <w:rPr>
          <w:rFonts w:hint="eastAsia" w:ascii="宋体" w:hAnsi="宋体" w:cs="华文楷体"/>
          <w:color w:val="auto"/>
          <w:sz w:val="24"/>
          <w:szCs w:val="24"/>
          <w:highlight w:val="none"/>
        </w:rPr>
        <w:t>人</w:t>
      </w:r>
      <w:r>
        <w:rPr>
          <w:rFonts w:hint="eastAsia" w:ascii="宋体" w:hAnsi="宋体" w:cs="华文楷体"/>
          <w:color w:val="auto"/>
          <w:spacing w:val="-2"/>
          <w:sz w:val="24"/>
          <w:szCs w:val="24"/>
          <w:highlight w:val="none"/>
        </w:rPr>
        <w:t>在</w:t>
      </w:r>
      <w:r>
        <w:rPr>
          <w:rFonts w:hint="eastAsia" w:ascii="宋体" w:hAnsi="宋体" w:cs="华文楷体"/>
          <w:color w:val="auto"/>
          <w:sz w:val="24"/>
          <w:szCs w:val="24"/>
          <w:highlight w:val="none"/>
        </w:rPr>
        <w:t>本</w:t>
      </w:r>
      <w:r>
        <w:rPr>
          <w:rFonts w:hint="eastAsia" w:ascii="宋体" w:hAnsi="宋体" w:cs="华文楷体"/>
          <w:color w:val="auto"/>
          <w:spacing w:val="-2"/>
          <w:sz w:val="24"/>
          <w:szCs w:val="24"/>
          <w:highlight w:val="none"/>
        </w:rPr>
        <w:t>项目</w:t>
      </w:r>
      <w:r>
        <w:rPr>
          <w:rFonts w:hint="eastAsia" w:ascii="宋体" w:hAnsi="宋体" w:cs="华文楷体"/>
          <w:color w:val="auto"/>
          <w:sz w:val="24"/>
          <w:szCs w:val="24"/>
          <w:highlight w:val="none"/>
        </w:rPr>
        <w:t>中签</w:t>
      </w:r>
      <w:r>
        <w:rPr>
          <w:rFonts w:hint="eastAsia" w:ascii="宋体" w:hAnsi="宋体" w:cs="华文楷体"/>
          <w:color w:val="auto"/>
          <w:spacing w:val="-2"/>
          <w:sz w:val="24"/>
          <w:szCs w:val="24"/>
          <w:highlight w:val="none"/>
        </w:rPr>
        <w:t>署</w:t>
      </w:r>
      <w:r>
        <w:rPr>
          <w:rFonts w:hint="eastAsia" w:ascii="宋体" w:hAnsi="宋体" w:cs="华文楷体"/>
          <w:color w:val="auto"/>
          <w:sz w:val="24"/>
          <w:szCs w:val="24"/>
          <w:highlight w:val="none"/>
        </w:rPr>
        <w:t>的</w:t>
      </w:r>
      <w:r>
        <w:rPr>
          <w:rFonts w:hint="eastAsia" w:ascii="宋体" w:hAnsi="宋体" w:cs="华文楷体"/>
          <w:color w:val="auto"/>
          <w:spacing w:val="-2"/>
          <w:sz w:val="24"/>
          <w:szCs w:val="24"/>
          <w:highlight w:val="none"/>
        </w:rPr>
        <w:t>一</w:t>
      </w:r>
      <w:r>
        <w:rPr>
          <w:rFonts w:hint="eastAsia" w:ascii="宋体" w:hAnsi="宋体" w:cs="华文楷体"/>
          <w:color w:val="auto"/>
          <w:sz w:val="24"/>
          <w:szCs w:val="24"/>
          <w:highlight w:val="none"/>
        </w:rPr>
        <w:t>切</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w:t>
      </w:r>
      <w:r>
        <w:rPr>
          <w:rFonts w:hint="eastAsia" w:ascii="宋体" w:hAnsi="宋体" w:cs="华文楷体"/>
          <w:color w:val="auto"/>
          <w:spacing w:val="-2"/>
          <w:sz w:val="24"/>
          <w:szCs w:val="24"/>
          <w:highlight w:val="none"/>
        </w:rPr>
        <w:t>和</w:t>
      </w:r>
      <w:r>
        <w:rPr>
          <w:rFonts w:hint="eastAsia" w:ascii="宋体" w:hAnsi="宋体" w:cs="华文楷体"/>
          <w:color w:val="auto"/>
          <w:sz w:val="24"/>
          <w:szCs w:val="24"/>
          <w:highlight w:val="none"/>
        </w:rPr>
        <w:t>处</w:t>
      </w:r>
      <w:r>
        <w:rPr>
          <w:rFonts w:hint="eastAsia" w:ascii="宋体" w:hAnsi="宋体" w:cs="华文楷体"/>
          <w:color w:val="auto"/>
          <w:spacing w:val="-2"/>
          <w:sz w:val="24"/>
          <w:szCs w:val="24"/>
          <w:highlight w:val="none"/>
        </w:rPr>
        <w:t>理</w:t>
      </w:r>
      <w:r>
        <w:rPr>
          <w:rFonts w:hint="eastAsia" w:ascii="宋体" w:hAnsi="宋体" w:cs="华文楷体"/>
          <w:color w:val="auto"/>
          <w:sz w:val="24"/>
          <w:szCs w:val="24"/>
          <w:highlight w:val="none"/>
        </w:rPr>
        <w:t>的一</w:t>
      </w:r>
      <w:r>
        <w:rPr>
          <w:rFonts w:hint="eastAsia" w:ascii="宋体" w:hAnsi="宋体" w:cs="华文楷体"/>
          <w:color w:val="auto"/>
          <w:spacing w:val="-2"/>
          <w:sz w:val="24"/>
          <w:szCs w:val="24"/>
          <w:highlight w:val="none"/>
        </w:rPr>
        <w:t>切</w:t>
      </w:r>
      <w:r>
        <w:rPr>
          <w:rFonts w:hint="eastAsia" w:ascii="宋体" w:hAnsi="宋体" w:cs="华文楷体"/>
          <w:color w:val="auto"/>
          <w:sz w:val="24"/>
          <w:szCs w:val="24"/>
          <w:highlight w:val="none"/>
        </w:rPr>
        <w:t>事</w:t>
      </w:r>
      <w:r>
        <w:rPr>
          <w:rFonts w:hint="eastAsia" w:ascii="宋体" w:hAnsi="宋体" w:cs="华文楷体"/>
          <w:color w:val="auto"/>
          <w:spacing w:val="-2"/>
          <w:sz w:val="24"/>
          <w:szCs w:val="24"/>
          <w:highlight w:val="none"/>
        </w:rPr>
        <w:t>宜</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rPr>
        <w:t>联</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体</w:t>
      </w:r>
      <w:r>
        <w:rPr>
          <w:rFonts w:hint="eastAsia" w:ascii="宋体" w:hAnsi="宋体" w:cs="华文楷体"/>
          <w:color w:val="auto"/>
          <w:spacing w:val="-2"/>
          <w:sz w:val="24"/>
          <w:szCs w:val="24"/>
          <w:highlight w:val="none"/>
        </w:rPr>
        <w:t>各成</w:t>
      </w:r>
      <w:r>
        <w:rPr>
          <w:rFonts w:hint="eastAsia" w:ascii="宋体" w:hAnsi="宋体" w:cs="华文楷体"/>
          <w:color w:val="auto"/>
          <w:sz w:val="24"/>
          <w:szCs w:val="24"/>
          <w:highlight w:val="none"/>
        </w:rPr>
        <w:t>员均</w:t>
      </w:r>
      <w:r>
        <w:rPr>
          <w:rFonts w:hint="eastAsia" w:ascii="宋体" w:hAnsi="宋体" w:cs="华文楷体"/>
          <w:color w:val="auto"/>
          <w:spacing w:val="-2"/>
          <w:sz w:val="24"/>
          <w:szCs w:val="24"/>
          <w:highlight w:val="none"/>
        </w:rPr>
        <w:t>予</w:t>
      </w:r>
      <w:r>
        <w:rPr>
          <w:rFonts w:hint="eastAsia" w:ascii="宋体" w:hAnsi="宋体" w:cs="华文楷体"/>
          <w:color w:val="auto"/>
          <w:sz w:val="24"/>
          <w:szCs w:val="24"/>
          <w:highlight w:val="none"/>
        </w:rPr>
        <w:t>以</w:t>
      </w:r>
      <w:r>
        <w:rPr>
          <w:rFonts w:hint="eastAsia" w:ascii="宋体" w:hAnsi="宋体" w:cs="华文楷体"/>
          <w:color w:val="auto"/>
          <w:spacing w:val="-2"/>
          <w:sz w:val="24"/>
          <w:szCs w:val="24"/>
          <w:highlight w:val="none"/>
        </w:rPr>
        <w:t>承</w:t>
      </w:r>
      <w:r>
        <w:rPr>
          <w:rFonts w:hint="eastAsia" w:ascii="宋体" w:hAnsi="宋体" w:cs="华文楷体"/>
          <w:color w:val="auto"/>
          <w:sz w:val="24"/>
          <w:szCs w:val="24"/>
          <w:highlight w:val="none"/>
        </w:rPr>
        <w:t>认。 联合体各成员将</w:t>
      </w:r>
      <w:r>
        <w:rPr>
          <w:rFonts w:hint="eastAsia" w:ascii="宋体" w:hAnsi="宋体" w:cs="华文楷体"/>
          <w:color w:val="auto"/>
          <w:spacing w:val="-2"/>
          <w:sz w:val="24"/>
          <w:szCs w:val="24"/>
          <w:highlight w:val="none"/>
        </w:rPr>
        <w:t>严</w:t>
      </w:r>
      <w:r>
        <w:rPr>
          <w:rFonts w:hint="eastAsia" w:ascii="宋体" w:hAnsi="宋体" w:cs="华文楷体"/>
          <w:color w:val="auto"/>
          <w:sz w:val="24"/>
          <w:szCs w:val="24"/>
          <w:highlight w:val="none"/>
        </w:rPr>
        <w:t>格按</w:t>
      </w:r>
      <w:r>
        <w:rPr>
          <w:rFonts w:hint="eastAsia" w:ascii="宋体" w:hAnsi="宋体" w:cs="华文楷体"/>
          <w:color w:val="auto"/>
          <w:spacing w:val="-2"/>
          <w:sz w:val="24"/>
          <w:szCs w:val="24"/>
          <w:highlight w:val="none"/>
        </w:rPr>
        <w:t>照</w:t>
      </w:r>
      <w:r>
        <w:rPr>
          <w:rFonts w:hint="eastAsia" w:ascii="宋体" w:hAnsi="宋体" w:cs="华文楷体"/>
          <w:color w:val="auto"/>
          <w:sz w:val="24"/>
          <w:szCs w:val="24"/>
          <w:highlight w:val="none"/>
        </w:rPr>
        <w:t>招标文件、投标</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件和</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同的要求全面履</w:t>
      </w:r>
      <w:r>
        <w:rPr>
          <w:rFonts w:hint="eastAsia" w:ascii="宋体" w:hAnsi="宋体" w:cs="华文楷体"/>
          <w:color w:val="auto"/>
          <w:spacing w:val="-2"/>
          <w:sz w:val="24"/>
          <w:szCs w:val="24"/>
          <w:highlight w:val="none"/>
        </w:rPr>
        <w:t>行</w:t>
      </w:r>
      <w:r>
        <w:rPr>
          <w:rFonts w:hint="eastAsia" w:ascii="宋体" w:hAnsi="宋体" w:cs="华文楷体"/>
          <w:color w:val="auto"/>
          <w:sz w:val="24"/>
          <w:szCs w:val="24"/>
          <w:highlight w:val="none"/>
        </w:rPr>
        <w:t>义务</w:t>
      </w:r>
      <w:r>
        <w:rPr>
          <w:rFonts w:hint="eastAsia" w:ascii="宋体" w:hAnsi="宋体" w:cs="华文楷体"/>
          <w:color w:val="auto"/>
          <w:spacing w:val="-2"/>
          <w:sz w:val="24"/>
          <w:szCs w:val="24"/>
          <w:highlight w:val="none"/>
        </w:rPr>
        <w:t>，</w:t>
      </w:r>
      <w:r>
        <w:rPr>
          <w:rFonts w:hint="eastAsia" w:ascii="宋体" w:hAnsi="宋体" w:cs="华文楷体"/>
          <w:color w:val="auto"/>
          <w:sz w:val="24"/>
          <w:szCs w:val="24"/>
          <w:highlight w:val="none"/>
        </w:rPr>
        <w:t>并向招标人承</w:t>
      </w:r>
      <w:r>
        <w:rPr>
          <w:rFonts w:hint="eastAsia" w:ascii="宋体" w:hAnsi="宋体" w:cs="华文楷体"/>
          <w:color w:val="auto"/>
          <w:spacing w:val="-2"/>
          <w:sz w:val="24"/>
          <w:szCs w:val="24"/>
          <w:highlight w:val="none"/>
        </w:rPr>
        <w:t>担</w:t>
      </w:r>
      <w:r>
        <w:rPr>
          <w:rFonts w:hint="eastAsia" w:ascii="宋体" w:hAnsi="宋体" w:cs="华文楷体"/>
          <w:color w:val="auto"/>
          <w:sz w:val="24"/>
          <w:szCs w:val="24"/>
          <w:highlight w:val="none"/>
        </w:rPr>
        <w:t>连带责</w:t>
      </w:r>
      <w:r>
        <w:rPr>
          <w:rFonts w:hint="eastAsia" w:ascii="宋体" w:hAnsi="宋体" w:cs="华文楷体"/>
          <w:color w:val="auto"/>
          <w:spacing w:val="-2"/>
          <w:sz w:val="24"/>
          <w:szCs w:val="24"/>
          <w:highlight w:val="none"/>
        </w:rPr>
        <w:t>任</w:t>
      </w:r>
      <w:r>
        <w:rPr>
          <w:rFonts w:hint="eastAsia" w:ascii="宋体" w:hAnsi="宋体" w:cs="华文楷体"/>
          <w:color w:val="auto"/>
          <w:sz w:val="24"/>
          <w:szCs w:val="24"/>
          <w:highlight w:val="none"/>
        </w:rPr>
        <w:t>。</w:t>
      </w:r>
    </w:p>
    <w:p w14:paraId="26902F04">
      <w:pPr>
        <w:tabs>
          <w:tab w:val="left" w:pos="8740"/>
        </w:tabs>
        <w:spacing w:before="17"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4.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各</w:t>
      </w:r>
      <w:r>
        <w:rPr>
          <w:rFonts w:hint="eastAsia" w:ascii="宋体" w:hAnsi="宋体" w:cs="华文楷体"/>
          <w:color w:val="auto"/>
          <w:spacing w:val="-2"/>
          <w:sz w:val="24"/>
          <w:szCs w:val="24"/>
          <w:highlight w:val="none"/>
        </w:rPr>
        <w:t>成</w:t>
      </w:r>
      <w:r>
        <w:rPr>
          <w:rFonts w:hint="eastAsia" w:ascii="宋体" w:hAnsi="宋体" w:cs="华文楷体"/>
          <w:color w:val="auto"/>
          <w:sz w:val="24"/>
          <w:szCs w:val="24"/>
          <w:highlight w:val="none"/>
        </w:rPr>
        <w:t>员</w:t>
      </w:r>
      <w:r>
        <w:rPr>
          <w:rFonts w:hint="eastAsia" w:ascii="宋体" w:hAnsi="宋体" w:cs="华文楷体"/>
          <w:color w:val="auto"/>
          <w:spacing w:val="-2"/>
          <w:sz w:val="24"/>
          <w:szCs w:val="24"/>
          <w:highlight w:val="none"/>
        </w:rPr>
        <w:t>单</w:t>
      </w:r>
      <w:r>
        <w:rPr>
          <w:rFonts w:hint="eastAsia" w:ascii="宋体" w:hAnsi="宋体" w:cs="华文楷体"/>
          <w:color w:val="auto"/>
          <w:sz w:val="24"/>
          <w:szCs w:val="24"/>
          <w:highlight w:val="none"/>
        </w:rPr>
        <w:t>位</w:t>
      </w:r>
      <w:r>
        <w:rPr>
          <w:rFonts w:hint="eastAsia" w:ascii="宋体" w:hAnsi="宋体" w:cs="华文楷体"/>
          <w:color w:val="auto"/>
          <w:spacing w:val="-2"/>
          <w:sz w:val="24"/>
          <w:szCs w:val="24"/>
          <w:highlight w:val="none"/>
        </w:rPr>
        <w:t>内部</w:t>
      </w:r>
      <w:r>
        <w:rPr>
          <w:rFonts w:hint="eastAsia" w:ascii="宋体" w:hAnsi="宋体" w:cs="华文楷体"/>
          <w:color w:val="auto"/>
          <w:sz w:val="24"/>
          <w:szCs w:val="24"/>
          <w:highlight w:val="none"/>
        </w:rPr>
        <w:t>的职</w:t>
      </w:r>
      <w:r>
        <w:rPr>
          <w:rFonts w:hint="eastAsia" w:ascii="宋体" w:hAnsi="宋体" w:cs="华文楷体"/>
          <w:color w:val="auto"/>
          <w:spacing w:val="-2"/>
          <w:sz w:val="24"/>
          <w:szCs w:val="24"/>
          <w:highlight w:val="none"/>
        </w:rPr>
        <w:t>责</w:t>
      </w:r>
      <w:r>
        <w:rPr>
          <w:rFonts w:hint="eastAsia" w:ascii="宋体" w:hAnsi="宋体" w:cs="华文楷体"/>
          <w:color w:val="auto"/>
          <w:sz w:val="24"/>
          <w:szCs w:val="24"/>
          <w:highlight w:val="none"/>
        </w:rPr>
        <w:t>分</w:t>
      </w:r>
      <w:r>
        <w:rPr>
          <w:rFonts w:hint="eastAsia" w:ascii="宋体" w:hAnsi="宋体" w:cs="华文楷体"/>
          <w:color w:val="auto"/>
          <w:spacing w:val="-2"/>
          <w:sz w:val="24"/>
          <w:szCs w:val="24"/>
          <w:highlight w:val="none"/>
        </w:rPr>
        <w:t>工</w:t>
      </w:r>
      <w:r>
        <w:rPr>
          <w:rFonts w:hint="eastAsia" w:ascii="宋体" w:hAnsi="宋体" w:cs="华文楷体"/>
          <w:color w:val="auto"/>
          <w:spacing w:val="-2"/>
          <w:sz w:val="24"/>
          <w:szCs w:val="24"/>
          <w:highlight w:val="none"/>
          <w:lang w:val="en-US" w:eastAsia="zh-CN"/>
        </w:rPr>
        <w:t>内容及责任</w:t>
      </w:r>
      <w:r>
        <w:rPr>
          <w:rFonts w:hint="eastAsia" w:ascii="宋体" w:hAnsi="宋体" w:cs="华文楷体"/>
          <w:color w:val="auto"/>
          <w:sz w:val="24"/>
          <w:szCs w:val="24"/>
          <w:highlight w:val="none"/>
        </w:rPr>
        <w:t>如</w:t>
      </w:r>
      <w:r>
        <w:rPr>
          <w:rFonts w:hint="eastAsia" w:ascii="宋体" w:hAnsi="宋体" w:cs="华文楷体"/>
          <w:color w:val="auto"/>
          <w:spacing w:val="-2"/>
          <w:sz w:val="24"/>
          <w:szCs w:val="24"/>
          <w:highlight w:val="none"/>
        </w:rPr>
        <w:t>下</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u w:val="single"/>
        </w:rPr>
        <w:t xml:space="preserve"> </w:t>
      </w:r>
      <w:r>
        <w:rPr>
          <w:rFonts w:hint="eastAsia" w:ascii="宋体" w:hAnsi="宋体" w:cs="华文楷体"/>
          <w:color w:val="auto"/>
          <w:spacing w:val="1"/>
          <w:sz w:val="24"/>
          <w:szCs w:val="24"/>
          <w:highlight w:val="none"/>
          <w:u w:val="single"/>
        </w:rPr>
        <w:t xml:space="preserve"> </w:t>
      </w:r>
      <w:r>
        <w:rPr>
          <w:rFonts w:hint="eastAsia" w:ascii="宋体" w:hAnsi="宋体" w:cs="华文楷体"/>
          <w:color w:val="auto"/>
          <w:sz w:val="24"/>
          <w:szCs w:val="24"/>
          <w:highlight w:val="none"/>
          <w:u w:val="single"/>
        </w:rPr>
        <w:tab/>
      </w:r>
      <w:r>
        <w:rPr>
          <w:rFonts w:hint="eastAsia" w:ascii="宋体" w:hAnsi="宋体" w:cs="华文楷体"/>
          <w:color w:val="auto"/>
          <w:sz w:val="24"/>
          <w:szCs w:val="24"/>
          <w:highlight w:val="none"/>
        </w:rPr>
        <w:t>。</w:t>
      </w:r>
    </w:p>
    <w:p w14:paraId="63863902">
      <w:pPr>
        <w:spacing w:before="80"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5. </w:t>
      </w:r>
      <w:r>
        <w:rPr>
          <w:rFonts w:hint="eastAsia" w:ascii="宋体" w:hAnsi="宋体" w:cs="华文楷体"/>
          <w:color w:val="auto"/>
          <w:spacing w:val="-2"/>
          <w:sz w:val="24"/>
          <w:szCs w:val="24"/>
          <w:highlight w:val="none"/>
        </w:rPr>
        <w:t>本</w:t>
      </w:r>
      <w:r>
        <w:rPr>
          <w:rFonts w:hint="eastAsia" w:ascii="宋体" w:hAnsi="宋体" w:cs="华文楷体"/>
          <w:color w:val="auto"/>
          <w:sz w:val="24"/>
          <w:szCs w:val="24"/>
          <w:highlight w:val="none"/>
        </w:rPr>
        <w:t>协</w:t>
      </w:r>
      <w:r>
        <w:rPr>
          <w:rFonts w:hint="eastAsia" w:ascii="宋体" w:hAnsi="宋体" w:cs="华文楷体"/>
          <w:color w:val="auto"/>
          <w:spacing w:val="-2"/>
          <w:sz w:val="24"/>
          <w:szCs w:val="24"/>
          <w:highlight w:val="none"/>
        </w:rPr>
        <w:t>议</w:t>
      </w:r>
      <w:r>
        <w:rPr>
          <w:rFonts w:hint="eastAsia" w:ascii="宋体" w:hAnsi="宋体" w:cs="华文楷体"/>
          <w:color w:val="auto"/>
          <w:sz w:val="24"/>
          <w:szCs w:val="24"/>
          <w:highlight w:val="none"/>
        </w:rPr>
        <w:t>书</w:t>
      </w:r>
      <w:r>
        <w:rPr>
          <w:rFonts w:hint="eastAsia" w:ascii="宋体" w:hAnsi="宋体" w:cs="华文楷体"/>
          <w:color w:val="auto"/>
          <w:spacing w:val="-2"/>
          <w:sz w:val="24"/>
          <w:szCs w:val="24"/>
          <w:highlight w:val="none"/>
        </w:rPr>
        <w:t>自</w:t>
      </w:r>
      <w:r>
        <w:rPr>
          <w:rFonts w:hint="eastAsia" w:ascii="宋体" w:hAnsi="宋体" w:cs="华文楷体"/>
          <w:color w:val="auto"/>
          <w:sz w:val="24"/>
          <w:szCs w:val="24"/>
          <w:highlight w:val="none"/>
        </w:rPr>
        <w:t>所</w:t>
      </w:r>
      <w:r>
        <w:rPr>
          <w:rFonts w:hint="eastAsia" w:ascii="宋体" w:hAnsi="宋体" w:cs="华文楷体"/>
          <w:color w:val="auto"/>
          <w:spacing w:val="-2"/>
          <w:sz w:val="24"/>
          <w:szCs w:val="24"/>
          <w:highlight w:val="none"/>
        </w:rPr>
        <w:t>有</w:t>
      </w:r>
      <w:r>
        <w:rPr>
          <w:rFonts w:hint="eastAsia" w:ascii="宋体" w:hAnsi="宋体" w:cs="华文楷体"/>
          <w:color w:val="auto"/>
          <w:sz w:val="24"/>
          <w:szCs w:val="24"/>
          <w:highlight w:val="none"/>
        </w:rPr>
        <w:t>成</w:t>
      </w:r>
      <w:r>
        <w:rPr>
          <w:rFonts w:hint="eastAsia" w:ascii="宋体" w:hAnsi="宋体" w:cs="华文楷体"/>
          <w:color w:val="auto"/>
          <w:spacing w:val="-2"/>
          <w:sz w:val="24"/>
          <w:szCs w:val="24"/>
          <w:highlight w:val="none"/>
        </w:rPr>
        <w:t>员单</w:t>
      </w:r>
      <w:r>
        <w:rPr>
          <w:rFonts w:hint="eastAsia" w:ascii="宋体" w:hAnsi="宋体" w:cs="华文楷体"/>
          <w:color w:val="auto"/>
          <w:sz w:val="24"/>
          <w:szCs w:val="24"/>
          <w:highlight w:val="none"/>
        </w:rPr>
        <w:t>位法</w:t>
      </w:r>
      <w:r>
        <w:rPr>
          <w:rFonts w:hint="eastAsia" w:ascii="宋体" w:hAnsi="宋体" w:cs="华文楷体"/>
          <w:color w:val="auto"/>
          <w:spacing w:val="-2"/>
          <w:sz w:val="24"/>
          <w:szCs w:val="24"/>
          <w:highlight w:val="none"/>
        </w:rPr>
        <w:t>定</w:t>
      </w:r>
      <w:r>
        <w:rPr>
          <w:rFonts w:hint="eastAsia" w:ascii="宋体" w:hAnsi="宋体" w:cs="华文楷体"/>
          <w:color w:val="auto"/>
          <w:sz w:val="24"/>
          <w:szCs w:val="24"/>
          <w:highlight w:val="none"/>
        </w:rPr>
        <w:t>代</w:t>
      </w:r>
      <w:r>
        <w:rPr>
          <w:rFonts w:hint="eastAsia" w:ascii="宋体" w:hAnsi="宋体" w:cs="华文楷体"/>
          <w:color w:val="auto"/>
          <w:spacing w:val="-2"/>
          <w:sz w:val="24"/>
          <w:szCs w:val="24"/>
          <w:highlight w:val="none"/>
        </w:rPr>
        <w:t>表</w:t>
      </w:r>
      <w:r>
        <w:rPr>
          <w:rFonts w:hint="eastAsia" w:ascii="宋体" w:hAnsi="宋体" w:cs="华文楷体"/>
          <w:color w:val="auto"/>
          <w:sz w:val="24"/>
          <w:szCs w:val="24"/>
          <w:highlight w:val="none"/>
        </w:rPr>
        <w:t>人</w:t>
      </w:r>
      <w:r>
        <w:rPr>
          <w:rFonts w:hint="eastAsia" w:ascii="宋体" w:hAnsi="宋体" w:cs="华文楷体"/>
          <w:color w:val="auto"/>
          <w:spacing w:val="-2"/>
          <w:sz w:val="24"/>
          <w:szCs w:val="24"/>
          <w:highlight w:val="none"/>
        </w:rPr>
        <w:t>或</w:t>
      </w:r>
      <w:r>
        <w:rPr>
          <w:rFonts w:hint="eastAsia" w:ascii="宋体" w:hAnsi="宋体" w:cs="华文楷体"/>
          <w:color w:val="auto"/>
          <w:sz w:val="24"/>
          <w:szCs w:val="24"/>
          <w:highlight w:val="none"/>
        </w:rPr>
        <w:t>其</w:t>
      </w:r>
      <w:r>
        <w:rPr>
          <w:rFonts w:hint="eastAsia" w:ascii="宋体" w:hAnsi="宋体" w:cs="华文楷体"/>
          <w:color w:val="auto"/>
          <w:spacing w:val="-2"/>
          <w:sz w:val="24"/>
          <w:szCs w:val="24"/>
          <w:highlight w:val="none"/>
        </w:rPr>
        <w:t>委</w:t>
      </w:r>
      <w:r>
        <w:rPr>
          <w:rFonts w:hint="eastAsia" w:ascii="宋体" w:hAnsi="宋体" w:cs="华文楷体"/>
          <w:color w:val="auto"/>
          <w:sz w:val="24"/>
          <w:szCs w:val="24"/>
          <w:highlight w:val="none"/>
        </w:rPr>
        <w:t>托</w:t>
      </w:r>
      <w:r>
        <w:rPr>
          <w:rFonts w:hint="eastAsia" w:ascii="宋体" w:hAnsi="宋体" w:cs="华文楷体"/>
          <w:color w:val="auto"/>
          <w:spacing w:val="-2"/>
          <w:sz w:val="24"/>
          <w:szCs w:val="24"/>
          <w:highlight w:val="none"/>
        </w:rPr>
        <w:t>代</w:t>
      </w:r>
      <w:r>
        <w:rPr>
          <w:rFonts w:hint="eastAsia" w:ascii="宋体" w:hAnsi="宋体" w:cs="华文楷体"/>
          <w:color w:val="auto"/>
          <w:sz w:val="24"/>
          <w:szCs w:val="24"/>
          <w:highlight w:val="none"/>
        </w:rPr>
        <w:t>理人</w:t>
      </w:r>
      <w:r>
        <w:rPr>
          <w:rFonts w:hint="eastAsia" w:ascii="宋体" w:hAnsi="宋体" w:cs="华文楷体"/>
          <w:color w:val="auto"/>
          <w:spacing w:val="-2"/>
          <w:sz w:val="24"/>
          <w:szCs w:val="24"/>
          <w:highlight w:val="none"/>
        </w:rPr>
        <w:t>签</w:t>
      </w:r>
      <w:r>
        <w:rPr>
          <w:rFonts w:hint="eastAsia" w:ascii="宋体" w:hAnsi="宋体" w:cs="华文楷体"/>
          <w:color w:val="auto"/>
          <w:sz w:val="24"/>
          <w:szCs w:val="24"/>
          <w:highlight w:val="none"/>
        </w:rPr>
        <w:t>字</w:t>
      </w:r>
      <w:r>
        <w:rPr>
          <w:rFonts w:hint="eastAsia" w:ascii="宋体" w:hAnsi="宋体" w:cs="华文楷体"/>
          <w:color w:val="auto"/>
          <w:spacing w:val="-2"/>
          <w:sz w:val="24"/>
          <w:szCs w:val="24"/>
          <w:highlight w:val="none"/>
        </w:rPr>
        <w:t>或</w:t>
      </w:r>
      <w:r>
        <w:rPr>
          <w:rFonts w:hint="eastAsia" w:ascii="宋体" w:hAnsi="宋体" w:cs="华文楷体"/>
          <w:color w:val="auto"/>
          <w:sz w:val="24"/>
          <w:szCs w:val="24"/>
          <w:highlight w:val="none"/>
        </w:rPr>
        <w:t>盖</w:t>
      </w:r>
      <w:r>
        <w:rPr>
          <w:rFonts w:hint="eastAsia" w:ascii="宋体" w:hAnsi="宋体" w:cs="华文楷体"/>
          <w:color w:val="auto"/>
          <w:spacing w:val="-2"/>
          <w:sz w:val="24"/>
          <w:szCs w:val="24"/>
          <w:highlight w:val="none"/>
        </w:rPr>
        <w:t>单</w:t>
      </w:r>
      <w:r>
        <w:rPr>
          <w:rFonts w:hint="eastAsia" w:ascii="宋体" w:hAnsi="宋体" w:cs="华文楷体"/>
          <w:color w:val="auto"/>
          <w:sz w:val="24"/>
          <w:szCs w:val="24"/>
          <w:highlight w:val="none"/>
        </w:rPr>
        <w:t>位</w:t>
      </w:r>
      <w:r>
        <w:rPr>
          <w:rFonts w:hint="eastAsia" w:ascii="宋体" w:hAnsi="宋体" w:cs="华文楷体"/>
          <w:color w:val="auto"/>
          <w:spacing w:val="-2"/>
          <w:sz w:val="24"/>
          <w:szCs w:val="24"/>
          <w:highlight w:val="none"/>
        </w:rPr>
        <w:t>章</w:t>
      </w:r>
      <w:r>
        <w:rPr>
          <w:rFonts w:hint="eastAsia" w:ascii="宋体" w:hAnsi="宋体" w:cs="华文楷体"/>
          <w:color w:val="auto"/>
          <w:sz w:val="24"/>
          <w:szCs w:val="24"/>
          <w:highlight w:val="none"/>
        </w:rPr>
        <w:t>之</w:t>
      </w:r>
      <w:r>
        <w:rPr>
          <w:rFonts w:hint="eastAsia" w:ascii="宋体" w:hAnsi="宋体" w:cs="华文楷体"/>
          <w:color w:val="auto"/>
          <w:spacing w:val="-2"/>
          <w:sz w:val="24"/>
          <w:szCs w:val="24"/>
          <w:highlight w:val="none"/>
        </w:rPr>
        <w:t>日</w:t>
      </w:r>
      <w:r>
        <w:rPr>
          <w:rFonts w:hint="eastAsia" w:ascii="宋体" w:hAnsi="宋体" w:cs="华文楷体"/>
          <w:color w:val="auto"/>
          <w:sz w:val="24"/>
          <w:szCs w:val="24"/>
          <w:highlight w:val="none"/>
        </w:rPr>
        <w:t>起生</w:t>
      </w:r>
      <w:r>
        <w:rPr>
          <w:rFonts w:hint="eastAsia" w:ascii="宋体" w:hAnsi="宋体" w:cs="华文楷体"/>
          <w:color w:val="auto"/>
          <w:spacing w:val="-2"/>
          <w:sz w:val="24"/>
          <w:szCs w:val="24"/>
          <w:highlight w:val="none"/>
        </w:rPr>
        <w:t>效</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rPr>
        <w:t>合同 履行</w:t>
      </w:r>
      <w:r>
        <w:rPr>
          <w:rFonts w:hint="eastAsia" w:ascii="宋体" w:hAnsi="宋体" w:cs="华文楷体"/>
          <w:color w:val="auto"/>
          <w:spacing w:val="-2"/>
          <w:sz w:val="24"/>
          <w:szCs w:val="24"/>
          <w:highlight w:val="none"/>
        </w:rPr>
        <w:t>完</w:t>
      </w:r>
      <w:r>
        <w:rPr>
          <w:rFonts w:hint="eastAsia" w:ascii="宋体" w:hAnsi="宋体" w:cs="华文楷体"/>
          <w:color w:val="auto"/>
          <w:sz w:val="24"/>
          <w:szCs w:val="24"/>
          <w:highlight w:val="none"/>
        </w:rPr>
        <w:t>毕</w:t>
      </w:r>
      <w:r>
        <w:rPr>
          <w:rFonts w:hint="eastAsia" w:ascii="宋体" w:hAnsi="宋体" w:cs="华文楷体"/>
          <w:color w:val="auto"/>
          <w:spacing w:val="-2"/>
          <w:sz w:val="24"/>
          <w:szCs w:val="24"/>
          <w:highlight w:val="none"/>
        </w:rPr>
        <w:t>后</w:t>
      </w:r>
      <w:r>
        <w:rPr>
          <w:rFonts w:hint="eastAsia" w:ascii="宋体" w:hAnsi="宋体" w:cs="华文楷体"/>
          <w:color w:val="auto"/>
          <w:sz w:val="24"/>
          <w:szCs w:val="24"/>
          <w:highlight w:val="none"/>
        </w:rPr>
        <w:t>自</w:t>
      </w:r>
      <w:r>
        <w:rPr>
          <w:rFonts w:hint="eastAsia" w:ascii="宋体" w:hAnsi="宋体" w:cs="华文楷体"/>
          <w:color w:val="auto"/>
          <w:spacing w:val="-2"/>
          <w:sz w:val="24"/>
          <w:szCs w:val="24"/>
          <w:highlight w:val="none"/>
        </w:rPr>
        <w:t>动</w:t>
      </w:r>
      <w:r>
        <w:rPr>
          <w:rFonts w:hint="eastAsia" w:ascii="宋体" w:hAnsi="宋体" w:cs="华文楷体"/>
          <w:color w:val="auto"/>
          <w:sz w:val="24"/>
          <w:szCs w:val="24"/>
          <w:highlight w:val="none"/>
        </w:rPr>
        <w:t>失</w:t>
      </w:r>
      <w:r>
        <w:rPr>
          <w:rFonts w:hint="eastAsia" w:ascii="宋体" w:hAnsi="宋体" w:cs="华文楷体"/>
          <w:color w:val="auto"/>
          <w:spacing w:val="-3"/>
          <w:sz w:val="24"/>
          <w:szCs w:val="24"/>
          <w:highlight w:val="none"/>
        </w:rPr>
        <w:t>效</w:t>
      </w:r>
      <w:r>
        <w:rPr>
          <w:rFonts w:hint="eastAsia" w:ascii="宋体" w:hAnsi="宋体" w:cs="华文楷体"/>
          <w:color w:val="auto"/>
          <w:sz w:val="24"/>
          <w:szCs w:val="24"/>
          <w:highlight w:val="none"/>
        </w:rPr>
        <w:t>。</w:t>
      </w:r>
    </w:p>
    <w:p w14:paraId="192F5509">
      <w:pPr>
        <w:spacing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position w:val="-1"/>
          <w:sz w:val="24"/>
          <w:szCs w:val="24"/>
          <w:highlight w:val="none"/>
        </w:rPr>
        <w:t>注：本协议书由法</w:t>
      </w:r>
      <w:r>
        <w:rPr>
          <w:rFonts w:hint="eastAsia" w:ascii="宋体" w:hAnsi="宋体" w:cs="华文楷体"/>
          <w:color w:val="auto"/>
          <w:spacing w:val="-2"/>
          <w:position w:val="-1"/>
          <w:sz w:val="24"/>
          <w:szCs w:val="24"/>
          <w:highlight w:val="none"/>
        </w:rPr>
        <w:t>定</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表</w:t>
      </w:r>
      <w:r>
        <w:rPr>
          <w:rFonts w:hint="eastAsia" w:ascii="宋体" w:hAnsi="宋体" w:cs="华文楷体"/>
          <w:color w:val="auto"/>
          <w:position w:val="-1"/>
          <w:sz w:val="24"/>
          <w:szCs w:val="24"/>
          <w:highlight w:val="none"/>
        </w:rPr>
        <w:t>人签字的，应附法</w:t>
      </w:r>
      <w:r>
        <w:rPr>
          <w:rFonts w:hint="eastAsia" w:ascii="宋体" w:hAnsi="宋体" w:cs="华文楷体"/>
          <w:color w:val="auto"/>
          <w:spacing w:val="-2"/>
          <w:position w:val="-1"/>
          <w:sz w:val="24"/>
          <w:szCs w:val="24"/>
          <w:highlight w:val="none"/>
        </w:rPr>
        <w:t>定</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表</w:t>
      </w:r>
      <w:r>
        <w:rPr>
          <w:rFonts w:hint="eastAsia" w:ascii="宋体" w:hAnsi="宋体" w:cs="华文楷体"/>
          <w:color w:val="auto"/>
          <w:position w:val="-1"/>
          <w:sz w:val="24"/>
          <w:szCs w:val="24"/>
          <w:highlight w:val="none"/>
        </w:rPr>
        <w:t>人身份证明；由委</w:t>
      </w:r>
      <w:r>
        <w:rPr>
          <w:rFonts w:hint="eastAsia" w:ascii="宋体" w:hAnsi="宋体" w:cs="华文楷体"/>
          <w:color w:val="auto"/>
          <w:spacing w:val="-2"/>
          <w:position w:val="-1"/>
          <w:sz w:val="24"/>
          <w:szCs w:val="24"/>
          <w:highlight w:val="none"/>
        </w:rPr>
        <w:t>托</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理</w:t>
      </w:r>
      <w:r>
        <w:rPr>
          <w:rFonts w:hint="eastAsia" w:ascii="宋体" w:hAnsi="宋体" w:cs="华文楷体"/>
          <w:color w:val="auto"/>
          <w:position w:val="-1"/>
          <w:sz w:val="24"/>
          <w:szCs w:val="24"/>
          <w:highlight w:val="none"/>
        </w:rPr>
        <w:t>人签字的，应</w:t>
      </w:r>
      <w:r>
        <w:rPr>
          <w:rFonts w:hint="eastAsia" w:ascii="宋体" w:hAnsi="宋体" w:cs="华文楷体"/>
          <w:color w:val="auto"/>
          <w:sz w:val="24"/>
          <w:szCs w:val="24"/>
          <w:highlight w:val="none"/>
        </w:rPr>
        <w:t>附授</w:t>
      </w:r>
      <w:r>
        <w:rPr>
          <w:rFonts w:hint="eastAsia" w:ascii="宋体" w:hAnsi="宋体" w:cs="华文楷体"/>
          <w:color w:val="auto"/>
          <w:spacing w:val="-2"/>
          <w:sz w:val="24"/>
          <w:szCs w:val="24"/>
          <w:highlight w:val="none"/>
        </w:rPr>
        <w:t>权</w:t>
      </w:r>
      <w:r>
        <w:rPr>
          <w:rFonts w:hint="eastAsia" w:ascii="宋体" w:hAnsi="宋体" w:cs="华文楷体"/>
          <w:color w:val="auto"/>
          <w:sz w:val="24"/>
          <w:szCs w:val="24"/>
          <w:highlight w:val="none"/>
        </w:rPr>
        <w:t>委</w:t>
      </w:r>
      <w:r>
        <w:rPr>
          <w:rFonts w:hint="eastAsia" w:ascii="宋体" w:hAnsi="宋体" w:cs="华文楷体"/>
          <w:color w:val="auto"/>
          <w:spacing w:val="-2"/>
          <w:sz w:val="24"/>
          <w:szCs w:val="24"/>
          <w:highlight w:val="none"/>
        </w:rPr>
        <w:t>托</w:t>
      </w:r>
      <w:r>
        <w:rPr>
          <w:rFonts w:hint="eastAsia" w:ascii="宋体" w:hAnsi="宋体" w:cs="华文楷体"/>
          <w:color w:val="auto"/>
          <w:sz w:val="24"/>
          <w:szCs w:val="24"/>
          <w:highlight w:val="none"/>
        </w:rPr>
        <w:t>书。</w:t>
      </w:r>
    </w:p>
    <w:p w14:paraId="12DA676E">
      <w:pPr>
        <w:tabs>
          <w:tab w:val="left" w:pos="7240"/>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4"/>
          <w:sz w:val="24"/>
          <w:szCs w:val="24"/>
          <w:highlight w:val="none"/>
        </w:rPr>
        <w:t>联合</w:t>
      </w:r>
      <w:r>
        <w:rPr>
          <w:rFonts w:hint="eastAsia" w:ascii="宋体" w:hAnsi="宋体" w:cs="华文楷体"/>
          <w:color w:val="auto"/>
          <w:spacing w:val="-2"/>
          <w:position w:val="-4"/>
          <w:sz w:val="24"/>
          <w:szCs w:val="24"/>
          <w:highlight w:val="none"/>
        </w:rPr>
        <w:t>体</w:t>
      </w:r>
      <w:r>
        <w:rPr>
          <w:rFonts w:hint="eastAsia" w:ascii="宋体" w:hAnsi="宋体" w:cs="华文楷体"/>
          <w:color w:val="auto"/>
          <w:position w:val="-4"/>
          <w:sz w:val="24"/>
          <w:szCs w:val="24"/>
          <w:highlight w:val="none"/>
        </w:rPr>
        <w:t>牵</w:t>
      </w:r>
      <w:r>
        <w:rPr>
          <w:rFonts w:hint="eastAsia" w:ascii="宋体" w:hAnsi="宋体" w:cs="华文楷体"/>
          <w:color w:val="auto"/>
          <w:spacing w:val="-2"/>
          <w:position w:val="-4"/>
          <w:sz w:val="24"/>
          <w:szCs w:val="24"/>
          <w:highlight w:val="none"/>
        </w:rPr>
        <w:t>头</w:t>
      </w:r>
      <w:r>
        <w:rPr>
          <w:rFonts w:hint="eastAsia" w:ascii="宋体" w:hAnsi="宋体" w:cs="华文楷体"/>
          <w:color w:val="auto"/>
          <w:position w:val="-4"/>
          <w:sz w:val="24"/>
          <w:szCs w:val="24"/>
          <w:highlight w:val="none"/>
        </w:rPr>
        <w:t>人</w:t>
      </w:r>
      <w:r>
        <w:rPr>
          <w:rFonts w:hint="eastAsia" w:ascii="宋体" w:hAnsi="宋体" w:cs="华文楷体"/>
          <w:color w:val="auto"/>
          <w:spacing w:val="-2"/>
          <w:position w:val="-4"/>
          <w:sz w:val="24"/>
          <w:szCs w:val="24"/>
          <w:highlight w:val="none"/>
        </w:rPr>
        <w:t>名</w:t>
      </w:r>
      <w:r>
        <w:rPr>
          <w:rFonts w:hint="eastAsia" w:ascii="宋体" w:hAnsi="宋体" w:cs="华文楷体"/>
          <w:color w:val="auto"/>
          <w:position w:val="-4"/>
          <w:sz w:val="24"/>
          <w:szCs w:val="24"/>
          <w:highlight w:val="none"/>
        </w:rPr>
        <w:t>称</w:t>
      </w:r>
      <w:r>
        <w:rPr>
          <w:rFonts w:hint="eastAsia" w:ascii="宋体" w:hAnsi="宋体" w:cs="华文楷体"/>
          <w:color w:val="auto"/>
          <w:spacing w:val="-3"/>
          <w:position w:val="-4"/>
          <w:sz w:val="24"/>
          <w:szCs w:val="24"/>
          <w:highlight w:val="none"/>
        </w:rPr>
        <w:t>：</w:t>
      </w:r>
      <w:r>
        <w:rPr>
          <w:rFonts w:hint="eastAsia" w:ascii="宋体" w:hAnsi="宋体" w:cs="华文楷体"/>
          <w:color w:val="auto"/>
          <w:position w:val="-4"/>
          <w:sz w:val="24"/>
          <w:szCs w:val="24"/>
          <w:highlight w:val="none"/>
          <w:u w:val="single"/>
        </w:rPr>
        <w:t xml:space="preserve"> </w:t>
      </w:r>
      <w:r>
        <w:rPr>
          <w:rFonts w:hint="eastAsia" w:ascii="宋体" w:hAnsi="宋体" w:cs="华文楷体"/>
          <w:color w:val="auto"/>
          <w:spacing w:val="1"/>
          <w:position w:val="-4"/>
          <w:sz w:val="24"/>
          <w:szCs w:val="24"/>
          <w:highlight w:val="none"/>
          <w:u w:val="single"/>
        </w:rPr>
        <w:t xml:space="preserve"> </w:t>
      </w: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（盖</w:t>
      </w:r>
      <w:r>
        <w:rPr>
          <w:rFonts w:hint="eastAsia" w:ascii="宋体" w:hAnsi="宋体" w:cs="华文楷体"/>
          <w:color w:val="auto"/>
          <w:spacing w:val="-2"/>
          <w:position w:val="-4"/>
          <w:sz w:val="24"/>
          <w:szCs w:val="24"/>
          <w:highlight w:val="none"/>
        </w:rPr>
        <w:t>单</w:t>
      </w:r>
      <w:r>
        <w:rPr>
          <w:rFonts w:hint="eastAsia" w:ascii="宋体" w:hAnsi="宋体" w:cs="华文楷体"/>
          <w:color w:val="auto"/>
          <w:position w:val="-4"/>
          <w:sz w:val="24"/>
          <w:szCs w:val="24"/>
          <w:highlight w:val="none"/>
        </w:rPr>
        <w:t>位</w:t>
      </w:r>
      <w:r>
        <w:rPr>
          <w:rFonts w:hint="eastAsia" w:ascii="宋体" w:hAnsi="宋体" w:cs="华文楷体"/>
          <w:color w:val="auto"/>
          <w:spacing w:val="-2"/>
          <w:position w:val="-4"/>
          <w:sz w:val="24"/>
          <w:szCs w:val="24"/>
          <w:highlight w:val="none"/>
        </w:rPr>
        <w:t>章</w:t>
      </w:r>
      <w:r>
        <w:rPr>
          <w:rFonts w:hint="eastAsia" w:ascii="宋体" w:hAnsi="宋体" w:cs="华文楷体"/>
          <w:color w:val="auto"/>
          <w:position w:val="-4"/>
          <w:sz w:val="24"/>
          <w:szCs w:val="24"/>
          <w:highlight w:val="none"/>
        </w:rPr>
        <w:t>）</w:t>
      </w:r>
    </w:p>
    <w:p w14:paraId="4E615CFB">
      <w:pPr>
        <w:tabs>
          <w:tab w:val="left" w:pos="6645"/>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2"/>
          <w:sz w:val="24"/>
          <w:szCs w:val="24"/>
          <w:highlight w:val="none"/>
        </w:rPr>
        <w:t>法定</w:t>
      </w:r>
      <w:r>
        <w:rPr>
          <w:rFonts w:hint="eastAsia" w:ascii="宋体" w:hAnsi="宋体" w:cs="华文楷体"/>
          <w:color w:val="auto"/>
          <w:spacing w:val="-2"/>
          <w:position w:val="-2"/>
          <w:sz w:val="24"/>
          <w:szCs w:val="24"/>
          <w:highlight w:val="none"/>
        </w:rPr>
        <w:t>代</w:t>
      </w:r>
      <w:r>
        <w:rPr>
          <w:rFonts w:hint="eastAsia" w:ascii="宋体" w:hAnsi="宋体" w:cs="华文楷体"/>
          <w:color w:val="auto"/>
          <w:position w:val="-2"/>
          <w:sz w:val="24"/>
          <w:szCs w:val="24"/>
          <w:highlight w:val="none"/>
        </w:rPr>
        <w:t>表</w:t>
      </w:r>
      <w:r>
        <w:rPr>
          <w:rFonts w:hint="eastAsia" w:ascii="宋体" w:hAnsi="宋体" w:cs="华文楷体"/>
          <w:color w:val="auto"/>
          <w:spacing w:val="-2"/>
          <w:position w:val="-2"/>
          <w:sz w:val="24"/>
          <w:szCs w:val="24"/>
          <w:highlight w:val="none"/>
        </w:rPr>
        <w:t>人</w:t>
      </w:r>
      <w:r>
        <w:rPr>
          <w:rFonts w:hint="eastAsia" w:ascii="宋体" w:hAnsi="宋体" w:cs="华文楷体"/>
          <w:color w:val="auto"/>
          <w:position w:val="-2"/>
          <w:sz w:val="24"/>
          <w:szCs w:val="24"/>
          <w:highlight w:val="none"/>
        </w:rPr>
        <w:t>或</w:t>
      </w:r>
      <w:r>
        <w:rPr>
          <w:rFonts w:hint="eastAsia" w:ascii="宋体" w:hAnsi="宋体" w:cs="华文楷体"/>
          <w:color w:val="auto"/>
          <w:spacing w:val="-2"/>
          <w:position w:val="-2"/>
          <w:sz w:val="24"/>
          <w:szCs w:val="24"/>
          <w:highlight w:val="none"/>
        </w:rPr>
        <w:t>其</w:t>
      </w:r>
      <w:r>
        <w:rPr>
          <w:rFonts w:hint="eastAsia" w:ascii="宋体" w:hAnsi="宋体" w:cs="华文楷体"/>
          <w:color w:val="auto"/>
          <w:position w:val="-2"/>
          <w:sz w:val="24"/>
          <w:szCs w:val="24"/>
          <w:highlight w:val="none"/>
        </w:rPr>
        <w:t>委</w:t>
      </w:r>
      <w:r>
        <w:rPr>
          <w:rFonts w:hint="eastAsia" w:ascii="宋体" w:hAnsi="宋体" w:cs="华文楷体"/>
          <w:color w:val="auto"/>
          <w:spacing w:val="-2"/>
          <w:position w:val="-2"/>
          <w:sz w:val="24"/>
          <w:szCs w:val="24"/>
          <w:highlight w:val="none"/>
        </w:rPr>
        <w:t>托</w:t>
      </w:r>
      <w:r>
        <w:rPr>
          <w:rFonts w:hint="eastAsia" w:ascii="宋体" w:hAnsi="宋体" w:cs="华文楷体"/>
          <w:color w:val="auto"/>
          <w:position w:val="-2"/>
          <w:sz w:val="24"/>
          <w:szCs w:val="24"/>
          <w:highlight w:val="none"/>
        </w:rPr>
        <w:t>代</w:t>
      </w:r>
      <w:r>
        <w:rPr>
          <w:rFonts w:hint="eastAsia" w:ascii="宋体" w:hAnsi="宋体" w:cs="华文楷体"/>
          <w:color w:val="auto"/>
          <w:spacing w:val="-2"/>
          <w:position w:val="-2"/>
          <w:sz w:val="24"/>
          <w:szCs w:val="24"/>
          <w:highlight w:val="none"/>
        </w:rPr>
        <w:t>理</w:t>
      </w:r>
      <w:r>
        <w:rPr>
          <w:rFonts w:hint="eastAsia" w:ascii="宋体" w:hAnsi="宋体" w:cs="华文楷体"/>
          <w:color w:val="auto"/>
          <w:position w:val="-2"/>
          <w:sz w:val="24"/>
          <w:szCs w:val="24"/>
          <w:highlight w:val="none"/>
        </w:rPr>
        <w:t>人：</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（签</w:t>
      </w:r>
      <w:r>
        <w:rPr>
          <w:rFonts w:hint="eastAsia" w:ascii="宋体" w:hAnsi="宋体" w:cs="华文楷体"/>
          <w:color w:val="auto"/>
          <w:spacing w:val="-2"/>
          <w:position w:val="-2"/>
          <w:sz w:val="24"/>
          <w:szCs w:val="24"/>
          <w:highlight w:val="none"/>
        </w:rPr>
        <w:t>字或盖章</w:t>
      </w:r>
      <w:r>
        <w:rPr>
          <w:rFonts w:hint="eastAsia" w:ascii="宋体" w:hAnsi="宋体" w:cs="华文楷体"/>
          <w:color w:val="auto"/>
          <w:position w:val="-2"/>
          <w:sz w:val="24"/>
          <w:szCs w:val="24"/>
          <w:highlight w:val="none"/>
        </w:rPr>
        <w:t>）</w:t>
      </w:r>
    </w:p>
    <w:p w14:paraId="2F2E15CC">
      <w:pPr>
        <w:tabs>
          <w:tab w:val="left" w:pos="7240"/>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2"/>
          <w:sz w:val="24"/>
          <w:szCs w:val="24"/>
          <w:highlight w:val="none"/>
        </w:rPr>
        <w:t>联合</w:t>
      </w:r>
      <w:r>
        <w:rPr>
          <w:rFonts w:hint="eastAsia" w:ascii="宋体" w:hAnsi="宋体" w:cs="华文楷体"/>
          <w:color w:val="auto"/>
          <w:spacing w:val="-2"/>
          <w:position w:val="-2"/>
          <w:sz w:val="24"/>
          <w:szCs w:val="24"/>
          <w:highlight w:val="none"/>
        </w:rPr>
        <w:t>体</w:t>
      </w:r>
      <w:r>
        <w:rPr>
          <w:rFonts w:hint="eastAsia" w:ascii="宋体" w:hAnsi="宋体" w:cs="华文楷体"/>
          <w:color w:val="auto"/>
          <w:position w:val="-2"/>
          <w:sz w:val="24"/>
          <w:szCs w:val="24"/>
          <w:highlight w:val="none"/>
        </w:rPr>
        <w:t>成</w:t>
      </w:r>
      <w:r>
        <w:rPr>
          <w:rFonts w:hint="eastAsia" w:ascii="宋体" w:hAnsi="宋体" w:cs="华文楷体"/>
          <w:color w:val="auto"/>
          <w:spacing w:val="-2"/>
          <w:position w:val="-2"/>
          <w:sz w:val="24"/>
          <w:szCs w:val="24"/>
          <w:highlight w:val="none"/>
        </w:rPr>
        <w:t>员</w:t>
      </w:r>
      <w:r>
        <w:rPr>
          <w:rFonts w:hint="eastAsia" w:ascii="宋体" w:hAnsi="宋体" w:cs="华文楷体"/>
          <w:color w:val="auto"/>
          <w:position w:val="-2"/>
          <w:sz w:val="24"/>
          <w:szCs w:val="24"/>
          <w:highlight w:val="none"/>
        </w:rPr>
        <w:t>名</w:t>
      </w:r>
      <w:r>
        <w:rPr>
          <w:rFonts w:hint="eastAsia" w:ascii="宋体" w:hAnsi="宋体" w:cs="华文楷体"/>
          <w:color w:val="auto"/>
          <w:spacing w:val="-2"/>
          <w:position w:val="-2"/>
          <w:sz w:val="24"/>
          <w:szCs w:val="24"/>
          <w:highlight w:val="none"/>
        </w:rPr>
        <w:t>称</w:t>
      </w:r>
      <w:r>
        <w:rPr>
          <w:rFonts w:hint="eastAsia" w:ascii="宋体" w:hAnsi="宋体" w:cs="华文楷体"/>
          <w:color w:val="auto"/>
          <w:position w:val="-2"/>
          <w:sz w:val="24"/>
          <w:szCs w:val="24"/>
          <w:highlight w:val="none"/>
        </w:rPr>
        <w:t>：</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（盖</w:t>
      </w:r>
      <w:r>
        <w:rPr>
          <w:rFonts w:hint="eastAsia" w:ascii="宋体" w:hAnsi="宋体" w:cs="华文楷体"/>
          <w:color w:val="auto"/>
          <w:spacing w:val="-2"/>
          <w:position w:val="-2"/>
          <w:sz w:val="24"/>
          <w:szCs w:val="24"/>
          <w:highlight w:val="none"/>
        </w:rPr>
        <w:t>单</w:t>
      </w:r>
      <w:r>
        <w:rPr>
          <w:rFonts w:hint="eastAsia" w:ascii="宋体" w:hAnsi="宋体" w:cs="华文楷体"/>
          <w:color w:val="auto"/>
          <w:position w:val="-2"/>
          <w:sz w:val="24"/>
          <w:szCs w:val="24"/>
          <w:highlight w:val="none"/>
        </w:rPr>
        <w:t>位</w:t>
      </w:r>
      <w:r>
        <w:rPr>
          <w:rFonts w:hint="eastAsia" w:ascii="宋体" w:hAnsi="宋体" w:cs="华文楷体"/>
          <w:color w:val="auto"/>
          <w:spacing w:val="-2"/>
          <w:position w:val="-2"/>
          <w:sz w:val="24"/>
          <w:szCs w:val="24"/>
          <w:highlight w:val="none"/>
        </w:rPr>
        <w:t>章</w:t>
      </w:r>
      <w:r>
        <w:rPr>
          <w:rFonts w:hint="eastAsia" w:ascii="宋体" w:hAnsi="宋体" w:cs="华文楷体"/>
          <w:color w:val="auto"/>
          <w:position w:val="-2"/>
          <w:sz w:val="24"/>
          <w:szCs w:val="24"/>
          <w:highlight w:val="none"/>
        </w:rPr>
        <w:t>）</w:t>
      </w:r>
    </w:p>
    <w:p w14:paraId="4B4801CC">
      <w:pPr>
        <w:tabs>
          <w:tab w:val="left" w:pos="6180"/>
        </w:tabs>
        <w:spacing w:line="360" w:lineRule="auto"/>
        <w:ind w:left="2511" w:right="-20"/>
        <w:jc w:val="left"/>
        <w:rPr>
          <w:rFonts w:ascii="宋体" w:hAnsi="宋体" w:cs="华文楷体"/>
          <w:color w:val="auto"/>
          <w:position w:val="-2"/>
          <w:sz w:val="24"/>
          <w:szCs w:val="24"/>
          <w:highlight w:val="none"/>
        </w:rPr>
      </w:pPr>
      <w:r>
        <w:rPr>
          <w:rFonts w:hint="eastAsia" w:ascii="宋体" w:hAnsi="宋体" w:cs="华文楷体"/>
          <w:color w:val="auto"/>
          <w:position w:val="-2"/>
          <w:sz w:val="24"/>
          <w:szCs w:val="24"/>
          <w:highlight w:val="none"/>
        </w:rPr>
        <w:t>法定</w:t>
      </w:r>
      <w:r>
        <w:rPr>
          <w:rFonts w:hint="eastAsia" w:ascii="宋体" w:hAnsi="宋体" w:cs="华文楷体"/>
          <w:color w:val="auto"/>
          <w:spacing w:val="-2"/>
          <w:position w:val="-2"/>
          <w:sz w:val="24"/>
          <w:szCs w:val="24"/>
          <w:highlight w:val="none"/>
        </w:rPr>
        <w:t>代</w:t>
      </w:r>
      <w:r>
        <w:rPr>
          <w:rFonts w:hint="eastAsia" w:ascii="宋体" w:hAnsi="宋体" w:cs="华文楷体"/>
          <w:color w:val="auto"/>
          <w:position w:val="-2"/>
          <w:sz w:val="24"/>
          <w:szCs w:val="24"/>
          <w:highlight w:val="none"/>
        </w:rPr>
        <w:t>表</w:t>
      </w:r>
      <w:r>
        <w:rPr>
          <w:rFonts w:hint="eastAsia" w:ascii="宋体" w:hAnsi="宋体" w:cs="华文楷体"/>
          <w:color w:val="auto"/>
          <w:spacing w:val="-2"/>
          <w:position w:val="-2"/>
          <w:sz w:val="24"/>
          <w:szCs w:val="24"/>
          <w:highlight w:val="none"/>
        </w:rPr>
        <w:t>人</w:t>
      </w:r>
      <w:r>
        <w:rPr>
          <w:rFonts w:hint="eastAsia" w:ascii="宋体" w:hAnsi="宋体" w:cs="华文楷体"/>
          <w:color w:val="auto"/>
          <w:position w:val="-2"/>
          <w:sz w:val="24"/>
          <w:szCs w:val="24"/>
          <w:highlight w:val="none"/>
        </w:rPr>
        <w:t>或</w:t>
      </w:r>
      <w:r>
        <w:rPr>
          <w:rFonts w:hint="eastAsia" w:ascii="宋体" w:hAnsi="宋体" w:cs="华文楷体"/>
          <w:color w:val="auto"/>
          <w:spacing w:val="-2"/>
          <w:position w:val="-2"/>
          <w:sz w:val="24"/>
          <w:szCs w:val="24"/>
          <w:highlight w:val="none"/>
        </w:rPr>
        <w:t>其</w:t>
      </w:r>
      <w:r>
        <w:rPr>
          <w:rFonts w:hint="eastAsia" w:ascii="宋体" w:hAnsi="宋体" w:cs="华文楷体"/>
          <w:color w:val="auto"/>
          <w:position w:val="-2"/>
          <w:sz w:val="24"/>
          <w:szCs w:val="24"/>
          <w:highlight w:val="none"/>
        </w:rPr>
        <w:t>委</w:t>
      </w:r>
      <w:r>
        <w:rPr>
          <w:rFonts w:hint="eastAsia" w:ascii="宋体" w:hAnsi="宋体" w:cs="华文楷体"/>
          <w:color w:val="auto"/>
          <w:spacing w:val="-2"/>
          <w:position w:val="-2"/>
          <w:sz w:val="24"/>
          <w:szCs w:val="24"/>
          <w:highlight w:val="none"/>
        </w:rPr>
        <w:t>托</w:t>
      </w:r>
      <w:r>
        <w:rPr>
          <w:rFonts w:hint="eastAsia" w:ascii="宋体" w:hAnsi="宋体" w:cs="华文楷体"/>
          <w:color w:val="auto"/>
          <w:position w:val="-2"/>
          <w:sz w:val="24"/>
          <w:szCs w:val="24"/>
          <w:highlight w:val="none"/>
        </w:rPr>
        <w:t>代</w:t>
      </w:r>
      <w:r>
        <w:rPr>
          <w:rFonts w:hint="eastAsia" w:ascii="宋体" w:hAnsi="宋体" w:cs="华文楷体"/>
          <w:color w:val="auto"/>
          <w:spacing w:val="-2"/>
          <w:position w:val="-2"/>
          <w:sz w:val="24"/>
          <w:szCs w:val="24"/>
          <w:highlight w:val="none"/>
        </w:rPr>
        <w:t>理</w:t>
      </w:r>
      <w:r>
        <w:rPr>
          <w:rFonts w:hint="eastAsia" w:ascii="宋体" w:hAnsi="宋体" w:cs="华文楷体"/>
          <w:color w:val="auto"/>
          <w:position w:val="-2"/>
          <w:sz w:val="24"/>
          <w:szCs w:val="24"/>
          <w:highlight w:val="none"/>
        </w:rPr>
        <w:t>人：</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w:t>
      </w:r>
      <w:r>
        <w:rPr>
          <w:rFonts w:hint="eastAsia" w:ascii="宋体" w:hAnsi="宋体" w:cs="华文楷体"/>
          <w:color w:val="auto"/>
          <w:spacing w:val="-2"/>
          <w:position w:val="-2"/>
          <w:sz w:val="24"/>
          <w:szCs w:val="24"/>
          <w:highlight w:val="none"/>
        </w:rPr>
        <w:t>签</w:t>
      </w:r>
      <w:r>
        <w:rPr>
          <w:rFonts w:hint="eastAsia" w:ascii="宋体" w:hAnsi="宋体" w:cs="华文楷体"/>
          <w:color w:val="auto"/>
          <w:position w:val="-2"/>
          <w:sz w:val="24"/>
          <w:szCs w:val="24"/>
          <w:highlight w:val="none"/>
        </w:rPr>
        <w:t>字或盖章）</w:t>
      </w:r>
    </w:p>
    <w:p w14:paraId="4D630EDE">
      <w:pPr>
        <w:pStyle w:val="2"/>
        <w:spacing w:line="360" w:lineRule="auto"/>
        <w:ind w:firstLine="3600" w:firstLineChars="1500"/>
        <w:rPr>
          <w:rFonts w:ascii="宋体" w:hAnsi="宋体" w:cs="华文楷体"/>
          <w:color w:val="auto"/>
          <w:sz w:val="24"/>
          <w:highlight w:val="none"/>
        </w:rPr>
      </w:pPr>
      <w:r>
        <w:rPr>
          <w:rFonts w:hint="eastAsia" w:ascii="宋体" w:hAnsi="宋体" w:cs="华文楷体"/>
          <w:color w:val="auto"/>
          <w:kern w:val="44"/>
          <w:sz w:val="24"/>
          <w:highlight w:val="none"/>
        </w:rPr>
        <w:t>……（如有，投标人自行添加）</w:t>
      </w:r>
    </w:p>
    <w:p w14:paraId="14334C89">
      <w:pPr>
        <w:widowControl/>
        <w:spacing w:line="360" w:lineRule="auto"/>
        <w:jc w:val="center"/>
        <w:rPr>
          <w:rFonts w:ascii="宋体" w:hAnsi="宋体" w:cs="华文楷体"/>
          <w:color w:val="auto"/>
          <w:sz w:val="24"/>
          <w:szCs w:val="24"/>
          <w:highlight w:val="none"/>
        </w:rPr>
      </w:pPr>
      <w:r>
        <w:rPr>
          <w:rFonts w:hint="eastAsia" w:ascii="宋体" w:hAnsi="宋体" w:cs="华文楷体"/>
          <w:color w:val="auto"/>
          <w:sz w:val="24"/>
          <w:szCs w:val="24"/>
          <w:highlight w:val="none"/>
        </w:rPr>
        <w:tab/>
      </w:r>
      <w:r>
        <w:rPr>
          <w:rFonts w:hint="eastAsia" w:ascii="宋体" w:hAnsi="宋体" w:cs="华文楷体"/>
          <w:color w:val="auto"/>
          <w:sz w:val="24"/>
          <w:szCs w:val="24"/>
          <w:highlight w:val="none"/>
        </w:rPr>
        <w:t>日期：</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年</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月</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日</w:t>
      </w:r>
    </w:p>
    <w:p w14:paraId="058AB104">
      <w:pPr>
        <w:rPr>
          <w:color w:val="auto"/>
          <w:highlight w:val="none"/>
        </w:rPr>
      </w:pPr>
    </w:p>
    <w:p w14:paraId="7D8B71F5">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r>
        <w:rPr>
          <w:rFonts w:hint="eastAsia" w:ascii="宋体" w:hAnsi="宋体" w:cs="宋体"/>
          <w:b/>
          <w:bCs/>
          <w:color w:val="auto"/>
          <w:kern w:val="0"/>
          <w:sz w:val="28"/>
          <w:szCs w:val="28"/>
          <w:highlight w:val="none"/>
        </w:rPr>
        <w:t>（六）投标人认为应该提供的其他资审资料</w:t>
      </w:r>
    </w:p>
    <w:p w14:paraId="67822A75">
      <w:pPr>
        <w:pStyle w:val="26"/>
        <w:ind w:left="0" w:leftChars="0" w:firstLine="0" w:firstLineChars="0"/>
        <w:jc w:val="center"/>
        <w:rPr>
          <w:rFonts w:ascii="宋体" w:hAnsi="宋体" w:cs="宋体"/>
          <w:b/>
          <w:bCs/>
          <w:color w:val="auto"/>
          <w:kern w:val="0"/>
          <w:szCs w:val="21"/>
          <w:highlight w:val="none"/>
        </w:rPr>
      </w:pPr>
    </w:p>
    <w:p w14:paraId="26AC67B6">
      <w:pPr>
        <w:pStyle w:val="26"/>
        <w:ind w:left="0" w:leftChars="0" w:firstLine="0" w:firstLineChars="0"/>
        <w:jc w:val="center"/>
        <w:rPr>
          <w:rFonts w:ascii="宋体" w:hAnsi="宋体" w:cs="宋体"/>
          <w:b/>
          <w:bCs/>
          <w:color w:val="auto"/>
          <w:kern w:val="0"/>
          <w:szCs w:val="21"/>
          <w:highlight w:val="none"/>
        </w:rPr>
      </w:pPr>
    </w:p>
    <w:p w14:paraId="562D84BA">
      <w:pPr>
        <w:pStyle w:val="26"/>
        <w:ind w:left="0" w:leftChars="0" w:firstLine="0" w:firstLineChars="0"/>
        <w:jc w:val="center"/>
        <w:rPr>
          <w:rFonts w:ascii="宋体" w:hAnsi="宋体" w:cs="宋体"/>
          <w:b/>
          <w:bCs/>
          <w:color w:val="auto"/>
          <w:kern w:val="0"/>
          <w:szCs w:val="21"/>
          <w:highlight w:val="none"/>
        </w:rPr>
      </w:pPr>
    </w:p>
    <w:p w14:paraId="53BE6880">
      <w:pPr>
        <w:pStyle w:val="6"/>
        <w:jc w:val="center"/>
        <w:rPr>
          <w:color w:val="auto"/>
          <w:highlight w:val="none"/>
        </w:rPr>
      </w:pPr>
      <w:r>
        <w:rPr>
          <w:color w:val="auto"/>
          <w:highlight w:val="none"/>
        </w:rPr>
        <w:br w:type="page"/>
      </w:r>
      <w:bookmarkStart w:id="197" w:name="_Toc118554001"/>
      <w:bookmarkStart w:id="198" w:name="_Toc533357334"/>
      <w:bookmarkStart w:id="199" w:name="_Toc20625"/>
      <w:r>
        <w:rPr>
          <w:rFonts w:hint="eastAsia"/>
          <w:color w:val="auto"/>
          <w:highlight w:val="none"/>
        </w:rPr>
        <w:t>六、类似项目业绩表</w:t>
      </w:r>
      <w:bookmarkEnd w:id="197"/>
    </w:p>
    <w:p w14:paraId="1494168C">
      <w:pPr>
        <w:jc w:val="center"/>
        <w:rPr>
          <w:color w:val="auto"/>
          <w:highlight w:val="none"/>
        </w:rPr>
      </w:pPr>
      <w:r>
        <w:rPr>
          <w:rFonts w:hint="eastAsia"/>
          <w:b/>
          <w:color w:val="auto"/>
          <w:sz w:val="28"/>
          <w:szCs w:val="28"/>
          <w:highlight w:val="none"/>
        </w:rPr>
        <w:t>类似项目业绩表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92"/>
        <w:gridCol w:w="1054"/>
        <w:gridCol w:w="1356"/>
        <w:gridCol w:w="932"/>
        <w:gridCol w:w="1827"/>
        <w:gridCol w:w="1201"/>
      </w:tblGrid>
      <w:tr w14:paraId="09E7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09" w:type="dxa"/>
            <w:vAlign w:val="center"/>
          </w:tcPr>
          <w:p w14:paraId="569BD4F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2492" w:type="dxa"/>
            <w:vAlign w:val="center"/>
          </w:tcPr>
          <w:p w14:paraId="05AF92D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工程名称</w:t>
            </w:r>
          </w:p>
        </w:tc>
        <w:tc>
          <w:tcPr>
            <w:tcW w:w="1054" w:type="dxa"/>
            <w:vAlign w:val="center"/>
          </w:tcPr>
          <w:p w14:paraId="71DF95F4">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建设单位</w:t>
            </w:r>
          </w:p>
        </w:tc>
        <w:tc>
          <w:tcPr>
            <w:tcW w:w="1356" w:type="dxa"/>
            <w:vAlign w:val="center"/>
          </w:tcPr>
          <w:p w14:paraId="577DFF60">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合同价（万元）</w:t>
            </w:r>
          </w:p>
        </w:tc>
        <w:tc>
          <w:tcPr>
            <w:tcW w:w="932" w:type="dxa"/>
            <w:vAlign w:val="center"/>
          </w:tcPr>
          <w:p w14:paraId="5257E347">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起止时间</w:t>
            </w:r>
          </w:p>
        </w:tc>
        <w:tc>
          <w:tcPr>
            <w:tcW w:w="1827" w:type="dxa"/>
            <w:vAlign w:val="center"/>
          </w:tcPr>
          <w:p w14:paraId="721A2F3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工程所在地址</w:t>
            </w:r>
          </w:p>
        </w:tc>
        <w:tc>
          <w:tcPr>
            <w:tcW w:w="1201" w:type="dxa"/>
            <w:vAlign w:val="center"/>
          </w:tcPr>
          <w:p w14:paraId="4E29B544">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备注</w:t>
            </w:r>
          </w:p>
        </w:tc>
      </w:tr>
      <w:tr w14:paraId="7C59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9" w:type="dxa"/>
            <w:vAlign w:val="center"/>
          </w:tcPr>
          <w:p w14:paraId="6CBC8D1C">
            <w:pPr>
              <w:spacing w:line="240" w:lineRule="atLeast"/>
              <w:jc w:val="center"/>
              <w:rPr>
                <w:rFonts w:ascii="宋体" w:hAnsi="宋体"/>
                <w:color w:val="auto"/>
                <w:sz w:val="24"/>
                <w:highlight w:val="none"/>
              </w:rPr>
            </w:pPr>
          </w:p>
        </w:tc>
        <w:tc>
          <w:tcPr>
            <w:tcW w:w="2492" w:type="dxa"/>
            <w:vAlign w:val="center"/>
          </w:tcPr>
          <w:p w14:paraId="730184DE">
            <w:pPr>
              <w:spacing w:line="240" w:lineRule="atLeast"/>
              <w:jc w:val="center"/>
              <w:rPr>
                <w:rFonts w:ascii="宋体" w:hAnsi="宋体"/>
                <w:color w:val="auto"/>
                <w:sz w:val="24"/>
                <w:highlight w:val="none"/>
              </w:rPr>
            </w:pPr>
          </w:p>
        </w:tc>
        <w:tc>
          <w:tcPr>
            <w:tcW w:w="1054" w:type="dxa"/>
            <w:vAlign w:val="center"/>
          </w:tcPr>
          <w:p w14:paraId="773445A5">
            <w:pPr>
              <w:spacing w:line="240" w:lineRule="atLeast"/>
              <w:jc w:val="center"/>
              <w:rPr>
                <w:rFonts w:ascii="宋体" w:hAnsi="宋体"/>
                <w:color w:val="auto"/>
                <w:sz w:val="24"/>
                <w:highlight w:val="none"/>
              </w:rPr>
            </w:pPr>
          </w:p>
        </w:tc>
        <w:tc>
          <w:tcPr>
            <w:tcW w:w="1356" w:type="dxa"/>
            <w:vAlign w:val="center"/>
          </w:tcPr>
          <w:p w14:paraId="0733D989">
            <w:pPr>
              <w:spacing w:line="240" w:lineRule="atLeast"/>
              <w:jc w:val="center"/>
              <w:rPr>
                <w:rFonts w:ascii="宋体" w:hAnsi="宋体"/>
                <w:color w:val="auto"/>
                <w:sz w:val="24"/>
                <w:highlight w:val="none"/>
              </w:rPr>
            </w:pPr>
          </w:p>
        </w:tc>
        <w:tc>
          <w:tcPr>
            <w:tcW w:w="932" w:type="dxa"/>
            <w:vAlign w:val="center"/>
          </w:tcPr>
          <w:p w14:paraId="1764E817">
            <w:pPr>
              <w:spacing w:line="240" w:lineRule="atLeast"/>
              <w:jc w:val="center"/>
              <w:rPr>
                <w:rFonts w:ascii="宋体" w:hAnsi="宋体"/>
                <w:color w:val="auto"/>
                <w:sz w:val="24"/>
                <w:highlight w:val="none"/>
              </w:rPr>
            </w:pPr>
          </w:p>
        </w:tc>
        <w:tc>
          <w:tcPr>
            <w:tcW w:w="1827" w:type="dxa"/>
            <w:vAlign w:val="center"/>
          </w:tcPr>
          <w:p w14:paraId="4B26CBC3">
            <w:pPr>
              <w:spacing w:line="240" w:lineRule="atLeast"/>
              <w:jc w:val="center"/>
              <w:rPr>
                <w:rFonts w:ascii="宋体" w:hAnsi="宋体"/>
                <w:color w:val="auto"/>
                <w:sz w:val="24"/>
                <w:highlight w:val="none"/>
              </w:rPr>
            </w:pPr>
          </w:p>
        </w:tc>
        <w:tc>
          <w:tcPr>
            <w:tcW w:w="1201" w:type="dxa"/>
            <w:vAlign w:val="center"/>
          </w:tcPr>
          <w:p w14:paraId="1A3F1288">
            <w:pPr>
              <w:spacing w:line="240" w:lineRule="atLeast"/>
              <w:jc w:val="center"/>
              <w:rPr>
                <w:rFonts w:ascii="宋体" w:hAnsi="宋体"/>
                <w:color w:val="auto"/>
                <w:sz w:val="24"/>
                <w:highlight w:val="none"/>
              </w:rPr>
            </w:pPr>
          </w:p>
        </w:tc>
      </w:tr>
      <w:tr w14:paraId="32BC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243B2BEA">
            <w:pPr>
              <w:spacing w:line="240" w:lineRule="atLeast"/>
              <w:jc w:val="center"/>
              <w:rPr>
                <w:rFonts w:ascii="宋体" w:hAnsi="宋体"/>
                <w:color w:val="auto"/>
                <w:sz w:val="24"/>
                <w:highlight w:val="none"/>
              </w:rPr>
            </w:pPr>
          </w:p>
        </w:tc>
        <w:tc>
          <w:tcPr>
            <w:tcW w:w="2492" w:type="dxa"/>
            <w:vAlign w:val="center"/>
          </w:tcPr>
          <w:p w14:paraId="43F0A804">
            <w:pPr>
              <w:spacing w:line="240" w:lineRule="atLeast"/>
              <w:jc w:val="center"/>
              <w:rPr>
                <w:rFonts w:ascii="宋体" w:hAnsi="宋体"/>
                <w:color w:val="auto"/>
                <w:sz w:val="24"/>
                <w:highlight w:val="none"/>
              </w:rPr>
            </w:pPr>
          </w:p>
        </w:tc>
        <w:tc>
          <w:tcPr>
            <w:tcW w:w="1054" w:type="dxa"/>
            <w:vAlign w:val="center"/>
          </w:tcPr>
          <w:p w14:paraId="7E91AD2F">
            <w:pPr>
              <w:spacing w:line="240" w:lineRule="atLeast"/>
              <w:jc w:val="center"/>
              <w:rPr>
                <w:rFonts w:ascii="宋体" w:hAnsi="宋体"/>
                <w:color w:val="auto"/>
                <w:sz w:val="24"/>
                <w:highlight w:val="none"/>
              </w:rPr>
            </w:pPr>
          </w:p>
        </w:tc>
        <w:tc>
          <w:tcPr>
            <w:tcW w:w="1356" w:type="dxa"/>
            <w:vAlign w:val="center"/>
          </w:tcPr>
          <w:p w14:paraId="7867A540">
            <w:pPr>
              <w:spacing w:line="240" w:lineRule="atLeast"/>
              <w:jc w:val="center"/>
              <w:rPr>
                <w:rFonts w:ascii="宋体" w:hAnsi="宋体"/>
                <w:color w:val="auto"/>
                <w:sz w:val="24"/>
                <w:highlight w:val="none"/>
              </w:rPr>
            </w:pPr>
          </w:p>
        </w:tc>
        <w:tc>
          <w:tcPr>
            <w:tcW w:w="932" w:type="dxa"/>
            <w:vAlign w:val="center"/>
          </w:tcPr>
          <w:p w14:paraId="20EC2432">
            <w:pPr>
              <w:spacing w:line="240" w:lineRule="atLeast"/>
              <w:jc w:val="center"/>
              <w:rPr>
                <w:rFonts w:ascii="宋体" w:hAnsi="宋体"/>
                <w:color w:val="auto"/>
                <w:sz w:val="24"/>
                <w:highlight w:val="none"/>
              </w:rPr>
            </w:pPr>
          </w:p>
        </w:tc>
        <w:tc>
          <w:tcPr>
            <w:tcW w:w="1827" w:type="dxa"/>
            <w:vAlign w:val="center"/>
          </w:tcPr>
          <w:p w14:paraId="3833EDF3">
            <w:pPr>
              <w:spacing w:line="240" w:lineRule="atLeast"/>
              <w:jc w:val="center"/>
              <w:rPr>
                <w:rFonts w:ascii="宋体" w:hAnsi="宋体"/>
                <w:color w:val="auto"/>
                <w:sz w:val="24"/>
                <w:highlight w:val="none"/>
              </w:rPr>
            </w:pPr>
          </w:p>
        </w:tc>
        <w:tc>
          <w:tcPr>
            <w:tcW w:w="1201" w:type="dxa"/>
            <w:vAlign w:val="center"/>
          </w:tcPr>
          <w:p w14:paraId="268BF972">
            <w:pPr>
              <w:spacing w:line="240" w:lineRule="atLeast"/>
              <w:jc w:val="center"/>
              <w:rPr>
                <w:rFonts w:ascii="宋体" w:hAnsi="宋体"/>
                <w:color w:val="auto"/>
                <w:sz w:val="24"/>
                <w:highlight w:val="none"/>
              </w:rPr>
            </w:pPr>
          </w:p>
        </w:tc>
      </w:tr>
      <w:tr w14:paraId="6D6A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128EBE83">
            <w:pPr>
              <w:spacing w:line="240" w:lineRule="atLeast"/>
              <w:jc w:val="center"/>
              <w:rPr>
                <w:rFonts w:ascii="宋体" w:hAnsi="宋体"/>
                <w:color w:val="auto"/>
                <w:sz w:val="24"/>
                <w:highlight w:val="none"/>
              </w:rPr>
            </w:pPr>
          </w:p>
        </w:tc>
        <w:tc>
          <w:tcPr>
            <w:tcW w:w="2492" w:type="dxa"/>
            <w:vAlign w:val="center"/>
          </w:tcPr>
          <w:p w14:paraId="2F15C3DE">
            <w:pPr>
              <w:spacing w:line="240" w:lineRule="atLeast"/>
              <w:jc w:val="center"/>
              <w:rPr>
                <w:rFonts w:ascii="宋体" w:hAnsi="宋体"/>
                <w:color w:val="auto"/>
                <w:sz w:val="24"/>
                <w:highlight w:val="none"/>
              </w:rPr>
            </w:pPr>
          </w:p>
        </w:tc>
        <w:tc>
          <w:tcPr>
            <w:tcW w:w="1054" w:type="dxa"/>
            <w:vAlign w:val="center"/>
          </w:tcPr>
          <w:p w14:paraId="3CF2CAD1">
            <w:pPr>
              <w:spacing w:line="240" w:lineRule="atLeast"/>
              <w:jc w:val="center"/>
              <w:rPr>
                <w:rFonts w:ascii="宋体" w:hAnsi="宋体"/>
                <w:color w:val="auto"/>
                <w:sz w:val="24"/>
                <w:highlight w:val="none"/>
              </w:rPr>
            </w:pPr>
          </w:p>
        </w:tc>
        <w:tc>
          <w:tcPr>
            <w:tcW w:w="1356" w:type="dxa"/>
            <w:vAlign w:val="center"/>
          </w:tcPr>
          <w:p w14:paraId="6B583B1B">
            <w:pPr>
              <w:spacing w:line="240" w:lineRule="atLeast"/>
              <w:jc w:val="center"/>
              <w:rPr>
                <w:rFonts w:ascii="宋体" w:hAnsi="宋体"/>
                <w:color w:val="auto"/>
                <w:sz w:val="24"/>
                <w:highlight w:val="none"/>
              </w:rPr>
            </w:pPr>
          </w:p>
        </w:tc>
        <w:tc>
          <w:tcPr>
            <w:tcW w:w="932" w:type="dxa"/>
            <w:vAlign w:val="center"/>
          </w:tcPr>
          <w:p w14:paraId="11CF50A3">
            <w:pPr>
              <w:spacing w:line="240" w:lineRule="atLeast"/>
              <w:jc w:val="center"/>
              <w:rPr>
                <w:rFonts w:ascii="宋体" w:hAnsi="宋体"/>
                <w:color w:val="auto"/>
                <w:sz w:val="24"/>
                <w:highlight w:val="none"/>
              </w:rPr>
            </w:pPr>
          </w:p>
        </w:tc>
        <w:tc>
          <w:tcPr>
            <w:tcW w:w="1827" w:type="dxa"/>
            <w:vAlign w:val="center"/>
          </w:tcPr>
          <w:p w14:paraId="1E55087A">
            <w:pPr>
              <w:spacing w:line="240" w:lineRule="atLeast"/>
              <w:jc w:val="center"/>
              <w:rPr>
                <w:rFonts w:ascii="宋体" w:hAnsi="宋体"/>
                <w:color w:val="auto"/>
                <w:sz w:val="24"/>
                <w:highlight w:val="none"/>
              </w:rPr>
            </w:pPr>
          </w:p>
        </w:tc>
        <w:tc>
          <w:tcPr>
            <w:tcW w:w="1201" w:type="dxa"/>
            <w:vAlign w:val="center"/>
          </w:tcPr>
          <w:p w14:paraId="3C1902EF">
            <w:pPr>
              <w:spacing w:line="240" w:lineRule="atLeast"/>
              <w:jc w:val="center"/>
              <w:rPr>
                <w:rFonts w:ascii="宋体" w:hAnsi="宋体"/>
                <w:color w:val="auto"/>
                <w:sz w:val="24"/>
                <w:highlight w:val="none"/>
              </w:rPr>
            </w:pPr>
          </w:p>
        </w:tc>
      </w:tr>
      <w:tr w14:paraId="1F5B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1DBD9144">
            <w:pPr>
              <w:spacing w:line="240" w:lineRule="atLeast"/>
              <w:jc w:val="center"/>
              <w:rPr>
                <w:rFonts w:ascii="宋体" w:hAnsi="宋体"/>
                <w:color w:val="auto"/>
                <w:sz w:val="24"/>
                <w:highlight w:val="none"/>
              </w:rPr>
            </w:pPr>
          </w:p>
        </w:tc>
        <w:tc>
          <w:tcPr>
            <w:tcW w:w="2492" w:type="dxa"/>
            <w:vAlign w:val="center"/>
          </w:tcPr>
          <w:p w14:paraId="6AEF5790">
            <w:pPr>
              <w:spacing w:line="240" w:lineRule="atLeast"/>
              <w:jc w:val="center"/>
              <w:rPr>
                <w:rFonts w:ascii="宋体" w:hAnsi="宋体"/>
                <w:color w:val="auto"/>
                <w:sz w:val="24"/>
                <w:highlight w:val="none"/>
              </w:rPr>
            </w:pPr>
          </w:p>
        </w:tc>
        <w:tc>
          <w:tcPr>
            <w:tcW w:w="1054" w:type="dxa"/>
            <w:vAlign w:val="center"/>
          </w:tcPr>
          <w:p w14:paraId="3C01262D">
            <w:pPr>
              <w:spacing w:line="240" w:lineRule="atLeast"/>
              <w:jc w:val="center"/>
              <w:rPr>
                <w:rFonts w:ascii="宋体" w:hAnsi="宋体"/>
                <w:color w:val="auto"/>
                <w:sz w:val="24"/>
                <w:highlight w:val="none"/>
              </w:rPr>
            </w:pPr>
          </w:p>
        </w:tc>
        <w:tc>
          <w:tcPr>
            <w:tcW w:w="1356" w:type="dxa"/>
            <w:vAlign w:val="center"/>
          </w:tcPr>
          <w:p w14:paraId="4F7D630C">
            <w:pPr>
              <w:spacing w:line="240" w:lineRule="atLeast"/>
              <w:jc w:val="center"/>
              <w:rPr>
                <w:rFonts w:ascii="宋体" w:hAnsi="宋体"/>
                <w:color w:val="auto"/>
                <w:sz w:val="24"/>
                <w:highlight w:val="none"/>
              </w:rPr>
            </w:pPr>
          </w:p>
        </w:tc>
        <w:tc>
          <w:tcPr>
            <w:tcW w:w="932" w:type="dxa"/>
            <w:vAlign w:val="center"/>
          </w:tcPr>
          <w:p w14:paraId="51BF6CCB">
            <w:pPr>
              <w:spacing w:line="240" w:lineRule="atLeast"/>
              <w:jc w:val="center"/>
              <w:rPr>
                <w:rFonts w:ascii="宋体" w:hAnsi="宋体"/>
                <w:color w:val="auto"/>
                <w:sz w:val="24"/>
                <w:highlight w:val="none"/>
              </w:rPr>
            </w:pPr>
          </w:p>
        </w:tc>
        <w:tc>
          <w:tcPr>
            <w:tcW w:w="1827" w:type="dxa"/>
            <w:vAlign w:val="center"/>
          </w:tcPr>
          <w:p w14:paraId="190D6C72">
            <w:pPr>
              <w:spacing w:line="240" w:lineRule="atLeast"/>
              <w:jc w:val="center"/>
              <w:rPr>
                <w:rFonts w:ascii="宋体" w:hAnsi="宋体"/>
                <w:color w:val="auto"/>
                <w:sz w:val="24"/>
                <w:highlight w:val="none"/>
              </w:rPr>
            </w:pPr>
          </w:p>
        </w:tc>
        <w:tc>
          <w:tcPr>
            <w:tcW w:w="1201" w:type="dxa"/>
            <w:vAlign w:val="center"/>
          </w:tcPr>
          <w:p w14:paraId="685C2300">
            <w:pPr>
              <w:spacing w:line="240" w:lineRule="atLeast"/>
              <w:jc w:val="center"/>
              <w:rPr>
                <w:rFonts w:ascii="宋体" w:hAnsi="宋体"/>
                <w:color w:val="auto"/>
                <w:sz w:val="24"/>
                <w:highlight w:val="none"/>
              </w:rPr>
            </w:pPr>
          </w:p>
        </w:tc>
      </w:tr>
      <w:tr w14:paraId="2180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66048D97">
            <w:pPr>
              <w:spacing w:line="240" w:lineRule="atLeast"/>
              <w:jc w:val="center"/>
              <w:rPr>
                <w:rFonts w:ascii="宋体" w:hAnsi="宋体"/>
                <w:color w:val="auto"/>
                <w:sz w:val="24"/>
                <w:highlight w:val="none"/>
              </w:rPr>
            </w:pPr>
          </w:p>
        </w:tc>
        <w:tc>
          <w:tcPr>
            <w:tcW w:w="2492" w:type="dxa"/>
            <w:vAlign w:val="center"/>
          </w:tcPr>
          <w:p w14:paraId="13CB912D">
            <w:pPr>
              <w:spacing w:line="240" w:lineRule="atLeast"/>
              <w:jc w:val="center"/>
              <w:rPr>
                <w:rFonts w:ascii="宋体" w:hAnsi="宋体"/>
                <w:color w:val="auto"/>
                <w:sz w:val="24"/>
                <w:highlight w:val="none"/>
              </w:rPr>
            </w:pPr>
          </w:p>
        </w:tc>
        <w:tc>
          <w:tcPr>
            <w:tcW w:w="1054" w:type="dxa"/>
            <w:vAlign w:val="center"/>
          </w:tcPr>
          <w:p w14:paraId="2C840A29">
            <w:pPr>
              <w:spacing w:line="240" w:lineRule="atLeast"/>
              <w:jc w:val="center"/>
              <w:rPr>
                <w:rFonts w:ascii="宋体" w:hAnsi="宋体"/>
                <w:color w:val="auto"/>
                <w:sz w:val="24"/>
                <w:highlight w:val="none"/>
              </w:rPr>
            </w:pPr>
          </w:p>
        </w:tc>
        <w:tc>
          <w:tcPr>
            <w:tcW w:w="1356" w:type="dxa"/>
            <w:vAlign w:val="center"/>
          </w:tcPr>
          <w:p w14:paraId="4CA4F600">
            <w:pPr>
              <w:spacing w:line="240" w:lineRule="atLeast"/>
              <w:jc w:val="center"/>
              <w:rPr>
                <w:rFonts w:ascii="宋体" w:hAnsi="宋体"/>
                <w:color w:val="auto"/>
                <w:sz w:val="24"/>
                <w:highlight w:val="none"/>
              </w:rPr>
            </w:pPr>
          </w:p>
        </w:tc>
        <w:tc>
          <w:tcPr>
            <w:tcW w:w="932" w:type="dxa"/>
            <w:vAlign w:val="center"/>
          </w:tcPr>
          <w:p w14:paraId="06437D96">
            <w:pPr>
              <w:spacing w:line="240" w:lineRule="atLeast"/>
              <w:jc w:val="center"/>
              <w:rPr>
                <w:rFonts w:ascii="宋体" w:hAnsi="宋体"/>
                <w:color w:val="auto"/>
                <w:sz w:val="24"/>
                <w:highlight w:val="none"/>
              </w:rPr>
            </w:pPr>
          </w:p>
        </w:tc>
        <w:tc>
          <w:tcPr>
            <w:tcW w:w="1827" w:type="dxa"/>
            <w:vAlign w:val="center"/>
          </w:tcPr>
          <w:p w14:paraId="3670A5D2">
            <w:pPr>
              <w:spacing w:line="240" w:lineRule="atLeast"/>
              <w:jc w:val="center"/>
              <w:rPr>
                <w:rFonts w:ascii="宋体" w:hAnsi="宋体"/>
                <w:color w:val="auto"/>
                <w:sz w:val="24"/>
                <w:highlight w:val="none"/>
              </w:rPr>
            </w:pPr>
          </w:p>
        </w:tc>
        <w:tc>
          <w:tcPr>
            <w:tcW w:w="1201" w:type="dxa"/>
            <w:vAlign w:val="center"/>
          </w:tcPr>
          <w:p w14:paraId="52E9BE0A">
            <w:pPr>
              <w:spacing w:line="240" w:lineRule="atLeast"/>
              <w:jc w:val="center"/>
              <w:rPr>
                <w:rFonts w:ascii="宋体" w:hAnsi="宋体"/>
                <w:color w:val="auto"/>
                <w:sz w:val="24"/>
                <w:highlight w:val="none"/>
              </w:rPr>
            </w:pPr>
          </w:p>
        </w:tc>
      </w:tr>
      <w:tr w14:paraId="15B2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163C0191">
            <w:pPr>
              <w:spacing w:line="240" w:lineRule="atLeast"/>
              <w:jc w:val="center"/>
              <w:rPr>
                <w:rFonts w:ascii="宋体" w:hAnsi="宋体"/>
                <w:color w:val="auto"/>
                <w:sz w:val="24"/>
                <w:highlight w:val="none"/>
              </w:rPr>
            </w:pPr>
          </w:p>
        </w:tc>
        <w:tc>
          <w:tcPr>
            <w:tcW w:w="2492" w:type="dxa"/>
            <w:vAlign w:val="center"/>
          </w:tcPr>
          <w:p w14:paraId="7B5694AA">
            <w:pPr>
              <w:spacing w:line="240" w:lineRule="atLeast"/>
              <w:jc w:val="center"/>
              <w:rPr>
                <w:rFonts w:ascii="宋体" w:hAnsi="宋体"/>
                <w:color w:val="auto"/>
                <w:sz w:val="24"/>
                <w:highlight w:val="none"/>
              </w:rPr>
            </w:pPr>
          </w:p>
        </w:tc>
        <w:tc>
          <w:tcPr>
            <w:tcW w:w="1054" w:type="dxa"/>
            <w:vAlign w:val="center"/>
          </w:tcPr>
          <w:p w14:paraId="24227A42">
            <w:pPr>
              <w:spacing w:line="240" w:lineRule="atLeast"/>
              <w:jc w:val="center"/>
              <w:rPr>
                <w:rFonts w:ascii="宋体" w:hAnsi="宋体"/>
                <w:color w:val="auto"/>
                <w:sz w:val="24"/>
                <w:highlight w:val="none"/>
              </w:rPr>
            </w:pPr>
          </w:p>
        </w:tc>
        <w:tc>
          <w:tcPr>
            <w:tcW w:w="1356" w:type="dxa"/>
            <w:vAlign w:val="center"/>
          </w:tcPr>
          <w:p w14:paraId="3A2C351E">
            <w:pPr>
              <w:spacing w:line="240" w:lineRule="atLeast"/>
              <w:jc w:val="center"/>
              <w:rPr>
                <w:rFonts w:ascii="宋体" w:hAnsi="宋体"/>
                <w:color w:val="auto"/>
                <w:sz w:val="24"/>
                <w:highlight w:val="none"/>
              </w:rPr>
            </w:pPr>
          </w:p>
        </w:tc>
        <w:tc>
          <w:tcPr>
            <w:tcW w:w="932" w:type="dxa"/>
            <w:vAlign w:val="center"/>
          </w:tcPr>
          <w:p w14:paraId="3E8EE6A9">
            <w:pPr>
              <w:spacing w:line="240" w:lineRule="atLeast"/>
              <w:jc w:val="center"/>
              <w:rPr>
                <w:rFonts w:ascii="宋体" w:hAnsi="宋体"/>
                <w:color w:val="auto"/>
                <w:sz w:val="24"/>
                <w:highlight w:val="none"/>
              </w:rPr>
            </w:pPr>
          </w:p>
        </w:tc>
        <w:tc>
          <w:tcPr>
            <w:tcW w:w="1827" w:type="dxa"/>
            <w:vAlign w:val="center"/>
          </w:tcPr>
          <w:p w14:paraId="18B59413">
            <w:pPr>
              <w:spacing w:line="240" w:lineRule="atLeast"/>
              <w:jc w:val="center"/>
              <w:rPr>
                <w:rFonts w:ascii="宋体" w:hAnsi="宋体"/>
                <w:color w:val="auto"/>
                <w:sz w:val="24"/>
                <w:highlight w:val="none"/>
              </w:rPr>
            </w:pPr>
          </w:p>
        </w:tc>
        <w:tc>
          <w:tcPr>
            <w:tcW w:w="1201" w:type="dxa"/>
            <w:vAlign w:val="center"/>
          </w:tcPr>
          <w:p w14:paraId="1255669B">
            <w:pPr>
              <w:spacing w:line="240" w:lineRule="atLeast"/>
              <w:jc w:val="center"/>
              <w:rPr>
                <w:rFonts w:ascii="宋体" w:hAnsi="宋体"/>
                <w:color w:val="auto"/>
                <w:sz w:val="24"/>
                <w:highlight w:val="none"/>
              </w:rPr>
            </w:pPr>
          </w:p>
        </w:tc>
      </w:tr>
      <w:tr w14:paraId="5688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572661C2">
            <w:pPr>
              <w:spacing w:line="240" w:lineRule="atLeast"/>
              <w:jc w:val="center"/>
              <w:rPr>
                <w:rFonts w:ascii="宋体" w:hAnsi="宋体"/>
                <w:color w:val="auto"/>
                <w:sz w:val="24"/>
                <w:highlight w:val="none"/>
              </w:rPr>
            </w:pPr>
          </w:p>
        </w:tc>
        <w:tc>
          <w:tcPr>
            <w:tcW w:w="2492" w:type="dxa"/>
            <w:vAlign w:val="center"/>
          </w:tcPr>
          <w:p w14:paraId="1D811992">
            <w:pPr>
              <w:spacing w:line="240" w:lineRule="atLeast"/>
              <w:jc w:val="center"/>
              <w:rPr>
                <w:rFonts w:ascii="宋体" w:hAnsi="宋体"/>
                <w:color w:val="auto"/>
                <w:sz w:val="24"/>
                <w:highlight w:val="none"/>
              </w:rPr>
            </w:pPr>
          </w:p>
        </w:tc>
        <w:tc>
          <w:tcPr>
            <w:tcW w:w="1054" w:type="dxa"/>
            <w:vAlign w:val="center"/>
          </w:tcPr>
          <w:p w14:paraId="6312D523">
            <w:pPr>
              <w:spacing w:line="240" w:lineRule="atLeast"/>
              <w:jc w:val="center"/>
              <w:rPr>
                <w:rFonts w:ascii="宋体" w:hAnsi="宋体"/>
                <w:color w:val="auto"/>
                <w:sz w:val="24"/>
                <w:highlight w:val="none"/>
              </w:rPr>
            </w:pPr>
          </w:p>
        </w:tc>
        <w:tc>
          <w:tcPr>
            <w:tcW w:w="1356" w:type="dxa"/>
            <w:vAlign w:val="center"/>
          </w:tcPr>
          <w:p w14:paraId="568D1A10">
            <w:pPr>
              <w:spacing w:line="240" w:lineRule="atLeast"/>
              <w:jc w:val="center"/>
              <w:rPr>
                <w:rFonts w:ascii="宋体" w:hAnsi="宋体"/>
                <w:color w:val="auto"/>
                <w:sz w:val="24"/>
                <w:highlight w:val="none"/>
              </w:rPr>
            </w:pPr>
          </w:p>
        </w:tc>
        <w:tc>
          <w:tcPr>
            <w:tcW w:w="932" w:type="dxa"/>
            <w:vAlign w:val="center"/>
          </w:tcPr>
          <w:p w14:paraId="46532B76">
            <w:pPr>
              <w:spacing w:line="240" w:lineRule="atLeast"/>
              <w:jc w:val="center"/>
              <w:rPr>
                <w:rFonts w:ascii="宋体" w:hAnsi="宋体"/>
                <w:color w:val="auto"/>
                <w:sz w:val="24"/>
                <w:highlight w:val="none"/>
              </w:rPr>
            </w:pPr>
          </w:p>
        </w:tc>
        <w:tc>
          <w:tcPr>
            <w:tcW w:w="1827" w:type="dxa"/>
            <w:vAlign w:val="center"/>
          </w:tcPr>
          <w:p w14:paraId="70100AF5">
            <w:pPr>
              <w:spacing w:line="240" w:lineRule="atLeast"/>
              <w:jc w:val="center"/>
              <w:rPr>
                <w:rFonts w:ascii="宋体" w:hAnsi="宋体"/>
                <w:color w:val="auto"/>
                <w:sz w:val="24"/>
                <w:highlight w:val="none"/>
              </w:rPr>
            </w:pPr>
          </w:p>
        </w:tc>
        <w:tc>
          <w:tcPr>
            <w:tcW w:w="1201" w:type="dxa"/>
            <w:vAlign w:val="center"/>
          </w:tcPr>
          <w:p w14:paraId="2EC74B00">
            <w:pPr>
              <w:spacing w:line="240" w:lineRule="atLeast"/>
              <w:jc w:val="center"/>
              <w:rPr>
                <w:rFonts w:ascii="宋体" w:hAnsi="宋体"/>
                <w:color w:val="auto"/>
                <w:sz w:val="24"/>
                <w:highlight w:val="none"/>
              </w:rPr>
            </w:pPr>
          </w:p>
        </w:tc>
      </w:tr>
      <w:tr w14:paraId="52C1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6C256B79">
            <w:pPr>
              <w:spacing w:line="240" w:lineRule="atLeast"/>
              <w:jc w:val="center"/>
              <w:rPr>
                <w:rFonts w:ascii="宋体" w:hAnsi="宋体"/>
                <w:color w:val="auto"/>
                <w:sz w:val="24"/>
                <w:highlight w:val="none"/>
              </w:rPr>
            </w:pPr>
          </w:p>
        </w:tc>
        <w:tc>
          <w:tcPr>
            <w:tcW w:w="2492" w:type="dxa"/>
            <w:vAlign w:val="center"/>
          </w:tcPr>
          <w:p w14:paraId="0B2B1AE2">
            <w:pPr>
              <w:spacing w:line="240" w:lineRule="atLeast"/>
              <w:jc w:val="center"/>
              <w:rPr>
                <w:rFonts w:ascii="宋体" w:hAnsi="宋体"/>
                <w:color w:val="auto"/>
                <w:sz w:val="24"/>
                <w:highlight w:val="none"/>
              </w:rPr>
            </w:pPr>
          </w:p>
        </w:tc>
        <w:tc>
          <w:tcPr>
            <w:tcW w:w="1054" w:type="dxa"/>
            <w:vAlign w:val="center"/>
          </w:tcPr>
          <w:p w14:paraId="54ADA591">
            <w:pPr>
              <w:spacing w:line="240" w:lineRule="atLeast"/>
              <w:jc w:val="center"/>
              <w:rPr>
                <w:rFonts w:ascii="宋体" w:hAnsi="宋体"/>
                <w:color w:val="auto"/>
                <w:sz w:val="24"/>
                <w:highlight w:val="none"/>
              </w:rPr>
            </w:pPr>
          </w:p>
        </w:tc>
        <w:tc>
          <w:tcPr>
            <w:tcW w:w="1356" w:type="dxa"/>
            <w:vAlign w:val="center"/>
          </w:tcPr>
          <w:p w14:paraId="0DB0608B">
            <w:pPr>
              <w:spacing w:line="240" w:lineRule="atLeast"/>
              <w:jc w:val="center"/>
              <w:rPr>
                <w:rFonts w:ascii="宋体" w:hAnsi="宋体"/>
                <w:color w:val="auto"/>
                <w:sz w:val="24"/>
                <w:highlight w:val="none"/>
              </w:rPr>
            </w:pPr>
          </w:p>
        </w:tc>
        <w:tc>
          <w:tcPr>
            <w:tcW w:w="932" w:type="dxa"/>
            <w:vAlign w:val="center"/>
          </w:tcPr>
          <w:p w14:paraId="4F1F582C">
            <w:pPr>
              <w:spacing w:line="240" w:lineRule="atLeast"/>
              <w:jc w:val="center"/>
              <w:rPr>
                <w:rFonts w:ascii="宋体" w:hAnsi="宋体"/>
                <w:color w:val="auto"/>
                <w:sz w:val="24"/>
                <w:highlight w:val="none"/>
              </w:rPr>
            </w:pPr>
          </w:p>
        </w:tc>
        <w:tc>
          <w:tcPr>
            <w:tcW w:w="1827" w:type="dxa"/>
            <w:vAlign w:val="center"/>
          </w:tcPr>
          <w:p w14:paraId="0870F59A">
            <w:pPr>
              <w:spacing w:line="240" w:lineRule="atLeast"/>
              <w:jc w:val="center"/>
              <w:rPr>
                <w:rFonts w:ascii="宋体" w:hAnsi="宋体"/>
                <w:color w:val="auto"/>
                <w:sz w:val="24"/>
                <w:highlight w:val="none"/>
              </w:rPr>
            </w:pPr>
          </w:p>
        </w:tc>
        <w:tc>
          <w:tcPr>
            <w:tcW w:w="1201" w:type="dxa"/>
            <w:vAlign w:val="center"/>
          </w:tcPr>
          <w:p w14:paraId="2BA4628C">
            <w:pPr>
              <w:spacing w:line="240" w:lineRule="atLeast"/>
              <w:jc w:val="center"/>
              <w:rPr>
                <w:rFonts w:ascii="宋体" w:hAnsi="宋体"/>
                <w:color w:val="auto"/>
                <w:sz w:val="24"/>
                <w:highlight w:val="none"/>
              </w:rPr>
            </w:pPr>
          </w:p>
        </w:tc>
      </w:tr>
      <w:tr w14:paraId="4540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539D1C91">
            <w:pPr>
              <w:spacing w:line="240" w:lineRule="atLeast"/>
              <w:jc w:val="center"/>
              <w:rPr>
                <w:rFonts w:ascii="宋体" w:hAnsi="宋体"/>
                <w:color w:val="auto"/>
                <w:sz w:val="24"/>
                <w:highlight w:val="none"/>
              </w:rPr>
            </w:pPr>
          </w:p>
        </w:tc>
        <w:tc>
          <w:tcPr>
            <w:tcW w:w="2492" w:type="dxa"/>
            <w:vAlign w:val="center"/>
          </w:tcPr>
          <w:p w14:paraId="518C0591">
            <w:pPr>
              <w:spacing w:line="240" w:lineRule="atLeast"/>
              <w:jc w:val="center"/>
              <w:rPr>
                <w:rFonts w:ascii="宋体" w:hAnsi="宋体"/>
                <w:color w:val="auto"/>
                <w:sz w:val="24"/>
                <w:highlight w:val="none"/>
              </w:rPr>
            </w:pPr>
          </w:p>
        </w:tc>
        <w:tc>
          <w:tcPr>
            <w:tcW w:w="1054" w:type="dxa"/>
            <w:vAlign w:val="center"/>
          </w:tcPr>
          <w:p w14:paraId="5B004235">
            <w:pPr>
              <w:spacing w:line="240" w:lineRule="atLeast"/>
              <w:jc w:val="center"/>
              <w:rPr>
                <w:rFonts w:ascii="宋体" w:hAnsi="宋体"/>
                <w:color w:val="auto"/>
                <w:sz w:val="24"/>
                <w:highlight w:val="none"/>
              </w:rPr>
            </w:pPr>
          </w:p>
        </w:tc>
        <w:tc>
          <w:tcPr>
            <w:tcW w:w="1356" w:type="dxa"/>
            <w:vAlign w:val="center"/>
          </w:tcPr>
          <w:p w14:paraId="4755AB50">
            <w:pPr>
              <w:spacing w:line="240" w:lineRule="atLeast"/>
              <w:jc w:val="center"/>
              <w:rPr>
                <w:rFonts w:ascii="宋体" w:hAnsi="宋体"/>
                <w:color w:val="auto"/>
                <w:sz w:val="24"/>
                <w:highlight w:val="none"/>
              </w:rPr>
            </w:pPr>
          </w:p>
        </w:tc>
        <w:tc>
          <w:tcPr>
            <w:tcW w:w="932" w:type="dxa"/>
            <w:vAlign w:val="center"/>
          </w:tcPr>
          <w:p w14:paraId="798F8E47">
            <w:pPr>
              <w:spacing w:line="240" w:lineRule="atLeast"/>
              <w:jc w:val="center"/>
              <w:rPr>
                <w:rFonts w:ascii="宋体" w:hAnsi="宋体"/>
                <w:color w:val="auto"/>
                <w:sz w:val="24"/>
                <w:highlight w:val="none"/>
              </w:rPr>
            </w:pPr>
          </w:p>
        </w:tc>
        <w:tc>
          <w:tcPr>
            <w:tcW w:w="1827" w:type="dxa"/>
            <w:vAlign w:val="center"/>
          </w:tcPr>
          <w:p w14:paraId="35560EF1">
            <w:pPr>
              <w:spacing w:line="240" w:lineRule="atLeast"/>
              <w:jc w:val="center"/>
              <w:rPr>
                <w:rFonts w:ascii="宋体" w:hAnsi="宋体"/>
                <w:color w:val="auto"/>
                <w:sz w:val="24"/>
                <w:highlight w:val="none"/>
              </w:rPr>
            </w:pPr>
          </w:p>
        </w:tc>
        <w:tc>
          <w:tcPr>
            <w:tcW w:w="1201" w:type="dxa"/>
            <w:vAlign w:val="center"/>
          </w:tcPr>
          <w:p w14:paraId="70414CFE">
            <w:pPr>
              <w:spacing w:line="240" w:lineRule="atLeast"/>
              <w:jc w:val="center"/>
              <w:rPr>
                <w:rFonts w:ascii="宋体" w:hAnsi="宋体"/>
                <w:color w:val="auto"/>
                <w:sz w:val="24"/>
                <w:highlight w:val="none"/>
              </w:rPr>
            </w:pPr>
          </w:p>
        </w:tc>
      </w:tr>
    </w:tbl>
    <w:p w14:paraId="6151D9C3">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p>
    <w:p w14:paraId="5C064A54">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注：要求按照招标文件第三章评标办法附表四《综合评分表》相应评分因素的评分标准的要求及表后说明的规定提供证明材料。</w:t>
      </w:r>
    </w:p>
    <w:p w14:paraId="59FCE845">
      <w:pPr>
        <w:pStyle w:val="2"/>
        <w:ind w:firstLine="0"/>
        <w:rPr>
          <w:rFonts w:ascii="宋体" w:hAnsi="宋体" w:cs="宋体"/>
          <w:b/>
          <w:bCs/>
          <w:color w:val="auto"/>
          <w:kern w:val="0"/>
          <w:szCs w:val="21"/>
          <w:highlight w:val="none"/>
        </w:rPr>
      </w:pPr>
    </w:p>
    <w:bookmarkEnd w:id="198"/>
    <w:bookmarkEnd w:id="199"/>
    <w:p w14:paraId="5D1BF612">
      <w:pPr>
        <w:rPr>
          <w:rFonts w:ascii="宋体" w:hAnsi="宋体"/>
          <w:color w:val="auto"/>
          <w:sz w:val="24"/>
          <w:highlight w:val="none"/>
        </w:rPr>
        <w:sectPr>
          <w:headerReference r:id="rId7" w:type="default"/>
          <w:pgSz w:w="11906" w:h="16838"/>
          <w:pgMar w:top="1440" w:right="1080" w:bottom="1440" w:left="1080" w:header="851" w:footer="1021"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20" w:num="1"/>
          <w:docGrid w:type="lines" w:linePitch="312" w:charSpace="0"/>
        </w:sectPr>
      </w:pPr>
    </w:p>
    <w:p w14:paraId="5A4A3D65">
      <w:pPr>
        <w:pStyle w:val="6"/>
        <w:jc w:val="center"/>
        <w:rPr>
          <w:color w:val="auto"/>
          <w:highlight w:val="none"/>
        </w:rPr>
      </w:pPr>
      <w:bookmarkStart w:id="200" w:name="_Toc118554002"/>
      <w:r>
        <w:rPr>
          <w:rFonts w:hint="eastAsia"/>
          <w:color w:val="auto"/>
          <w:highlight w:val="none"/>
        </w:rPr>
        <w:t>七、投标人信誉证明材料</w:t>
      </w:r>
      <w:bookmarkEnd w:id="200"/>
    </w:p>
    <w:p w14:paraId="37293708">
      <w:pPr>
        <w:spacing w:line="360" w:lineRule="auto"/>
        <w:ind w:firstLine="480" w:firstLineChars="200"/>
        <w:rPr>
          <w:color w:val="auto"/>
          <w:sz w:val="24"/>
          <w:szCs w:val="24"/>
          <w:highlight w:val="none"/>
        </w:rPr>
      </w:pPr>
    </w:p>
    <w:p w14:paraId="26C34B7C">
      <w:pPr>
        <w:spacing w:line="360" w:lineRule="auto"/>
        <w:ind w:firstLine="480" w:firstLineChars="200"/>
        <w:rPr>
          <w:color w:val="auto"/>
          <w:sz w:val="24"/>
          <w:szCs w:val="24"/>
          <w:highlight w:val="none"/>
        </w:rPr>
      </w:pPr>
      <w:r>
        <w:rPr>
          <w:rFonts w:hint="eastAsia" w:ascii="宋体" w:hAnsi="宋体"/>
          <w:color w:val="auto"/>
          <w:sz w:val="24"/>
          <w:szCs w:val="24"/>
          <w:highlight w:val="none"/>
        </w:rPr>
        <w:t>编制要求：按照招标文件第三章评标办法附表四《综合评分表》相应评分因素的评分标准的要求及表后说明的规定提供证明材料。格式自定。</w:t>
      </w:r>
    </w:p>
    <w:p w14:paraId="024DD048">
      <w:pPr>
        <w:spacing w:line="440" w:lineRule="exact"/>
        <w:rPr>
          <w:rFonts w:ascii="宋体" w:hAnsi="宋体"/>
          <w:color w:val="auto"/>
          <w:highlight w:val="none"/>
        </w:rPr>
      </w:pPr>
    </w:p>
    <w:p w14:paraId="7211B8E0">
      <w:pPr>
        <w:spacing w:line="440" w:lineRule="exact"/>
        <w:jc w:val="left"/>
        <w:rPr>
          <w:rFonts w:ascii="宋体" w:hAnsi="宋体"/>
          <w:color w:val="auto"/>
          <w:highlight w:val="none"/>
        </w:rPr>
      </w:pPr>
    </w:p>
    <w:p w14:paraId="2E77100A">
      <w:pPr>
        <w:rPr>
          <w:rFonts w:ascii="宋体" w:hAnsi="宋体"/>
          <w:color w:val="auto"/>
          <w:highlight w:val="none"/>
        </w:rPr>
      </w:pPr>
      <w:r>
        <w:rPr>
          <w:rFonts w:ascii="宋体" w:hAnsi="宋体"/>
          <w:color w:val="auto"/>
          <w:sz w:val="24"/>
          <w:highlight w:val="none"/>
        </w:rPr>
        <w:br w:type="page"/>
      </w:r>
    </w:p>
    <w:p w14:paraId="7E7A4849">
      <w:pPr>
        <w:keepNext/>
        <w:keepLines/>
        <w:numPr>
          <w:ilvl w:val="0"/>
          <w:numId w:val="4"/>
        </w:numPr>
        <w:spacing w:line="360" w:lineRule="auto"/>
        <w:jc w:val="center"/>
        <w:outlineLvl w:val="2"/>
        <w:rPr>
          <w:rFonts w:hint="eastAsia" w:ascii="宋体" w:hAnsi="宋体" w:cs="宋体"/>
          <w:b/>
          <w:bCs/>
          <w:color w:val="auto"/>
          <w:sz w:val="32"/>
          <w:szCs w:val="32"/>
          <w:highlight w:val="none"/>
        </w:rPr>
      </w:pPr>
      <w:bookmarkStart w:id="201" w:name="_Toc118554003"/>
      <w:r>
        <w:rPr>
          <w:rFonts w:hint="eastAsia" w:ascii="宋体" w:hAnsi="宋体" w:cs="宋体"/>
          <w:b/>
          <w:bCs/>
          <w:color w:val="auto"/>
          <w:sz w:val="32"/>
          <w:szCs w:val="32"/>
          <w:highlight w:val="none"/>
        </w:rPr>
        <w:t>投标人廉洁承诺书</w:t>
      </w:r>
    </w:p>
    <w:p w14:paraId="2B4FDEA3">
      <w:pPr>
        <w:keepNext w:val="0"/>
        <w:keepLines w:val="0"/>
        <w:pageBreakBefore w:val="0"/>
        <w:widowControl w:val="0"/>
        <w:kinsoku/>
        <w:wordWrap/>
        <w:overflowPunct/>
        <w:topLinePunct w:val="0"/>
        <w:autoSpaceDE/>
        <w:autoSpaceDN/>
        <w:bidi w:val="0"/>
        <w:adjustRightInd/>
        <w:snapToGrid/>
        <w:spacing w:after="157" w:afterLines="50"/>
        <w:ind w:right="105" w:rightChars="50"/>
        <w:jc w:val="center"/>
        <w:textAlignment w:val="auto"/>
        <w:rPr>
          <w:rFonts w:hint="eastAsia" w:ascii="仿宋_GB2312" w:hAnsi="华文仿宋" w:eastAsia="仿宋_GB2312"/>
          <w:b/>
          <w:bCs/>
          <w:color w:val="auto"/>
          <w:sz w:val="44"/>
          <w:szCs w:val="44"/>
          <w:highlight w:val="none"/>
          <w:lang w:val="en-US" w:eastAsia="zh-CN"/>
        </w:rPr>
      </w:pPr>
    </w:p>
    <w:p w14:paraId="6A087723">
      <w:pPr>
        <w:keepNext w:val="0"/>
        <w:keepLines w:val="0"/>
        <w:pageBreakBefore w:val="0"/>
        <w:widowControl w:val="0"/>
        <w:kinsoku/>
        <w:wordWrap/>
        <w:overflowPunct/>
        <w:topLinePunct w:val="0"/>
        <w:autoSpaceDE/>
        <w:autoSpaceDN/>
        <w:bidi w:val="0"/>
        <w:adjustRightInd/>
        <w:snapToGrid/>
        <w:spacing w:after="313" w:afterLines="100"/>
        <w:ind w:right="105" w:rightChars="50"/>
        <w:jc w:val="center"/>
        <w:textAlignment w:val="auto"/>
        <w:rPr>
          <w:rFonts w:hint="default" w:ascii="仿宋_GB2312" w:hAnsi="华文仿宋" w:eastAsia="仿宋_GB2312"/>
          <w:b/>
          <w:bCs/>
          <w:color w:val="auto"/>
          <w:sz w:val="44"/>
          <w:szCs w:val="44"/>
          <w:highlight w:val="none"/>
          <w:lang w:val="en-US" w:eastAsia="zh-CN"/>
        </w:rPr>
      </w:pPr>
      <w:r>
        <w:rPr>
          <w:rFonts w:hint="eastAsia" w:ascii="仿宋_GB2312" w:hAnsi="华文仿宋" w:eastAsia="仿宋_GB2312"/>
          <w:b/>
          <w:bCs/>
          <w:color w:val="auto"/>
          <w:sz w:val="44"/>
          <w:szCs w:val="44"/>
          <w:highlight w:val="none"/>
          <w:lang w:val="en-US" w:eastAsia="zh-CN"/>
        </w:rPr>
        <w:t>投标人</w:t>
      </w:r>
      <w:r>
        <w:rPr>
          <w:rFonts w:hint="eastAsia" w:ascii="仿宋_GB2312" w:hAnsi="华文仿宋" w:eastAsia="仿宋_GB2312"/>
          <w:b/>
          <w:bCs/>
          <w:color w:val="auto"/>
          <w:sz w:val="44"/>
          <w:szCs w:val="44"/>
          <w:highlight w:val="none"/>
        </w:rPr>
        <w:t>廉洁</w:t>
      </w:r>
      <w:r>
        <w:rPr>
          <w:rFonts w:hint="eastAsia" w:ascii="仿宋_GB2312" w:hAnsi="华文仿宋" w:eastAsia="仿宋_GB2312"/>
          <w:b/>
          <w:bCs/>
          <w:color w:val="auto"/>
          <w:sz w:val="44"/>
          <w:szCs w:val="44"/>
          <w:highlight w:val="none"/>
          <w:lang w:val="en-US" w:eastAsia="zh-CN"/>
        </w:rPr>
        <w:t>承诺书</w:t>
      </w:r>
    </w:p>
    <w:p w14:paraId="79E364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广州开城联晟城市开发投资有限公司</w:t>
      </w:r>
      <w:r>
        <w:rPr>
          <w:rFonts w:hint="eastAsia" w:ascii="宋体" w:hAnsi="宋体" w:eastAsia="宋体" w:cs="宋体"/>
          <w:color w:val="auto"/>
          <w:sz w:val="24"/>
          <w:szCs w:val="24"/>
          <w:highlight w:val="none"/>
          <w:lang w:eastAsia="zh-CN"/>
        </w:rPr>
        <w:t>：</w:t>
      </w:r>
    </w:p>
    <w:p w14:paraId="5DC748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投标，为确保招标工作的公平、公正、公开、有序进行，我</w:t>
      </w:r>
      <w:r>
        <w:rPr>
          <w:rFonts w:hint="eastAsia" w:ascii="宋体" w:hAnsi="宋体" w:eastAsia="宋体" w:cs="宋体"/>
          <w:color w:val="auto"/>
          <w:sz w:val="24"/>
          <w:szCs w:val="24"/>
          <w:highlight w:val="none"/>
          <w:lang w:val="en-US" w:eastAsia="zh-CN"/>
        </w:rPr>
        <w:t>司</w:t>
      </w:r>
      <w:r>
        <w:rPr>
          <w:rFonts w:hint="eastAsia" w:ascii="宋体" w:hAnsi="宋体" w:eastAsia="宋体" w:cs="宋体"/>
          <w:color w:val="auto"/>
          <w:sz w:val="24"/>
          <w:szCs w:val="24"/>
          <w:highlight w:val="none"/>
        </w:rPr>
        <w:t>保证遵守《中华人民共和国招标投标法》、《中华人民共和国招标投标法实施条例》、《广东省实施&lt;中华人民共和国招标投标法&gt;办法》等法律法规，特承诺如下事项：</w:t>
      </w:r>
    </w:p>
    <w:p w14:paraId="5CE2D2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、自觉遵守国家法律法规，不使用不正当手段排挤其它投标单位或串通投标或违法分包。</w:t>
      </w:r>
    </w:p>
    <w:p w14:paraId="155DA0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、按照招标文件规定的方式进行投标，不隐瞒</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 xml:space="preserve">投标资质的真实情况，保证不会以他人名义投标或者以其它方式弄虚作假，骗取中标。   </w:t>
      </w:r>
    </w:p>
    <w:p w14:paraId="603E3E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、不向</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司人员支付好处费、介绍费以及报销本应由其个人支付的费用；不向</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司人员赠送礼品、礼金、各种有价证券及其他支付凭证；不为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司人员提供任何方式的高消费娱乐活动；不为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司人员在</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入股、参股、兼职以及为其个人牟利提供便利；</w:t>
      </w:r>
    </w:p>
    <w:p w14:paraId="186B52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一旦发现招标、评标工作相关人员在招标过程中有违反上述规定的行为或在经营活动中有不廉洁以及不正当的情形发生，</w:t>
      </w:r>
      <w:r>
        <w:rPr>
          <w:rFonts w:hint="eastAsia" w:ascii="宋体" w:hAnsi="宋体" w:eastAsia="宋体" w:cs="宋体"/>
          <w:color w:val="auto"/>
          <w:sz w:val="24"/>
          <w:szCs w:val="24"/>
          <w:highlight w:val="none"/>
          <w:lang w:val="en-US" w:eastAsia="zh-CN"/>
        </w:rPr>
        <w:t>我司会</w:t>
      </w:r>
      <w:r>
        <w:rPr>
          <w:rFonts w:hint="eastAsia" w:ascii="宋体" w:hAnsi="宋体" w:eastAsia="宋体" w:cs="宋体"/>
          <w:color w:val="auto"/>
          <w:sz w:val="24"/>
          <w:szCs w:val="24"/>
          <w:highlight w:val="none"/>
        </w:rPr>
        <w:t>坚决予以抵制，并及时向</w:t>
      </w:r>
      <w:r>
        <w:rPr>
          <w:rFonts w:hint="eastAsia" w:ascii="宋体" w:hAnsi="宋体" w:eastAsia="宋体" w:cs="宋体"/>
          <w:color w:val="auto"/>
          <w:sz w:val="24"/>
          <w:szCs w:val="24"/>
          <w:highlight w:val="none"/>
          <w:lang w:val="en-US" w:eastAsia="zh-CN"/>
        </w:rPr>
        <w:t>贵司</w:t>
      </w:r>
      <w:r>
        <w:rPr>
          <w:rFonts w:hint="eastAsia" w:ascii="宋体" w:hAnsi="宋体" w:eastAsia="宋体" w:cs="宋体"/>
          <w:color w:val="auto"/>
          <w:sz w:val="24"/>
          <w:szCs w:val="24"/>
          <w:highlight w:val="none"/>
        </w:rPr>
        <w:t>纪检部门举报。</w:t>
      </w:r>
    </w:p>
    <w:p w14:paraId="000A3F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val="en-US" w:eastAsia="zh-CN"/>
        </w:rPr>
        <w:t>我</w:t>
      </w:r>
      <w:r>
        <w:rPr>
          <w:rFonts w:hint="eastAsia" w:ascii="宋体" w:hAnsi="宋体" w:eastAsia="宋体" w:cs="宋体"/>
          <w:color w:val="auto"/>
          <w:sz w:val="24"/>
          <w:szCs w:val="24"/>
          <w:highlight w:val="none"/>
        </w:rPr>
        <w:t>司有违反上述要求的行为，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司有权终止或取消与</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的合作，将</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加入供应商黑名单，在内部进行通报，并有权限制或禁止关联公司与</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开展交易等，由此造成的后果由</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负责。</w:t>
      </w:r>
    </w:p>
    <w:p w14:paraId="6C9E85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D00305E">
      <w:pPr>
        <w:ind w:firstLine="640" w:firstLineChars="200"/>
        <w:rPr>
          <w:rFonts w:hint="eastAsia" w:ascii="仿宋_GB2312" w:hAnsi="华文仿宋" w:eastAsia="仿宋_GB2312"/>
          <w:color w:val="auto"/>
          <w:sz w:val="32"/>
          <w:szCs w:val="32"/>
          <w:highlight w:val="none"/>
        </w:rPr>
      </w:pPr>
    </w:p>
    <w:p w14:paraId="7271D4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14:paraId="78E4AE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承诺企业：              (盖公章)  </w:t>
      </w:r>
    </w:p>
    <w:p w14:paraId="479F85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法定代表人：             （签字）</w:t>
      </w:r>
    </w:p>
    <w:p w14:paraId="416CE0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华文仿宋" w:eastAsia="仿宋_GB2312"/>
          <w:color w:val="auto"/>
          <w:sz w:val="32"/>
          <w:szCs w:val="32"/>
          <w:highlight w:val="none"/>
        </w:rPr>
      </w:pPr>
      <w:r>
        <w:rPr>
          <w:rFonts w:hint="eastAsia" w:ascii="宋体" w:hAnsi="宋体" w:cs="宋体"/>
          <w:color w:val="auto"/>
          <w:sz w:val="24"/>
          <w:szCs w:val="24"/>
          <w:highlight w:val="none"/>
          <w:lang w:val="en-US" w:eastAsia="zh-CN"/>
        </w:rPr>
        <w:t>日期：    年    月    日</w:t>
      </w:r>
    </w:p>
    <w:p w14:paraId="620DD08B">
      <w:pPr>
        <w:pStyle w:val="6"/>
        <w:jc w:val="center"/>
        <w:rPr>
          <w:rFonts w:hint="eastAsia"/>
          <w:color w:val="auto"/>
          <w:highlight w:val="none"/>
        </w:rPr>
      </w:pPr>
    </w:p>
    <w:p w14:paraId="1DC6A365">
      <w:pPr>
        <w:pStyle w:val="6"/>
        <w:pageBreakBefore/>
        <w:jc w:val="center"/>
        <w:rPr>
          <w:color w:val="auto"/>
          <w:highlight w:val="none"/>
        </w:rPr>
      </w:pPr>
      <w:r>
        <w:rPr>
          <w:rFonts w:hint="eastAsia"/>
          <w:color w:val="auto"/>
          <w:highlight w:val="none"/>
          <w:lang w:val="en-US" w:eastAsia="zh-CN"/>
        </w:rPr>
        <w:t>九</w:t>
      </w:r>
      <w:r>
        <w:rPr>
          <w:rFonts w:hint="eastAsia"/>
          <w:color w:val="auto"/>
          <w:highlight w:val="none"/>
        </w:rPr>
        <w:t>、拟投入本项目的检测、监测人员资格证明材料</w:t>
      </w:r>
      <w:bookmarkEnd w:id="201"/>
    </w:p>
    <w:p w14:paraId="110D1F0E">
      <w:pPr>
        <w:jc w:val="center"/>
        <w:rPr>
          <w:color w:val="auto"/>
          <w:highlight w:val="none"/>
        </w:rPr>
      </w:pPr>
      <w:r>
        <w:rPr>
          <w:rFonts w:hint="eastAsia" w:ascii="宋体" w:hAnsi="宋体" w:cs="宋体"/>
          <w:b/>
          <w:bCs/>
          <w:color w:val="auto"/>
          <w:kern w:val="0"/>
          <w:sz w:val="28"/>
          <w:szCs w:val="28"/>
          <w:highlight w:val="none"/>
        </w:rPr>
        <w:t>（一）拟投入本项目的检测、监测人员一览表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304"/>
        <w:gridCol w:w="904"/>
        <w:gridCol w:w="1484"/>
        <w:gridCol w:w="1885"/>
        <w:gridCol w:w="883"/>
        <w:gridCol w:w="992"/>
        <w:gridCol w:w="1276"/>
      </w:tblGrid>
      <w:tr w14:paraId="32C1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685" w:type="dxa"/>
            <w:vAlign w:val="center"/>
          </w:tcPr>
          <w:p w14:paraId="256033B1">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1304" w:type="dxa"/>
            <w:vAlign w:val="center"/>
          </w:tcPr>
          <w:p w14:paraId="0005BE83">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姓名</w:t>
            </w:r>
          </w:p>
        </w:tc>
        <w:tc>
          <w:tcPr>
            <w:tcW w:w="904" w:type="dxa"/>
            <w:vAlign w:val="center"/>
          </w:tcPr>
          <w:p w14:paraId="40C10656">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年龄</w:t>
            </w:r>
          </w:p>
        </w:tc>
        <w:tc>
          <w:tcPr>
            <w:tcW w:w="1484" w:type="dxa"/>
            <w:vAlign w:val="center"/>
          </w:tcPr>
          <w:p w14:paraId="359D24E7">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拟在本项目任职职位</w:t>
            </w:r>
          </w:p>
        </w:tc>
        <w:tc>
          <w:tcPr>
            <w:tcW w:w="1885" w:type="dxa"/>
            <w:vAlign w:val="center"/>
          </w:tcPr>
          <w:p w14:paraId="4306E0C3">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毕业学校</w:t>
            </w:r>
            <w:r>
              <w:rPr>
                <w:rFonts w:ascii="宋体" w:hAnsi="宋体"/>
                <w:color w:val="auto"/>
                <w:sz w:val="24"/>
                <w:highlight w:val="none"/>
              </w:rPr>
              <w:t>/</w:t>
            </w:r>
            <w:r>
              <w:rPr>
                <w:rFonts w:hint="eastAsia" w:ascii="宋体" w:hAnsi="宋体"/>
                <w:color w:val="auto"/>
                <w:sz w:val="24"/>
                <w:highlight w:val="none"/>
              </w:rPr>
              <w:t>专业</w:t>
            </w:r>
          </w:p>
        </w:tc>
        <w:tc>
          <w:tcPr>
            <w:tcW w:w="883" w:type="dxa"/>
            <w:vAlign w:val="center"/>
          </w:tcPr>
          <w:p w14:paraId="588C560B">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学历</w:t>
            </w:r>
          </w:p>
        </w:tc>
        <w:tc>
          <w:tcPr>
            <w:tcW w:w="992" w:type="dxa"/>
            <w:vAlign w:val="center"/>
          </w:tcPr>
          <w:p w14:paraId="452D4E64">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职称及专业</w:t>
            </w:r>
          </w:p>
        </w:tc>
        <w:tc>
          <w:tcPr>
            <w:tcW w:w="1276" w:type="dxa"/>
            <w:vAlign w:val="center"/>
          </w:tcPr>
          <w:p w14:paraId="191ADBCB">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从事检测工作年限</w:t>
            </w:r>
          </w:p>
        </w:tc>
      </w:tr>
      <w:tr w14:paraId="4B13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180A691">
            <w:pPr>
              <w:jc w:val="center"/>
              <w:rPr>
                <w:rFonts w:ascii="宋体" w:hAnsi="宋体"/>
                <w:color w:val="auto"/>
                <w:sz w:val="22"/>
                <w:highlight w:val="none"/>
              </w:rPr>
            </w:pPr>
          </w:p>
        </w:tc>
        <w:tc>
          <w:tcPr>
            <w:tcW w:w="1304" w:type="dxa"/>
            <w:vAlign w:val="center"/>
          </w:tcPr>
          <w:p w14:paraId="7584D26C">
            <w:pPr>
              <w:jc w:val="center"/>
              <w:rPr>
                <w:rFonts w:ascii="宋体" w:hAnsi="宋体"/>
                <w:color w:val="auto"/>
                <w:sz w:val="22"/>
                <w:highlight w:val="none"/>
              </w:rPr>
            </w:pPr>
          </w:p>
        </w:tc>
        <w:tc>
          <w:tcPr>
            <w:tcW w:w="904" w:type="dxa"/>
            <w:vAlign w:val="center"/>
          </w:tcPr>
          <w:p w14:paraId="7EAC0FB2">
            <w:pPr>
              <w:jc w:val="center"/>
              <w:rPr>
                <w:rFonts w:ascii="宋体" w:hAnsi="宋体"/>
                <w:color w:val="auto"/>
                <w:sz w:val="22"/>
                <w:highlight w:val="none"/>
              </w:rPr>
            </w:pPr>
          </w:p>
        </w:tc>
        <w:tc>
          <w:tcPr>
            <w:tcW w:w="1484" w:type="dxa"/>
            <w:vAlign w:val="center"/>
          </w:tcPr>
          <w:p w14:paraId="3C0C00A7">
            <w:pPr>
              <w:jc w:val="center"/>
              <w:rPr>
                <w:rFonts w:ascii="宋体" w:hAnsi="宋体"/>
                <w:color w:val="auto"/>
                <w:sz w:val="22"/>
                <w:highlight w:val="none"/>
              </w:rPr>
            </w:pPr>
          </w:p>
        </w:tc>
        <w:tc>
          <w:tcPr>
            <w:tcW w:w="1885" w:type="dxa"/>
            <w:vAlign w:val="center"/>
          </w:tcPr>
          <w:p w14:paraId="23D6E737">
            <w:pPr>
              <w:jc w:val="center"/>
              <w:rPr>
                <w:rFonts w:ascii="宋体" w:hAnsi="宋体"/>
                <w:color w:val="auto"/>
                <w:sz w:val="22"/>
                <w:highlight w:val="none"/>
              </w:rPr>
            </w:pPr>
          </w:p>
        </w:tc>
        <w:tc>
          <w:tcPr>
            <w:tcW w:w="883" w:type="dxa"/>
            <w:vAlign w:val="center"/>
          </w:tcPr>
          <w:p w14:paraId="1C521A62">
            <w:pPr>
              <w:jc w:val="center"/>
              <w:rPr>
                <w:rFonts w:ascii="宋体" w:hAnsi="宋体"/>
                <w:color w:val="auto"/>
                <w:sz w:val="22"/>
                <w:highlight w:val="none"/>
              </w:rPr>
            </w:pPr>
          </w:p>
        </w:tc>
        <w:tc>
          <w:tcPr>
            <w:tcW w:w="992" w:type="dxa"/>
            <w:vAlign w:val="center"/>
          </w:tcPr>
          <w:p w14:paraId="7363017B">
            <w:pPr>
              <w:jc w:val="center"/>
              <w:rPr>
                <w:rFonts w:ascii="宋体" w:hAnsi="宋体"/>
                <w:color w:val="auto"/>
                <w:sz w:val="22"/>
                <w:highlight w:val="none"/>
              </w:rPr>
            </w:pPr>
          </w:p>
        </w:tc>
        <w:tc>
          <w:tcPr>
            <w:tcW w:w="1276" w:type="dxa"/>
            <w:vAlign w:val="center"/>
          </w:tcPr>
          <w:p w14:paraId="65834D8D">
            <w:pPr>
              <w:jc w:val="center"/>
              <w:rPr>
                <w:rFonts w:ascii="宋体" w:hAnsi="宋体"/>
                <w:color w:val="auto"/>
                <w:sz w:val="22"/>
                <w:highlight w:val="none"/>
              </w:rPr>
            </w:pPr>
          </w:p>
        </w:tc>
      </w:tr>
      <w:tr w14:paraId="2DF4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78B37822">
            <w:pPr>
              <w:jc w:val="center"/>
              <w:rPr>
                <w:rFonts w:ascii="宋体" w:hAnsi="宋体"/>
                <w:color w:val="auto"/>
                <w:sz w:val="22"/>
                <w:highlight w:val="none"/>
              </w:rPr>
            </w:pPr>
          </w:p>
        </w:tc>
        <w:tc>
          <w:tcPr>
            <w:tcW w:w="1304" w:type="dxa"/>
            <w:vAlign w:val="center"/>
          </w:tcPr>
          <w:p w14:paraId="1922050F">
            <w:pPr>
              <w:jc w:val="center"/>
              <w:rPr>
                <w:rFonts w:ascii="宋体" w:hAnsi="宋体"/>
                <w:color w:val="auto"/>
                <w:sz w:val="22"/>
                <w:highlight w:val="none"/>
              </w:rPr>
            </w:pPr>
          </w:p>
        </w:tc>
        <w:tc>
          <w:tcPr>
            <w:tcW w:w="904" w:type="dxa"/>
            <w:vAlign w:val="center"/>
          </w:tcPr>
          <w:p w14:paraId="552E14CA">
            <w:pPr>
              <w:jc w:val="center"/>
              <w:rPr>
                <w:rFonts w:ascii="宋体" w:hAnsi="宋体"/>
                <w:color w:val="auto"/>
                <w:sz w:val="22"/>
                <w:highlight w:val="none"/>
              </w:rPr>
            </w:pPr>
          </w:p>
        </w:tc>
        <w:tc>
          <w:tcPr>
            <w:tcW w:w="1484" w:type="dxa"/>
            <w:vAlign w:val="center"/>
          </w:tcPr>
          <w:p w14:paraId="0C367427">
            <w:pPr>
              <w:jc w:val="center"/>
              <w:rPr>
                <w:rFonts w:ascii="宋体" w:hAnsi="宋体"/>
                <w:color w:val="auto"/>
                <w:sz w:val="22"/>
                <w:highlight w:val="none"/>
              </w:rPr>
            </w:pPr>
          </w:p>
        </w:tc>
        <w:tc>
          <w:tcPr>
            <w:tcW w:w="1885" w:type="dxa"/>
            <w:vAlign w:val="center"/>
          </w:tcPr>
          <w:p w14:paraId="468F22A6">
            <w:pPr>
              <w:jc w:val="center"/>
              <w:rPr>
                <w:rFonts w:ascii="宋体" w:hAnsi="宋体"/>
                <w:color w:val="auto"/>
                <w:sz w:val="22"/>
                <w:highlight w:val="none"/>
              </w:rPr>
            </w:pPr>
          </w:p>
        </w:tc>
        <w:tc>
          <w:tcPr>
            <w:tcW w:w="883" w:type="dxa"/>
            <w:vAlign w:val="center"/>
          </w:tcPr>
          <w:p w14:paraId="0520FB10">
            <w:pPr>
              <w:jc w:val="center"/>
              <w:rPr>
                <w:rFonts w:ascii="宋体" w:hAnsi="宋体"/>
                <w:color w:val="auto"/>
                <w:sz w:val="22"/>
                <w:highlight w:val="none"/>
              </w:rPr>
            </w:pPr>
          </w:p>
        </w:tc>
        <w:tc>
          <w:tcPr>
            <w:tcW w:w="992" w:type="dxa"/>
            <w:vAlign w:val="center"/>
          </w:tcPr>
          <w:p w14:paraId="15A4C95B">
            <w:pPr>
              <w:jc w:val="center"/>
              <w:rPr>
                <w:rFonts w:ascii="宋体" w:hAnsi="宋体"/>
                <w:color w:val="auto"/>
                <w:sz w:val="22"/>
                <w:highlight w:val="none"/>
              </w:rPr>
            </w:pPr>
          </w:p>
        </w:tc>
        <w:tc>
          <w:tcPr>
            <w:tcW w:w="1276" w:type="dxa"/>
            <w:vAlign w:val="center"/>
          </w:tcPr>
          <w:p w14:paraId="2D65A7D9">
            <w:pPr>
              <w:jc w:val="center"/>
              <w:rPr>
                <w:rFonts w:ascii="宋体" w:hAnsi="宋体"/>
                <w:color w:val="auto"/>
                <w:sz w:val="22"/>
                <w:highlight w:val="none"/>
              </w:rPr>
            </w:pPr>
          </w:p>
        </w:tc>
      </w:tr>
      <w:tr w14:paraId="2816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0C51965F">
            <w:pPr>
              <w:jc w:val="center"/>
              <w:rPr>
                <w:rFonts w:ascii="宋体" w:hAnsi="宋体"/>
                <w:color w:val="auto"/>
                <w:sz w:val="22"/>
                <w:highlight w:val="none"/>
              </w:rPr>
            </w:pPr>
          </w:p>
        </w:tc>
        <w:tc>
          <w:tcPr>
            <w:tcW w:w="1304" w:type="dxa"/>
            <w:vAlign w:val="center"/>
          </w:tcPr>
          <w:p w14:paraId="1F46878D">
            <w:pPr>
              <w:jc w:val="center"/>
              <w:rPr>
                <w:rFonts w:ascii="宋体" w:hAnsi="宋体"/>
                <w:color w:val="auto"/>
                <w:sz w:val="22"/>
                <w:highlight w:val="none"/>
              </w:rPr>
            </w:pPr>
          </w:p>
        </w:tc>
        <w:tc>
          <w:tcPr>
            <w:tcW w:w="904" w:type="dxa"/>
            <w:vAlign w:val="center"/>
          </w:tcPr>
          <w:p w14:paraId="65DFC697">
            <w:pPr>
              <w:jc w:val="center"/>
              <w:rPr>
                <w:rFonts w:ascii="宋体" w:hAnsi="宋体"/>
                <w:color w:val="auto"/>
                <w:sz w:val="22"/>
                <w:highlight w:val="none"/>
              </w:rPr>
            </w:pPr>
          </w:p>
        </w:tc>
        <w:tc>
          <w:tcPr>
            <w:tcW w:w="1484" w:type="dxa"/>
            <w:vAlign w:val="center"/>
          </w:tcPr>
          <w:p w14:paraId="029EA2D9">
            <w:pPr>
              <w:jc w:val="center"/>
              <w:rPr>
                <w:rFonts w:ascii="宋体" w:hAnsi="宋体"/>
                <w:color w:val="auto"/>
                <w:sz w:val="22"/>
                <w:highlight w:val="none"/>
              </w:rPr>
            </w:pPr>
          </w:p>
        </w:tc>
        <w:tc>
          <w:tcPr>
            <w:tcW w:w="1885" w:type="dxa"/>
            <w:vAlign w:val="center"/>
          </w:tcPr>
          <w:p w14:paraId="732A1B02">
            <w:pPr>
              <w:jc w:val="center"/>
              <w:rPr>
                <w:rFonts w:ascii="宋体" w:hAnsi="宋体"/>
                <w:color w:val="auto"/>
                <w:sz w:val="22"/>
                <w:highlight w:val="none"/>
              </w:rPr>
            </w:pPr>
          </w:p>
        </w:tc>
        <w:tc>
          <w:tcPr>
            <w:tcW w:w="883" w:type="dxa"/>
            <w:vAlign w:val="center"/>
          </w:tcPr>
          <w:p w14:paraId="141F34CC">
            <w:pPr>
              <w:jc w:val="center"/>
              <w:rPr>
                <w:rFonts w:ascii="宋体" w:hAnsi="宋体"/>
                <w:color w:val="auto"/>
                <w:sz w:val="22"/>
                <w:highlight w:val="none"/>
              </w:rPr>
            </w:pPr>
          </w:p>
        </w:tc>
        <w:tc>
          <w:tcPr>
            <w:tcW w:w="992" w:type="dxa"/>
            <w:vAlign w:val="center"/>
          </w:tcPr>
          <w:p w14:paraId="4F772576">
            <w:pPr>
              <w:jc w:val="center"/>
              <w:rPr>
                <w:rFonts w:ascii="宋体" w:hAnsi="宋体"/>
                <w:color w:val="auto"/>
                <w:sz w:val="22"/>
                <w:highlight w:val="none"/>
              </w:rPr>
            </w:pPr>
          </w:p>
        </w:tc>
        <w:tc>
          <w:tcPr>
            <w:tcW w:w="1276" w:type="dxa"/>
            <w:vAlign w:val="center"/>
          </w:tcPr>
          <w:p w14:paraId="3EFADB52">
            <w:pPr>
              <w:jc w:val="center"/>
              <w:rPr>
                <w:rFonts w:ascii="宋体" w:hAnsi="宋体"/>
                <w:color w:val="auto"/>
                <w:sz w:val="22"/>
                <w:highlight w:val="none"/>
              </w:rPr>
            </w:pPr>
          </w:p>
        </w:tc>
      </w:tr>
      <w:tr w14:paraId="6D49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34354B4">
            <w:pPr>
              <w:jc w:val="center"/>
              <w:rPr>
                <w:rFonts w:ascii="宋体" w:hAnsi="宋体"/>
                <w:color w:val="auto"/>
                <w:sz w:val="22"/>
                <w:highlight w:val="none"/>
              </w:rPr>
            </w:pPr>
          </w:p>
        </w:tc>
        <w:tc>
          <w:tcPr>
            <w:tcW w:w="1304" w:type="dxa"/>
            <w:vAlign w:val="center"/>
          </w:tcPr>
          <w:p w14:paraId="6B138F24">
            <w:pPr>
              <w:jc w:val="center"/>
              <w:rPr>
                <w:rFonts w:ascii="宋体" w:hAnsi="宋体"/>
                <w:color w:val="auto"/>
                <w:sz w:val="22"/>
                <w:highlight w:val="none"/>
              </w:rPr>
            </w:pPr>
          </w:p>
        </w:tc>
        <w:tc>
          <w:tcPr>
            <w:tcW w:w="904" w:type="dxa"/>
            <w:vAlign w:val="center"/>
          </w:tcPr>
          <w:p w14:paraId="5FE0A103">
            <w:pPr>
              <w:jc w:val="center"/>
              <w:rPr>
                <w:rFonts w:ascii="宋体" w:hAnsi="宋体"/>
                <w:color w:val="auto"/>
                <w:sz w:val="22"/>
                <w:highlight w:val="none"/>
              </w:rPr>
            </w:pPr>
          </w:p>
        </w:tc>
        <w:tc>
          <w:tcPr>
            <w:tcW w:w="1484" w:type="dxa"/>
            <w:vAlign w:val="center"/>
          </w:tcPr>
          <w:p w14:paraId="12B28229">
            <w:pPr>
              <w:jc w:val="center"/>
              <w:rPr>
                <w:rFonts w:ascii="宋体" w:hAnsi="宋体"/>
                <w:color w:val="auto"/>
                <w:sz w:val="22"/>
                <w:highlight w:val="none"/>
              </w:rPr>
            </w:pPr>
          </w:p>
        </w:tc>
        <w:tc>
          <w:tcPr>
            <w:tcW w:w="1885" w:type="dxa"/>
            <w:vAlign w:val="center"/>
          </w:tcPr>
          <w:p w14:paraId="34243B79">
            <w:pPr>
              <w:jc w:val="center"/>
              <w:rPr>
                <w:rFonts w:ascii="宋体" w:hAnsi="宋体"/>
                <w:color w:val="auto"/>
                <w:sz w:val="22"/>
                <w:highlight w:val="none"/>
              </w:rPr>
            </w:pPr>
          </w:p>
        </w:tc>
        <w:tc>
          <w:tcPr>
            <w:tcW w:w="883" w:type="dxa"/>
            <w:vAlign w:val="center"/>
          </w:tcPr>
          <w:p w14:paraId="386EB44B">
            <w:pPr>
              <w:jc w:val="center"/>
              <w:rPr>
                <w:rFonts w:ascii="宋体" w:hAnsi="宋体"/>
                <w:color w:val="auto"/>
                <w:sz w:val="22"/>
                <w:highlight w:val="none"/>
              </w:rPr>
            </w:pPr>
          </w:p>
        </w:tc>
        <w:tc>
          <w:tcPr>
            <w:tcW w:w="992" w:type="dxa"/>
            <w:vAlign w:val="center"/>
          </w:tcPr>
          <w:p w14:paraId="3DF562A9">
            <w:pPr>
              <w:jc w:val="center"/>
              <w:rPr>
                <w:rFonts w:ascii="宋体" w:hAnsi="宋体"/>
                <w:color w:val="auto"/>
                <w:sz w:val="22"/>
                <w:highlight w:val="none"/>
              </w:rPr>
            </w:pPr>
          </w:p>
        </w:tc>
        <w:tc>
          <w:tcPr>
            <w:tcW w:w="1276" w:type="dxa"/>
            <w:vAlign w:val="center"/>
          </w:tcPr>
          <w:p w14:paraId="5BB53C5C">
            <w:pPr>
              <w:jc w:val="center"/>
              <w:rPr>
                <w:rFonts w:ascii="宋体" w:hAnsi="宋体"/>
                <w:color w:val="auto"/>
                <w:sz w:val="22"/>
                <w:highlight w:val="none"/>
              </w:rPr>
            </w:pPr>
          </w:p>
        </w:tc>
      </w:tr>
      <w:tr w14:paraId="3883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1600B544">
            <w:pPr>
              <w:jc w:val="center"/>
              <w:rPr>
                <w:rFonts w:ascii="宋体" w:hAnsi="宋体"/>
                <w:color w:val="auto"/>
                <w:sz w:val="22"/>
                <w:highlight w:val="none"/>
              </w:rPr>
            </w:pPr>
          </w:p>
        </w:tc>
        <w:tc>
          <w:tcPr>
            <w:tcW w:w="1304" w:type="dxa"/>
            <w:vAlign w:val="center"/>
          </w:tcPr>
          <w:p w14:paraId="1302B1BF">
            <w:pPr>
              <w:jc w:val="center"/>
              <w:rPr>
                <w:rFonts w:ascii="宋体" w:hAnsi="宋体"/>
                <w:color w:val="auto"/>
                <w:sz w:val="22"/>
                <w:highlight w:val="none"/>
              </w:rPr>
            </w:pPr>
          </w:p>
        </w:tc>
        <w:tc>
          <w:tcPr>
            <w:tcW w:w="904" w:type="dxa"/>
            <w:vAlign w:val="center"/>
          </w:tcPr>
          <w:p w14:paraId="4D928D54">
            <w:pPr>
              <w:jc w:val="center"/>
              <w:rPr>
                <w:rFonts w:ascii="宋体" w:hAnsi="宋体"/>
                <w:color w:val="auto"/>
                <w:sz w:val="22"/>
                <w:highlight w:val="none"/>
              </w:rPr>
            </w:pPr>
          </w:p>
        </w:tc>
        <w:tc>
          <w:tcPr>
            <w:tcW w:w="1484" w:type="dxa"/>
            <w:vAlign w:val="center"/>
          </w:tcPr>
          <w:p w14:paraId="15ECC8D3">
            <w:pPr>
              <w:jc w:val="center"/>
              <w:rPr>
                <w:rFonts w:ascii="宋体" w:hAnsi="宋体"/>
                <w:color w:val="auto"/>
                <w:sz w:val="22"/>
                <w:highlight w:val="none"/>
              </w:rPr>
            </w:pPr>
          </w:p>
        </w:tc>
        <w:tc>
          <w:tcPr>
            <w:tcW w:w="1885" w:type="dxa"/>
            <w:vAlign w:val="center"/>
          </w:tcPr>
          <w:p w14:paraId="017437ED">
            <w:pPr>
              <w:jc w:val="center"/>
              <w:rPr>
                <w:rFonts w:ascii="宋体" w:hAnsi="宋体"/>
                <w:color w:val="auto"/>
                <w:sz w:val="22"/>
                <w:highlight w:val="none"/>
              </w:rPr>
            </w:pPr>
          </w:p>
        </w:tc>
        <w:tc>
          <w:tcPr>
            <w:tcW w:w="883" w:type="dxa"/>
            <w:vAlign w:val="center"/>
          </w:tcPr>
          <w:p w14:paraId="0C0EED8D">
            <w:pPr>
              <w:jc w:val="center"/>
              <w:rPr>
                <w:rFonts w:ascii="宋体" w:hAnsi="宋体"/>
                <w:color w:val="auto"/>
                <w:sz w:val="22"/>
                <w:highlight w:val="none"/>
              </w:rPr>
            </w:pPr>
          </w:p>
        </w:tc>
        <w:tc>
          <w:tcPr>
            <w:tcW w:w="992" w:type="dxa"/>
            <w:vAlign w:val="center"/>
          </w:tcPr>
          <w:p w14:paraId="1E154339">
            <w:pPr>
              <w:jc w:val="center"/>
              <w:rPr>
                <w:rFonts w:ascii="宋体" w:hAnsi="宋体"/>
                <w:color w:val="auto"/>
                <w:sz w:val="22"/>
                <w:highlight w:val="none"/>
              </w:rPr>
            </w:pPr>
          </w:p>
        </w:tc>
        <w:tc>
          <w:tcPr>
            <w:tcW w:w="1276" w:type="dxa"/>
            <w:vAlign w:val="center"/>
          </w:tcPr>
          <w:p w14:paraId="26FC9207">
            <w:pPr>
              <w:jc w:val="center"/>
              <w:rPr>
                <w:rFonts w:ascii="宋体" w:hAnsi="宋体"/>
                <w:color w:val="auto"/>
                <w:sz w:val="22"/>
                <w:highlight w:val="none"/>
              </w:rPr>
            </w:pPr>
          </w:p>
        </w:tc>
      </w:tr>
      <w:tr w14:paraId="3F6E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45BF78F9">
            <w:pPr>
              <w:jc w:val="center"/>
              <w:rPr>
                <w:rFonts w:ascii="宋体" w:hAnsi="宋体"/>
                <w:color w:val="auto"/>
                <w:sz w:val="22"/>
                <w:highlight w:val="none"/>
              </w:rPr>
            </w:pPr>
          </w:p>
        </w:tc>
        <w:tc>
          <w:tcPr>
            <w:tcW w:w="1304" w:type="dxa"/>
            <w:vAlign w:val="center"/>
          </w:tcPr>
          <w:p w14:paraId="47AD271F">
            <w:pPr>
              <w:jc w:val="center"/>
              <w:rPr>
                <w:rFonts w:ascii="宋体" w:hAnsi="宋体"/>
                <w:color w:val="auto"/>
                <w:sz w:val="22"/>
                <w:highlight w:val="none"/>
              </w:rPr>
            </w:pPr>
          </w:p>
        </w:tc>
        <w:tc>
          <w:tcPr>
            <w:tcW w:w="904" w:type="dxa"/>
            <w:vAlign w:val="center"/>
          </w:tcPr>
          <w:p w14:paraId="1FC37F96">
            <w:pPr>
              <w:jc w:val="center"/>
              <w:rPr>
                <w:rFonts w:ascii="宋体" w:hAnsi="宋体"/>
                <w:color w:val="auto"/>
                <w:sz w:val="22"/>
                <w:highlight w:val="none"/>
              </w:rPr>
            </w:pPr>
          </w:p>
        </w:tc>
        <w:tc>
          <w:tcPr>
            <w:tcW w:w="1484" w:type="dxa"/>
            <w:vAlign w:val="center"/>
          </w:tcPr>
          <w:p w14:paraId="547C725F">
            <w:pPr>
              <w:jc w:val="center"/>
              <w:rPr>
                <w:rFonts w:ascii="宋体" w:hAnsi="宋体"/>
                <w:color w:val="auto"/>
                <w:sz w:val="22"/>
                <w:highlight w:val="none"/>
              </w:rPr>
            </w:pPr>
          </w:p>
        </w:tc>
        <w:tc>
          <w:tcPr>
            <w:tcW w:w="1885" w:type="dxa"/>
            <w:vAlign w:val="center"/>
          </w:tcPr>
          <w:p w14:paraId="6EC719BC">
            <w:pPr>
              <w:jc w:val="center"/>
              <w:rPr>
                <w:rFonts w:ascii="宋体" w:hAnsi="宋体"/>
                <w:color w:val="auto"/>
                <w:sz w:val="22"/>
                <w:highlight w:val="none"/>
              </w:rPr>
            </w:pPr>
          </w:p>
        </w:tc>
        <w:tc>
          <w:tcPr>
            <w:tcW w:w="883" w:type="dxa"/>
            <w:vAlign w:val="center"/>
          </w:tcPr>
          <w:p w14:paraId="7D0072C4">
            <w:pPr>
              <w:jc w:val="center"/>
              <w:rPr>
                <w:rFonts w:ascii="宋体" w:hAnsi="宋体"/>
                <w:color w:val="auto"/>
                <w:sz w:val="22"/>
                <w:highlight w:val="none"/>
              </w:rPr>
            </w:pPr>
          </w:p>
        </w:tc>
        <w:tc>
          <w:tcPr>
            <w:tcW w:w="992" w:type="dxa"/>
            <w:vAlign w:val="center"/>
          </w:tcPr>
          <w:p w14:paraId="23051D51">
            <w:pPr>
              <w:jc w:val="center"/>
              <w:rPr>
                <w:rFonts w:ascii="宋体" w:hAnsi="宋体"/>
                <w:color w:val="auto"/>
                <w:sz w:val="22"/>
                <w:highlight w:val="none"/>
              </w:rPr>
            </w:pPr>
          </w:p>
        </w:tc>
        <w:tc>
          <w:tcPr>
            <w:tcW w:w="1276" w:type="dxa"/>
            <w:vAlign w:val="center"/>
          </w:tcPr>
          <w:p w14:paraId="3AFDF1D8">
            <w:pPr>
              <w:jc w:val="center"/>
              <w:rPr>
                <w:rFonts w:ascii="宋体" w:hAnsi="宋体"/>
                <w:color w:val="auto"/>
                <w:sz w:val="22"/>
                <w:highlight w:val="none"/>
              </w:rPr>
            </w:pPr>
          </w:p>
        </w:tc>
      </w:tr>
      <w:tr w14:paraId="6062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5ABB9FF3">
            <w:pPr>
              <w:jc w:val="center"/>
              <w:rPr>
                <w:rFonts w:ascii="宋体" w:hAnsi="宋体"/>
                <w:color w:val="auto"/>
                <w:sz w:val="22"/>
                <w:highlight w:val="none"/>
              </w:rPr>
            </w:pPr>
          </w:p>
        </w:tc>
        <w:tc>
          <w:tcPr>
            <w:tcW w:w="1304" w:type="dxa"/>
            <w:vAlign w:val="center"/>
          </w:tcPr>
          <w:p w14:paraId="7C767707">
            <w:pPr>
              <w:jc w:val="center"/>
              <w:rPr>
                <w:rFonts w:ascii="宋体" w:hAnsi="宋体"/>
                <w:color w:val="auto"/>
                <w:sz w:val="22"/>
                <w:highlight w:val="none"/>
              </w:rPr>
            </w:pPr>
          </w:p>
        </w:tc>
        <w:tc>
          <w:tcPr>
            <w:tcW w:w="904" w:type="dxa"/>
            <w:vAlign w:val="center"/>
          </w:tcPr>
          <w:p w14:paraId="0A2D23B3">
            <w:pPr>
              <w:jc w:val="center"/>
              <w:rPr>
                <w:rFonts w:ascii="宋体" w:hAnsi="宋体"/>
                <w:color w:val="auto"/>
                <w:sz w:val="22"/>
                <w:highlight w:val="none"/>
              </w:rPr>
            </w:pPr>
          </w:p>
        </w:tc>
        <w:tc>
          <w:tcPr>
            <w:tcW w:w="1484" w:type="dxa"/>
            <w:vAlign w:val="center"/>
          </w:tcPr>
          <w:p w14:paraId="52DDB427">
            <w:pPr>
              <w:jc w:val="center"/>
              <w:rPr>
                <w:rFonts w:ascii="宋体" w:hAnsi="宋体"/>
                <w:color w:val="auto"/>
                <w:sz w:val="22"/>
                <w:highlight w:val="none"/>
              </w:rPr>
            </w:pPr>
          </w:p>
        </w:tc>
        <w:tc>
          <w:tcPr>
            <w:tcW w:w="1885" w:type="dxa"/>
            <w:vAlign w:val="center"/>
          </w:tcPr>
          <w:p w14:paraId="45BC6B39">
            <w:pPr>
              <w:jc w:val="center"/>
              <w:rPr>
                <w:rFonts w:ascii="宋体" w:hAnsi="宋体"/>
                <w:color w:val="auto"/>
                <w:sz w:val="22"/>
                <w:highlight w:val="none"/>
              </w:rPr>
            </w:pPr>
          </w:p>
        </w:tc>
        <w:tc>
          <w:tcPr>
            <w:tcW w:w="883" w:type="dxa"/>
            <w:vAlign w:val="center"/>
          </w:tcPr>
          <w:p w14:paraId="1E524862">
            <w:pPr>
              <w:jc w:val="center"/>
              <w:rPr>
                <w:rFonts w:ascii="宋体" w:hAnsi="宋体"/>
                <w:color w:val="auto"/>
                <w:sz w:val="22"/>
                <w:highlight w:val="none"/>
              </w:rPr>
            </w:pPr>
          </w:p>
        </w:tc>
        <w:tc>
          <w:tcPr>
            <w:tcW w:w="992" w:type="dxa"/>
            <w:vAlign w:val="center"/>
          </w:tcPr>
          <w:p w14:paraId="79CBD736">
            <w:pPr>
              <w:jc w:val="center"/>
              <w:rPr>
                <w:rFonts w:ascii="宋体" w:hAnsi="宋体"/>
                <w:color w:val="auto"/>
                <w:sz w:val="22"/>
                <w:highlight w:val="none"/>
              </w:rPr>
            </w:pPr>
          </w:p>
        </w:tc>
        <w:tc>
          <w:tcPr>
            <w:tcW w:w="1276" w:type="dxa"/>
            <w:vAlign w:val="center"/>
          </w:tcPr>
          <w:p w14:paraId="7B855FD0">
            <w:pPr>
              <w:jc w:val="center"/>
              <w:rPr>
                <w:rFonts w:ascii="宋体" w:hAnsi="宋体"/>
                <w:color w:val="auto"/>
                <w:sz w:val="22"/>
                <w:highlight w:val="none"/>
              </w:rPr>
            </w:pPr>
          </w:p>
        </w:tc>
      </w:tr>
      <w:tr w14:paraId="0974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0E8B7EBF">
            <w:pPr>
              <w:jc w:val="center"/>
              <w:rPr>
                <w:rFonts w:ascii="宋体" w:hAnsi="宋体"/>
                <w:color w:val="auto"/>
                <w:sz w:val="22"/>
                <w:highlight w:val="none"/>
              </w:rPr>
            </w:pPr>
          </w:p>
        </w:tc>
        <w:tc>
          <w:tcPr>
            <w:tcW w:w="1304" w:type="dxa"/>
            <w:vAlign w:val="center"/>
          </w:tcPr>
          <w:p w14:paraId="080A8776">
            <w:pPr>
              <w:jc w:val="center"/>
              <w:rPr>
                <w:rFonts w:ascii="宋体" w:hAnsi="宋体"/>
                <w:color w:val="auto"/>
                <w:sz w:val="22"/>
                <w:highlight w:val="none"/>
              </w:rPr>
            </w:pPr>
          </w:p>
        </w:tc>
        <w:tc>
          <w:tcPr>
            <w:tcW w:w="904" w:type="dxa"/>
            <w:vAlign w:val="center"/>
          </w:tcPr>
          <w:p w14:paraId="7BD5F5C2">
            <w:pPr>
              <w:jc w:val="center"/>
              <w:rPr>
                <w:rFonts w:ascii="宋体" w:hAnsi="宋体"/>
                <w:color w:val="auto"/>
                <w:sz w:val="22"/>
                <w:highlight w:val="none"/>
              </w:rPr>
            </w:pPr>
          </w:p>
        </w:tc>
        <w:tc>
          <w:tcPr>
            <w:tcW w:w="1484" w:type="dxa"/>
            <w:vAlign w:val="center"/>
          </w:tcPr>
          <w:p w14:paraId="7BD50C30">
            <w:pPr>
              <w:jc w:val="center"/>
              <w:rPr>
                <w:rFonts w:ascii="宋体" w:hAnsi="宋体"/>
                <w:color w:val="auto"/>
                <w:sz w:val="22"/>
                <w:highlight w:val="none"/>
              </w:rPr>
            </w:pPr>
          </w:p>
        </w:tc>
        <w:tc>
          <w:tcPr>
            <w:tcW w:w="1885" w:type="dxa"/>
            <w:vAlign w:val="center"/>
          </w:tcPr>
          <w:p w14:paraId="68144526">
            <w:pPr>
              <w:jc w:val="center"/>
              <w:rPr>
                <w:rFonts w:ascii="宋体" w:hAnsi="宋体"/>
                <w:color w:val="auto"/>
                <w:sz w:val="22"/>
                <w:highlight w:val="none"/>
              </w:rPr>
            </w:pPr>
          </w:p>
        </w:tc>
        <w:tc>
          <w:tcPr>
            <w:tcW w:w="883" w:type="dxa"/>
            <w:vAlign w:val="center"/>
          </w:tcPr>
          <w:p w14:paraId="080B5EE2">
            <w:pPr>
              <w:jc w:val="center"/>
              <w:rPr>
                <w:rFonts w:ascii="宋体" w:hAnsi="宋体"/>
                <w:color w:val="auto"/>
                <w:sz w:val="22"/>
                <w:highlight w:val="none"/>
              </w:rPr>
            </w:pPr>
          </w:p>
        </w:tc>
        <w:tc>
          <w:tcPr>
            <w:tcW w:w="992" w:type="dxa"/>
            <w:vAlign w:val="center"/>
          </w:tcPr>
          <w:p w14:paraId="58ACAAFB">
            <w:pPr>
              <w:jc w:val="center"/>
              <w:rPr>
                <w:rFonts w:ascii="宋体" w:hAnsi="宋体"/>
                <w:color w:val="auto"/>
                <w:sz w:val="22"/>
                <w:highlight w:val="none"/>
              </w:rPr>
            </w:pPr>
          </w:p>
        </w:tc>
        <w:tc>
          <w:tcPr>
            <w:tcW w:w="1276" w:type="dxa"/>
            <w:vAlign w:val="center"/>
          </w:tcPr>
          <w:p w14:paraId="67B3668E">
            <w:pPr>
              <w:jc w:val="center"/>
              <w:rPr>
                <w:rFonts w:ascii="宋体" w:hAnsi="宋体"/>
                <w:color w:val="auto"/>
                <w:sz w:val="22"/>
                <w:highlight w:val="none"/>
              </w:rPr>
            </w:pPr>
          </w:p>
        </w:tc>
      </w:tr>
      <w:tr w14:paraId="74BB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6ACEB8AA">
            <w:pPr>
              <w:jc w:val="center"/>
              <w:rPr>
                <w:rFonts w:ascii="宋体" w:hAnsi="宋体"/>
                <w:color w:val="auto"/>
                <w:sz w:val="22"/>
                <w:highlight w:val="none"/>
              </w:rPr>
            </w:pPr>
          </w:p>
        </w:tc>
        <w:tc>
          <w:tcPr>
            <w:tcW w:w="1304" w:type="dxa"/>
            <w:vAlign w:val="center"/>
          </w:tcPr>
          <w:p w14:paraId="1B1C1DA4">
            <w:pPr>
              <w:jc w:val="center"/>
              <w:rPr>
                <w:rFonts w:ascii="宋体" w:hAnsi="宋体"/>
                <w:color w:val="auto"/>
                <w:sz w:val="22"/>
                <w:highlight w:val="none"/>
              </w:rPr>
            </w:pPr>
          </w:p>
        </w:tc>
        <w:tc>
          <w:tcPr>
            <w:tcW w:w="904" w:type="dxa"/>
            <w:vAlign w:val="center"/>
          </w:tcPr>
          <w:p w14:paraId="703A87F4">
            <w:pPr>
              <w:jc w:val="center"/>
              <w:rPr>
                <w:rFonts w:ascii="宋体" w:hAnsi="宋体"/>
                <w:color w:val="auto"/>
                <w:sz w:val="22"/>
                <w:highlight w:val="none"/>
              </w:rPr>
            </w:pPr>
          </w:p>
        </w:tc>
        <w:tc>
          <w:tcPr>
            <w:tcW w:w="1484" w:type="dxa"/>
            <w:vAlign w:val="center"/>
          </w:tcPr>
          <w:p w14:paraId="5B2A7673">
            <w:pPr>
              <w:jc w:val="center"/>
              <w:rPr>
                <w:rFonts w:ascii="宋体" w:hAnsi="宋体"/>
                <w:color w:val="auto"/>
                <w:sz w:val="22"/>
                <w:highlight w:val="none"/>
              </w:rPr>
            </w:pPr>
          </w:p>
        </w:tc>
        <w:tc>
          <w:tcPr>
            <w:tcW w:w="1885" w:type="dxa"/>
            <w:vAlign w:val="center"/>
          </w:tcPr>
          <w:p w14:paraId="10EFFCDD">
            <w:pPr>
              <w:jc w:val="center"/>
              <w:rPr>
                <w:rFonts w:ascii="宋体" w:hAnsi="宋体"/>
                <w:color w:val="auto"/>
                <w:sz w:val="22"/>
                <w:highlight w:val="none"/>
              </w:rPr>
            </w:pPr>
          </w:p>
        </w:tc>
        <w:tc>
          <w:tcPr>
            <w:tcW w:w="883" w:type="dxa"/>
            <w:vAlign w:val="center"/>
          </w:tcPr>
          <w:p w14:paraId="3B10F0CD">
            <w:pPr>
              <w:jc w:val="center"/>
              <w:rPr>
                <w:rFonts w:ascii="宋体" w:hAnsi="宋体"/>
                <w:color w:val="auto"/>
                <w:sz w:val="22"/>
                <w:highlight w:val="none"/>
              </w:rPr>
            </w:pPr>
          </w:p>
        </w:tc>
        <w:tc>
          <w:tcPr>
            <w:tcW w:w="992" w:type="dxa"/>
            <w:vAlign w:val="center"/>
          </w:tcPr>
          <w:p w14:paraId="0275F342">
            <w:pPr>
              <w:jc w:val="center"/>
              <w:rPr>
                <w:rFonts w:ascii="宋体" w:hAnsi="宋体"/>
                <w:color w:val="auto"/>
                <w:sz w:val="22"/>
                <w:highlight w:val="none"/>
              </w:rPr>
            </w:pPr>
          </w:p>
        </w:tc>
        <w:tc>
          <w:tcPr>
            <w:tcW w:w="1276" w:type="dxa"/>
            <w:vAlign w:val="center"/>
          </w:tcPr>
          <w:p w14:paraId="3B793802">
            <w:pPr>
              <w:jc w:val="center"/>
              <w:rPr>
                <w:rFonts w:ascii="宋体" w:hAnsi="宋体"/>
                <w:color w:val="auto"/>
                <w:sz w:val="22"/>
                <w:highlight w:val="none"/>
              </w:rPr>
            </w:pPr>
          </w:p>
        </w:tc>
      </w:tr>
      <w:tr w14:paraId="59D0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43AAA4AE">
            <w:pPr>
              <w:jc w:val="center"/>
              <w:rPr>
                <w:rFonts w:ascii="宋体" w:hAnsi="宋体"/>
                <w:color w:val="auto"/>
                <w:sz w:val="22"/>
                <w:highlight w:val="none"/>
              </w:rPr>
            </w:pPr>
          </w:p>
        </w:tc>
        <w:tc>
          <w:tcPr>
            <w:tcW w:w="1304" w:type="dxa"/>
            <w:vAlign w:val="center"/>
          </w:tcPr>
          <w:p w14:paraId="19A92DA9">
            <w:pPr>
              <w:jc w:val="center"/>
              <w:rPr>
                <w:rFonts w:ascii="宋体" w:hAnsi="宋体"/>
                <w:color w:val="auto"/>
                <w:sz w:val="22"/>
                <w:highlight w:val="none"/>
              </w:rPr>
            </w:pPr>
          </w:p>
        </w:tc>
        <w:tc>
          <w:tcPr>
            <w:tcW w:w="904" w:type="dxa"/>
            <w:vAlign w:val="center"/>
          </w:tcPr>
          <w:p w14:paraId="349D679C">
            <w:pPr>
              <w:jc w:val="center"/>
              <w:rPr>
                <w:rFonts w:ascii="宋体" w:hAnsi="宋体"/>
                <w:color w:val="auto"/>
                <w:sz w:val="22"/>
                <w:highlight w:val="none"/>
              </w:rPr>
            </w:pPr>
          </w:p>
        </w:tc>
        <w:tc>
          <w:tcPr>
            <w:tcW w:w="1484" w:type="dxa"/>
            <w:vAlign w:val="center"/>
          </w:tcPr>
          <w:p w14:paraId="3FB64485">
            <w:pPr>
              <w:jc w:val="center"/>
              <w:rPr>
                <w:rFonts w:ascii="宋体" w:hAnsi="宋体"/>
                <w:color w:val="auto"/>
                <w:sz w:val="22"/>
                <w:highlight w:val="none"/>
              </w:rPr>
            </w:pPr>
          </w:p>
        </w:tc>
        <w:tc>
          <w:tcPr>
            <w:tcW w:w="1885" w:type="dxa"/>
            <w:vAlign w:val="center"/>
          </w:tcPr>
          <w:p w14:paraId="5440BD52">
            <w:pPr>
              <w:jc w:val="center"/>
              <w:rPr>
                <w:rFonts w:ascii="宋体" w:hAnsi="宋体"/>
                <w:color w:val="auto"/>
                <w:sz w:val="22"/>
                <w:highlight w:val="none"/>
              </w:rPr>
            </w:pPr>
          </w:p>
        </w:tc>
        <w:tc>
          <w:tcPr>
            <w:tcW w:w="883" w:type="dxa"/>
            <w:vAlign w:val="center"/>
          </w:tcPr>
          <w:p w14:paraId="02404362">
            <w:pPr>
              <w:jc w:val="center"/>
              <w:rPr>
                <w:rFonts w:ascii="宋体" w:hAnsi="宋体"/>
                <w:color w:val="auto"/>
                <w:sz w:val="22"/>
                <w:highlight w:val="none"/>
              </w:rPr>
            </w:pPr>
          </w:p>
        </w:tc>
        <w:tc>
          <w:tcPr>
            <w:tcW w:w="992" w:type="dxa"/>
            <w:vAlign w:val="center"/>
          </w:tcPr>
          <w:p w14:paraId="3E9E2B5B">
            <w:pPr>
              <w:jc w:val="center"/>
              <w:rPr>
                <w:rFonts w:ascii="宋体" w:hAnsi="宋体"/>
                <w:color w:val="auto"/>
                <w:sz w:val="22"/>
                <w:highlight w:val="none"/>
              </w:rPr>
            </w:pPr>
          </w:p>
        </w:tc>
        <w:tc>
          <w:tcPr>
            <w:tcW w:w="1276" w:type="dxa"/>
            <w:vAlign w:val="center"/>
          </w:tcPr>
          <w:p w14:paraId="7D3986F5">
            <w:pPr>
              <w:jc w:val="center"/>
              <w:rPr>
                <w:rFonts w:ascii="宋体" w:hAnsi="宋体"/>
                <w:color w:val="auto"/>
                <w:sz w:val="22"/>
                <w:highlight w:val="none"/>
              </w:rPr>
            </w:pPr>
          </w:p>
        </w:tc>
      </w:tr>
      <w:tr w14:paraId="2CD0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906CF36">
            <w:pPr>
              <w:jc w:val="center"/>
              <w:rPr>
                <w:rFonts w:ascii="宋体" w:hAnsi="宋体"/>
                <w:color w:val="auto"/>
                <w:sz w:val="22"/>
                <w:highlight w:val="none"/>
              </w:rPr>
            </w:pPr>
          </w:p>
        </w:tc>
        <w:tc>
          <w:tcPr>
            <w:tcW w:w="1304" w:type="dxa"/>
            <w:vAlign w:val="center"/>
          </w:tcPr>
          <w:p w14:paraId="20317D7A">
            <w:pPr>
              <w:jc w:val="center"/>
              <w:rPr>
                <w:rFonts w:ascii="宋体" w:hAnsi="宋体"/>
                <w:color w:val="auto"/>
                <w:sz w:val="22"/>
                <w:highlight w:val="none"/>
              </w:rPr>
            </w:pPr>
          </w:p>
        </w:tc>
        <w:tc>
          <w:tcPr>
            <w:tcW w:w="904" w:type="dxa"/>
            <w:vAlign w:val="center"/>
          </w:tcPr>
          <w:p w14:paraId="57812E10">
            <w:pPr>
              <w:jc w:val="center"/>
              <w:rPr>
                <w:rFonts w:ascii="宋体" w:hAnsi="宋体"/>
                <w:color w:val="auto"/>
                <w:sz w:val="22"/>
                <w:highlight w:val="none"/>
              </w:rPr>
            </w:pPr>
          </w:p>
        </w:tc>
        <w:tc>
          <w:tcPr>
            <w:tcW w:w="1484" w:type="dxa"/>
            <w:vAlign w:val="center"/>
          </w:tcPr>
          <w:p w14:paraId="143A5391">
            <w:pPr>
              <w:jc w:val="center"/>
              <w:rPr>
                <w:rFonts w:ascii="宋体" w:hAnsi="宋体"/>
                <w:color w:val="auto"/>
                <w:sz w:val="22"/>
                <w:highlight w:val="none"/>
              </w:rPr>
            </w:pPr>
          </w:p>
        </w:tc>
        <w:tc>
          <w:tcPr>
            <w:tcW w:w="1885" w:type="dxa"/>
            <w:vAlign w:val="center"/>
          </w:tcPr>
          <w:p w14:paraId="0F408E8D">
            <w:pPr>
              <w:jc w:val="center"/>
              <w:rPr>
                <w:rFonts w:ascii="宋体" w:hAnsi="宋体"/>
                <w:color w:val="auto"/>
                <w:sz w:val="22"/>
                <w:highlight w:val="none"/>
              </w:rPr>
            </w:pPr>
          </w:p>
        </w:tc>
        <w:tc>
          <w:tcPr>
            <w:tcW w:w="883" w:type="dxa"/>
            <w:vAlign w:val="center"/>
          </w:tcPr>
          <w:p w14:paraId="054B71D4">
            <w:pPr>
              <w:jc w:val="center"/>
              <w:rPr>
                <w:rFonts w:ascii="宋体" w:hAnsi="宋体"/>
                <w:color w:val="auto"/>
                <w:sz w:val="22"/>
                <w:highlight w:val="none"/>
              </w:rPr>
            </w:pPr>
          </w:p>
        </w:tc>
        <w:tc>
          <w:tcPr>
            <w:tcW w:w="992" w:type="dxa"/>
            <w:vAlign w:val="center"/>
          </w:tcPr>
          <w:p w14:paraId="4CEE812B">
            <w:pPr>
              <w:jc w:val="center"/>
              <w:rPr>
                <w:rFonts w:ascii="宋体" w:hAnsi="宋体"/>
                <w:color w:val="auto"/>
                <w:sz w:val="22"/>
                <w:highlight w:val="none"/>
              </w:rPr>
            </w:pPr>
          </w:p>
        </w:tc>
        <w:tc>
          <w:tcPr>
            <w:tcW w:w="1276" w:type="dxa"/>
            <w:vAlign w:val="center"/>
          </w:tcPr>
          <w:p w14:paraId="225C36B9">
            <w:pPr>
              <w:jc w:val="center"/>
              <w:rPr>
                <w:rFonts w:ascii="宋体" w:hAnsi="宋体"/>
                <w:color w:val="auto"/>
                <w:sz w:val="22"/>
                <w:highlight w:val="none"/>
              </w:rPr>
            </w:pPr>
          </w:p>
        </w:tc>
      </w:tr>
      <w:tr w14:paraId="2F66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87B029F">
            <w:pPr>
              <w:jc w:val="center"/>
              <w:rPr>
                <w:rFonts w:ascii="宋体" w:hAnsi="宋体"/>
                <w:color w:val="auto"/>
                <w:sz w:val="22"/>
                <w:highlight w:val="none"/>
              </w:rPr>
            </w:pPr>
          </w:p>
        </w:tc>
        <w:tc>
          <w:tcPr>
            <w:tcW w:w="1304" w:type="dxa"/>
            <w:vAlign w:val="center"/>
          </w:tcPr>
          <w:p w14:paraId="2EDB760F">
            <w:pPr>
              <w:jc w:val="center"/>
              <w:rPr>
                <w:rFonts w:ascii="宋体" w:hAnsi="宋体"/>
                <w:color w:val="auto"/>
                <w:sz w:val="22"/>
                <w:highlight w:val="none"/>
              </w:rPr>
            </w:pPr>
          </w:p>
        </w:tc>
        <w:tc>
          <w:tcPr>
            <w:tcW w:w="904" w:type="dxa"/>
            <w:vAlign w:val="center"/>
          </w:tcPr>
          <w:p w14:paraId="2DBF6686">
            <w:pPr>
              <w:jc w:val="center"/>
              <w:rPr>
                <w:rFonts w:ascii="宋体" w:hAnsi="宋体"/>
                <w:color w:val="auto"/>
                <w:sz w:val="22"/>
                <w:highlight w:val="none"/>
              </w:rPr>
            </w:pPr>
          </w:p>
        </w:tc>
        <w:tc>
          <w:tcPr>
            <w:tcW w:w="1484" w:type="dxa"/>
            <w:vAlign w:val="center"/>
          </w:tcPr>
          <w:p w14:paraId="1C2D28A3">
            <w:pPr>
              <w:jc w:val="center"/>
              <w:rPr>
                <w:rFonts w:ascii="宋体" w:hAnsi="宋体"/>
                <w:color w:val="auto"/>
                <w:sz w:val="22"/>
                <w:highlight w:val="none"/>
              </w:rPr>
            </w:pPr>
          </w:p>
        </w:tc>
        <w:tc>
          <w:tcPr>
            <w:tcW w:w="1885" w:type="dxa"/>
            <w:vAlign w:val="center"/>
          </w:tcPr>
          <w:p w14:paraId="2E0D8164">
            <w:pPr>
              <w:jc w:val="center"/>
              <w:rPr>
                <w:rFonts w:ascii="宋体" w:hAnsi="宋体"/>
                <w:color w:val="auto"/>
                <w:sz w:val="22"/>
                <w:highlight w:val="none"/>
              </w:rPr>
            </w:pPr>
          </w:p>
        </w:tc>
        <w:tc>
          <w:tcPr>
            <w:tcW w:w="883" w:type="dxa"/>
            <w:vAlign w:val="center"/>
          </w:tcPr>
          <w:p w14:paraId="2D95ACC6">
            <w:pPr>
              <w:jc w:val="center"/>
              <w:rPr>
                <w:rFonts w:ascii="宋体" w:hAnsi="宋体"/>
                <w:color w:val="auto"/>
                <w:sz w:val="22"/>
                <w:highlight w:val="none"/>
              </w:rPr>
            </w:pPr>
          </w:p>
        </w:tc>
        <w:tc>
          <w:tcPr>
            <w:tcW w:w="992" w:type="dxa"/>
            <w:vAlign w:val="center"/>
          </w:tcPr>
          <w:p w14:paraId="0F8D51BB">
            <w:pPr>
              <w:jc w:val="center"/>
              <w:rPr>
                <w:rFonts w:ascii="宋体" w:hAnsi="宋体"/>
                <w:color w:val="auto"/>
                <w:sz w:val="22"/>
                <w:highlight w:val="none"/>
              </w:rPr>
            </w:pPr>
          </w:p>
        </w:tc>
        <w:tc>
          <w:tcPr>
            <w:tcW w:w="1276" w:type="dxa"/>
            <w:vAlign w:val="center"/>
          </w:tcPr>
          <w:p w14:paraId="0F081C92">
            <w:pPr>
              <w:jc w:val="center"/>
              <w:rPr>
                <w:rFonts w:ascii="宋体" w:hAnsi="宋体"/>
                <w:color w:val="auto"/>
                <w:sz w:val="22"/>
                <w:highlight w:val="none"/>
              </w:rPr>
            </w:pPr>
          </w:p>
        </w:tc>
      </w:tr>
      <w:tr w14:paraId="1550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6C2FE35D">
            <w:pPr>
              <w:jc w:val="center"/>
              <w:rPr>
                <w:rFonts w:ascii="宋体" w:hAnsi="宋体"/>
                <w:color w:val="auto"/>
                <w:sz w:val="22"/>
                <w:highlight w:val="none"/>
              </w:rPr>
            </w:pPr>
          </w:p>
        </w:tc>
        <w:tc>
          <w:tcPr>
            <w:tcW w:w="1304" w:type="dxa"/>
            <w:vAlign w:val="center"/>
          </w:tcPr>
          <w:p w14:paraId="75346A3C">
            <w:pPr>
              <w:jc w:val="center"/>
              <w:rPr>
                <w:rFonts w:ascii="宋体" w:hAnsi="宋体"/>
                <w:color w:val="auto"/>
                <w:sz w:val="22"/>
                <w:highlight w:val="none"/>
              </w:rPr>
            </w:pPr>
          </w:p>
        </w:tc>
        <w:tc>
          <w:tcPr>
            <w:tcW w:w="904" w:type="dxa"/>
            <w:vAlign w:val="center"/>
          </w:tcPr>
          <w:p w14:paraId="34182FD2">
            <w:pPr>
              <w:jc w:val="center"/>
              <w:rPr>
                <w:rFonts w:ascii="宋体" w:hAnsi="宋体"/>
                <w:color w:val="auto"/>
                <w:sz w:val="22"/>
                <w:highlight w:val="none"/>
              </w:rPr>
            </w:pPr>
          </w:p>
        </w:tc>
        <w:tc>
          <w:tcPr>
            <w:tcW w:w="1484" w:type="dxa"/>
            <w:vAlign w:val="center"/>
          </w:tcPr>
          <w:p w14:paraId="59A2E1A5">
            <w:pPr>
              <w:jc w:val="center"/>
              <w:rPr>
                <w:rFonts w:ascii="宋体" w:hAnsi="宋体"/>
                <w:color w:val="auto"/>
                <w:sz w:val="22"/>
                <w:highlight w:val="none"/>
              </w:rPr>
            </w:pPr>
          </w:p>
        </w:tc>
        <w:tc>
          <w:tcPr>
            <w:tcW w:w="1885" w:type="dxa"/>
            <w:vAlign w:val="center"/>
          </w:tcPr>
          <w:p w14:paraId="5EA3EBF4">
            <w:pPr>
              <w:jc w:val="center"/>
              <w:rPr>
                <w:rFonts w:ascii="宋体" w:hAnsi="宋体"/>
                <w:color w:val="auto"/>
                <w:sz w:val="22"/>
                <w:highlight w:val="none"/>
              </w:rPr>
            </w:pPr>
          </w:p>
        </w:tc>
        <w:tc>
          <w:tcPr>
            <w:tcW w:w="883" w:type="dxa"/>
            <w:vAlign w:val="center"/>
          </w:tcPr>
          <w:p w14:paraId="43805E9F">
            <w:pPr>
              <w:jc w:val="center"/>
              <w:rPr>
                <w:rFonts w:ascii="宋体" w:hAnsi="宋体"/>
                <w:color w:val="auto"/>
                <w:sz w:val="22"/>
                <w:highlight w:val="none"/>
              </w:rPr>
            </w:pPr>
          </w:p>
        </w:tc>
        <w:tc>
          <w:tcPr>
            <w:tcW w:w="992" w:type="dxa"/>
            <w:vAlign w:val="center"/>
          </w:tcPr>
          <w:p w14:paraId="7E811222">
            <w:pPr>
              <w:jc w:val="center"/>
              <w:rPr>
                <w:rFonts w:ascii="宋体" w:hAnsi="宋体"/>
                <w:color w:val="auto"/>
                <w:sz w:val="22"/>
                <w:highlight w:val="none"/>
              </w:rPr>
            </w:pPr>
          </w:p>
        </w:tc>
        <w:tc>
          <w:tcPr>
            <w:tcW w:w="1276" w:type="dxa"/>
            <w:vAlign w:val="center"/>
          </w:tcPr>
          <w:p w14:paraId="055298D2">
            <w:pPr>
              <w:jc w:val="center"/>
              <w:rPr>
                <w:rFonts w:ascii="宋体" w:hAnsi="宋体"/>
                <w:color w:val="auto"/>
                <w:sz w:val="22"/>
                <w:highlight w:val="none"/>
              </w:rPr>
            </w:pPr>
          </w:p>
        </w:tc>
      </w:tr>
    </w:tbl>
    <w:p w14:paraId="3AE900CD">
      <w:pPr>
        <w:widowControl/>
        <w:spacing w:before="100" w:line="440" w:lineRule="exact"/>
        <w:jc w:val="left"/>
        <w:rPr>
          <w:rFonts w:ascii="宋体" w:hAnsi="宋体" w:cs="宋体"/>
          <w:b/>
          <w:bCs/>
          <w:color w:val="auto"/>
          <w:kern w:val="0"/>
          <w:sz w:val="28"/>
          <w:szCs w:val="28"/>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w:t>
      </w:r>
    </w:p>
    <w:p w14:paraId="1D871730">
      <w:pPr>
        <w:widowControl/>
        <w:jc w:val="left"/>
        <w:rPr>
          <w:rFonts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p>
    <w:p w14:paraId="29A4A48A">
      <w:pPr>
        <w:jc w:val="center"/>
        <w:rPr>
          <w:rFonts w:cs="宋体"/>
          <w:bCs/>
          <w:color w:val="auto"/>
          <w:kern w:val="0"/>
          <w:highlight w:val="none"/>
        </w:rPr>
      </w:pPr>
    </w:p>
    <w:p w14:paraId="0056A3E3">
      <w:pPr>
        <w:jc w:val="center"/>
        <w:rPr>
          <w:color w:val="auto"/>
          <w:highlight w:val="none"/>
        </w:rPr>
      </w:pPr>
      <w:r>
        <w:rPr>
          <w:rFonts w:hint="eastAsia" w:ascii="宋体" w:hAnsi="宋体" w:cs="宋体"/>
          <w:b/>
          <w:bCs/>
          <w:color w:val="auto"/>
          <w:kern w:val="0"/>
          <w:sz w:val="28"/>
          <w:szCs w:val="28"/>
          <w:highlight w:val="none"/>
        </w:rPr>
        <w:t>（二）拟投入本项目的检测、监测人员简历表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59071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367" w:type="dxa"/>
            <w:gridSpan w:val="2"/>
            <w:vAlign w:val="center"/>
          </w:tcPr>
          <w:p w14:paraId="01243933">
            <w:pPr>
              <w:snapToGrid w:val="0"/>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1295" w:type="dxa"/>
            <w:vAlign w:val="center"/>
          </w:tcPr>
          <w:p w14:paraId="684EE9C0">
            <w:pPr>
              <w:snapToGrid w:val="0"/>
              <w:spacing w:line="0" w:lineRule="atLeast"/>
              <w:jc w:val="center"/>
              <w:rPr>
                <w:rFonts w:ascii="宋体" w:hAnsi="宋体"/>
                <w:color w:val="auto"/>
                <w:sz w:val="24"/>
                <w:highlight w:val="none"/>
              </w:rPr>
            </w:pPr>
          </w:p>
        </w:tc>
        <w:tc>
          <w:tcPr>
            <w:tcW w:w="1044" w:type="dxa"/>
            <w:gridSpan w:val="2"/>
            <w:vAlign w:val="center"/>
          </w:tcPr>
          <w:p w14:paraId="35BE713D">
            <w:pPr>
              <w:snapToGrid w:val="0"/>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1364" w:type="dxa"/>
            <w:gridSpan w:val="2"/>
            <w:vAlign w:val="center"/>
          </w:tcPr>
          <w:p w14:paraId="16854E4E">
            <w:pPr>
              <w:snapToGrid w:val="0"/>
              <w:spacing w:line="0" w:lineRule="atLeast"/>
              <w:jc w:val="center"/>
              <w:rPr>
                <w:rFonts w:ascii="宋体" w:hAnsi="宋体"/>
                <w:color w:val="auto"/>
                <w:sz w:val="24"/>
                <w:highlight w:val="none"/>
              </w:rPr>
            </w:pPr>
          </w:p>
        </w:tc>
        <w:tc>
          <w:tcPr>
            <w:tcW w:w="1830" w:type="dxa"/>
            <w:gridSpan w:val="2"/>
            <w:vAlign w:val="center"/>
          </w:tcPr>
          <w:p w14:paraId="6F5A28AC">
            <w:pPr>
              <w:snapToGrid w:val="0"/>
              <w:spacing w:line="0" w:lineRule="atLeast"/>
              <w:jc w:val="center"/>
              <w:rPr>
                <w:rFonts w:ascii="宋体" w:hAnsi="宋体"/>
                <w:color w:val="auto"/>
                <w:sz w:val="24"/>
                <w:highlight w:val="none"/>
              </w:rPr>
            </w:pPr>
            <w:r>
              <w:rPr>
                <w:rFonts w:hint="eastAsia" w:ascii="宋体" w:hAnsi="宋体"/>
                <w:color w:val="auto"/>
                <w:sz w:val="24"/>
                <w:highlight w:val="none"/>
              </w:rPr>
              <w:t>学历</w:t>
            </w:r>
          </w:p>
        </w:tc>
        <w:tc>
          <w:tcPr>
            <w:tcW w:w="2027" w:type="dxa"/>
          </w:tcPr>
          <w:p w14:paraId="1EF8A067">
            <w:pPr>
              <w:snapToGrid w:val="0"/>
              <w:spacing w:line="0" w:lineRule="atLeast"/>
              <w:jc w:val="center"/>
              <w:rPr>
                <w:rFonts w:ascii="宋体" w:hAnsi="宋体"/>
                <w:color w:val="auto"/>
                <w:sz w:val="24"/>
                <w:highlight w:val="none"/>
              </w:rPr>
            </w:pPr>
          </w:p>
        </w:tc>
      </w:tr>
      <w:tr w14:paraId="426FD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1367" w:type="dxa"/>
            <w:gridSpan w:val="2"/>
            <w:vAlign w:val="center"/>
          </w:tcPr>
          <w:p w14:paraId="182EA51C">
            <w:pPr>
              <w:snapToGrid w:val="0"/>
              <w:spacing w:line="0" w:lineRule="atLeast"/>
              <w:jc w:val="center"/>
              <w:rPr>
                <w:rFonts w:ascii="宋体" w:hAnsi="宋体"/>
                <w:color w:val="auto"/>
                <w:sz w:val="24"/>
                <w:highlight w:val="none"/>
              </w:rPr>
            </w:pPr>
            <w:r>
              <w:rPr>
                <w:rFonts w:hint="eastAsia" w:ascii="宋体" w:hAnsi="宋体"/>
                <w:color w:val="auto"/>
                <w:sz w:val="24"/>
                <w:highlight w:val="none"/>
              </w:rPr>
              <w:t>技术职称</w:t>
            </w:r>
          </w:p>
        </w:tc>
        <w:tc>
          <w:tcPr>
            <w:tcW w:w="1295" w:type="dxa"/>
            <w:vAlign w:val="center"/>
          </w:tcPr>
          <w:p w14:paraId="1BA60D74">
            <w:pPr>
              <w:snapToGrid w:val="0"/>
              <w:spacing w:line="0" w:lineRule="atLeast"/>
              <w:jc w:val="center"/>
              <w:rPr>
                <w:rFonts w:ascii="宋体" w:hAnsi="宋体"/>
                <w:color w:val="auto"/>
                <w:sz w:val="24"/>
                <w:highlight w:val="none"/>
              </w:rPr>
            </w:pPr>
          </w:p>
        </w:tc>
        <w:tc>
          <w:tcPr>
            <w:tcW w:w="1044" w:type="dxa"/>
            <w:gridSpan w:val="2"/>
            <w:vAlign w:val="center"/>
          </w:tcPr>
          <w:p w14:paraId="0C488974">
            <w:pPr>
              <w:snapToGrid w:val="0"/>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364" w:type="dxa"/>
            <w:gridSpan w:val="2"/>
            <w:vAlign w:val="center"/>
          </w:tcPr>
          <w:p w14:paraId="30448B34">
            <w:pPr>
              <w:snapToGrid w:val="0"/>
              <w:spacing w:line="0" w:lineRule="atLeast"/>
              <w:jc w:val="center"/>
              <w:rPr>
                <w:rFonts w:ascii="宋体" w:hAnsi="宋体"/>
                <w:color w:val="auto"/>
                <w:sz w:val="24"/>
                <w:highlight w:val="none"/>
              </w:rPr>
            </w:pPr>
          </w:p>
        </w:tc>
        <w:tc>
          <w:tcPr>
            <w:tcW w:w="1830" w:type="dxa"/>
            <w:gridSpan w:val="2"/>
            <w:vAlign w:val="center"/>
          </w:tcPr>
          <w:p w14:paraId="61882C5A">
            <w:pPr>
              <w:snapToGrid w:val="0"/>
              <w:spacing w:line="0" w:lineRule="atLeast"/>
              <w:jc w:val="center"/>
              <w:rPr>
                <w:rFonts w:ascii="宋体" w:hAnsi="宋体"/>
                <w:color w:val="auto"/>
                <w:sz w:val="24"/>
                <w:highlight w:val="none"/>
              </w:rPr>
            </w:pPr>
            <w:r>
              <w:rPr>
                <w:rFonts w:hint="eastAsia" w:ascii="宋体" w:hAnsi="宋体"/>
                <w:color w:val="auto"/>
                <w:sz w:val="24"/>
                <w:highlight w:val="none"/>
              </w:rPr>
              <w:t>在本项目担任职务</w:t>
            </w:r>
          </w:p>
        </w:tc>
        <w:tc>
          <w:tcPr>
            <w:tcW w:w="2027" w:type="dxa"/>
          </w:tcPr>
          <w:p w14:paraId="3FED566E">
            <w:pPr>
              <w:snapToGrid w:val="0"/>
              <w:spacing w:line="0" w:lineRule="atLeast"/>
              <w:jc w:val="center"/>
              <w:rPr>
                <w:rFonts w:ascii="宋体" w:hAnsi="宋体"/>
                <w:color w:val="auto"/>
                <w:sz w:val="24"/>
                <w:highlight w:val="none"/>
              </w:rPr>
            </w:pPr>
          </w:p>
        </w:tc>
      </w:tr>
      <w:tr w14:paraId="7BF70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367" w:type="dxa"/>
            <w:gridSpan w:val="2"/>
            <w:vAlign w:val="center"/>
          </w:tcPr>
          <w:p w14:paraId="123F121F">
            <w:pPr>
              <w:snapToGrid w:val="0"/>
              <w:spacing w:line="0" w:lineRule="atLeast"/>
              <w:jc w:val="center"/>
              <w:rPr>
                <w:rFonts w:ascii="宋体" w:hAnsi="宋体"/>
                <w:color w:val="auto"/>
                <w:sz w:val="24"/>
                <w:highlight w:val="none"/>
              </w:rPr>
            </w:pPr>
            <w:r>
              <w:rPr>
                <w:rFonts w:hint="eastAsia" w:ascii="宋体" w:hAnsi="宋体"/>
                <w:color w:val="auto"/>
                <w:sz w:val="24"/>
                <w:highlight w:val="none"/>
              </w:rPr>
              <w:t>毕业学校</w:t>
            </w:r>
          </w:p>
        </w:tc>
        <w:tc>
          <w:tcPr>
            <w:tcW w:w="3703" w:type="dxa"/>
            <w:gridSpan w:val="5"/>
            <w:vAlign w:val="center"/>
          </w:tcPr>
          <w:p w14:paraId="4D8C1E2C">
            <w:pPr>
              <w:snapToGrid w:val="0"/>
              <w:spacing w:line="0" w:lineRule="atLeast"/>
              <w:jc w:val="center"/>
              <w:rPr>
                <w:rFonts w:ascii="宋体" w:hAnsi="宋体"/>
                <w:color w:val="auto"/>
                <w:sz w:val="24"/>
                <w:highlight w:val="none"/>
              </w:rPr>
            </w:pPr>
            <w:r>
              <w:rPr>
                <w:rFonts w:hint="eastAsia" w:ascii="宋体" w:hAnsi="宋体"/>
                <w:color w:val="auto"/>
                <w:sz w:val="24"/>
                <w:highlight w:val="none"/>
              </w:rPr>
              <w:t>毕业于      学校     专业</w:t>
            </w:r>
          </w:p>
        </w:tc>
        <w:tc>
          <w:tcPr>
            <w:tcW w:w="1830" w:type="dxa"/>
            <w:gridSpan w:val="2"/>
            <w:vAlign w:val="center"/>
          </w:tcPr>
          <w:p w14:paraId="53346C7A">
            <w:pPr>
              <w:snapToGrid w:val="0"/>
              <w:spacing w:line="0" w:lineRule="atLeast"/>
              <w:jc w:val="center"/>
              <w:rPr>
                <w:rFonts w:ascii="宋体" w:hAnsi="宋体"/>
                <w:color w:val="auto"/>
                <w:sz w:val="24"/>
                <w:highlight w:val="none"/>
              </w:rPr>
            </w:pPr>
            <w:r>
              <w:rPr>
                <w:rFonts w:hint="eastAsia" w:ascii="宋体" w:hAnsi="宋体"/>
                <w:color w:val="auto"/>
                <w:position w:val="-30"/>
                <w:sz w:val="24"/>
                <w:highlight w:val="none"/>
              </w:rPr>
              <w:t>从事检测工作年限</w:t>
            </w:r>
          </w:p>
        </w:tc>
        <w:tc>
          <w:tcPr>
            <w:tcW w:w="2027" w:type="dxa"/>
          </w:tcPr>
          <w:p w14:paraId="3965BFCF">
            <w:pPr>
              <w:snapToGrid w:val="0"/>
              <w:spacing w:line="0" w:lineRule="atLeast"/>
              <w:jc w:val="center"/>
              <w:rPr>
                <w:rFonts w:ascii="宋体" w:hAnsi="宋体"/>
                <w:color w:val="auto"/>
                <w:sz w:val="24"/>
                <w:highlight w:val="none"/>
              </w:rPr>
            </w:pPr>
          </w:p>
        </w:tc>
      </w:tr>
      <w:tr w14:paraId="292A2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2943" w:type="dxa"/>
            <w:gridSpan w:val="4"/>
            <w:vAlign w:val="center"/>
          </w:tcPr>
          <w:p w14:paraId="66F28014">
            <w:pPr>
              <w:snapToGrid w:val="0"/>
              <w:spacing w:line="0" w:lineRule="atLeast"/>
              <w:jc w:val="center"/>
              <w:rPr>
                <w:rFonts w:ascii="宋体" w:hAnsi="宋体"/>
                <w:color w:val="auto"/>
                <w:sz w:val="24"/>
                <w:highlight w:val="none"/>
              </w:rPr>
            </w:pPr>
            <w:r>
              <w:rPr>
                <w:rFonts w:hint="eastAsia" w:ascii="宋体" w:hAnsi="宋体"/>
                <w:color w:val="auto"/>
                <w:sz w:val="24"/>
                <w:highlight w:val="none"/>
              </w:rPr>
              <w:t>执业资格证号或注册证号</w:t>
            </w:r>
          </w:p>
        </w:tc>
        <w:tc>
          <w:tcPr>
            <w:tcW w:w="5984" w:type="dxa"/>
            <w:gridSpan w:val="6"/>
          </w:tcPr>
          <w:p w14:paraId="3F57276E">
            <w:pPr>
              <w:snapToGrid w:val="0"/>
              <w:spacing w:line="0" w:lineRule="atLeast"/>
              <w:rPr>
                <w:rFonts w:ascii="宋体" w:hAnsi="宋体"/>
                <w:color w:val="auto"/>
                <w:sz w:val="24"/>
                <w:highlight w:val="none"/>
              </w:rPr>
            </w:pPr>
          </w:p>
        </w:tc>
      </w:tr>
      <w:tr w14:paraId="3401A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927" w:type="dxa"/>
            <w:gridSpan w:val="10"/>
            <w:vAlign w:val="center"/>
          </w:tcPr>
          <w:p w14:paraId="31F03983">
            <w:pPr>
              <w:snapToGrid w:val="0"/>
              <w:spacing w:line="0" w:lineRule="atLeast"/>
              <w:jc w:val="center"/>
              <w:rPr>
                <w:rFonts w:ascii="宋体" w:hAnsi="宋体"/>
                <w:color w:val="auto"/>
                <w:sz w:val="24"/>
                <w:highlight w:val="none"/>
              </w:rPr>
            </w:pPr>
            <w:r>
              <w:rPr>
                <w:rFonts w:hint="eastAsia" w:ascii="宋体" w:hAnsi="宋体"/>
                <w:color w:val="auto"/>
                <w:sz w:val="24"/>
                <w:highlight w:val="none"/>
              </w:rPr>
              <w:t>主要业绩经历</w:t>
            </w:r>
          </w:p>
        </w:tc>
      </w:tr>
      <w:tr w14:paraId="6F391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87" w:type="dxa"/>
            <w:vAlign w:val="center"/>
          </w:tcPr>
          <w:p w14:paraId="7D981DFD">
            <w:pPr>
              <w:snapToGrid w:val="0"/>
              <w:spacing w:line="0" w:lineRule="atLeast"/>
              <w:jc w:val="center"/>
              <w:rPr>
                <w:rFonts w:ascii="宋体" w:hAnsi="宋体"/>
                <w:color w:val="auto"/>
                <w:sz w:val="24"/>
                <w:highlight w:val="none"/>
              </w:rPr>
            </w:pPr>
            <w:r>
              <w:rPr>
                <w:rFonts w:hint="eastAsia" w:ascii="宋体" w:hAnsi="宋体"/>
                <w:color w:val="auto"/>
                <w:sz w:val="24"/>
                <w:highlight w:val="none"/>
              </w:rPr>
              <w:t>时间</w:t>
            </w:r>
          </w:p>
        </w:tc>
        <w:tc>
          <w:tcPr>
            <w:tcW w:w="3476" w:type="dxa"/>
            <w:gridSpan w:val="5"/>
            <w:vAlign w:val="center"/>
          </w:tcPr>
          <w:p w14:paraId="10BE8463">
            <w:pPr>
              <w:snapToGrid w:val="0"/>
              <w:spacing w:line="0" w:lineRule="atLeast"/>
              <w:jc w:val="center"/>
              <w:rPr>
                <w:rFonts w:ascii="宋体" w:hAnsi="宋体"/>
                <w:color w:val="auto"/>
                <w:sz w:val="24"/>
                <w:highlight w:val="none"/>
              </w:rPr>
            </w:pPr>
            <w:r>
              <w:rPr>
                <w:rFonts w:hint="eastAsia" w:ascii="宋体" w:hAnsi="宋体"/>
                <w:color w:val="auto"/>
                <w:sz w:val="24"/>
                <w:highlight w:val="none"/>
              </w:rPr>
              <w:t>参加过的主要工作</w:t>
            </w:r>
          </w:p>
        </w:tc>
        <w:tc>
          <w:tcPr>
            <w:tcW w:w="1607" w:type="dxa"/>
            <w:gridSpan w:val="2"/>
            <w:vAlign w:val="center"/>
          </w:tcPr>
          <w:p w14:paraId="17B40D70">
            <w:pPr>
              <w:snapToGrid w:val="0"/>
              <w:spacing w:line="0" w:lineRule="atLeast"/>
              <w:jc w:val="center"/>
              <w:rPr>
                <w:rFonts w:ascii="宋体" w:hAnsi="宋体"/>
                <w:color w:val="auto"/>
                <w:sz w:val="24"/>
                <w:highlight w:val="none"/>
              </w:rPr>
            </w:pPr>
            <w:r>
              <w:rPr>
                <w:rFonts w:hint="eastAsia" w:ascii="宋体" w:hAnsi="宋体"/>
                <w:color w:val="auto"/>
                <w:sz w:val="24"/>
                <w:highlight w:val="none"/>
              </w:rPr>
              <w:t>担任何职</w:t>
            </w:r>
          </w:p>
        </w:tc>
        <w:tc>
          <w:tcPr>
            <w:tcW w:w="2657" w:type="dxa"/>
            <w:gridSpan w:val="2"/>
            <w:vAlign w:val="center"/>
          </w:tcPr>
          <w:p w14:paraId="3A4E5279">
            <w:pPr>
              <w:snapToGrid w:val="0"/>
              <w:spacing w:line="0" w:lineRule="atLeast"/>
              <w:jc w:val="center"/>
              <w:rPr>
                <w:rFonts w:ascii="宋体" w:hAnsi="宋体"/>
                <w:color w:val="auto"/>
                <w:sz w:val="24"/>
                <w:highlight w:val="none"/>
              </w:rPr>
            </w:pPr>
            <w:r>
              <w:rPr>
                <w:rFonts w:hint="eastAsia" w:ascii="宋体" w:hAnsi="宋体"/>
                <w:color w:val="auto"/>
                <w:sz w:val="24"/>
                <w:highlight w:val="none"/>
              </w:rPr>
              <w:t>获得的奖励情况</w:t>
            </w:r>
          </w:p>
        </w:tc>
      </w:tr>
      <w:tr w14:paraId="406BF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4FC62061">
            <w:pPr>
              <w:snapToGrid w:val="0"/>
              <w:spacing w:line="0" w:lineRule="atLeast"/>
              <w:rPr>
                <w:rFonts w:ascii="宋体" w:hAnsi="宋体"/>
                <w:color w:val="auto"/>
                <w:sz w:val="24"/>
                <w:highlight w:val="none"/>
              </w:rPr>
            </w:pPr>
          </w:p>
        </w:tc>
        <w:tc>
          <w:tcPr>
            <w:tcW w:w="3476" w:type="dxa"/>
            <w:gridSpan w:val="5"/>
          </w:tcPr>
          <w:p w14:paraId="03311687">
            <w:pPr>
              <w:snapToGrid w:val="0"/>
              <w:spacing w:line="0" w:lineRule="atLeast"/>
              <w:rPr>
                <w:rFonts w:ascii="宋体" w:hAnsi="宋体"/>
                <w:color w:val="auto"/>
                <w:sz w:val="24"/>
                <w:highlight w:val="none"/>
              </w:rPr>
            </w:pPr>
          </w:p>
        </w:tc>
        <w:tc>
          <w:tcPr>
            <w:tcW w:w="1607" w:type="dxa"/>
            <w:gridSpan w:val="2"/>
          </w:tcPr>
          <w:p w14:paraId="4CF0FE8B">
            <w:pPr>
              <w:snapToGrid w:val="0"/>
              <w:spacing w:line="0" w:lineRule="atLeast"/>
              <w:rPr>
                <w:rFonts w:ascii="宋体" w:hAnsi="宋体"/>
                <w:color w:val="auto"/>
                <w:sz w:val="24"/>
                <w:highlight w:val="none"/>
              </w:rPr>
            </w:pPr>
          </w:p>
        </w:tc>
        <w:tc>
          <w:tcPr>
            <w:tcW w:w="2657" w:type="dxa"/>
            <w:gridSpan w:val="2"/>
          </w:tcPr>
          <w:p w14:paraId="5D21F4D1">
            <w:pPr>
              <w:snapToGrid w:val="0"/>
              <w:spacing w:line="0" w:lineRule="atLeast"/>
              <w:rPr>
                <w:rFonts w:ascii="宋体" w:hAnsi="宋体"/>
                <w:color w:val="auto"/>
                <w:sz w:val="24"/>
                <w:highlight w:val="none"/>
              </w:rPr>
            </w:pPr>
          </w:p>
        </w:tc>
      </w:tr>
      <w:tr w14:paraId="6F1D2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3893F2E1">
            <w:pPr>
              <w:snapToGrid w:val="0"/>
              <w:spacing w:line="0" w:lineRule="atLeast"/>
              <w:rPr>
                <w:rFonts w:ascii="宋体" w:hAnsi="宋体"/>
                <w:color w:val="auto"/>
                <w:sz w:val="24"/>
                <w:highlight w:val="none"/>
              </w:rPr>
            </w:pPr>
          </w:p>
        </w:tc>
        <w:tc>
          <w:tcPr>
            <w:tcW w:w="3476" w:type="dxa"/>
            <w:gridSpan w:val="5"/>
          </w:tcPr>
          <w:p w14:paraId="2514355B">
            <w:pPr>
              <w:snapToGrid w:val="0"/>
              <w:spacing w:line="0" w:lineRule="atLeast"/>
              <w:rPr>
                <w:rFonts w:ascii="宋体" w:hAnsi="宋体"/>
                <w:color w:val="auto"/>
                <w:sz w:val="24"/>
                <w:highlight w:val="none"/>
              </w:rPr>
            </w:pPr>
          </w:p>
        </w:tc>
        <w:tc>
          <w:tcPr>
            <w:tcW w:w="1607" w:type="dxa"/>
            <w:gridSpan w:val="2"/>
          </w:tcPr>
          <w:p w14:paraId="10FAB878">
            <w:pPr>
              <w:snapToGrid w:val="0"/>
              <w:spacing w:line="0" w:lineRule="atLeast"/>
              <w:rPr>
                <w:rFonts w:ascii="宋体" w:hAnsi="宋体"/>
                <w:color w:val="auto"/>
                <w:sz w:val="24"/>
                <w:highlight w:val="none"/>
              </w:rPr>
            </w:pPr>
          </w:p>
        </w:tc>
        <w:tc>
          <w:tcPr>
            <w:tcW w:w="2657" w:type="dxa"/>
            <w:gridSpan w:val="2"/>
          </w:tcPr>
          <w:p w14:paraId="5E9D5EDD">
            <w:pPr>
              <w:snapToGrid w:val="0"/>
              <w:spacing w:line="0" w:lineRule="atLeast"/>
              <w:rPr>
                <w:rFonts w:ascii="宋体" w:hAnsi="宋体"/>
                <w:color w:val="auto"/>
                <w:sz w:val="24"/>
                <w:highlight w:val="none"/>
              </w:rPr>
            </w:pPr>
          </w:p>
        </w:tc>
      </w:tr>
      <w:tr w14:paraId="1A56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1A01F100">
            <w:pPr>
              <w:snapToGrid w:val="0"/>
              <w:spacing w:line="0" w:lineRule="atLeast"/>
              <w:rPr>
                <w:rFonts w:ascii="宋体" w:hAnsi="宋体"/>
                <w:color w:val="auto"/>
                <w:sz w:val="24"/>
                <w:highlight w:val="none"/>
              </w:rPr>
            </w:pPr>
          </w:p>
        </w:tc>
        <w:tc>
          <w:tcPr>
            <w:tcW w:w="3476" w:type="dxa"/>
            <w:gridSpan w:val="5"/>
          </w:tcPr>
          <w:p w14:paraId="58958A17">
            <w:pPr>
              <w:snapToGrid w:val="0"/>
              <w:spacing w:line="0" w:lineRule="atLeast"/>
              <w:rPr>
                <w:rFonts w:ascii="宋体" w:hAnsi="宋体"/>
                <w:color w:val="auto"/>
                <w:sz w:val="24"/>
                <w:highlight w:val="none"/>
              </w:rPr>
            </w:pPr>
          </w:p>
        </w:tc>
        <w:tc>
          <w:tcPr>
            <w:tcW w:w="1607" w:type="dxa"/>
            <w:gridSpan w:val="2"/>
          </w:tcPr>
          <w:p w14:paraId="51F0834F">
            <w:pPr>
              <w:snapToGrid w:val="0"/>
              <w:spacing w:line="0" w:lineRule="atLeast"/>
              <w:rPr>
                <w:rFonts w:ascii="宋体" w:hAnsi="宋体"/>
                <w:color w:val="auto"/>
                <w:sz w:val="24"/>
                <w:highlight w:val="none"/>
              </w:rPr>
            </w:pPr>
          </w:p>
        </w:tc>
        <w:tc>
          <w:tcPr>
            <w:tcW w:w="2657" w:type="dxa"/>
            <w:gridSpan w:val="2"/>
          </w:tcPr>
          <w:p w14:paraId="44E8E8C4">
            <w:pPr>
              <w:snapToGrid w:val="0"/>
              <w:spacing w:line="0" w:lineRule="atLeast"/>
              <w:rPr>
                <w:rFonts w:ascii="宋体" w:hAnsi="宋体"/>
                <w:color w:val="auto"/>
                <w:sz w:val="24"/>
                <w:highlight w:val="none"/>
              </w:rPr>
            </w:pPr>
          </w:p>
        </w:tc>
      </w:tr>
      <w:tr w14:paraId="66704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26764B66">
            <w:pPr>
              <w:snapToGrid w:val="0"/>
              <w:spacing w:line="0" w:lineRule="atLeast"/>
              <w:rPr>
                <w:rFonts w:ascii="宋体" w:hAnsi="宋体"/>
                <w:color w:val="auto"/>
                <w:sz w:val="24"/>
                <w:highlight w:val="none"/>
              </w:rPr>
            </w:pPr>
          </w:p>
        </w:tc>
        <w:tc>
          <w:tcPr>
            <w:tcW w:w="3476" w:type="dxa"/>
            <w:gridSpan w:val="5"/>
          </w:tcPr>
          <w:p w14:paraId="434091CF">
            <w:pPr>
              <w:snapToGrid w:val="0"/>
              <w:spacing w:line="0" w:lineRule="atLeast"/>
              <w:rPr>
                <w:rFonts w:ascii="宋体" w:hAnsi="宋体"/>
                <w:color w:val="auto"/>
                <w:sz w:val="24"/>
                <w:highlight w:val="none"/>
              </w:rPr>
            </w:pPr>
          </w:p>
        </w:tc>
        <w:tc>
          <w:tcPr>
            <w:tcW w:w="1607" w:type="dxa"/>
            <w:gridSpan w:val="2"/>
          </w:tcPr>
          <w:p w14:paraId="0774B6E2">
            <w:pPr>
              <w:snapToGrid w:val="0"/>
              <w:spacing w:line="0" w:lineRule="atLeast"/>
              <w:rPr>
                <w:rFonts w:ascii="宋体" w:hAnsi="宋体"/>
                <w:color w:val="auto"/>
                <w:sz w:val="24"/>
                <w:highlight w:val="none"/>
              </w:rPr>
            </w:pPr>
          </w:p>
        </w:tc>
        <w:tc>
          <w:tcPr>
            <w:tcW w:w="2657" w:type="dxa"/>
            <w:gridSpan w:val="2"/>
          </w:tcPr>
          <w:p w14:paraId="7939029A">
            <w:pPr>
              <w:snapToGrid w:val="0"/>
              <w:spacing w:line="0" w:lineRule="atLeast"/>
              <w:rPr>
                <w:rFonts w:ascii="宋体" w:hAnsi="宋体"/>
                <w:color w:val="auto"/>
                <w:sz w:val="24"/>
                <w:highlight w:val="none"/>
              </w:rPr>
            </w:pPr>
          </w:p>
        </w:tc>
      </w:tr>
      <w:tr w14:paraId="0E36C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515EB626">
            <w:pPr>
              <w:snapToGrid w:val="0"/>
              <w:spacing w:line="0" w:lineRule="atLeast"/>
              <w:rPr>
                <w:rFonts w:ascii="宋体" w:hAnsi="宋体"/>
                <w:color w:val="auto"/>
                <w:sz w:val="24"/>
                <w:highlight w:val="none"/>
              </w:rPr>
            </w:pPr>
          </w:p>
        </w:tc>
        <w:tc>
          <w:tcPr>
            <w:tcW w:w="3476" w:type="dxa"/>
            <w:gridSpan w:val="5"/>
          </w:tcPr>
          <w:p w14:paraId="54B4484F">
            <w:pPr>
              <w:snapToGrid w:val="0"/>
              <w:spacing w:line="0" w:lineRule="atLeast"/>
              <w:rPr>
                <w:rFonts w:ascii="宋体" w:hAnsi="宋体"/>
                <w:color w:val="auto"/>
                <w:sz w:val="24"/>
                <w:highlight w:val="none"/>
              </w:rPr>
            </w:pPr>
          </w:p>
        </w:tc>
        <w:tc>
          <w:tcPr>
            <w:tcW w:w="1607" w:type="dxa"/>
            <w:gridSpan w:val="2"/>
          </w:tcPr>
          <w:p w14:paraId="7E862645">
            <w:pPr>
              <w:snapToGrid w:val="0"/>
              <w:spacing w:line="0" w:lineRule="atLeast"/>
              <w:rPr>
                <w:rFonts w:ascii="宋体" w:hAnsi="宋体"/>
                <w:color w:val="auto"/>
                <w:sz w:val="24"/>
                <w:highlight w:val="none"/>
              </w:rPr>
            </w:pPr>
          </w:p>
        </w:tc>
        <w:tc>
          <w:tcPr>
            <w:tcW w:w="2657" w:type="dxa"/>
            <w:gridSpan w:val="2"/>
          </w:tcPr>
          <w:p w14:paraId="06414D13">
            <w:pPr>
              <w:snapToGrid w:val="0"/>
              <w:spacing w:line="0" w:lineRule="atLeast"/>
              <w:rPr>
                <w:rFonts w:ascii="宋体" w:hAnsi="宋体"/>
                <w:color w:val="auto"/>
                <w:sz w:val="24"/>
                <w:highlight w:val="none"/>
              </w:rPr>
            </w:pPr>
          </w:p>
        </w:tc>
      </w:tr>
      <w:tr w14:paraId="2CEAF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2D5D4F8B">
            <w:pPr>
              <w:snapToGrid w:val="0"/>
              <w:spacing w:line="0" w:lineRule="atLeast"/>
              <w:rPr>
                <w:rFonts w:ascii="宋体" w:hAnsi="宋体"/>
                <w:color w:val="auto"/>
                <w:sz w:val="24"/>
                <w:highlight w:val="none"/>
              </w:rPr>
            </w:pPr>
          </w:p>
        </w:tc>
        <w:tc>
          <w:tcPr>
            <w:tcW w:w="3476" w:type="dxa"/>
            <w:gridSpan w:val="5"/>
          </w:tcPr>
          <w:p w14:paraId="1499D6FE">
            <w:pPr>
              <w:snapToGrid w:val="0"/>
              <w:spacing w:line="0" w:lineRule="atLeast"/>
              <w:rPr>
                <w:rFonts w:ascii="宋体" w:hAnsi="宋体"/>
                <w:color w:val="auto"/>
                <w:sz w:val="24"/>
                <w:highlight w:val="none"/>
              </w:rPr>
            </w:pPr>
          </w:p>
        </w:tc>
        <w:tc>
          <w:tcPr>
            <w:tcW w:w="1607" w:type="dxa"/>
            <w:gridSpan w:val="2"/>
          </w:tcPr>
          <w:p w14:paraId="15BEBE73">
            <w:pPr>
              <w:snapToGrid w:val="0"/>
              <w:spacing w:line="0" w:lineRule="atLeast"/>
              <w:rPr>
                <w:rFonts w:ascii="宋体" w:hAnsi="宋体"/>
                <w:color w:val="auto"/>
                <w:sz w:val="24"/>
                <w:highlight w:val="none"/>
              </w:rPr>
            </w:pPr>
          </w:p>
        </w:tc>
        <w:tc>
          <w:tcPr>
            <w:tcW w:w="2657" w:type="dxa"/>
            <w:gridSpan w:val="2"/>
          </w:tcPr>
          <w:p w14:paraId="2AC6A257">
            <w:pPr>
              <w:snapToGrid w:val="0"/>
              <w:spacing w:line="0" w:lineRule="atLeast"/>
              <w:rPr>
                <w:rFonts w:ascii="宋体" w:hAnsi="宋体"/>
                <w:color w:val="auto"/>
                <w:sz w:val="24"/>
                <w:highlight w:val="none"/>
              </w:rPr>
            </w:pPr>
          </w:p>
        </w:tc>
      </w:tr>
      <w:tr w14:paraId="1144A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7ED59867">
            <w:pPr>
              <w:snapToGrid w:val="0"/>
              <w:spacing w:line="0" w:lineRule="atLeast"/>
              <w:rPr>
                <w:rFonts w:ascii="宋体" w:hAnsi="宋体"/>
                <w:color w:val="auto"/>
                <w:sz w:val="24"/>
                <w:highlight w:val="none"/>
              </w:rPr>
            </w:pPr>
          </w:p>
        </w:tc>
        <w:tc>
          <w:tcPr>
            <w:tcW w:w="3476" w:type="dxa"/>
            <w:gridSpan w:val="5"/>
          </w:tcPr>
          <w:p w14:paraId="1429CF24">
            <w:pPr>
              <w:snapToGrid w:val="0"/>
              <w:spacing w:line="0" w:lineRule="atLeast"/>
              <w:rPr>
                <w:rFonts w:ascii="宋体" w:hAnsi="宋体"/>
                <w:color w:val="auto"/>
                <w:sz w:val="24"/>
                <w:highlight w:val="none"/>
              </w:rPr>
            </w:pPr>
          </w:p>
        </w:tc>
        <w:tc>
          <w:tcPr>
            <w:tcW w:w="1607" w:type="dxa"/>
            <w:gridSpan w:val="2"/>
          </w:tcPr>
          <w:p w14:paraId="4568D93D">
            <w:pPr>
              <w:snapToGrid w:val="0"/>
              <w:spacing w:line="0" w:lineRule="atLeast"/>
              <w:rPr>
                <w:rFonts w:ascii="宋体" w:hAnsi="宋体"/>
                <w:color w:val="auto"/>
                <w:sz w:val="24"/>
                <w:highlight w:val="none"/>
              </w:rPr>
            </w:pPr>
          </w:p>
        </w:tc>
        <w:tc>
          <w:tcPr>
            <w:tcW w:w="2657" w:type="dxa"/>
            <w:gridSpan w:val="2"/>
          </w:tcPr>
          <w:p w14:paraId="27611EEC">
            <w:pPr>
              <w:snapToGrid w:val="0"/>
              <w:spacing w:line="0" w:lineRule="atLeast"/>
              <w:rPr>
                <w:rFonts w:ascii="宋体" w:hAnsi="宋体"/>
                <w:color w:val="auto"/>
                <w:sz w:val="24"/>
                <w:highlight w:val="none"/>
              </w:rPr>
            </w:pPr>
          </w:p>
        </w:tc>
      </w:tr>
      <w:tr w14:paraId="34451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58644F22">
            <w:pPr>
              <w:snapToGrid w:val="0"/>
              <w:spacing w:line="0" w:lineRule="atLeast"/>
              <w:rPr>
                <w:rFonts w:ascii="宋体" w:hAnsi="宋体"/>
                <w:color w:val="auto"/>
                <w:sz w:val="24"/>
                <w:highlight w:val="none"/>
              </w:rPr>
            </w:pPr>
          </w:p>
        </w:tc>
        <w:tc>
          <w:tcPr>
            <w:tcW w:w="3476" w:type="dxa"/>
            <w:gridSpan w:val="5"/>
          </w:tcPr>
          <w:p w14:paraId="3494C1BE">
            <w:pPr>
              <w:snapToGrid w:val="0"/>
              <w:spacing w:line="0" w:lineRule="atLeast"/>
              <w:rPr>
                <w:rFonts w:ascii="宋体" w:hAnsi="宋体"/>
                <w:color w:val="auto"/>
                <w:sz w:val="24"/>
                <w:highlight w:val="none"/>
              </w:rPr>
            </w:pPr>
          </w:p>
        </w:tc>
        <w:tc>
          <w:tcPr>
            <w:tcW w:w="1607" w:type="dxa"/>
            <w:gridSpan w:val="2"/>
          </w:tcPr>
          <w:p w14:paraId="61C0D127">
            <w:pPr>
              <w:snapToGrid w:val="0"/>
              <w:spacing w:line="0" w:lineRule="atLeast"/>
              <w:rPr>
                <w:rFonts w:ascii="宋体" w:hAnsi="宋体"/>
                <w:color w:val="auto"/>
                <w:sz w:val="24"/>
                <w:highlight w:val="none"/>
              </w:rPr>
            </w:pPr>
          </w:p>
        </w:tc>
        <w:tc>
          <w:tcPr>
            <w:tcW w:w="2657" w:type="dxa"/>
            <w:gridSpan w:val="2"/>
          </w:tcPr>
          <w:p w14:paraId="06B19B4F">
            <w:pPr>
              <w:snapToGrid w:val="0"/>
              <w:spacing w:line="0" w:lineRule="atLeast"/>
              <w:rPr>
                <w:rFonts w:ascii="宋体" w:hAnsi="宋体"/>
                <w:color w:val="auto"/>
                <w:sz w:val="24"/>
                <w:highlight w:val="none"/>
              </w:rPr>
            </w:pPr>
          </w:p>
        </w:tc>
      </w:tr>
      <w:tr w14:paraId="3F4BB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6F039256">
            <w:pPr>
              <w:snapToGrid w:val="0"/>
              <w:spacing w:line="0" w:lineRule="atLeast"/>
              <w:rPr>
                <w:rFonts w:ascii="宋体" w:hAnsi="宋体"/>
                <w:color w:val="auto"/>
                <w:sz w:val="24"/>
                <w:highlight w:val="none"/>
              </w:rPr>
            </w:pPr>
          </w:p>
        </w:tc>
        <w:tc>
          <w:tcPr>
            <w:tcW w:w="3476" w:type="dxa"/>
            <w:gridSpan w:val="5"/>
          </w:tcPr>
          <w:p w14:paraId="6A5AA1F6">
            <w:pPr>
              <w:snapToGrid w:val="0"/>
              <w:spacing w:line="0" w:lineRule="atLeast"/>
              <w:rPr>
                <w:rFonts w:ascii="宋体" w:hAnsi="宋体"/>
                <w:color w:val="auto"/>
                <w:sz w:val="24"/>
                <w:highlight w:val="none"/>
              </w:rPr>
            </w:pPr>
          </w:p>
        </w:tc>
        <w:tc>
          <w:tcPr>
            <w:tcW w:w="1607" w:type="dxa"/>
            <w:gridSpan w:val="2"/>
          </w:tcPr>
          <w:p w14:paraId="53D8739D">
            <w:pPr>
              <w:snapToGrid w:val="0"/>
              <w:spacing w:line="0" w:lineRule="atLeast"/>
              <w:rPr>
                <w:rFonts w:ascii="宋体" w:hAnsi="宋体"/>
                <w:color w:val="auto"/>
                <w:sz w:val="24"/>
                <w:highlight w:val="none"/>
              </w:rPr>
            </w:pPr>
          </w:p>
        </w:tc>
        <w:tc>
          <w:tcPr>
            <w:tcW w:w="2657" w:type="dxa"/>
            <w:gridSpan w:val="2"/>
          </w:tcPr>
          <w:p w14:paraId="720FE127">
            <w:pPr>
              <w:snapToGrid w:val="0"/>
              <w:spacing w:line="0" w:lineRule="atLeast"/>
              <w:rPr>
                <w:rFonts w:ascii="宋体" w:hAnsi="宋体"/>
                <w:color w:val="auto"/>
                <w:sz w:val="24"/>
                <w:highlight w:val="none"/>
              </w:rPr>
            </w:pPr>
          </w:p>
        </w:tc>
      </w:tr>
    </w:tbl>
    <w:p w14:paraId="2F11F753">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要求按照招标文件第三章评标办法附表四《综合评分表》相应评分因素的评分标准的要求及表后说明的规定提供证明材料。</w:t>
      </w:r>
    </w:p>
    <w:p w14:paraId="190CEBFB">
      <w:pPr>
        <w:rPr>
          <w:rFonts w:ascii="宋体" w:hAnsi="宋体"/>
          <w:color w:val="auto"/>
          <w:sz w:val="24"/>
          <w:highlight w:val="none"/>
        </w:rPr>
      </w:pPr>
    </w:p>
    <w:p w14:paraId="51C23464">
      <w:pPr>
        <w:pStyle w:val="6"/>
        <w:rPr>
          <w:color w:val="auto"/>
          <w:highlight w:val="none"/>
        </w:rPr>
      </w:pPr>
      <w:r>
        <w:rPr>
          <w:color w:val="auto"/>
          <w:sz w:val="24"/>
          <w:highlight w:val="none"/>
        </w:rPr>
        <w:br w:type="page"/>
      </w:r>
      <w:bookmarkStart w:id="202" w:name="_Toc118554004"/>
      <w:r>
        <w:rPr>
          <w:rFonts w:hint="eastAsia"/>
          <w:color w:val="auto"/>
          <w:sz w:val="24"/>
          <w:highlight w:val="none"/>
          <w:lang w:val="en-US" w:eastAsia="zh-CN"/>
        </w:rPr>
        <w:t>十</w:t>
      </w:r>
      <w:r>
        <w:rPr>
          <w:rFonts w:hint="eastAsia"/>
          <w:color w:val="auto"/>
          <w:highlight w:val="none"/>
        </w:rPr>
        <w:t>、拟投入本项目的主要检测、监测仪器设备一览表</w:t>
      </w:r>
      <w:bookmarkEnd w:id="202"/>
    </w:p>
    <w:p w14:paraId="5ED7643B">
      <w:pPr>
        <w:pStyle w:val="5"/>
        <w:jc w:val="both"/>
        <w:rPr>
          <w:color w:val="auto"/>
          <w:highlight w:val="none"/>
        </w:rPr>
      </w:pPr>
    </w:p>
    <w:p w14:paraId="309DA771">
      <w:pPr>
        <w:jc w:val="center"/>
        <w:rPr>
          <w:color w:val="auto"/>
          <w:highlight w:val="none"/>
        </w:rPr>
      </w:pPr>
      <w:r>
        <w:rPr>
          <w:rFonts w:hint="eastAsia"/>
          <w:b/>
          <w:color w:val="auto"/>
          <w:sz w:val="28"/>
          <w:szCs w:val="28"/>
          <w:highlight w:val="none"/>
        </w:rPr>
        <w:t>拟投入本项目的主要检测、监测仪器设备一览表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146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36" w:type="dxa"/>
            <w:vMerge w:val="restart"/>
            <w:vAlign w:val="center"/>
          </w:tcPr>
          <w:p w14:paraId="02F29071">
            <w:pPr>
              <w:jc w:val="center"/>
              <w:rPr>
                <w:rFonts w:ascii="宋体" w:hAnsi="宋体"/>
                <w:color w:val="auto"/>
                <w:szCs w:val="21"/>
                <w:highlight w:val="none"/>
              </w:rPr>
            </w:pPr>
            <w:r>
              <w:rPr>
                <w:rFonts w:hint="eastAsia" w:ascii="宋体" w:hAnsi="宋体"/>
                <w:color w:val="auto"/>
                <w:szCs w:val="21"/>
                <w:highlight w:val="none"/>
              </w:rPr>
              <w:t>序号</w:t>
            </w:r>
          </w:p>
        </w:tc>
        <w:tc>
          <w:tcPr>
            <w:tcW w:w="1793" w:type="dxa"/>
            <w:vMerge w:val="restart"/>
            <w:vAlign w:val="center"/>
          </w:tcPr>
          <w:p w14:paraId="137E25A6">
            <w:pPr>
              <w:jc w:val="center"/>
              <w:rPr>
                <w:rFonts w:ascii="宋体" w:hAnsi="宋体"/>
                <w:color w:val="auto"/>
                <w:szCs w:val="21"/>
                <w:highlight w:val="none"/>
              </w:rPr>
            </w:pPr>
            <w:r>
              <w:rPr>
                <w:rFonts w:hint="eastAsia" w:ascii="宋体" w:hAnsi="宋体"/>
                <w:color w:val="auto"/>
                <w:szCs w:val="21"/>
                <w:highlight w:val="none"/>
              </w:rPr>
              <w:t>设备名称</w:t>
            </w:r>
          </w:p>
        </w:tc>
        <w:tc>
          <w:tcPr>
            <w:tcW w:w="900" w:type="dxa"/>
            <w:vMerge w:val="restart"/>
            <w:vAlign w:val="center"/>
          </w:tcPr>
          <w:p w14:paraId="71161F00">
            <w:pPr>
              <w:jc w:val="center"/>
              <w:rPr>
                <w:rFonts w:ascii="宋体" w:hAnsi="宋体"/>
                <w:color w:val="auto"/>
                <w:szCs w:val="21"/>
                <w:highlight w:val="none"/>
              </w:rPr>
            </w:pPr>
            <w:r>
              <w:rPr>
                <w:rFonts w:hint="eastAsia" w:ascii="宋体" w:hAnsi="宋体"/>
                <w:color w:val="auto"/>
                <w:szCs w:val="21"/>
                <w:highlight w:val="none"/>
              </w:rPr>
              <w:t>本项目</w:t>
            </w:r>
          </w:p>
          <w:p w14:paraId="4E5EA1D6">
            <w:pPr>
              <w:jc w:val="center"/>
              <w:rPr>
                <w:rFonts w:ascii="宋体" w:hAnsi="宋体"/>
                <w:color w:val="auto"/>
                <w:szCs w:val="21"/>
                <w:highlight w:val="none"/>
              </w:rPr>
            </w:pPr>
            <w:r>
              <w:rPr>
                <w:rFonts w:hint="eastAsia" w:ascii="宋体" w:hAnsi="宋体"/>
                <w:color w:val="auto"/>
                <w:szCs w:val="21"/>
                <w:highlight w:val="none"/>
              </w:rPr>
              <w:t>数量基本要求</w:t>
            </w:r>
          </w:p>
        </w:tc>
        <w:tc>
          <w:tcPr>
            <w:tcW w:w="6314" w:type="dxa"/>
            <w:gridSpan w:val="5"/>
            <w:vAlign w:val="center"/>
          </w:tcPr>
          <w:p w14:paraId="56D952F1">
            <w:pPr>
              <w:jc w:val="center"/>
              <w:rPr>
                <w:rFonts w:ascii="宋体" w:hAnsi="宋体"/>
                <w:color w:val="auto"/>
                <w:szCs w:val="21"/>
                <w:highlight w:val="none"/>
              </w:rPr>
            </w:pPr>
            <w:r>
              <w:rPr>
                <w:rFonts w:hint="eastAsia" w:ascii="宋体" w:hAnsi="宋体"/>
                <w:color w:val="auto"/>
                <w:szCs w:val="21"/>
                <w:highlight w:val="none"/>
              </w:rPr>
              <w:t>投标人填写</w:t>
            </w:r>
          </w:p>
        </w:tc>
      </w:tr>
      <w:tr w14:paraId="52FA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0E168D69">
            <w:pPr>
              <w:jc w:val="center"/>
              <w:rPr>
                <w:rFonts w:ascii="宋体" w:hAnsi="宋体"/>
                <w:color w:val="auto"/>
                <w:szCs w:val="21"/>
                <w:highlight w:val="none"/>
              </w:rPr>
            </w:pPr>
          </w:p>
        </w:tc>
        <w:tc>
          <w:tcPr>
            <w:tcW w:w="1793" w:type="dxa"/>
            <w:vMerge w:val="continue"/>
            <w:vAlign w:val="center"/>
          </w:tcPr>
          <w:p w14:paraId="31DE09A9">
            <w:pPr>
              <w:jc w:val="center"/>
              <w:rPr>
                <w:rFonts w:ascii="宋体" w:hAnsi="宋体"/>
                <w:color w:val="auto"/>
                <w:szCs w:val="21"/>
                <w:highlight w:val="none"/>
              </w:rPr>
            </w:pPr>
          </w:p>
        </w:tc>
        <w:tc>
          <w:tcPr>
            <w:tcW w:w="900" w:type="dxa"/>
            <w:vMerge w:val="continue"/>
            <w:vAlign w:val="center"/>
          </w:tcPr>
          <w:p w14:paraId="2F835190">
            <w:pPr>
              <w:jc w:val="center"/>
              <w:rPr>
                <w:rFonts w:ascii="宋体" w:hAnsi="宋体"/>
                <w:color w:val="auto"/>
                <w:szCs w:val="21"/>
                <w:highlight w:val="none"/>
              </w:rPr>
            </w:pPr>
          </w:p>
        </w:tc>
        <w:tc>
          <w:tcPr>
            <w:tcW w:w="992" w:type="dxa"/>
            <w:vAlign w:val="center"/>
          </w:tcPr>
          <w:p w14:paraId="7FA75C41">
            <w:pPr>
              <w:jc w:val="center"/>
              <w:rPr>
                <w:rFonts w:ascii="宋体" w:hAnsi="宋体"/>
                <w:color w:val="auto"/>
                <w:szCs w:val="21"/>
                <w:highlight w:val="none"/>
              </w:rPr>
            </w:pPr>
            <w:r>
              <w:rPr>
                <w:rFonts w:hint="eastAsia" w:ascii="宋体" w:hAnsi="宋体"/>
                <w:color w:val="auto"/>
                <w:szCs w:val="21"/>
                <w:highlight w:val="none"/>
              </w:rPr>
              <w:t>数量</w:t>
            </w:r>
          </w:p>
        </w:tc>
        <w:tc>
          <w:tcPr>
            <w:tcW w:w="1785" w:type="dxa"/>
            <w:vAlign w:val="center"/>
          </w:tcPr>
          <w:p w14:paraId="0240ECED">
            <w:pPr>
              <w:jc w:val="center"/>
              <w:rPr>
                <w:rFonts w:ascii="宋体" w:hAnsi="宋体"/>
                <w:color w:val="auto"/>
                <w:szCs w:val="21"/>
                <w:highlight w:val="none"/>
              </w:rPr>
            </w:pPr>
            <w:r>
              <w:rPr>
                <w:rFonts w:hint="eastAsia" w:ascii="宋体" w:hAnsi="宋体"/>
                <w:color w:val="auto"/>
                <w:szCs w:val="21"/>
                <w:highlight w:val="none"/>
              </w:rPr>
              <w:t>检定</w:t>
            </w:r>
            <w:r>
              <w:rPr>
                <w:rFonts w:ascii="宋体" w:hAnsi="宋体"/>
                <w:color w:val="auto"/>
                <w:szCs w:val="21"/>
                <w:highlight w:val="none"/>
              </w:rPr>
              <w:t>/</w:t>
            </w:r>
            <w:r>
              <w:rPr>
                <w:rFonts w:hint="eastAsia" w:ascii="宋体" w:hAnsi="宋体"/>
                <w:color w:val="auto"/>
                <w:szCs w:val="21"/>
                <w:highlight w:val="none"/>
              </w:rPr>
              <w:t>校准机构</w:t>
            </w:r>
          </w:p>
        </w:tc>
        <w:tc>
          <w:tcPr>
            <w:tcW w:w="1116" w:type="dxa"/>
            <w:vAlign w:val="center"/>
          </w:tcPr>
          <w:p w14:paraId="7A9556FA">
            <w:pPr>
              <w:jc w:val="center"/>
              <w:rPr>
                <w:rFonts w:ascii="宋体" w:hAnsi="宋体"/>
                <w:color w:val="auto"/>
                <w:szCs w:val="21"/>
                <w:highlight w:val="none"/>
              </w:rPr>
            </w:pPr>
            <w:r>
              <w:rPr>
                <w:rFonts w:hint="eastAsia" w:ascii="宋体" w:hAnsi="宋体"/>
                <w:color w:val="auto"/>
                <w:szCs w:val="21"/>
                <w:highlight w:val="none"/>
              </w:rPr>
              <w:t>有效期</w:t>
            </w:r>
          </w:p>
        </w:tc>
        <w:tc>
          <w:tcPr>
            <w:tcW w:w="1341" w:type="dxa"/>
            <w:vAlign w:val="center"/>
          </w:tcPr>
          <w:p w14:paraId="3C98C37E">
            <w:pPr>
              <w:jc w:val="center"/>
              <w:rPr>
                <w:rFonts w:ascii="宋体" w:hAnsi="宋体"/>
                <w:color w:val="auto"/>
                <w:szCs w:val="21"/>
                <w:highlight w:val="none"/>
              </w:rPr>
            </w:pPr>
            <w:r>
              <w:rPr>
                <w:rFonts w:hint="eastAsia" w:ascii="宋体" w:hAnsi="宋体"/>
                <w:color w:val="auto"/>
                <w:szCs w:val="21"/>
                <w:highlight w:val="none"/>
              </w:rPr>
              <w:t>检定</w:t>
            </w:r>
            <w:r>
              <w:rPr>
                <w:rFonts w:ascii="宋体" w:hAnsi="宋体"/>
                <w:color w:val="auto"/>
                <w:szCs w:val="21"/>
                <w:highlight w:val="none"/>
              </w:rPr>
              <w:t>/</w:t>
            </w:r>
            <w:r>
              <w:rPr>
                <w:rFonts w:hint="eastAsia" w:ascii="宋体" w:hAnsi="宋体"/>
                <w:color w:val="auto"/>
                <w:szCs w:val="21"/>
                <w:highlight w:val="none"/>
              </w:rPr>
              <w:t>校准周期</w:t>
            </w:r>
          </w:p>
        </w:tc>
        <w:tc>
          <w:tcPr>
            <w:tcW w:w="1080" w:type="dxa"/>
            <w:vAlign w:val="center"/>
          </w:tcPr>
          <w:p w14:paraId="07B5550D">
            <w:pPr>
              <w:jc w:val="center"/>
              <w:rPr>
                <w:rFonts w:ascii="宋体" w:hAnsi="宋体"/>
                <w:color w:val="auto"/>
                <w:szCs w:val="21"/>
                <w:highlight w:val="none"/>
              </w:rPr>
            </w:pPr>
            <w:r>
              <w:rPr>
                <w:rFonts w:hint="eastAsia" w:ascii="宋体" w:hAnsi="宋体"/>
                <w:color w:val="auto"/>
                <w:szCs w:val="21"/>
                <w:highlight w:val="none"/>
              </w:rPr>
              <w:t>备注</w:t>
            </w:r>
          </w:p>
        </w:tc>
      </w:tr>
      <w:tr w14:paraId="2DD1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BF13E70">
            <w:pPr>
              <w:spacing w:line="240" w:lineRule="exact"/>
              <w:jc w:val="center"/>
              <w:rPr>
                <w:rFonts w:ascii="宋体" w:hAnsi="宋体"/>
                <w:color w:val="auto"/>
                <w:szCs w:val="21"/>
                <w:highlight w:val="none"/>
              </w:rPr>
            </w:pPr>
            <w:r>
              <w:rPr>
                <w:rFonts w:ascii="宋体" w:hAnsi="宋体"/>
                <w:color w:val="auto"/>
                <w:szCs w:val="21"/>
                <w:highlight w:val="none"/>
              </w:rPr>
              <w:t>1</w:t>
            </w:r>
          </w:p>
        </w:tc>
        <w:tc>
          <w:tcPr>
            <w:tcW w:w="1793" w:type="dxa"/>
            <w:vAlign w:val="center"/>
          </w:tcPr>
          <w:p w14:paraId="42F375B2">
            <w:pPr>
              <w:spacing w:line="240" w:lineRule="exact"/>
              <w:jc w:val="center"/>
              <w:rPr>
                <w:rFonts w:ascii="宋体" w:hAnsi="宋体"/>
                <w:color w:val="auto"/>
                <w:szCs w:val="21"/>
                <w:highlight w:val="none"/>
              </w:rPr>
            </w:pPr>
          </w:p>
        </w:tc>
        <w:tc>
          <w:tcPr>
            <w:tcW w:w="900" w:type="dxa"/>
            <w:vAlign w:val="center"/>
          </w:tcPr>
          <w:p w14:paraId="264E9408">
            <w:pPr>
              <w:spacing w:line="240" w:lineRule="exact"/>
              <w:jc w:val="center"/>
              <w:rPr>
                <w:rFonts w:ascii="宋体" w:hAnsi="宋体"/>
                <w:color w:val="auto"/>
                <w:szCs w:val="21"/>
                <w:highlight w:val="none"/>
              </w:rPr>
            </w:pPr>
          </w:p>
        </w:tc>
        <w:tc>
          <w:tcPr>
            <w:tcW w:w="992" w:type="dxa"/>
            <w:vAlign w:val="center"/>
          </w:tcPr>
          <w:p w14:paraId="2174CD1D">
            <w:pPr>
              <w:spacing w:line="240" w:lineRule="exact"/>
              <w:jc w:val="center"/>
              <w:rPr>
                <w:rFonts w:ascii="宋体" w:hAnsi="宋体"/>
                <w:color w:val="auto"/>
                <w:szCs w:val="21"/>
                <w:highlight w:val="none"/>
              </w:rPr>
            </w:pPr>
          </w:p>
        </w:tc>
        <w:tc>
          <w:tcPr>
            <w:tcW w:w="1785" w:type="dxa"/>
            <w:vAlign w:val="center"/>
          </w:tcPr>
          <w:p w14:paraId="51EE5F6E">
            <w:pPr>
              <w:spacing w:line="240" w:lineRule="exact"/>
              <w:jc w:val="center"/>
              <w:rPr>
                <w:rFonts w:ascii="宋体" w:hAnsi="宋体"/>
                <w:color w:val="auto"/>
                <w:szCs w:val="21"/>
                <w:highlight w:val="none"/>
              </w:rPr>
            </w:pPr>
          </w:p>
        </w:tc>
        <w:tc>
          <w:tcPr>
            <w:tcW w:w="1116" w:type="dxa"/>
            <w:vAlign w:val="center"/>
          </w:tcPr>
          <w:p w14:paraId="4F8A0C25">
            <w:pPr>
              <w:spacing w:line="240" w:lineRule="exact"/>
              <w:jc w:val="center"/>
              <w:rPr>
                <w:rFonts w:ascii="宋体" w:hAnsi="宋体"/>
                <w:color w:val="auto"/>
                <w:szCs w:val="21"/>
                <w:highlight w:val="none"/>
              </w:rPr>
            </w:pPr>
          </w:p>
        </w:tc>
        <w:tc>
          <w:tcPr>
            <w:tcW w:w="1341" w:type="dxa"/>
            <w:vAlign w:val="center"/>
          </w:tcPr>
          <w:p w14:paraId="332C3F34">
            <w:pPr>
              <w:spacing w:line="240" w:lineRule="exact"/>
              <w:jc w:val="center"/>
              <w:rPr>
                <w:rFonts w:ascii="宋体" w:hAnsi="宋体"/>
                <w:color w:val="auto"/>
                <w:szCs w:val="21"/>
                <w:highlight w:val="none"/>
              </w:rPr>
            </w:pPr>
          </w:p>
        </w:tc>
        <w:tc>
          <w:tcPr>
            <w:tcW w:w="1080" w:type="dxa"/>
            <w:vAlign w:val="center"/>
          </w:tcPr>
          <w:p w14:paraId="41F4BB2A">
            <w:pPr>
              <w:spacing w:line="240" w:lineRule="exact"/>
              <w:jc w:val="center"/>
              <w:rPr>
                <w:rFonts w:ascii="宋体" w:hAnsi="宋体"/>
                <w:color w:val="auto"/>
                <w:szCs w:val="21"/>
                <w:highlight w:val="none"/>
              </w:rPr>
            </w:pPr>
          </w:p>
        </w:tc>
      </w:tr>
      <w:tr w14:paraId="70E3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DF0E821">
            <w:pPr>
              <w:spacing w:line="240" w:lineRule="exact"/>
              <w:jc w:val="center"/>
              <w:rPr>
                <w:rFonts w:ascii="宋体" w:hAnsi="宋体"/>
                <w:color w:val="auto"/>
                <w:szCs w:val="21"/>
                <w:highlight w:val="none"/>
              </w:rPr>
            </w:pPr>
            <w:r>
              <w:rPr>
                <w:rFonts w:ascii="宋体" w:hAnsi="宋体"/>
                <w:color w:val="auto"/>
                <w:szCs w:val="21"/>
                <w:highlight w:val="none"/>
              </w:rPr>
              <w:t>2</w:t>
            </w:r>
          </w:p>
        </w:tc>
        <w:tc>
          <w:tcPr>
            <w:tcW w:w="1793" w:type="dxa"/>
            <w:vAlign w:val="center"/>
          </w:tcPr>
          <w:p w14:paraId="78B4019A">
            <w:pPr>
              <w:spacing w:line="240" w:lineRule="exact"/>
              <w:jc w:val="center"/>
              <w:rPr>
                <w:rFonts w:ascii="宋体" w:hAnsi="宋体"/>
                <w:color w:val="auto"/>
                <w:szCs w:val="21"/>
                <w:highlight w:val="none"/>
              </w:rPr>
            </w:pPr>
          </w:p>
        </w:tc>
        <w:tc>
          <w:tcPr>
            <w:tcW w:w="900" w:type="dxa"/>
            <w:vAlign w:val="center"/>
          </w:tcPr>
          <w:p w14:paraId="23AE3883">
            <w:pPr>
              <w:jc w:val="center"/>
              <w:rPr>
                <w:rFonts w:ascii="宋体" w:hAnsi="宋体"/>
                <w:color w:val="auto"/>
                <w:szCs w:val="21"/>
                <w:highlight w:val="none"/>
              </w:rPr>
            </w:pPr>
          </w:p>
        </w:tc>
        <w:tc>
          <w:tcPr>
            <w:tcW w:w="992" w:type="dxa"/>
            <w:vAlign w:val="center"/>
          </w:tcPr>
          <w:p w14:paraId="1412F4A5">
            <w:pPr>
              <w:spacing w:line="240" w:lineRule="exact"/>
              <w:jc w:val="center"/>
              <w:rPr>
                <w:rFonts w:ascii="宋体" w:hAnsi="宋体"/>
                <w:color w:val="auto"/>
                <w:szCs w:val="21"/>
                <w:highlight w:val="none"/>
              </w:rPr>
            </w:pPr>
          </w:p>
        </w:tc>
        <w:tc>
          <w:tcPr>
            <w:tcW w:w="1785" w:type="dxa"/>
            <w:vAlign w:val="center"/>
          </w:tcPr>
          <w:p w14:paraId="71E830C4">
            <w:pPr>
              <w:spacing w:line="240" w:lineRule="exact"/>
              <w:jc w:val="center"/>
              <w:rPr>
                <w:rFonts w:ascii="宋体" w:hAnsi="宋体"/>
                <w:color w:val="auto"/>
                <w:szCs w:val="21"/>
                <w:highlight w:val="none"/>
              </w:rPr>
            </w:pPr>
          </w:p>
        </w:tc>
        <w:tc>
          <w:tcPr>
            <w:tcW w:w="1116" w:type="dxa"/>
            <w:vAlign w:val="center"/>
          </w:tcPr>
          <w:p w14:paraId="2BC476FE">
            <w:pPr>
              <w:spacing w:line="240" w:lineRule="exact"/>
              <w:jc w:val="center"/>
              <w:rPr>
                <w:rFonts w:ascii="宋体" w:hAnsi="宋体"/>
                <w:color w:val="auto"/>
                <w:szCs w:val="21"/>
                <w:highlight w:val="none"/>
              </w:rPr>
            </w:pPr>
          </w:p>
        </w:tc>
        <w:tc>
          <w:tcPr>
            <w:tcW w:w="1341" w:type="dxa"/>
            <w:vAlign w:val="center"/>
          </w:tcPr>
          <w:p w14:paraId="2CCD8213">
            <w:pPr>
              <w:spacing w:line="240" w:lineRule="exact"/>
              <w:jc w:val="center"/>
              <w:rPr>
                <w:rFonts w:ascii="宋体" w:hAnsi="宋体"/>
                <w:color w:val="auto"/>
                <w:szCs w:val="21"/>
                <w:highlight w:val="none"/>
              </w:rPr>
            </w:pPr>
          </w:p>
        </w:tc>
        <w:tc>
          <w:tcPr>
            <w:tcW w:w="1080" w:type="dxa"/>
            <w:vAlign w:val="center"/>
          </w:tcPr>
          <w:p w14:paraId="6E874418">
            <w:pPr>
              <w:spacing w:line="240" w:lineRule="exact"/>
              <w:jc w:val="center"/>
              <w:rPr>
                <w:rFonts w:ascii="宋体" w:hAnsi="宋体"/>
                <w:i/>
                <w:color w:val="auto"/>
                <w:szCs w:val="21"/>
                <w:highlight w:val="none"/>
              </w:rPr>
            </w:pPr>
          </w:p>
        </w:tc>
      </w:tr>
      <w:tr w14:paraId="204E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2EA45B8">
            <w:pPr>
              <w:spacing w:line="240" w:lineRule="exact"/>
              <w:jc w:val="center"/>
              <w:rPr>
                <w:rFonts w:ascii="宋体" w:hAnsi="宋体"/>
                <w:color w:val="auto"/>
                <w:szCs w:val="21"/>
                <w:highlight w:val="none"/>
              </w:rPr>
            </w:pPr>
            <w:r>
              <w:rPr>
                <w:rFonts w:ascii="宋体" w:hAnsi="宋体"/>
                <w:color w:val="auto"/>
                <w:szCs w:val="21"/>
                <w:highlight w:val="none"/>
              </w:rPr>
              <w:t>3</w:t>
            </w:r>
          </w:p>
        </w:tc>
        <w:tc>
          <w:tcPr>
            <w:tcW w:w="1793" w:type="dxa"/>
            <w:vAlign w:val="center"/>
          </w:tcPr>
          <w:p w14:paraId="013EBFDD">
            <w:pPr>
              <w:spacing w:line="240" w:lineRule="exact"/>
              <w:jc w:val="center"/>
              <w:rPr>
                <w:rFonts w:ascii="宋体" w:hAnsi="宋体"/>
                <w:color w:val="auto"/>
                <w:szCs w:val="21"/>
                <w:highlight w:val="none"/>
              </w:rPr>
            </w:pPr>
          </w:p>
        </w:tc>
        <w:tc>
          <w:tcPr>
            <w:tcW w:w="900" w:type="dxa"/>
            <w:vAlign w:val="center"/>
          </w:tcPr>
          <w:p w14:paraId="3AB9BDD0">
            <w:pPr>
              <w:jc w:val="center"/>
              <w:rPr>
                <w:rFonts w:ascii="宋体" w:hAnsi="宋体"/>
                <w:color w:val="auto"/>
                <w:szCs w:val="21"/>
                <w:highlight w:val="none"/>
              </w:rPr>
            </w:pPr>
          </w:p>
        </w:tc>
        <w:tc>
          <w:tcPr>
            <w:tcW w:w="992" w:type="dxa"/>
            <w:vAlign w:val="center"/>
          </w:tcPr>
          <w:p w14:paraId="401CBF71">
            <w:pPr>
              <w:spacing w:line="240" w:lineRule="exact"/>
              <w:jc w:val="center"/>
              <w:rPr>
                <w:rFonts w:ascii="宋体" w:hAnsi="宋体"/>
                <w:color w:val="auto"/>
                <w:szCs w:val="21"/>
                <w:highlight w:val="none"/>
              </w:rPr>
            </w:pPr>
          </w:p>
        </w:tc>
        <w:tc>
          <w:tcPr>
            <w:tcW w:w="1785" w:type="dxa"/>
            <w:vAlign w:val="center"/>
          </w:tcPr>
          <w:p w14:paraId="55F2FF0F">
            <w:pPr>
              <w:spacing w:line="240" w:lineRule="exact"/>
              <w:jc w:val="center"/>
              <w:rPr>
                <w:rFonts w:ascii="宋体" w:hAnsi="宋体"/>
                <w:color w:val="auto"/>
                <w:szCs w:val="21"/>
                <w:highlight w:val="none"/>
              </w:rPr>
            </w:pPr>
          </w:p>
        </w:tc>
        <w:tc>
          <w:tcPr>
            <w:tcW w:w="1116" w:type="dxa"/>
            <w:vAlign w:val="center"/>
          </w:tcPr>
          <w:p w14:paraId="079C9CB2">
            <w:pPr>
              <w:spacing w:line="240" w:lineRule="exact"/>
              <w:jc w:val="center"/>
              <w:rPr>
                <w:rFonts w:ascii="宋体" w:hAnsi="宋体"/>
                <w:color w:val="auto"/>
                <w:szCs w:val="21"/>
                <w:highlight w:val="none"/>
              </w:rPr>
            </w:pPr>
          </w:p>
        </w:tc>
        <w:tc>
          <w:tcPr>
            <w:tcW w:w="1341" w:type="dxa"/>
            <w:vAlign w:val="center"/>
          </w:tcPr>
          <w:p w14:paraId="23066548">
            <w:pPr>
              <w:spacing w:line="240" w:lineRule="exact"/>
              <w:jc w:val="center"/>
              <w:rPr>
                <w:rFonts w:ascii="宋体" w:hAnsi="宋体"/>
                <w:color w:val="auto"/>
                <w:szCs w:val="21"/>
                <w:highlight w:val="none"/>
              </w:rPr>
            </w:pPr>
          </w:p>
        </w:tc>
        <w:tc>
          <w:tcPr>
            <w:tcW w:w="1080" w:type="dxa"/>
            <w:vAlign w:val="center"/>
          </w:tcPr>
          <w:p w14:paraId="02A0544D">
            <w:pPr>
              <w:spacing w:line="240" w:lineRule="exact"/>
              <w:jc w:val="center"/>
              <w:rPr>
                <w:rFonts w:ascii="宋体" w:hAnsi="宋体"/>
                <w:color w:val="auto"/>
                <w:szCs w:val="21"/>
                <w:highlight w:val="none"/>
              </w:rPr>
            </w:pPr>
          </w:p>
        </w:tc>
      </w:tr>
      <w:tr w14:paraId="4C74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B93134F">
            <w:pPr>
              <w:spacing w:line="240" w:lineRule="exact"/>
              <w:jc w:val="center"/>
              <w:rPr>
                <w:rFonts w:ascii="宋体" w:hAnsi="宋体"/>
                <w:color w:val="auto"/>
                <w:szCs w:val="21"/>
                <w:highlight w:val="none"/>
              </w:rPr>
            </w:pPr>
            <w:r>
              <w:rPr>
                <w:rFonts w:ascii="宋体" w:hAnsi="宋体"/>
                <w:color w:val="auto"/>
                <w:szCs w:val="21"/>
                <w:highlight w:val="none"/>
              </w:rPr>
              <w:t>4</w:t>
            </w:r>
          </w:p>
        </w:tc>
        <w:tc>
          <w:tcPr>
            <w:tcW w:w="1793" w:type="dxa"/>
            <w:vAlign w:val="center"/>
          </w:tcPr>
          <w:p w14:paraId="6F85A780">
            <w:pPr>
              <w:spacing w:line="240" w:lineRule="exact"/>
              <w:jc w:val="center"/>
              <w:rPr>
                <w:rFonts w:ascii="宋体" w:hAnsi="宋体"/>
                <w:color w:val="auto"/>
                <w:szCs w:val="21"/>
                <w:highlight w:val="none"/>
              </w:rPr>
            </w:pPr>
          </w:p>
        </w:tc>
        <w:tc>
          <w:tcPr>
            <w:tcW w:w="900" w:type="dxa"/>
            <w:vAlign w:val="center"/>
          </w:tcPr>
          <w:p w14:paraId="3EB0870E">
            <w:pPr>
              <w:jc w:val="center"/>
              <w:rPr>
                <w:rFonts w:ascii="宋体" w:hAnsi="宋体"/>
                <w:color w:val="auto"/>
                <w:szCs w:val="21"/>
                <w:highlight w:val="none"/>
              </w:rPr>
            </w:pPr>
          </w:p>
        </w:tc>
        <w:tc>
          <w:tcPr>
            <w:tcW w:w="992" w:type="dxa"/>
            <w:vAlign w:val="center"/>
          </w:tcPr>
          <w:p w14:paraId="0AC3E8A8">
            <w:pPr>
              <w:spacing w:line="240" w:lineRule="exact"/>
              <w:jc w:val="center"/>
              <w:rPr>
                <w:rFonts w:ascii="宋体" w:hAnsi="宋体"/>
                <w:color w:val="auto"/>
                <w:szCs w:val="21"/>
                <w:highlight w:val="none"/>
              </w:rPr>
            </w:pPr>
          </w:p>
        </w:tc>
        <w:tc>
          <w:tcPr>
            <w:tcW w:w="1785" w:type="dxa"/>
            <w:vAlign w:val="center"/>
          </w:tcPr>
          <w:p w14:paraId="24301AD6">
            <w:pPr>
              <w:spacing w:line="240" w:lineRule="exact"/>
              <w:jc w:val="center"/>
              <w:rPr>
                <w:rFonts w:ascii="宋体" w:hAnsi="宋体"/>
                <w:color w:val="auto"/>
                <w:szCs w:val="21"/>
                <w:highlight w:val="none"/>
              </w:rPr>
            </w:pPr>
          </w:p>
        </w:tc>
        <w:tc>
          <w:tcPr>
            <w:tcW w:w="1116" w:type="dxa"/>
            <w:vAlign w:val="center"/>
          </w:tcPr>
          <w:p w14:paraId="25D7D8C0">
            <w:pPr>
              <w:spacing w:line="240" w:lineRule="exact"/>
              <w:jc w:val="center"/>
              <w:rPr>
                <w:rFonts w:ascii="宋体" w:hAnsi="宋体"/>
                <w:color w:val="auto"/>
                <w:szCs w:val="21"/>
                <w:highlight w:val="none"/>
              </w:rPr>
            </w:pPr>
          </w:p>
        </w:tc>
        <w:tc>
          <w:tcPr>
            <w:tcW w:w="1341" w:type="dxa"/>
            <w:vAlign w:val="center"/>
          </w:tcPr>
          <w:p w14:paraId="4D970F5B">
            <w:pPr>
              <w:spacing w:line="240" w:lineRule="exact"/>
              <w:jc w:val="center"/>
              <w:rPr>
                <w:rFonts w:ascii="宋体" w:hAnsi="宋体"/>
                <w:color w:val="auto"/>
                <w:szCs w:val="21"/>
                <w:highlight w:val="none"/>
              </w:rPr>
            </w:pPr>
          </w:p>
        </w:tc>
        <w:tc>
          <w:tcPr>
            <w:tcW w:w="1080" w:type="dxa"/>
            <w:vAlign w:val="center"/>
          </w:tcPr>
          <w:p w14:paraId="79219B87">
            <w:pPr>
              <w:spacing w:line="240" w:lineRule="exact"/>
              <w:jc w:val="center"/>
              <w:rPr>
                <w:rFonts w:ascii="宋体" w:hAnsi="宋体"/>
                <w:color w:val="auto"/>
                <w:szCs w:val="21"/>
                <w:highlight w:val="none"/>
              </w:rPr>
            </w:pPr>
          </w:p>
        </w:tc>
      </w:tr>
      <w:tr w14:paraId="1C2C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723D9B4">
            <w:pPr>
              <w:spacing w:line="240" w:lineRule="exact"/>
              <w:jc w:val="center"/>
              <w:rPr>
                <w:rFonts w:ascii="宋体" w:hAnsi="宋体"/>
                <w:color w:val="auto"/>
                <w:szCs w:val="21"/>
                <w:highlight w:val="none"/>
              </w:rPr>
            </w:pPr>
            <w:r>
              <w:rPr>
                <w:rFonts w:ascii="宋体" w:hAnsi="宋体"/>
                <w:color w:val="auto"/>
                <w:szCs w:val="21"/>
                <w:highlight w:val="none"/>
              </w:rPr>
              <w:t>5</w:t>
            </w:r>
          </w:p>
        </w:tc>
        <w:tc>
          <w:tcPr>
            <w:tcW w:w="1793" w:type="dxa"/>
            <w:vAlign w:val="center"/>
          </w:tcPr>
          <w:p w14:paraId="04B9F670">
            <w:pPr>
              <w:spacing w:line="240" w:lineRule="exact"/>
              <w:jc w:val="center"/>
              <w:rPr>
                <w:rFonts w:ascii="宋体" w:hAnsi="宋体"/>
                <w:color w:val="auto"/>
                <w:szCs w:val="21"/>
                <w:highlight w:val="none"/>
              </w:rPr>
            </w:pPr>
          </w:p>
        </w:tc>
        <w:tc>
          <w:tcPr>
            <w:tcW w:w="900" w:type="dxa"/>
            <w:vAlign w:val="center"/>
          </w:tcPr>
          <w:p w14:paraId="00EB1B51">
            <w:pPr>
              <w:jc w:val="center"/>
              <w:rPr>
                <w:rFonts w:ascii="宋体" w:hAnsi="宋体"/>
                <w:color w:val="auto"/>
                <w:szCs w:val="21"/>
                <w:highlight w:val="none"/>
              </w:rPr>
            </w:pPr>
          </w:p>
        </w:tc>
        <w:tc>
          <w:tcPr>
            <w:tcW w:w="992" w:type="dxa"/>
            <w:vAlign w:val="center"/>
          </w:tcPr>
          <w:p w14:paraId="55107AB4">
            <w:pPr>
              <w:spacing w:line="240" w:lineRule="exact"/>
              <w:jc w:val="center"/>
              <w:rPr>
                <w:rFonts w:ascii="宋体" w:hAnsi="宋体"/>
                <w:color w:val="auto"/>
                <w:szCs w:val="21"/>
                <w:highlight w:val="none"/>
              </w:rPr>
            </w:pPr>
          </w:p>
        </w:tc>
        <w:tc>
          <w:tcPr>
            <w:tcW w:w="1785" w:type="dxa"/>
            <w:vAlign w:val="center"/>
          </w:tcPr>
          <w:p w14:paraId="5EC991D1">
            <w:pPr>
              <w:spacing w:line="240" w:lineRule="exact"/>
              <w:jc w:val="center"/>
              <w:rPr>
                <w:rFonts w:ascii="宋体" w:hAnsi="宋体"/>
                <w:color w:val="auto"/>
                <w:szCs w:val="21"/>
                <w:highlight w:val="none"/>
              </w:rPr>
            </w:pPr>
          </w:p>
        </w:tc>
        <w:tc>
          <w:tcPr>
            <w:tcW w:w="1116" w:type="dxa"/>
            <w:vAlign w:val="center"/>
          </w:tcPr>
          <w:p w14:paraId="2303CD0A">
            <w:pPr>
              <w:spacing w:line="240" w:lineRule="exact"/>
              <w:jc w:val="center"/>
              <w:rPr>
                <w:rFonts w:ascii="宋体" w:hAnsi="宋体"/>
                <w:color w:val="auto"/>
                <w:szCs w:val="21"/>
                <w:highlight w:val="none"/>
              </w:rPr>
            </w:pPr>
          </w:p>
        </w:tc>
        <w:tc>
          <w:tcPr>
            <w:tcW w:w="1341" w:type="dxa"/>
            <w:vAlign w:val="center"/>
          </w:tcPr>
          <w:p w14:paraId="327F8E8C">
            <w:pPr>
              <w:spacing w:line="240" w:lineRule="exact"/>
              <w:jc w:val="center"/>
              <w:rPr>
                <w:rFonts w:ascii="宋体" w:hAnsi="宋体"/>
                <w:color w:val="auto"/>
                <w:szCs w:val="21"/>
                <w:highlight w:val="none"/>
              </w:rPr>
            </w:pPr>
          </w:p>
        </w:tc>
        <w:tc>
          <w:tcPr>
            <w:tcW w:w="1080" w:type="dxa"/>
            <w:vAlign w:val="center"/>
          </w:tcPr>
          <w:p w14:paraId="186730A5">
            <w:pPr>
              <w:spacing w:line="240" w:lineRule="exact"/>
              <w:jc w:val="center"/>
              <w:rPr>
                <w:rFonts w:ascii="宋体" w:hAnsi="宋体"/>
                <w:color w:val="auto"/>
                <w:szCs w:val="21"/>
                <w:highlight w:val="none"/>
              </w:rPr>
            </w:pPr>
          </w:p>
        </w:tc>
      </w:tr>
      <w:tr w14:paraId="379D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6072AE8">
            <w:pPr>
              <w:spacing w:line="240" w:lineRule="exact"/>
              <w:jc w:val="center"/>
              <w:rPr>
                <w:rFonts w:ascii="宋体" w:hAnsi="宋体"/>
                <w:color w:val="auto"/>
                <w:szCs w:val="21"/>
                <w:highlight w:val="none"/>
              </w:rPr>
            </w:pPr>
            <w:r>
              <w:rPr>
                <w:rFonts w:ascii="宋体" w:hAnsi="宋体"/>
                <w:color w:val="auto"/>
                <w:szCs w:val="21"/>
                <w:highlight w:val="none"/>
              </w:rPr>
              <w:t>6</w:t>
            </w:r>
          </w:p>
        </w:tc>
        <w:tc>
          <w:tcPr>
            <w:tcW w:w="1793" w:type="dxa"/>
            <w:vAlign w:val="center"/>
          </w:tcPr>
          <w:p w14:paraId="3A75FE4C">
            <w:pPr>
              <w:spacing w:line="240" w:lineRule="exact"/>
              <w:jc w:val="center"/>
              <w:rPr>
                <w:rFonts w:ascii="宋体" w:hAnsi="宋体"/>
                <w:color w:val="auto"/>
                <w:szCs w:val="21"/>
                <w:highlight w:val="none"/>
              </w:rPr>
            </w:pPr>
          </w:p>
        </w:tc>
        <w:tc>
          <w:tcPr>
            <w:tcW w:w="900" w:type="dxa"/>
            <w:vAlign w:val="center"/>
          </w:tcPr>
          <w:p w14:paraId="2503F5BB">
            <w:pPr>
              <w:jc w:val="center"/>
              <w:rPr>
                <w:rFonts w:ascii="宋体" w:hAnsi="宋体"/>
                <w:color w:val="auto"/>
                <w:szCs w:val="21"/>
                <w:highlight w:val="none"/>
              </w:rPr>
            </w:pPr>
          </w:p>
        </w:tc>
        <w:tc>
          <w:tcPr>
            <w:tcW w:w="992" w:type="dxa"/>
            <w:vAlign w:val="center"/>
          </w:tcPr>
          <w:p w14:paraId="5746B00F">
            <w:pPr>
              <w:spacing w:line="240" w:lineRule="exact"/>
              <w:jc w:val="center"/>
              <w:rPr>
                <w:rFonts w:ascii="宋体" w:hAnsi="宋体"/>
                <w:color w:val="auto"/>
                <w:szCs w:val="21"/>
                <w:highlight w:val="none"/>
              </w:rPr>
            </w:pPr>
          </w:p>
        </w:tc>
        <w:tc>
          <w:tcPr>
            <w:tcW w:w="1785" w:type="dxa"/>
            <w:vAlign w:val="center"/>
          </w:tcPr>
          <w:p w14:paraId="21B0ED42">
            <w:pPr>
              <w:spacing w:line="240" w:lineRule="exact"/>
              <w:jc w:val="center"/>
              <w:rPr>
                <w:rFonts w:ascii="宋体" w:hAnsi="宋体"/>
                <w:color w:val="auto"/>
                <w:szCs w:val="21"/>
                <w:highlight w:val="none"/>
              </w:rPr>
            </w:pPr>
          </w:p>
        </w:tc>
        <w:tc>
          <w:tcPr>
            <w:tcW w:w="1116" w:type="dxa"/>
            <w:vAlign w:val="center"/>
          </w:tcPr>
          <w:p w14:paraId="6E8936A9">
            <w:pPr>
              <w:spacing w:line="240" w:lineRule="exact"/>
              <w:jc w:val="center"/>
              <w:rPr>
                <w:rFonts w:ascii="宋体" w:hAnsi="宋体"/>
                <w:color w:val="auto"/>
                <w:szCs w:val="21"/>
                <w:highlight w:val="none"/>
              </w:rPr>
            </w:pPr>
          </w:p>
        </w:tc>
        <w:tc>
          <w:tcPr>
            <w:tcW w:w="1341" w:type="dxa"/>
            <w:vAlign w:val="center"/>
          </w:tcPr>
          <w:p w14:paraId="679F0F7C">
            <w:pPr>
              <w:spacing w:line="240" w:lineRule="exact"/>
              <w:jc w:val="center"/>
              <w:rPr>
                <w:rFonts w:ascii="宋体" w:hAnsi="宋体"/>
                <w:color w:val="auto"/>
                <w:szCs w:val="21"/>
                <w:highlight w:val="none"/>
              </w:rPr>
            </w:pPr>
          </w:p>
        </w:tc>
        <w:tc>
          <w:tcPr>
            <w:tcW w:w="1080" w:type="dxa"/>
            <w:vAlign w:val="center"/>
          </w:tcPr>
          <w:p w14:paraId="7D1BB3CC">
            <w:pPr>
              <w:spacing w:line="240" w:lineRule="exact"/>
              <w:jc w:val="center"/>
              <w:rPr>
                <w:rFonts w:ascii="宋体" w:hAnsi="宋体"/>
                <w:color w:val="auto"/>
                <w:szCs w:val="21"/>
                <w:highlight w:val="none"/>
              </w:rPr>
            </w:pPr>
          </w:p>
        </w:tc>
      </w:tr>
      <w:tr w14:paraId="6FFE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5EF5D48">
            <w:pPr>
              <w:spacing w:line="240" w:lineRule="exact"/>
              <w:jc w:val="center"/>
              <w:rPr>
                <w:rFonts w:ascii="宋体" w:hAnsi="宋体"/>
                <w:color w:val="auto"/>
                <w:szCs w:val="21"/>
                <w:highlight w:val="none"/>
              </w:rPr>
            </w:pPr>
            <w:r>
              <w:rPr>
                <w:rFonts w:ascii="宋体" w:hAnsi="宋体"/>
                <w:color w:val="auto"/>
                <w:szCs w:val="21"/>
                <w:highlight w:val="none"/>
              </w:rPr>
              <w:t>7</w:t>
            </w:r>
          </w:p>
        </w:tc>
        <w:tc>
          <w:tcPr>
            <w:tcW w:w="1793" w:type="dxa"/>
            <w:vAlign w:val="center"/>
          </w:tcPr>
          <w:p w14:paraId="6757FD51">
            <w:pPr>
              <w:spacing w:line="240" w:lineRule="exact"/>
              <w:jc w:val="center"/>
              <w:rPr>
                <w:rFonts w:ascii="宋体" w:hAnsi="宋体"/>
                <w:color w:val="auto"/>
                <w:szCs w:val="21"/>
                <w:highlight w:val="none"/>
              </w:rPr>
            </w:pPr>
          </w:p>
        </w:tc>
        <w:tc>
          <w:tcPr>
            <w:tcW w:w="900" w:type="dxa"/>
            <w:vAlign w:val="center"/>
          </w:tcPr>
          <w:p w14:paraId="45FCBDA9">
            <w:pPr>
              <w:jc w:val="center"/>
              <w:rPr>
                <w:rFonts w:ascii="宋体" w:hAnsi="宋体"/>
                <w:color w:val="auto"/>
                <w:szCs w:val="21"/>
                <w:highlight w:val="none"/>
              </w:rPr>
            </w:pPr>
          </w:p>
        </w:tc>
        <w:tc>
          <w:tcPr>
            <w:tcW w:w="992" w:type="dxa"/>
            <w:vAlign w:val="center"/>
          </w:tcPr>
          <w:p w14:paraId="0D696539">
            <w:pPr>
              <w:spacing w:line="240" w:lineRule="exact"/>
              <w:jc w:val="center"/>
              <w:rPr>
                <w:rFonts w:ascii="宋体" w:hAnsi="宋体"/>
                <w:color w:val="auto"/>
                <w:szCs w:val="21"/>
                <w:highlight w:val="none"/>
              </w:rPr>
            </w:pPr>
          </w:p>
        </w:tc>
        <w:tc>
          <w:tcPr>
            <w:tcW w:w="1785" w:type="dxa"/>
            <w:vAlign w:val="center"/>
          </w:tcPr>
          <w:p w14:paraId="7A806B97">
            <w:pPr>
              <w:spacing w:line="240" w:lineRule="exact"/>
              <w:jc w:val="center"/>
              <w:rPr>
                <w:rFonts w:ascii="宋体" w:hAnsi="宋体"/>
                <w:color w:val="auto"/>
                <w:szCs w:val="21"/>
                <w:highlight w:val="none"/>
              </w:rPr>
            </w:pPr>
          </w:p>
        </w:tc>
        <w:tc>
          <w:tcPr>
            <w:tcW w:w="1116" w:type="dxa"/>
            <w:vAlign w:val="center"/>
          </w:tcPr>
          <w:p w14:paraId="59F747ED">
            <w:pPr>
              <w:spacing w:line="240" w:lineRule="exact"/>
              <w:jc w:val="center"/>
              <w:rPr>
                <w:rFonts w:ascii="宋体" w:hAnsi="宋体"/>
                <w:color w:val="auto"/>
                <w:szCs w:val="21"/>
                <w:highlight w:val="none"/>
              </w:rPr>
            </w:pPr>
          </w:p>
        </w:tc>
        <w:tc>
          <w:tcPr>
            <w:tcW w:w="1341" w:type="dxa"/>
            <w:vAlign w:val="center"/>
          </w:tcPr>
          <w:p w14:paraId="582694A4">
            <w:pPr>
              <w:spacing w:line="240" w:lineRule="exact"/>
              <w:jc w:val="center"/>
              <w:rPr>
                <w:rFonts w:ascii="宋体" w:hAnsi="宋体"/>
                <w:color w:val="auto"/>
                <w:szCs w:val="21"/>
                <w:highlight w:val="none"/>
              </w:rPr>
            </w:pPr>
          </w:p>
        </w:tc>
        <w:tc>
          <w:tcPr>
            <w:tcW w:w="1080" w:type="dxa"/>
            <w:vAlign w:val="center"/>
          </w:tcPr>
          <w:p w14:paraId="0166BC23">
            <w:pPr>
              <w:spacing w:line="240" w:lineRule="exact"/>
              <w:jc w:val="center"/>
              <w:rPr>
                <w:rFonts w:ascii="宋体" w:hAnsi="宋体"/>
                <w:color w:val="auto"/>
                <w:szCs w:val="21"/>
                <w:highlight w:val="none"/>
              </w:rPr>
            </w:pPr>
          </w:p>
        </w:tc>
      </w:tr>
      <w:tr w14:paraId="1ABD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C4D886F">
            <w:pPr>
              <w:spacing w:line="240" w:lineRule="exact"/>
              <w:jc w:val="center"/>
              <w:rPr>
                <w:rFonts w:ascii="宋体" w:hAnsi="宋体"/>
                <w:color w:val="auto"/>
                <w:szCs w:val="21"/>
                <w:highlight w:val="none"/>
              </w:rPr>
            </w:pPr>
            <w:r>
              <w:rPr>
                <w:rFonts w:ascii="宋体" w:hAnsi="宋体"/>
                <w:color w:val="auto"/>
                <w:szCs w:val="21"/>
                <w:highlight w:val="none"/>
              </w:rPr>
              <w:t>8</w:t>
            </w:r>
          </w:p>
        </w:tc>
        <w:tc>
          <w:tcPr>
            <w:tcW w:w="1793" w:type="dxa"/>
            <w:vAlign w:val="center"/>
          </w:tcPr>
          <w:p w14:paraId="169CBD79">
            <w:pPr>
              <w:spacing w:line="240" w:lineRule="exact"/>
              <w:jc w:val="center"/>
              <w:rPr>
                <w:rFonts w:ascii="宋体" w:hAnsi="宋体"/>
                <w:color w:val="auto"/>
                <w:szCs w:val="21"/>
                <w:highlight w:val="none"/>
              </w:rPr>
            </w:pPr>
          </w:p>
        </w:tc>
        <w:tc>
          <w:tcPr>
            <w:tcW w:w="900" w:type="dxa"/>
            <w:vAlign w:val="center"/>
          </w:tcPr>
          <w:p w14:paraId="52D76FFE">
            <w:pPr>
              <w:jc w:val="center"/>
              <w:rPr>
                <w:rFonts w:ascii="宋体" w:hAnsi="宋体"/>
                <w:color w:val="auto"/>
                <w:szCs w:val="21"/>
                <w:highlight w:val="none"/>
              </w:rPr>
            </w:pPr>
          </w:p>
        </w:tc>
        <w:tc>
          <w:tcPr>
            <w:tcW w:w="992" w:type="dxa"/>
            <w:vAlign w:val="center"/>
          </w:tcPr>
          <w:p w14:paraId="0A2DAE9F">
            <w:pPr>
              <w:spacing w:line="240" w:lineRule="exact"/>
              <w:jc w:val="center"/>
              <w:rPr>
                <w:rFonts w:ascii="宋体" w:hAnsi="宋体"/>
                <w:color w:val="auto"/>
                <w:szCs w:val="21"/>
                <w:highlight w:val="none"/>
              </w:rPr>
            </w:pPr>
          </w:p>
        </w:tc>
        <w:tc>
          <w:tcPr>
            <w:tcW w:w="1785" w:type="dxa"/>
            <w:vAlign w:val="center"/>
          </w:tcPr>
          <w:p w14:paraId="06FA3F37">
            <w:pPr>
              <w:spacing w:line="240" w:lineRule="exact"/>
              <w:jc w:val="center"/>
              <w:rPr>
                <w:rFonts w:ascii="宋体" w:hAnsi="宋体"/>
                <w:color w:val="auto"/>
                <w:szCs w:val="21"/>
                <w:highlight w:val="none"/>
              </w:rPr>
            </w:pPr>
          </w:p>
        </w:tc>
        <w:tc>
          <w:tcPr>
            <w:tcW w:w="1116" w:type="dxa"/>
            <w:vAlign w:val="center"/>
          </w:tcPr>
          <w:p w14:paraId="4149E829">
            <w:pPr>
              <w:spacing w:line="240" w:lineRule="exact"/>
              <w:jc w:val="center"/>
              <w:rPr>
                <w:rFonts w:ascii="宋体" w:hAnsi="宋体"/>
                <w:color w:val="auto"/>
                <w:szCs w:val="21"/>
                <w:highlight w:val="none"/>
              </w:rPr>
            </w:pPr>
          </w:p>
        </w:tc>
        <w:tc>
          <w:tcPr>
            <w:tcW w:w="1341" w:type="dxa"/>
            <w:vAlign w:val="center"/>
          </w:tcPr>
          <w:p w14:paraId="6DF29D77">
            <w:pPr>
              <w:spacing w:line="240" w:lineRule="exact"/>
              <w:jc w:val="center"/>
              <w:rPr>
                <w:rFonts w:ascii="宋体" w:hAnsi="宋体"/>
                <w:color w:val="auto"/>
                <w:szCs w:val="21"/>
                <w:highlight w:val="none"/>
              </w:rPr>
            </w:pPr>
          </w:p>
        </w:tc>
        <w:tc>
          <w:tcPr>
            <w:tcW w:w="1080" w:type="dxa"/>
            <w:vAlign w:val="center"/>
          </w:tcPr>
          <w:p w14:paraId="0D9A7DB3">
            <w:pPr>
              <w:spacing w:line="240" w:lineRule="exact"/>
              <w:jc w:val="center"/>
              <w:rPr>
                <w:rFonts w:ascii="宋体" w:hAnsi="宋体"/>
                <w:color w:val="auto"/>
                <w:szCs w:val="21"/>
                <w:highlight w:val="none"/>
              </w:rPr>
            </w:pPr>
          </w:p>
        </w:tc>
      </w:tr>
      <w:tr w14:paraId="728E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508249C2">
            <w:pPr>
              <w:spacing w:line="240" w:lineRule="exact"/>
              <w:jc w:val="center"/>
              <w:rPr>
                <w:rFonts w:ascii="宋体" w:hAnsi="宋体"/>
                <w:color w:val="auto"/>
                <w:szCs w:val="21"/>
                <w:highlight w:val="none"/>
              </w:rPr>
            </w:pPr>
            <w:r>
              <w:rPr>
                <w:rFonts w:ascii="宋体" w:hAnsi="宋体"/>
                <w:color w:val="auto"/>
                <w:szCs w:val="21"/>
                <w:highlight w:val="none"/>
              </w:rPr>
              <w:t>9</w:t>
            </w:r>
          </w:p>
        </w:tc>
        <w:tc>
          <w:tcPr>
            <w:tcW w:w="1793" w:type="dxa"/>
            <w:vAlign w:val="center"/>
          </w:tcPr>
          <w:p w14:paraId="4B134566">
            <w:pPr>
              <w:spacing w:line="240" w:lineRule="exact"/>
              <w:jc w:val="center"/>
              <w:rPr>
                <w:rFonts w:ascii="宋体" w:hAnsi="宋体"/>
                <w:color w:val="auto"/>
                <w:szCs w:val="21"/>
                <w:highlight w:val="none"/>
              </w:rPr>
            </w:pPr>
          </w:p>
        </w:tc>
        <w:tc>
          <w:tcPr>
            <w:tcW w:w="900" w:type="dxa"/>
            <w:vAlign w:val="center"/>
          </w:tcPr>
          <w:p w14:paraId="5A8A6F8D">
            <w:pPr>
              <w:jc w:val="center"/>
              <w:rPr>
                <w:rFonts w:ascii="宋体" w:hAnsi="宋体"/>
                <w:color w:val="auto"/>
                <w:szCs w:val="21"/>
                <w:highlight w:val="none"/>
              </w:rPr>
            </w:pPr>
          </w:p>
        </w:tc>
        <w:tc>
          <w:tcPr>
            <w:tcW w:w="992" w:type="dxa"/>
            <w:vAlign w:val="center"/>
          </w:tcPr>
          <w:p w14:paraId="53E2A1E4">
            <w:pPr>
              <w:spacing w:line="240" w:lineRule="exact"/>
              <w:jc w:val="center"/>
              <w:rPr>
                <w:rFonts w:ascii="宋体" w:hAnsi="宋体"/>
                <w:color w:val="auto"/>
                <w:szCs w:val="21"/>
                <w:highlight w:val="none"/>
              </w:rPr>
            </w:pPr>
          </w:p>
        </w:tc>
        <w:tc>
          <w:tcPr>
            <w:tcW w:w="1785" w:type="dxa"/>
            <w:vAlign w:val="center"/>
          </w:tcPr>
          <w:p w14:paraId="108BAAF2">
            <w:pPr>
              <w:spacing w:line="240" w:lineRule="exact"/>
              <w:jc w:val="center"/>
              <w:rPr>
                <w:rFonts w:ascii="宋体" w:hAnsi="宋体"/>
                <w:color w:val="auto"/>
                <w:szCs w:val="21"/>
                <w:highlight w:val="none"/>
              </w:rPr>
            </w:pPr>
          </w:p>
        </w:tc>
        <w:tc>
          <w:tcPr>
            <w:tcW w:w="1116" w:type="dxa"/>
            <w:vAlign w:val="center"/>
          </w:tcPr>
          <w:p w14:paraId="7033747A">
            <w:pPr>
              <w:spacing w:line="240" w:lineRule="exact"/>
              <w:jc w:val="center"/>
              <w:rPr>
                <w:rFonts w:ascii="宋体" w:hAnsi="宋体"/>
                <w:color w:val="auto"/>
                <w:szCs w:val="21"/>
                <w:highlight w:val="none"/>
              </w:rPr>
            </w:pPr>
          </w:p>
        </w:tc>
        <w:tc>
          <w:tcPr>
            <w:tcW w:w="1341" w:type="dxa"/>
            <w:vAlign w:val="center"/>
          </w:tcPr>
          <w:p w14:paraId="3B2AE9A2">
            <w:pPr>
              <w:spacing w:line="240" w:lineRule="exact"/>
              <w:jc w:val="center"/>
              <w:rPr>
                <w:rFonts w:ascii="宋体" w:hAnsi="宋体"/>
                <w:color w:val="auto"/>
                <w:szCs w:val="21"/>
                <w:highlight w:val="none"/>
              </w:rPr>
            </w:pPr>
          </w:p>
        </w:tc>
        <w:tc>
          <w:tcPr>
            <w:tcW w:w="1080" w:type="dxa"/>
            <w:vAlign w:val="center"/>
          </w:tcPr>
          <w:p w14:paraId="273AE669">
            <w:pPr>
              <w:spacing w:line="240" w:lineRule="exact"/>
              <w:jc w:val="center"/>
              <w:rPr>
                <w:rFonts w:ascii="宋体" w:hAnsi="宋体"/>
                <w:color w:val="auto"/>
                <w:szCs w:val="21"/>
                <w:highlight w:val="none"/>
              </w:rPr>
            </w:pPr>
          </w:p>
        </w:tc>
      </w:tr>
      <w:tr w14:paraId="724B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16DCD87">
            <w:pPr>
              <w:spacing w:line="240" w:lineRule="exact"/>
              <w:jc w:val="center"/>
              <w:rPr>
                <w:rFonts w:ascii="宋体" w:hAnsi="宋体"/>
                <w:color w:val="auto"/>
                <w:szCs w:val="21"/>
                <w:highlight w:val="none"/>
              </w:rPr>
            </w:pPr>
            <w:r>
              <w:rPr>
                <w:rFonts w:ascii="宋体" w:hAnsi="宋体"/>
                <w:color w:val="auto"/>
                <w:szCs w:val="21"/>
                <w:highlight w:val="none"/>
              </w:rPr>
              <w:t>10</w:t>
            </w:r>
          </w:p>
        </w:tc>
        <w:tc>
          <w:tcPr>
            <w:tcW w:w="1793" w:type="dxa"/>
            <w:vAlign w:val="center"/>
          </w:tcPr>
          <w:p w14:paraId="32B1DE1A">
            <w:pPr>
              <w:spacing w:line="240" w:lineRule="exact"/>
              <w:jc w:val="center"/>
              <w:rPr>
                <w:rFonts w:ascii="宋体" w:hAnsi="宋体"/>
                <w:color w:val="auto"/>
                <w:szCs w:val="21"/>
                <w:highlight w:val="none"/>
              </w:rPr>
            </w:pPr>
          </w:p>
        </w:tc>
        <w:tc>
          <w:tcPr>
            <w:tcW w:w="900" w:type="dxa"/>
            <w:vAlign w:val="center"/>
          </w:tcPr>
          <w:p w14:paraId="3AF3B3EC">
            <w:pPr>
              <w:jc w:val="center"/>
              <w:rPr>
                <w:rFonts w:ascii="宋体" w:hAnsi="宋体"/>
                <w:color w:val="auto"/>
                <w:szCs w:val="21"/>
                <w:highlight w:val="none"/>
              </w:rPr>
            </w:pPr>
          </w:p>
        </w:tc>
        <w:tc>
          <w:tcPr>
            <w:tcW w:w="992" w:type="dxa"/>
            <w:vAlign w:val="center"/>
          </w:tcPr>
          <w:p w14:paraId="48096CDF">
            <w:pPr>
              <w:spacing w:line="240" w:lineRule="exact"/>
              <w:jc w:val="center"/>
              <w:rPr>
                <w:rFonts w:ascii="宋体" w:hAnsi="宋体"/>
                <w:color w:val="auto"/>
                <w:szCs w:val="21"/>
                <w:highlight w:val="none"/>
              </w:rPr>
            </w:pPr>
          </w:p>
        </w:tc>
        <w:tc>
          <w:tcPr>
            <w:tcW w:w="1785" w:type="dxa"/>
            <w:vAlign w:val="center"/>
          </w:tcPr>
          <w:p w14:paraId="438EEEC6">
            <w:pPr>
              <w:spacing w:line="240" w:lineRule="exact"/>
              <w:jc w:val="center"/>
              <w:rPr>
                <w:rFonts w:ascii="宋体" w:hAnsi="宋体"/>
                <w:color w:val="auto"/>
                <w:szCs w:val="21"/>
                <w:highlight w:val="none"/>
              </w:rPr>
            </w:pPr>
          </w:p>
        </w:tc>
        <w:tc>
          <w:tcPr>
            <w:tcW w:w="1116" w:type="dxa"/>
            <w:vAlign w:val="center"/>
          </w:tcPr>
          <w:p w14:paraId="51885D8A">
            <w:pPr>
              <w:spacing w:line="240" w:lineRule="exact"/>
              <w:jc w:val="center"/>
              <w:rPr>
                <w:rFonts w:ascii="宋体" w:hAnsi="宋体"/>
                <w:color w:val="auto"/>
                <w:szCs w:val="21"/>
                <w:highlight w:val="none"/>
              </w:rPr>
            </w:pPr>
          </w:p>
        </w:tc>
        <w:tc>
          <w:tcPr>
            <w:tcW w:w="1341" w:type="dxa"/>
            <w:vAlign w:val="center"/>
          </w:tcPr>
          <w:p w14:paraId="2DFE7C2C">
            <w:pPr>
              <w:spacing w:line="240" w:lineRule="exact"/>
              <w:jc w:val="center"/>
              <w:rPr>
                <w:rFonts w:ascii="宋体" w:hAnsi="宋体"/>
                <w:color w:val="auto"/>
                <w:szCs w:val="21"/>
                <w:highlight w:val="none"/>
              </w:rPr>
            </w:pPr>
          </w:p>
        </w:tc>
        <w:tc>
          <w:tcPr>
            <w:tcW w:w="1080" w:type="dxa"/>
            <w:vAlign w:val="center"/>
          </w:tcPr>
          <w:p w14:paraId="37A4D529">
            <w:pPr>
              <w:spacing w:line="240" w:lineRule="exact"/>
              <w:jc w:val="center"/>
              <w:rPr>
                <w:rFonts w:ascii="宋体" w:hAnsi="宋体"/>
                <w:color w:val="auto"/>
                <w:szCs w:val="21"/>
                <w:highlight w:val="none"/>
              </w:rPr>
            </w:pPr>
          </w:p>
        </w:tc>
      </w:tr>
    </w:tbl>
    <w:p w14:paraId="441BA1F2">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要求按照招标文件第三章评标办法附表四《综合评分表》相应评分因素的评分标准的要求及表后说明的规定提供证明材料。</w:t>
      </w:r>
    </w:p>
    <w:p w14:paraId="46E713E3">
      <w:pPr>
        <w:snapToGrid w:val="0"/>
        <w:spacing w:line="360" w:lineRule="auto"/>
        <w:ind w:right="-97" w:rightChars="-46"/>
        <w:rPr>
          <w:rFonts w:ascii="宋体" w:hAnsi="宋体"/>
          <w:color w:val="auto"/>
          <w:sz w:val="24"/>
          <w:highlight w:val="none"/>
        </w:rPr>
      </w:pPr>
    </w:p>
    <w:p w14:paraId="25B17F17">
      <w:pPr>
        <w:pStyle w:val="6"/>
        <w:jc w:val="center"/>
        <w:rPr>
          <w:color w:val="auto"/>
          <w:highlight w:val="none"/>
        </w:rPr>
      </w:pPr>
      <w:r>
        <w:rPr>
          <w:color w:val="auto"/>
          <w:highlight w:val="none"/>
        </w:rPr>
        <w:br w:type="page"/>
      </w:r>
      <w:bookmarkStart w:id="203" w:name="_Toc20161"/>
      <w:bookmarkStart w:id="204" w:name="_Toc528170367"/>
      <w:bookmarkStart w:id="205" w:name="_Toc532390645"/>
      <w:bookmarkStart w:id="206" w:name="_Toc533334237"/>
      <w:bookmarkStart w:id="207" w:name="_Toc118554005"/>
      <w:r>
        <w:rPr>
          <w:rFonts w:hint="eastAsia"/>
          <w:color w:val="auto"/>
          <w:highlight w:val="none"/>
        </w:rPr>
        <w:t>十</w:t>
      </w:r>
      <w:r>
        <w:rPr>
          <w:rFonts w:hint="eastAsia"/>
          <w:color w:val="auto"/>
          <w:highlight w:val="none"/>
          <w:lang w:val="en-US" w:eastAsia="zh-CN"/>
        </w:rPr>
        <w:t>一</w:t>
      </w:r>
      <w:r>
        <w:rPr>
          <w:rFonts w:hint="eastAsia"/>
          <w:color w:val="auto"/>
          <w:highlight w:val="none"/>
        </w:rPr>
        <w:t>、</w:t>
      </w:r>
      <w:bookmarkEnd w:id="203"/>
      <w:bookmarkEnd w:id="204"/>
      <w:bookmarkEnd w:id="205"/>
      <w:bookmarkEnd w:id="206"/>
      <w:r>
        <w:rPr>
          <w:rFonts w:hint="eastAsia"/>
          <w:color w:val="auto"/>
          <w:highlight w:val="none"/>
        </w:rPr>
        <w:t>检测、监测方案</w:t>
      </w:r>
      <w:bookmarkEnd w:id="207"/>
      <w:r>
        <w:rPr>
          <w:rFonts w:hint="eastAsia"/>
          <w:color w:val="auto"/>
          <w:highlight w:val="none"/>
        </w:rPr>
        <w:t>（格式自拟）</w:t>
      </w:r>
    </w:p>
    <w:p w14:paraId="1F786269">
      <w:pPr>
        <w:spacing w:line="360" w:lineRule="auto"/>
        <w:ind w:firstLine="480" w:firstLineChars="200"/>
        <w:rPr>
          <w:rFonts w:ascii="宋体" w:cs="宋体"/>
          <w:color w:val="auto"/>
          <w:highlight w:val="none"/>
        </w:rPr>
      </w:pPr>
      <w:r>
        <w:rPr>
          <w:rFonts w:hint="eastAsia" w:ascii="宋体" w:cs="宋体"/>
          <w:color w:val="auto"/>
          <w:sz w:val="24"/>
          <w:highlight w:val="none"/>
        </w:rPr>
        <w:t>根据招标人提供的技术要求及资料，编制有针对性的检测、监测技术方案</w:t>
      </w:r>
      <w:r>
        <w:rPr>
          <w:rFonts w:hint="eastAsia" w:ascii="宋体" w:cs="宋体"/>
          <w:color w:val="auto"/>
          <w:szCs w:val="21"/>
          <w:highlight w:val="none"/>
        </w:rPr>
        <w:t>。</w:t>
      </w:r>
    </w:p>
    <w:p w14:paraId="78BDD412">
      <w:pPr>
        <w:spacing w:line="360" w:lineRule="auto"/>
        <w:rPr>
          <w:rFonts w:ascii="宋体" w:hAnsi="宋体"/>
          <w:color w:val="auto"/>
          <w:sz w:val="24"/>
          <w:szCs w:val="24"/>
          <w:highlight w:val="none"/>
        </w:rPr>
      </w:pPr>
    </w:p>
    <w:p w14:paraId="25E6E6B1">
      <w:pPr>
        <w:pStyle w:val="6"/>
        <w:jc w:val="center"/>
        <w:rPr>
          <w:color w:val="auto"/>
          <w:highlight w:val="none"/>
        </w:rPr>
      </w:pPr>
      <w:bookmarkStart w:id="208" w:name="_Toc533334238"/>
      <w:r>
        <w:rPr>
          <w:color w:val="auto"/>
          <w:highlight w:val="none"/>
        </w:rPr>
        <w:br w:type="page"/>
      </w:r>
      <w:bookmarkStart w:id="209" w:name="_Toc118554006"/>
      <w:r>
        <w:rPr>
          <w:rFonts w:hint="eastAsia"/>
          <w:color w:val="auto"/>
          <w:highlight w:val="none"/>
        </w:rPr>
        <w:t>十</w:t>
      </w:r>
      <w:r>
        <w:rPr>
          <w:rFonts w:hint="eastAsia"/>
          <w:color w:val="auto"/>
          <w:highlight w:val="none"/>
          <w:lang w:val="en-US" w:eastAsia="zh-CN"/>
        </w:rPr>
        <w:t>二</w:t>
      </w:r>
      <w:r>
        <w:rPr>
          <w:rFonts w:hint="eastAsia"/>
          <w:color w:val="auto"/>
          <w:highlight w:val="none"/>
        </w:rPr>
        <w:t>、其他资料</w:t>
      </w:r>
      <w:bookmarkEnd w:id="208"/>
      <w:bookmarkEnd w:id="209"/>
    </w:p>
    <w:p w14:paraId="51AF14AD">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highlight w:val="none"/>
        </w:rPr>
        <w:t>投标人须知前附表规定的其他资料，</w:t>
      </w:r>
      <w:r>
        <w:rPr>
          <w:rFonts w:hint="eastAsia" w:ascii="宋体" w:hAnsi="宋体"/>
          <w:color w:val="auto"/>
          <w:sz w:val="24"/>
          <w:szCs w:val="24"/>
          <w:highlight w:val="none"/>
        </w:rPr>
        <w:t>投标人认为有必要提交的其他资料，格式自定。</w:t>
      </w:r>
    </w:p>
    <w:p w14:paraId="1E746A34">
      <w:pPr>
        <w:snapToGrid w:val="0"/>
        <w:spacing w:line="360" w:lineRule="auto"/>
        <w:ind w:right="-97" w:rightChars="-46"/>
        <w:rPr>
          <w:rFonts w:ascii="宋体" w:hAnsi="宋体"/>
          <w:color w:val="auto"/>
          <w:sz w:val="24"/>
          <w:szCs w:val="18"/>
          <w:highlight w:val="none"/>
        </w:rPr>
      </w:pPr>
    </w:p>
    <w:p w14:paraId="2FE6DE69">
      <w:pPr>
        <w:rPr>
          <w:color w:val="auto"/>
          <w:highlight w:val="none"/>
        </w:rPr>
      </w:pPr>
    </w:p>
    <w:p w14:paraId="2A72B565">
      <w:pPr>
        <w:rPr>
          <w:rFonts w:ascii="宋体" w:hAnsi="宋体" w:cs="宋体"/>
          <w:b/>
          <w:bCs/>
          <w:color w:val="auto"/>
          <w:sz w:val="30"/>
          <w:szCs w:val="30"/>
          <w:highlight w:val="none"/>
        </w:rPr>
      </w:pPr>
    </w:p>
    <w:sectPr>
      <w:pgSz w:w="11906" w:h="16838"/>
      <w:pgMar w:top="1440" w:right="1080" w:bottom="1440" w:left="1080" w:header="851" w:footer="1020"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E525">
    <w:pPr>
      <w:pStyle w:val="21"/>
      <w:framePr w:wrap="around" w:vAnchor="text" w:hAnchor="margin" w:xAlign="center" w:y="2"/>
      <w:rPr>
        <w:rStyle w:val="29"/>
      </w:rPr>
    </w:pPr>
    <w:r>
      <w:fldChar w:fldCharType="begin"/>
    </w:r>
    <w:r>
      <w:rPr>
        <w:rStyle w:val="29"/>
      </w:rPr>
      <w:instrText xml:space="preserve">PAGE  </w:instrText>
    </w:r>
    <w:r>
      <w:fldChar w:fldCharType="separate"/>
    </w:r>
    <w:r>
      <w:rPr>
        <w:rStyle w:val="29"/>
      </w:rPr>
      <w:t>42</w:t>
    </w:r>
    <w:r>
      <w:fldChar w:fldCharType="end"/>
    </w:r>
  </w:p>
  <w:p w14:paraId="2FAE7E7F">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B9C7F">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932B115">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3932B11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1CFA">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63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07826397">
                          <w:pPr>
                            <w:pStyle w:val="21"/>
                          </w:pPr>
                          <w:r>
                            <w:fldChar w:fldCharType="begin"/>
                          </w:r>
                          <w:r>
                            <w:instrText xml:space="preserve"> PAGE  \* MERGEFORMAT </w:instrText>
                          </w:r>
                          <w:r>
                            <w:fldChar w:fldCharType="separate"/>
                          </w:r>
                          <w:r>
                            <w:t>98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IiAvCgIAAAIEAAAOAAAAAAAAAAEAIAAAAB8BAABk&#10;cnMvZTJvRG9jLnhtbFBLBQYAAAAABgAGAFkBAACbBQAAAAA=&#10;">
              <v:fill on="f" focussize="0,0"/>
              <v:stroke on="f"/>
              <v:imagedata o:title=""/>
              <o:lock v:ext="edit" aspectratio="f"/>
              <v:textbox inset="0mm,0mm,0mm,0mm" style="mso-fit-shape-to-text:t;">
                <w:txbxContent>
                  <w:p w14:paraId="07826397">
                    <w:pPr>
                      <w:pStyle w:val="21"/>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79DE">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4038">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410D1"/>
    <w:multiLevelType w:val="singleLevel"/>
    <w:tmpl w:val="B1E410D1"/>
    <w:lvl w:ilvl="0" w:tentative="0">
      <w:start w:val="1"/>
      <w:numFmt w:val="decimal"/>
      <w:suff w:val="nothing"/>
      <w:lvlText w:val="%1、"/>
      <w:lvlJc w:val="left"/>
    </w:lvl>
  </w:abstractNum>
  <w:abstractNum w:abstractNumId="1">
    <w:nsid w:val="0000000A"/>
    <w:multiLevelType w:val="singleLevel"/>
    <w:tmpl w:val="0000000A"/>
    <w:lvl w:ilvl="0" w:tentative="0">
      <w:start w:val="5"/>
      <w:numFmt w:val="chineseCounting"/>
      <w:suff w:val="space"/>
      <w:lvlText w:val="第%1章"/>
      <w:lvlJc w:val="left"/>
      <w:rPr>
        <w:rFonts w:hint="eastAsia"/>
      </w:rPr>
    </w:lvl>
  </w:abstractNum>
  <w:abstractNum w:abstractNumId="2">
    <w:nsid w:val="13FA58D0"/>
    <w:multiLevelType w:val="singleLevel"/>
    <w:tmpl w:val="13FA58D0"/>
    <w:lvl w:ilvl="0" w:tentative="0">
      <w:start w:val="8"/>
      <w:numFmt w:val="chineseCounting"/>
      <w:suff w:val="nothing"/>
      <w:lvlText w:val="%1、"/>
      <w:lvlJc w:val="left"/>
      <w:rPr>
        <w:rFonts w:hint="eastAsia"/>
      </w:rPr>
    </w:lvl>
  </w:abstractNum>
  <w:abstractNum w:abstractNumId="3">
    <w:nsid w:val="3FB37080"/>
    <w:multiLevelType w:val="multilevel"/>
    <w:tmpl w:val="3FB370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OTNmNDY5ZjJiOTMzMmJiZjZiMTEyODQ3ZDZiMTIifQ=="/>
  </w:docVars>
  <w:rsids>
    <w:rsidRoot w:val="00FE62DA"/>
    <w:rsid w:val="00003F78"/>
    <w:rsid w:val="00004D6F"/>
    <w:rsid w:val="0000686E"/>
    <w:rsid w:val="000102D5"/>
    <w:rsid w:val="00015237"/>
    <w:rsid w:val="00020309"/>
    <w:rsid w:val="000206F6"/>
    <w:rsid w:val="00027AEF"/>
    <w:rsid w:val="00035A1D"/>
    <w:rsid w:val="00045D62"/>
    <w:rsid w:val="0005056A"/>
    <w:rsid w:val="00053917"/>
    <w:rsid w:val="00053DA8"/>
    <w:rsid w:val="00061C46"/>
    <w:rsid w:val="00064454"/>
    <w:rsid w:val="00083AED"/>
    <w:rsid w:val="00087064"/>
    <w:rsid w:val="00093118"/>
    <w:rsid w:val="00094BDA"/>
    <w:rsid w:val="0009637D"/>
    <w:rsid w:val="000A11C1"/>
    <w:rsid w:val="000A7651"/>
    <w:rsid w:val="000C287F"/>
    <w:rsid w:val="000D01E3"/>
    <w:rsid w:val="000D0CCA"/>
    <w:rsid w:val="000D28AE"/>
    <w:rsid w:val="000D3FE1"/>
    <w:rsid w:val="000D61AF"/>
    <w:rsid w:val="000E7A93"/>
    <w:rsid w:val="000F0C05"/>
    <w:rsid w:val="000F5A09"/>
    <w:rsid w:val="000F5CA3"/>
    <w:rsid w:val="000F65B2"/>
    <w:rsid w:val="00103C0D"/>
    <w:rsid w:val="0010540A"/>
    <w:rsid w:val="00113AC4"/>
    <w:rsid w:val="001167DB"/>
    <w:rsid w:val="00132C0A"/>
    <w:rsid w:val="0014046D"/>
    <w:rsid w:val="00140C94"/>
    <w:rsid w:val="00162093"/>
    <w:rsid w:val="00171DA9"/>
    <w:rsid w:val="00175138"/>
    <w:rsid w:val="0017717A"/>
    <w:rsid w:val="00183E77"/>
    <w:rsid w:val="00184918"/>
    <w:rsid w:val="001863CE"/>
    <w:rsid w:val="0019102D"/>
    <w:rsid w:val="00194C3F"/>
    <w:rsid w:val="001B084B"/>
    <w:rsid w:val="001C0E58"/>
    <w:rsid w:val="001C2024"/>
    <w:rsid w:val="001C2A18"/>
    <w:rsid w:val="001C5E3A"/>
    <w:rsid w:val="001E5965"/>
    <w:rsid w:val="001E7F24"/>
    <w:rsid w:val="001F0364"/>
    <w:rsid w:val="001F2FAB"/>
    <w:rsid w:val="001F467F"/>
    <w:rsid w:val="001F5265"/>
    <w:rsid w:val="00227CDB"/>
    <w:rsid w:val="00230C05"/>
    <w:rsid w:val="00252AC0"/>
    <w:rsid w:val="002616EE"/>
    <w:rsid w:val="00264ADA"/>
    <w:rsid w:val="00270270"/>
    <w:rsid w:val="002716F7"/>
    <w:rsid w:val="002741E5"/>
    <w:rsid w:val="00281A97"/>
    <w:rsid w:val="00283852"/>
    <w:rsid w:val="00285F11"/>
    <w:rsid w:val="0028797A"/>
    <w:rsid w:val="00291421"/>
    <w:rsid w:val="00293C39"/>
    <w:rsid w:val="0029511D"/>
    <w:rsid w:val="00297B86"/>
    <w:rsid w:val="002A1116"/>
    <w:rsid w:val="002A1951"/>
    <w:rsid w:val="002A3FDA"/>
    <w:rsid w:val="002B396C"/>
    <w:rsid w:val="002B5E19"/>
    <w:rsid w:val="002B744C"/>
    <w:rsid w:val="002C703E"/>
    <w:rsid w:val="002D2529"/>
    <w:rsid w:val="002D4C3E"/>
    <w:rsid w:val="002D7466"/>
    <w:rsid w:val="002F2646"/>
    <w:rsid w:val="002F4BA0"/>
    <w:rsid w:val="002F7B69"/>
    <w:rsid w:val="003022B2"/>
    <w:rsid w:val="00302A12"/>
    <w:rsid w:val="00307AAD"/>
    <w:rsid w:val="00312E0D"/>
    <w:rsid w:val="00316E58"/>
    <w:rsid w:val="003179C7"/>
    <w:rsid w:val="00317B12"/>
    <w:rsid w:val="003251EC"/>
    <w:rsid w:val="00334F05"/>
    <w:rsid w:val="0033564B"/>
    <w:rsid w:val="00340EE3"/>
    <w:rsid w:val="00343429"/>
    <w:rsid w:val="0034344A"/>
    <w:rsid w:val="00344621"/>
    <w:rsid w:val="00350BE0"/>
    <w:rsid w:val="003550AC"/>
    <w:rsid w:val="00356D4E"/>
    <w:rsid w:val="00357BB1"/>
    <w:rsid w:val="00360317"/>
    <w:rsid w:val="0036365D"/>
    <w:rsid w:val="00367893"/>
    <w:rsid w:val="00373441"/>
    <w:rsid w:val="00386164"/>
    <w:rsid w:val="003869A5"/>
    <w:rsid w:val="003916A0"/>
    <w:rsid w:val="0039258E"/>
    <w:rsid w:val="003A0200"/>
    <w:rsid w:val="003A0480"/>
    <w:rsid w:val="003A6295"/>
    <w:rsid w:val="003B3F99"/>
    <w:rsid w:val="003B4132"/>
    <w:rsid w:val="003B79A5"/>
    <w:rsid w:val="003C34EA"/>
    <w:rsid w:val="003C4361"/>
    <w:rsid w:val="003D027A"/>
    <w:rsid w:val="003D0423"/>
    <w:rsid w:val="003D205F"/>
    <w:rsid w:val="003D5D66"/>
    <w:rsid w:val="003F377A"/>
    <w:rsid w:val="003F570F"/>
    <w:rsid w:val="003F7F3D"/>
    <w:rsid w:val="004014D5"/>
    <w:rsid w:val="00403FA0"/>
    <w:rsid w:val="0040678C"/>
    <w:rsid w:val="004067E6"/>
    <w:rsid w:val="00410062"/>
    <w:rsid w:val="00412C54"/>
    <w:rsid w:val="00413A0A"/>
    <w:rsid w:val="004175C1"/>
    <w:rsid w:val="004262B3"/>
    <w:rsid w:val="004272B3"/>
    <w:rsid w:val="00442E8A"/>
    <w:rsid w:val="004477A8"/>
    <w:rsid w:val="00447E49"/>
    <w:rsid w:val="00464C3D"/>
    <w:rsid w:val="0047364B"/>
    <w:rsid w:val="0047732B"/>
    <w:rsid w:val="00482601"/>
    <w:rsid w:val="00484095"/>
    <w:rsid w:val="00487D04"/>
    <w:rsid w:val="00496A5B"/>
    <w:rsid w:val="00497601"/>
    <w:rsid w:val="00497730"/>
    <w:rsid w:val="004A13FC"/>
    <w:rsid w:val="004B4993"/>
    <w:rsid w:val="004B712A"/>
    <w:rsid w:val="004C0C92"/>
    <w:rsid w:val="004C2DA8"/>
    <w:rsid w:val="004E7682"/>
    <w:rsid w:val="004F3F9E"/>
    <w:rsid w:val="004F5A17"/>
    <w:rsid w:val="004F648A"/>
    <w:rsid w:val="00505A60"/>
    <w:rsid w:val="00507180"/>
    <w:rsid w:val="00513CCD"/>
    <w:rsid w:val="00513D77"/>
    <w:rsid w:val="00516B3F"/>
    <w:rsid w:val="005222E5"/>
    <w:rsid w:val="0053715C"/>
    <w:rsid w:val="00541241"/>
    <w:rsid w:val="00541457"/>
    <w:rsid w:val="0054582A"/>
    <w:rsid w:val="005502BD"/>
    <w:rsid w:val="0055159F"/>
    <w:rsid w:val="00554184"/>
    <w:rsid w:val="00557325"/>
    <w:rsid w:val="005635EB"/>
    <w:rsid w:val="0056612D"/>
    <w:rsid w:val="005714FC"/>
    <w:rsid w:val="0057218F"/>
    <w:rsid w:val="0057674B"/>
    <w:rsid w:val="00576D44"/>
    <w:rsid w:val="00580685"/>
    <w:rsid w:val="005825EC"/>
    <w:rsid w:val="005837E3"/>
    <w:rsid w:val="0058748C"/>
    <w:rsid w:val="00587966"/>
    <w:rsid w:val="00590EAA"/>
    <w:rsid w:val="005A5670"/>
    <w:rsid w:val="005A5AB3"/>
    <w:rsid w:val="005B10F4"/>
    <w:rsid w:val="005B59CF"/>
    <w:rsid w:val="005C619E"/>
    <w:rsid w:val="005C72E6"/>
    <w:rsid w:val="005D032D"/>
    <w:rsid w:val="005D195C"/>
    <w:rsid w:val="005D6FA6"/>
    <w:rsid w:val="005E1DAD"/>
    <w:rsid w:val="005E3F62"/>
    <w:rsid w:val="005E3F99"/>
    <w:rsid w:val="005E5808"/>
    <w:rsid w:val="005E7061"/>
    <w:rsid w:val="005E7B74"/>
    <w:rsid w:val="005F48ED"/>
    <w:rsid w:val="0060137D"/>
    <w:rsid w:val="00601CC7"/>
    <w:rsid w:val="006022BF"/>
    <w:rsid w:val="00604269"/>
    <w:rsid w:val="006053E1"/>
    <w:rsid w:val="00607861"/>
    <w:rsid w:val="00611005"/>
    <w:rsid w:val="00614080"/>
    <w:rsid w:val="0062224D"/>
    <w:rsid w:val="0062362A"/>
    <w:rsid w:val="0062453E"/>
    <w:rsid w:val="006271AE"/>
    <w:rsid w:val="00630B33"/>
    <w:rsid w:val="00640D16"/>
    <w:rsid w:val="0064259A"/>
    <w:rsid w:val="00643941"/>
    <w:rsid w:val="00643A3C"/>
    <w:rsid w:val="00643EBB"/>
    <w:rsid w:val="0064462E"/>
    <w:rsid w:val="0065069F"/>
    <w:rsid w:val="00661406"/>
    <w:rsid w:val="00667F3E"/>
    <w:rsid w:val="00671EA4"/>
    <w:rsid w:val="00675769"/>
    <w:rsid w:val="0067577B"/>
    <w:rsid w:val="006821C4"/>
    <w:rsid w:val="006A4920"/>
    <w:rsid w:val="006B2493"/>
    <w:rsid w:val="006B285C"/>
    <w:rsid w:val="006B4E43"/>
    <w:rsid w:val="006C2365"/>
    <w:rsid w:val="006C73D4"/>
    <w:rsid w:val="006D318F"/>
    <w:rsid w:val="006D555D"/>
    <w:rsid w:val="006E1B8F"/>
    <w:rsid w:val="006E1E9E"/>
    <w:rsid w:val="006F07AC"/>
    <w:rsid w:val="006F1E27"/>
    <w:rsid w:val="006F659F"/>
    <w:rsid w:val="00705940"/>
    <w:rsid w:val="00710132"/>
    <w:rsid w:val="00710ADA"/>
    <w:rsid w:val="007218E2"/>
    <w:rsid w:val="00721FF3"/>
    <w:rsid w:val="00723708"/>
    <w:rsid w:val="00725E5B"/>
    <w:rsid w:val="00730CB9"/>
    <w:rsid w:val="007346A4"/>
    <w:rsid w:val="0073711E"/>
    <w:rsid w:val="00744C01"/>
    <w:rsid w:val="00747467"/>
    <w:rsid w:val="00754263"/>
    <w:rsid w:val="0075488B"/>
    <w:rsid w:val="00754A35"/>
    <w:rsid w:val="007667FF"/>
    <w:rsid w:val="00770D62"/>
    <w:rsid w:val="00774C76"/>
    <w:rsid w:val="007779C6"/>
    <w:rsid w:val="007949A1"/>
    <w:rsid w:val="007A3A50"/>
    <w:rsid w:val="007A7FD6"/>
    <w:rsid w:val="007B0974"/>
    <w:rsid w:val="007B0AC8"/>
    <w:rsid w:val="007B13D4"/>
    <w:rsid w:val="007B7C71"/>
    <w:rsid w:val="007C2CDB"/>
    <w:rsid w:val="007C7007"/>
    <w:rsid w:val="007E1CDB"/>
    <w:rsid w:val="007E2DC5"/>
    <w:rsid w:val="007E4FD3"/>
    <w:rsid w:val="007F446D"/>
    <w:rsid w:val="00800F63"/>
    <w:rsid w:val="0080202F"/>
    <w:rsid w:val="008021D2"/>
    <w:rsid w:val="00802BF4"/>
    <w:rsid w:val="008065CD"/>
    <w:rsid w:val="0081143A"/>
    <w:rsid w:val="0083050D"/>
    <w:rsid w:val="00833228"/>
    <w:rsid w:val="00842223"/>
    <w:rsid w:val="00842775"/>
    <w:rsid w:val="0084465F"/>
    <w:rsid w:val="00850F17"/>
    <w:rsid w:val="00851075"/>
    <w:rsid w:val="00862AF7"/>
    <w:rsid w:val="0086367A"/>
    <w:rsid w:val="00865398"/>
    <w:rsid w:val="00866D05"/>
    <w:rsid w:val="00867559"/>
    <w:rsid w:val="00867BDF"/>
    <w:rsid w:val="008713A2"/>
    <w:rsid w:val="00877FD0"/>
    <w:rsid w:val="008814ED"/>
    <w:rsid w:val="008857BF"/>
    <w:rsid w:val="00896DCB"/>
    <w:rsid w:val="008A14C0"/>
    <w:rsid w:val="008A1875"/>
    <w:rsid w:val="008B5742"/>
    <w:rsid w:val="008D4EAB"/>
    <w:rsid w:val="008E0F8E"/>
    <w:rsid w:val="008E2778"/>
    <w:rsid w:val="008E27EB"/>
    <w:rsid w:val="008F07E4"/>
    <w:rsid w:val="008F58CD"/>
    <w:rsid w:val="008F5B5C"/>
    <w:rsid w:val="008F777C"/>
    <w:rsid w:val="00905097"/>
    <w:rsid w:val="0090681E"/>
    <w:rsid w:val="009072AF"/>
    <w:rsid w:val="009116BB"/>
    <w:rsid w:val="00914726"/>
    <w:rsid w:val="00930142"/>
    <w:rsid w:val="00942E9C"/>
    <w:rsid w:val="00944902"/>
    <w:rsid w:val="0094644E"/>
    <w:rsid w:val="0095137C"/>
    <w:rsid w:val="0095697C"/>
    <w:rsid w:val="009578FF"/>
    <w:rsid w:val="00957BEE"/>
    <w:rsid w:val="00957EE1"/>
    <w:rsid w:val="00976428"/>
    <w:rsid w:val="009854F6"/>
    <w:rsid w:val="009869EF"/>
    <w:rsid w:val="0099160E"/>
    <w:rsid w:val="00994405"/>
    <w:rsid w:val="00996253"/>
    <w:rsid w:val="009C02B7"/>
    <w:rsid w:val="009C45AE"/>
    <w:rsid w:val="009D147C"/>
    <w:rsid w:val="009D4633"/>
    <w:rsid w:val="009D4FAF"/>
    <w:rsid w:val="009E200E"/>
    <w:rsid w:val="009E329B"/>
    <w:rsid w:val="009E44E6"/>
    <w:rsid w:val="009F0A19"/>
    <w:rsid w:val="009F4404"/>
    <w:rsid w:val="009F583C"/>
    <w:rsid w:val="009F74E6"/>
    <w:rsid w:val="00A02022"/>
    <w:rsid w:val="00A02E89"/>
    <w:rsid w:val="00A038F5"/>
    <w:rsid w:val="00A04591"/>
    <w:rsid w:val="00A0642D"/>
    <w:rsid w:val="00A124E6"/>
    <w:rsid w:val="00A1303C"/>
    <w:rsid w:val="00A21C38"/>
    <w:rsid w:val="00A23D3D"/>
    <w:rsid w:val="00A245F4"/>
    <w:rsid w:val="00A324EC"/>
    <w:rsid w:val="00A40430"/>
    <w:rsid w:val="00A40C4B"/>
    <w:rsid w:val="00A41525"/>
    <w:rsid w:val="00A41950"/>
    <w:rsid w:val="00A4344D"/>
    <w:rsid w:val="00A43CC5"/>
    <w:rsid w:val="00A43EB4"/>
    <w:rsid w:val="00A5347C"/>
    <w:rsid w:val="00A53F7A"/>
    <w:rsid w:val="00A54E43"/>
    <w:rsid w:val="00A55F96"/>
    <w:rsid w:val="00A64178"/>
    <w:rsid w:val="00A6641B"/>
    <w:rsid w:val="00A70BA3"/>
    <w:rsid w:val="00A73C5F"/>
    <w:rsid w:val="00A7545B"/>
    <w:rsid w:val="00A7573B"/>
    <w:rsid w:val="00A76685"/>
    <w:rsid w:val="00A82A38"/>
    <w:rsid w:val="00A82C2F"/>
    <w:rsid w:val="00A83209"/>
    <w:rsid w:val="00A8356B"/>
    <w:rsid w:val="00A8403E"/>
    <w:rsid w:val="00A941EF"/>
    <w:rsid w:val="00A947A2"/>
    <w:rsid w:val="00A97D31"/>
    <w:rsid w:val="00AB1030"/>
    <w:rsid w:val="00AB19E1"/>
    <w:rsid w:val="00AB2478"/>
    <w:rsid w:val="00AB5D3A"/>
    <w:rsid w:val="00AC7B20"/>
    <w:rsid w:val="00AD04FF"/>
    <w:rsid w:val="00AD51E6"/>
    <w:rsid w:val="00AD76A8"/>
    <w:rsid w:val="00AD7F55"/>
    <w:rsid w:val="00AE12B7"/>
    <w:rsid w:val="00AE3EE7"/>
    <w:rsid w:val="00AF0CE1"/>
    <w:rsid w:val="00AF6176"/>
    <w:rsid w:val="00AF7496"/>
    <w:rsid w:val="00B01C16"/>
    <w:rsid w:val="00B02899"/>
    <w:rsid w:val="00B02A06"/>
    <w:rsid w:val="00B130CA"/>
    <w:rsid w:val="00B1610A"/>
    <w:rsid w:val="00B2341E"/>
    <w:rsid w:val="00B23A66"/>
    <w:rsid w:val="00B2478B"/>
    <w:rsid w:val="00B3651D"/>
    <w:rsid w:val="00B4164C"/>
    <w:rsid w:val="00B46948"/>
    <w:rsid w:val="00B60618"/>
    <w:rsid w:val="00B6522E"/>
    <w:rsid w:val="00B67855"/>
    <w:rsid w:val="00B7116E"/>
    <w:rsid w:val="00B7136D"/>
    <w:rsid w:val="00B87402"/>
    <w:rsid w:val="00B9305D"/>
    <w:rsid w:val="00B968AE"/>
    <w:rsid w:val="00BA0A2F"/>
    <w:rsid w:val="00BA370D"/>
    <w:rsid w:val="00BA3E1C"/>
    <w:rsid w:val="00BA5EF3"/>
    <w:rsid w:val="00BB1F21"/>
    <w:rsid w:val="00BB228D"/>
    <w:rsid w:val="00BB3284"/>
    <w:rsid w:val="00BB5434"/>
    <w:rsid w:val="00BB6560"/>
    <w:rsid w:val="00BB7535"/>
    <w:rsid w:val="00BC4D8D"/>
    <w:rsid w:val="00BD593E"/>
    <w:rsid w:val="00BD7AC3"/>
    <w:rsid w:val="00BE0D71"/>
    <w:rsid w:val="00BE544E"/>
    <w:rsid w:val="00BF32AB"/>
    <w:rsid w:val="00BF631A"/>
    <w:rsid w:val="00BF7D34"/>
    <w:rsid w:val="00C00285"/>
    <w:rsid w:val="00C04040"/>
    <w:rsid w:val="00C06939"/>
    <w:rsid w:val="00C12AE5"/>
    <w:rsid w:val="00C135CD"/>
    <w:rsid w:val="00C137E5"/>
    <w:rsid w:val="00C13807"/>
    <w:rsid w:val="00C14A78"/>
    <w:rsid w:val="00C214E5"/>
    <w:rsid w:val="00C27C84"/>
    <w:rsid w:val="00C35625"/>
    <w:rsid w:val="00C36CCE"/>
    <w:rsid w:val="00C4730F"/>
    <w:rsid w:val="00C526BB"/>
    <w:rsid w:val="00C545EE"/>
    <w:rsid w:val="00C545F1"/>
    <w:rsid w:val="00C60FBF"/>
    <w:rsid w:val="00C60FE1"/>
    <w:rsid w:val="00C63E74"/>
    <w:rsid w:val="00C82FC2"/>
    <w:rsid w:val="00C96CD9"/>
    <w:rsid w:val="00CA13D0"/>
    <w:rsid w:val="00CA14A7"/>
    <w:rsid w:val="00CA5C96"/>
    <w:rsid w:val="00CB11E1"/>
    <w:rsid w:val="00CB42F6"/>
    <w:rsid w:val="00CB5269"/>
    <w:rsid w:val="00CC0909"/>
    <w:rsid w:val="00CC1C22"/>
    <w:rsid w:val="00CC7EC9"/>
    <w:rsid w:val="00CD0144"/>
    <w:rsid w:val="00CD20F9"/>
    <w:rsid w:val="00CE1CEB"/>
    <w:rsid w:val="00CE2948"/>
    <w:rsid w:val="00CE475D"/>
    <w:rsid w:val="00CF2A3C"/>
    <w:rsid w:val="00CF7B64"/>
    <w:rsid w:val="00D013B1"/>
    <w:rsid w:val="00D0498E"/>
    <w:rsid w:val="00D11089"/>
    <w:rsid w:val="00D12719"/>
    <w:rsid w:val="00D13E77"/>
    <w:rsid w:val="00D14510"/>
    <w:rsid w:val="00D14A10"/>
    <w:rsid w:val="00D25ABF"/>
    <w:rsid w:val="00D26145"/>
    <w:rsid w:val="00D27646"/>
    <w:rsid w:val="00D307A6"/>
    <w:rsid w:val="00D31127"/>
    <w:rsid w:val="00D35251"/>
    <w:rsid w:val="00D44464"/>
    <w:rsid w:val="00D55201"/>
    <w:rsid w:val="00D60B6A"/>
    <w:rsid w:val="00D648C1"/>
    <w:rsid w:val="00D762FC"/>
    <w:rsid w:val="00D8027D"/>
    <w:rsid w:val="00D81852"/>
    <w:rsid w:val="00D81FA6"/>
    <w:rsid w:val="00D82324"/>
    <w:rsid w:val="00D824FB"/>
    <w:rsid w:val="00D834F5"/>
    <w:rsid w:val="00D9079C"/>
    <w:rsid w:val="00D909C0"/>
    <w:rsid w:val="00DA1E7E"/>
    <w:rsid w:val="00DA3F93"/>
    <w:rsid w:val="00DB460F"/>
    <w:rsid w:val="00DB46C8"/>
    <w:rsid w:val="00DB4F17"/>
    <w:rsid w:val="00DB6827"/>
    <w:rsid w:val="00DB7B93"/>
    <w:rsid w:val="00DC349D"/>
    <w:rsid w:val="00DC5D33"/>
    <w:rsid w:val="00DD38D4"/>
    <w:rsid w:val="00DE0BE2"/>
    <w:rsid w:val="00DE2912"/>
    <w:rsid w:val="00DE4553"/>
    <w:rsid w:val="00DF0575"/>
    <w:rsid w:val="00DF089F"/>
    <w:rsid w:val="00DF5154"/>
    <w:rsid w:val="00DF5383"/>
    <w:rsid w:val="00DF6D86"/>
    <w:rsid w:val="00DF71AE"/>
    <w:rsid w:val="00E03C46"/>
    <w:rsid w:val="00E1702F"/>
    <w:rsid w:val="00E42293"/>
    <w:rsid w:val="00E44E78"/>
    <w:rsid w:val="00E452E3"/>
    <w:rsid w:val="00E474B0"/>
    <w:rsid w:val="00E544E5"/>
    <w:rsid w:val="00E567F8"/>
    <w:rsid w:val="00E57DC2"/>
    <w:rsid w:val="00E63A4E"/>
    <w:rsid w:val="00E66ABE"/>
    <w:rsid w:val="00E71546"/>
    <w:rsid w:val="00E73B0E"/>
    <w:rsid w:val="00E815B7"/>
    <w:rsid w:val="00E81EA5"/>
    <w:rsid w:val="00E8359B"/>
    <w:rsid w:val="00E852F3"/>
    <w:rsid w:val="00E91A50"/>
    <w:rsid w:val="00E97EF0"/>
    <w:rsid w:val="00EA3EF4"/>
    <w:rsid w:val="00EA4D62"/>
    <w:rsid w:val="00EA595D"/>
    <w:rsid w:val="00EC26AC"/>
    <w:rsid w:val="00ED0DDE"/>
    <w:rsid w:val="00ED1A98"/>
    <w:rsid w:val="00ED6B80"/>
    <w:rsid w:val="00EE05E2"/>
    <w:rsid w:val="00EE3CC7"/>
    <w:rsid w:val="00EE5A59"/>
    <w:rsid w:val="00EF1745"/>
    <w:rsid w:val="00EF2163"/>
    <w:rsid w:val="00F0036D"/>
    <w:rsid w:val="00F02A39"/>
    <w:rsid w:val="00F03691"/>
    <w:rsid w:val="00F058A1"/>
    <w:rsid w:val="00F112AD"/>
    <w:rsid w:val="00F13073"/>
    <w:rsid w:val="00F14B1C"/>
    <w:rsid w:val="00F27BA2"/>
    <w:rsid w:val="00F31C1A"/>
    <w:rsid w:val="00F31DE7"/>
    <w:rsid w:val="00F346FD"/>
    <w:rsid w:val="00F372CA"/>
    <w:rsid w:val="00F378A0"/>
    <w:rsid w:val="00F43985"/>
    <w:rsid w:val="00F55E32"/>
    <w:rsid w:val="00F60728"/>
    <w:rsid w:val="00F61F3F"/>
    <w:rsid w:val="00F62BBA"/>
    <w:rsid w:val="00F63C46"/>
    <w:rsid w:val="00F704D7"/>
    <w:rsid w:val="00F70FE4"/>
    <w:rsid w:val="00F72DBA"/>
    <w:rsid w:val="00F735F3"/>
    <w:rsid w:val="00F752C9"/>
    <w:rsid w:val="00F81612"/>
    <w:rsid w:val="00F8255E"/>
    <w:rsid w:val="00F82D62"/>
    <w:rsid w:val="00F87070"/>
    <w:rsid w:val="00F96813"/>
    <w:rsid w:val="00FA3CC9"/>
    <w:rsid w:val="00FA4DEF"/>
    <w:rsid w:val="00FB7968"/>
    <w:rsid w:val="00FC01F0"/>
    <w:rsid w:val="00FC1CBC"/>
    <w:rsid w:val="00FD0644"/>
    <w:rsid w:val="00FD12CD"/>
    <w:rsid w:val="00FD636C"/>
    <w:rsid w:val="00FD7080"/>
    <w:rsid w:val="00FD79E2"/>
    <w:rsid w:val="00FE5F68"/>
    <w:rsid w:val="00FE62DA"/>
    <w:rsid w:val="00FE65E2"/>
    <w:rsid w:val="00FF2245"/>
    <w:rsid w:val="00FF35F3"/>
    <w:rsid w:val="00FF5282"/>
    <w:rsid w:val="00FF6F0D"/>
    <w:rsid w:val="00FF7B8F"/>
    <w:rsid w:val="011F4650"/>
    <w:rsid w:val="018A4AC2"/>
    <w:rsid w:val="01A544B3"/>
    <w:rsid w:val="01A75E41"/>
    <w:rsid w:val="01A835A5"/>
    <w:rsid w:val="02792609"/>
    <w:rsid w:val="03346B0C"/>
    <w:rsid w:val="038D2BCB"/>
    <w:rsid w:val="03C1352F"/>
    <w:rsid w:val="03CA1FAF"/>
    <w:rsid w:val="03DB0154"/>
    <w:rsid w:val="04003C23"/>
    <w:rsid w:val="053519A8"/>
    <w:rsid w:val="05432019"/>
    <w:rsid w:val="05665D07"/>
    <w:rsid w:val="057E74F5"/>
    <w:rsid w:val="0583548D"/>
    <w:rsid w:val="05C3315A"/>
    <w:rsid w:val="06D373CC"/>
    <w:rsid w:val="06F35CC1"/>
    <w:rsid w:val="07626270"/>
    <w:rsid w:val="076A5F83"/>
    <w:rsid w:val="07B623F7"/>
    <w:rsid w:val="089D7C92"/>
    <w:rsid w:val="08A2174C"/>
    <w:rsid w:val="08BB4434"/>
    <w:rsid w:val="08EB1597"/>
    <w:rsid w:val="09465AF3"/>
    <w:rsid w:val="09984D8F"/>
    <w:rsid w:val="0A0C1573"/>
    <w:rsid w:val="0A11332F"/>
    <w:rsid w:val="0A175360"/>
    <w:rsid w:val="0AF049F1"/>
    <w:rsid w:val="0B0006F4"/>
    <w:rsid w:val="0B1A7CC0"/>
    <w:rsid w:val="0B424B21"/>
    <w:rsid w:val="0B8B50BB"/>
    <w:rsid w:val="0B907F82"/>
    <w:rsid w:val="0BBF2615"/>
    <w:rsid w:val="0C3721AC"/>
    <w:rsid w:val="0C6D3E1F"/>
    <w:rsid w:val="0CB64357"/>
    <w:rsid w:val="0CD37EF1"/>
    <w:rsid w:val="0D1D3A97"/>
    <w:rsid w:val="0D2D2AA5"/>
    <w:rsid w:val="0DF77E44"/>
    <w:rsid w:val="0E7D6595"/>
    <w:rsid w:val="0E925271"/>
    <w:rsid w:val="0F0A0FBB"/>
    <w:rsid w:val="0FA92469"/>
    <w:rsid w:val="0FB32491"/>
    <w:rsid w:val="101142D6"/>
    <w:rsid w:val="10475F51"/>
    <w:rsid w:val="114415F3"/>
    <w:rsid w:val="121034E0"/>
    <w:rsid w:val="121E0096"/>
    <w:rsid w:val="12211934"/>
    <w:rsid w:val="122F32B9"/>
    <w:rsid w:val="123350A6"/>
    <w:rsid w:val="137B6175"/>
    <w:rsid w:val="137E6027"/>
    <w:rsid w:val="145A66DC"/>
    <w:rsid w:val="14885497"/>
    <w:rsid w:val="14A82B4F"/>
    <w:rsid w:val="15415E49"/>
    <w:rsid w:val="157955E3"/>
    <w:rsid w:val="15E16634"/>
    <w:rsid w:val="1608045F"/>
    <w:rsid w:val="16474529"/>
    <w:rsid w:val="164B6F7F"/>
    <w:rsid w:val="167E27B0"/>
    <w:rsid w:val="16946B78"/>
    <w:rsid w:val="16FF4308"/>
    <w:rsid w:val="1742777E"/>
    <w:rsid w:val="174D77C9"/>
    <w:rsid w:val="17591B70"/>
    <w:rsid w:val="177D4E01"/>
    <w:rsid w:val="17936E30"/>
    <w:rsid w:val="17E21B65"/>
    <w:rsid w:val="1824695B"/>
    <w:rsid w:val="1831796C"/>
    <w:rsid w:val="183F48C2"/>
    <w:rsid w:val="184F1959"/>
    <w:rsid w:val="18E35B95"/>
    <w:rsid w:val="18F54B8A"/>
    <w:rsid w:val="18FA6A3B"/>
    <w:rsid w:val="19EB7245"/>
    <w:rsid w:val="1A750A6F"/>
    <w:rsid w:val="1A9F789A"/>
    <w:rsid w:val="1AB07CF9"/>
    <w:rsid w:val="1AC76DF0"/>
    <w:rsid w:val="1B1F6C2C"/>
    <w:rsid w:val="1BBC0CDF"/>
    <w:rsid w:val="1D163589"/>
    <w:rsid w:val="1D5030CD"/>
    <w:rsid w:val="1D6A566C"/>
    <w:rsid w:val="1D922442"/>
    <w:rsid w:val="1DA43B08"/>
    <w:rsid w:val="1DD8480B"/>
    <w:rsid w:val="1E002D45"/>
    <w:rsid w:val="1E017E5C"/>
    <w:rsid w:val="1E2D340E"/>
    <w:rsid w:val="1E340C41"/>
    <w:rsid w:val="1E761259"/>
    <w:rsid w:val="1E8A3C6D"/>
    <w:rsid w:val="1EEE2B9E"/>
    <w:rsid w:val="1F5F70C5"/>
    <w:rsid w:val="1F620692"/>
    <w:rsid w:val="20196340"/>
    <w:rsid w:val="20337402"/>
    <w:rsid w:val="205630F0"/>
    <w:rsid w:val="20706709"/>
    <w:rsid w:val="20DD2ECA"/>
    <w:rsid w:val="210112AE"/>
    <w:rsid w:val="211C56FA"/>
    <w:rsid w:val="215304CA"/>
    <w:rsid w:val="216473E1"/>
    <w:rsid w:val="21CB366A"/>
    <w:rsid w:val="21DE15EF"/>
    <w:rsid w:val="224528D8"/>
    <w:rsid w:val="224C394F"/>
    <w:rsid w:val="226118D9"/>
    <w:rsid w:val="226715E5"/>
    <w:rsid w:val="2322499F"/>
    <w:rsid w:val="232B739C"/>
    <w:rsid w:val="236E0751"/>
    <w:rsid w:val="241E2177"/>
    <w:rsid w:val="244A07F5"/>
    <w:rsid w:val="246062EC"/>
    <w:rsid w:val="24656A71"/>
    <w:rsid w:val="246B46E2"/>
    <w:rsid w:val="24A02B8C"/>
    <w:rsid w:val="24CA70D0"/>
    <w:rsid w:val="250273A3"/>
    <w:rsid w:val="25396B3D"/>
    <w:rsid w:val="256271AF"/>
    <w:rsid w:val="256A787D"/>
    <w:rsid w:val="26057AB6"/>
    <w:rsid w:val="267A11BB"/>
    <w:rsid w:val="27223D2C"/>
    <w:rsid w:val="27921CE1"/>
    <w:rsid w:val="27AB1F74"/>
    <w:rsid w:val="28213FE4"/>
    <w:rsid w:val="28E97EAE"/>
    <w:rsid w:val="29205046"/>
    <w:rsid w:val="29304C28"/>
    <w:rsid w:val="29E940EF"/>
    <w:rsid w:val="2A024658"/>
    <w:rsid w:val="2A111F46"/>
    <w:rsid w:val="2A1A0CEB"/>
    <w:rsid w:val="2A6E6081"/>
    <w:rsid w:val="2ACB46DB"/>
    <w:rsid w:val="2AD417E1"/>
    <w:rsid w:val="2AF73ACB"/>
    <w:rsid w:val="2B02780A"/>
    <w:rsid w:val="2B1D60A1"/>
    <w:rsid w:val="2B564E90"/>
    <w:rsid w:val="2B795EE5"/>
    <w:rsid w:val="2BBF26BA"/>
    <w:rsid w:val="2CF804E5"/>
    <w:rsid w:val="2D216834"/>
    <w:rsid w:val="2D410C84"/>
    <w:rsid w:val="2D74105A"/>
    <w:rsid w:val="2DAB039C"/>
    <w:rsid w:val="2DB31B82"/>
    <w:rsid w:val="2E09329C"/>
    <w:rsid w:val="2E0F48DF"/>
    <w:rsid w:val="2E231F03"/>
    <w:rsid w:val="2E29702F"/>
    <w:rsid w:val="2E76670C"/>
    <w:rsid w:val="2F0A25EE"/>
    <w:rsid w:val="2F106109"/>
    <w:rsid w:val="2F8E6FE7"/>
    <w:rsid w:val="2FBC2844"/>
    <w:rsid w:val="2FEA5603"/>
    <w:rsid w:val="2FF67B04"/>
    <w:rsid w:val="303F76FD"/>
    <w:rsid w:val="304271ED"/>
    <w:rsid w:val="305807BF"/>
    <w:rsid w:val="30747406"/>
    <w:rsid w:val="30BD737C"/>
    <w:rsid w:val="31080047"/>
    <w:rsid w:val="317521B3"/>
    <w:rsid w:val="31CB6FB3"/>
    <w:rsid w:val="31D64091"/>
    <w:rsid w:val="31F43C11"/>
    <w:rsid w:val="320F4EAD"/>
    <w:rsid w:val="32382656"/>
    <w:rsid w:val="32FC18D5"/>
    <w:rsid w:val="33437504"/>
    <w:rsid w:val="339B5C0B"/>
    <w:rsid w:val="33BB353F"/>
    <w:rsid w:val="33CE3DA2"/>
    <w:rsid w:val="341D5FA7"/>
    <w:rsid w:val="34774A0F"/>
    <w:rsid w:val="34C50FBD"/>
    <w:rsid w:val="35120031"/>
    <w:rsid w:val="35613C72"/>
    <w:rsid w:val="35747E49"/>
    <w:rsid w:val="361114DB"/>
    <w:rsid w:val="36617CA1"/>
    <w:rsid w:val="366F6862"/>
    <w:rsid w:val="3692644D"/>
    <w:rsid w:val="36E032BC"/>
    <w:rsid w:val="37A97B52"/>
    <w:rsid w:val="37D179A4"/>
    <w:rsid w:val="37E56DDC"/>
    <w:rsid w:val="38031EDD"/>
    <w:rsid w:val="38163439"/>
    <w:rsid w:val="38517A5C"/>
    <w:rsid w:val="38913C14"/>
    <w:rsid w:val="38B46178"/>
    <w:rsid w:val="38C369F1"/>
    <w:rsid w:val="38FC4C6E"/>
    <w:rsid w:val="396E558F"/>
    <w:rsid w:val="3A217E73"/>
    <w:rsid w:val="3A753466"/>
    <w:rsid w:val="3A77652E"/>
    <w:rsid w:val="3AC16F61"/>
    <w:rsid w:val="3AD0051F"/>
    <w:rsid w:val="3B17189A"/>
    <w:rsid w:val="3B985F13"/>
    <w:rsid w:val="3C1061E8"/>
    <w:rsid w:val="3C1E0B0E"/>
    <w:rsid w:val="3C97266D"/>
    <w:rsid w:val="3D6409C2"/>
    <w:rsid w:val="3D6A3225"/>
    <w:rsid w:val="3DBA5A08"/>
    <w:rsid w:val="3DDF19F1"/>
    <w:rsid w:val="3DE400B1"/>
    <w:rsid w:val="3DE42E6F"/>
    <w:rsid w:val="3E021D6A"/>
    <w:rsid w:val="3E49242A"/>
    <w:rsid w:val="3E6447D3"/>
    <w:rsid w:val="3E815385"/>
    <w:rsid w:val="3E9F580B"/>
    <w:rsid w:val="3F0C4140"/>
    <w:rsid w:val="3F4331D3"/>
    <w:rsid w:val="3F444EEA"/>
    <w:rsid w:val="3F4C4B5E"/>
    <w:rsid w:val="3F523204"/>
    <w:rsid w:val="3FEE6A4A"/>
    <w:rsid w:val="40896772"/>
    <w:rsid w:val="408E5DBF"/>
    <w:rsid w:val="40973B77"/>
    <w:rsid w:val="41175B2C"/>
    <w:rsid w:val="412372DB"/>
    <w:rsid w:val="413269E3"/>
    <w:rsid w:val="41AE6491"/>
    <w:rsid w:val="41B94E35"/>
    <w:rsid w:val="41DE664A"/>
    <w:rsid w:val="42220206"/>
    <w:rsid w:val="424B1F31"/>
    <w:rsid w:val="42E14644"/>
    <w:rsid w:val="432443D8"/>
    <w:rsid w:val="43994F1E"/>
    <w:rsid w:val="43B92D1A"/>
    <w:rsid w:val="449556E6"/>
    <w:rsid w:val="449A097E"/>
    <w:rsid w:val="44C923DE"/>
    <w:rsid w:val="44D960F2"/>
    <w:rsid w:val="44EA6C80"/>
    <w:rsid w:val="451E392D"/>
    <w:rsid w:val="452173DF"/>
    <w:rsid w:val="458614D2"/>
    <w:rsid w:val="462F380D"/>
    <w:rsid w:val="46971F46"/>
    <w:rsid w:val="47184140"/>
    <w:rsid w:val="471A1ED2"/>
    <w:rsid w:val="47BC5C53"/>
    <w:rsid w:val="483D2FB0"/>
    <w:rsid w:val="48C447EC"/>
    <w:rsid w:val="48D54001"/>
    <w:rsid w:val="48F52BF7"/>
    <w:rsid w:val="48FF5824"/>
    <w:rsid w:val="49284B59"/>
    <w:rsid w:val="4A413C1A"/>
    <w:rsid w:val="4A4831FA"/>
    <w:rsid w:val="4A7166B0"/>
    <w:rsid w:val="4A896D50"/>
    <w:rsid w:val="4A96508A"/>
    <w:rsid w:val="4AC74505"/>
    <w:rsid w:val="4AFF0128"/>
    <w:rsid w:val="4B06733D"/>
    <w:rsid w:val="4BDA3555"/>
    <w:rsid w:val="4BE40D01"/>
    <w:rsid w:val="4BE60F1D"/>
    <w:rsid w:val="4CBE1552"/>
    <w:rsid w:val="4D2951F8"/>
    <w:rsid w:val="4D4001B9"/>
    <w:rsid w:val="4D9005FC"/>
    <w:rsid w:val="4DA43E4D"/>
    <w:rsid w:val="4DC346F0"/>
    <w:rsid w:val="4E2D6A71"/>
    <w:rsid w:val="4E4B5067"/>
    <w:rsid w:val="4E4B60AB"/>
    <w:rsid w:val="4E535EF2"/>
    <w:rsid w:val="4F11653B"/>
    <w:rsid w:val="4F455F5A"/>
    <w:rsid w:val="4F83128E"/>
    <w:rsid w:val="4FA40ED3"/>
    <w:rsid w:val="4FC7696F"/>
    <w:rsid w:val="4FCF007B"/>
    <w:rsid w:val="4FE70DC0"/>
    <w:rsid w:val="50006765"/>
    <w:rsid w:val="50571775"/>
    <w:rsid w:val="50A93D14"/>
    <w:rsid w:val="5145653E"/>
    <w:rsid w:val="514953E7"/>
    <w:rsid w:val="514C35D0"/>
    <w:rsid w:val="51C477CF"/>
    <w:rsid w:val="51D642B4"/>
    <w:rsid w:val="525B4D42"/>
    <w:rsid w:val="528B5A12"/>
    <w:rsid w:val="52A82A88"/>
    <w:rsid w:val="52B14936"/>
    <w:rsid w:val="52F45CCD"/>
    <w:rsid w:val="5305132D"/>
    <w:rsid w:val="531D3408"/>
    <w:rsid w:val="532D11DF"/>
    <w:rsid w:val="537A2677"/>
    <w:rsid w:val="539A4AC7"/>
    <w:rsid w:val="53B35B89"/>
    <w:rsid w:val="53C7314D"/>
    <w:rsid w:val="53D02297"/>
    <w:rsid w:val="53D435E0"/>
    <w:rsid w:val="53D53D51"/>
    <w:rsid w:val="546450D5"/>
    <w:rsid w:val="546C3EB9"/>
    <w:rsid w:val="54955822"/>
    <w:rsid w:val="55410F72"/>
    <w:rsid w:val="559B0682"/>
    <w:rsid w:val="56286BBA"/>
    <w:rsid w:val="56431446"/>
    <w:rsid w:val="56620544"/>
    <w:rsid w:val="574B5C9F"/>
    <w:rsid w:val="57817141"/>
    <w:rsid w:val="57925AB5"/>
    <w:rsid w:val="579F713A"/>
    <w:rsid w:val="57AA6E55"/>
    <w:rsid w:val="57F92D83"/>
    <w:rsid w:val="584901CE"/>
    <w:rsid w:val="58671ECE"/>
    <w:rsid w:val="589D4F6D"/>
    <w:rsid w:val="58BF28DA"/>
    <w:rsid w:val="58EB2E9D"/>
    <w:rsid w:val="593F47FB"/>
    <w:rsid w:val="59D5709C"/>
    <w:rsid w:val="59E41F31"/>
    <w:rsid w:val="5A236E98"/>
    <w:rsid w:val="5A8176EA"/>
    <w:rsid w:val="5B060C94"/>
    <w:rsid w:val="5B1351D0"/>
    <w:rsid w:val="5B4517BC"/>
    <w:rsid w:val="5B537F0F"/>
    <w:rsid w:val="5B7C2D04"/>
    <w:rsid w:val="5B943228"/>
    <w:rsid w:val="5BAD46D6"/>
    <w:rsid w:val="5BBE2225"/>
    <w:rsid w:val="5C3C06FD"/>
    <w:rsid w:val="5C955021"/>
    <w:rsid w:val="5D9B7CF5"/>
    <w:rsid w:val="5DDB7290"/>
    <w:rsid w:val="5EDC6DFC"/>
    <w:rsid w:val="5EE11B69"/>
    <w:rsid w:val="5F0A2B5C"/>
    <w:rsid w:val="5F46363C"/>
    <w:rsid w:val="5F6264B5"/>
    <w:rsid w:val="5F65177C"/>
    <w:rsid w:val="5FB32A6C"/>
    <w:rsid w:val="5FED2422"/>
    <w:rsid w:val="5FF437B1"/>
    <w:rsid w:val="60376652"/>
    <w:rsid w:val="6051732B"/>
    <w:rsid w:val="60530A1A"/>
    <w:rsid w:val="60CF06CB"/>
    <w:rsid w:val="60D47EB6"/>
    <w:rsid w:val="611F03B9"/>
    <w:rsid w:val="630E4B89"/>
    <w:rsid w:val="631B72A6"/>
    <w:rsid w:val="64682077"/>
    <w:rsid w:val="64944124"/>
    <w:rsid w:val="64B97CA5"/>
    <w:rsid w:val="64D21BE7"/>
    <w:rsid w:val="64F16511"/>
    <w:rsid w:val="650C6EA7"/>
    <w:rsid w:val="652F0C3C"/>
    <w:rsid w:val="657D7DA4"/>
    <w:rsid w:val="65A1293A"/>
    <w:rsid w:val="66003D09"/>
    <w:rsid w:val="66530372"/>
    <w:rsid w:val="66FC7BD0"/>
    <w:rsid w:val="671A150A"/>
    <w:rsid w:val="671E34A7"/>
    <w:rsid w:val="677A6BD5"/>
    <w:rsid w:val="67806310"/>
    <w:rsid w:val="67C52193"/>
    <w:rsid w:val="681349F0"/>
    <w:rsid w:val="683934D2"/>
    <w:rsid w:val="685C1EF3"/>
    <w:rsid w:val="68637725"/>
    <w:rsid w:val="68680898"/>
    <w:rsid w:val="68E41A1C"/>
    <w:rsid w:val="6933216E"/>
    <w:rsid w:val="695F613F"/>
    <w:rsid w:val="6A22716C"/>
    <w:rsid w:val="6ADE0453"/>
    <w:rsid w:val="6AF45841"/>
    <w:rsid w:val="6B071FEB"/>
    <w:rsid w:val="6B296EB9"/>
    <w:rsid w:val="6BEA5A68"/>
    <w:rsid w:val="6C321CB4"/>
    <w:rsid w:val="6C4D7831"/>
    <w:rsid w:val="6C5F1FB2"/>
    <w:rsid w:val="6CB247D7"/>
    <w:rsid w:val="6D815825"/>
    <w:rsid w:val="6DDD7632"/>
    <w:rsid w:val="6E6B2E90"/>
    <w:rsid w:val="6F1E7F02"/>
    <w:rsid w:val="6F4D2369"/>
    <w:rsid w:val="6F54601A"/>
    <w:rsid w:val="6FBF2864"/>
    <w:rsid w:val="703F2112"/>
    <w:rsid w:val="705668A1"/>
    <w:rsid w:val="71265095"/>
    <w:rsid w:val="71855FC2"/>
    <w:rsid w:val="71AB39DD"/>
    <w:rsid w:val="71E04756"/>
    <w:rsid w:val="71E52F59"/>
    <w:rsid w:val="72516841"/>
    <w:rsid w:val="728E0FD0"/>
    <w:rsid w:val="731E3ECD"/>
    <w:rsid w:val="736600CA"/>
    <w:rsid w:val="74833687"/>
    <w:rsid w:val="74DF5F75"/>
    <w:rsid w:val="75271ADB"/>
    <w:rsid w:val="754601B3"/>
    <w:rsid w:val="758962F1"/>
    <w:rsid w:val="75C4732A"/>
    <w:rsid w:val="75E8126A"/>
    <w:rsid w:val="76377AFB"/>
    <w:rsid w:val="76432072"/>
    <w:rsid w:val="76641ECE"/>
    <w:rsid w:val="769468B9"/>
    <w:rsid w:val="76982C90"/>
    <w:rsid w:val="76A2766B"/>
    <w:rsid w:val="76D003CA"/>
    <w:rsid w:val="76DE441B"/>
    <w:rsid w:val="77182B54"/>
    <w:rsid w:val="77F352C8"/>
    <w:rsid w:val="77F76309"/>
    <w:rsid w:val="78942221"/>
    <w:rsid w:val="789740BE"/>
    <w:rsid w:val="789E0306"/>
    <w:rsid w:val="78B6564F"/>
    <w:rsid w:val="794312DF"/>
    <w:rsid w:val="79E702FF"/>
    <w:rsid w:val="79FC7092"/>
    <w:rsid w:val="7A102B3D"/>
    <w:rsid w:val="7A872088"/>
    <w:rsid w:val="7A885D79"/>
    <w:rsid w:val="7AA01F71"/>
    <w:rsid w:val="7BC63DFB"/>
    <w:rsid w:val="7BDF0A19"/>
    <w:rsid w:val="7C651755"/>
    <w:rsid w:val="7D354B63"/>
    <w:rsid w:val="7D957F29"/>
    <w:rsid w:val="7D9E1474"/>
    <w:rsid w:val="7DF55708"/>
    <w:rsid w:val="7E417769"/>
    <w:rsid w:val="7ECD54A1"/>
    <w:rsid w:val="7F16539D"/>
    <w:rsid w:val="7F7E679B"/>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5"/>
    <w:qFormat/>
    <w:uiPriority w:val="0"/>
    <w:pPr>
      <w:keepNext/>
      <w:keepLines/>
      <w:spacing w:line="576" w:lineRule="auto"/>
      <w:jc w:val="center"/>
      <w:outlineLvl w:val="0"/>
    </w:pPr>
    <w:rPr>
      <w:rFonts w:ascii="宋体" w:hAnsi="宋体"/>
      <w:b/>
      <w:kern w:val="44"/>
      <w:sz w:val="44"/>
      <w:szCs w:val="20"/>
    </w:rPr>
  </w:style>
  <w:style w:type="paragraph" w:styleId="5">
    <w:name w:val="heading 2"/>
    <w:basedOn w:val="1"/>
    <w:next w:val="1"/>
    <w:link w:val="36"/>
    <w:qFormat/>
    <w:uiPriority w:val="9"/>
    <w:pPr>
      <w:keepNext/>
      <w:keepLines/>
      <w:spacing w:line="412" w:lineRule="auto"/>
      <w:jc w:val="center"/>
      <w:outlineLvl w:val="1"/>
    </w:pPr>
    <w:rPr>
      <w:rFonts w:ascii="Arial" w:hAnsi="Arial"/>
      <w:b/>
      <w:sz w:val="24"/>
      <w:szCs w:val="20"/>
    </w:rPr>
  </w:style>
  <w:style w:type="paragraph" w:styleId="6">
    <w:name w:val="heading 3"/>
    <w:basedOn w:val="1"/>
    <w:next w:val="1"/>
    <w:link w:val="37"/>
    <w:qFormat/>
    <w:uiPriority w:val="0"/>
    <w:pPr>
      <w:keepNext/>
      <w:keepLines/>
      <w:spacing w:line="360" w:lineRule="auto"/>
      <w:jc w:val="left"/>
      <w:outlineLvl w:val="2"/>
    </w:pPr>
    <w:rPr>
      <w:rFonts w:ascii="宋体" w:hAnsi="宋体"/>
      <w:b/>
      <w:sz w:val="28"/>
      <w:szCs w:val="28"/>
    </w:rPr>
  </w:style>
  <w:style w:type="paragraph" w:styleId="7">
    <w:name w:val="heading 4"/>
    <w:basedOn w:val="1"/>
    <w:next w:val="1"/>
    <w:link w:val="38"/>
    <w:qFormat/>
    <w:uiPriority w:val="0"/>
    <w:pPr>
      <w:keepNext/>
      <w:keepLines/>
      <w:jc w:val="center"/>
      <w:outlineLvl w:val="3"/>
    </w:pPr>
    <w:rPr>
      <w:rFonts w:ascii="Cambria" w:hAnsi="Cambria"/>
      <w:b/>
      <w:bCs/>
      <w:sz w:val="28"/>
      <w:szCs w:val="28"/>
    </w:rPr>
  </w:style>
  <w:style w:type="paragraph" w:styleId="8">
    <w:name w:val="heading 5"/>
    <w:basedOn w:val="1"/>
    <w:next w:val="1"/>
    <w:link w:val="39"/>
    <w:qFormat/>
    <w:uiPriority w:val="0"/>
    <w:pPr>
      <w:keepNext/>
      <w:keepLines/>
      <w:spacing w:line="376" w:lineRule="auto"/>
      <w:outlineLvl w:val="4"/>
    </w:pPr>
    <w:rPr>
      <w:b/>
      <w:bCs/>
      <w:sz w:val="24"/>
      <w:szCs w:val="24"/>
    </w:rPr>
  </w:style>
  <w:style w:type="paragraph" w:styleId="9">
    <w:name w:val="heading 7"/>
    <w:basedOn w:val="1"/>
    <w:next w:val="10"/>
    <w:link w:val="40"/>
    <w:qFormat/>
    <w:uiPriority w:val="0"/>
    <w:pPr>
      <w:keepNext/>
      <w:keepLines/>
      <w:spacing w:before="240" w:after="64" w:line="320" w:lineRule="auto"/>
      <w:outlineLvl w:val="6"/>
    </w:pPr>
    <w:rPr>
      <w:b/>
      <w:kern w:val="0"/>
      <w:sz w:val="24"/>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3"/>
    <w:qFormat/>
    <w:uiPriority w:val="0"/>
    <w:pPr>
      <w:spacing w:line="312" w:lineRule="auto"/>
      <w:ind w:firstLine="420"/>
    </w:pPr>
    <w:rPr>
      <w:rFonts w:ascii="Calibri" w:hAnsi="Calibri"/>
      <w:szCs w:val="24"/>
    </w:rPr>
  </w:style>
  <w:style w:type="paragraph" w:styleId="3">
    <w:name w:val="Body Text"/>
    <w:basedOn w:val="1"/>
    <w:next w:val="1"/>
    <w:link w:val="46"/>
    <w:qFormat/>
    <w:uiPriority w:val="0"/>
    <w:rPr>
      <w:szCs w:val="20"/>
    </w:rPr>
  </w:style>
  <w:style w:type="paragraph" w:styleId="10">
    <w:name w:val="Normal Indent"/>
    <w:basedOn w:val="1"/>
    <w:qFormat/>
    <w:uiPriority w:val="0"/>
    <w:pPr>
      <w:ind w:firstLine="420"/>
    </w:pPr>
    <w:rPr>
      <w:rFonts w:ascii="Calibri" w:hAnsi="Calibri"/>
    </w:rPr>
  </w:style>
  <w:style w:type="paragraph" w:styleId="11">
    <w:name w:val="Document Map"/>
    <w:basedOn w:val="1"/>
    <w:link w:val="43"/>
    <w:qFormat/>
    <w:uiPriority w:val="0"/>
    <w:rPr>
      <w:rFonts w:ascii="宋体" w:hAnsi="Calibri"/>
      <w:sz w:val="18"/>
      <w:szCs w:val="18"/>
    </w:rPr>
  </w:style>
  <w:style w:type="paragraph" w:styleId="12">
    <w:name w:val="annotation text"/>
    <w:basedOn w:val="1"/>
    <w:link w:val="44"/>
    <w:qFormat/>
    <w:uiPriority w:val="0"/>
    <w:pPr>
      <w:jc w:val="left"/>
    </w:pPr>
    <w:rPr>
      <w:rFonts w:ascii="Calibri" w:hAnsi="Calibri"/>
    </w:rPr>
  </w:style>
  <w:style w:type="paragraph" w:styleId="13">
    <w:name w:val="Body Text 3"/>
    <w:basedOn w:val="1"/>
    <w:link w:val="45"/>
    <w:qFormat/>
    <w:uiPriority w:val="0"/>
    <w:rPr>
      <w:rFonts w:ascii="宋体" w:hAnsi="Calibri"/>
      <w:sz w:val="24"/>
    </w:rPr>
  </w:style>
  <w:style w:type="paragraph" w:styleId="14">
    <w:name w:val="Body Text Indent"/>
    <w:basedOn w:val="1"/>
    <w:next w:val="15"/>
    <w:link w:val="47"/>
    <w:qFormat/>
    <w:uiPriority w:val="0"/>
    <w:pPr>
      <w:autoSpaceDE w:val="0"/>
      <w:autoSpaceDN w:val="0"/>
      <w:adjustRightInd w:val="0"/>
      <w:spacing w:line="0" w:lineRule="atLeast"/>
      <w:ind w:firstLine="525"/>
    </w:pPr>
    <w:rPr>
      <w:rFonts w:ascii="宋体" w:hAnsi="宋体"/>
      <w:color w:val="000000"/>
      <w:kern w:val="0"/>
      <w:sz w:val="20"/>
      <w:szCs w:val="24"/>
    </w:rPr>
  </w:style>
  <w:style w:type="paragraph" w:styleId="15">
    <w:name w:val="envelope return"/>
    <w:basedOn w:val="1"/>
    <w:qFormat/>
    <w:uiPriority w:val="0"/>
    <w:pPr>
      <w:snapToGrid w:val="0"/>
    </w:pPr>
    <w:rPr>
      <w:rFonts w:ascii="Arial" w:hAnsi="Arial" w:cs="Arial"/>
    </w:rPr>
  </w:style>
  <w:style w:type="paragraph" w:styleId="16">
    <w:name w:val="toc 3"/>
    <w:basedOn w:val="1"/>
    <w:next w:val="1"/>
    <w:qFormat/>
    <w:uiPriority w:val="39"/>
    <w:pPr>
      <w:ind w:left="840" w:leftChars="400"/>
    </w:pPr>
    <w:rPr>
      <w:rFonts w:ascii="Calibri" w:hAnsi="Calibri"/>
    </w:rPr>
  </w:style>
  <w:style w:type="paragraph" w:styleId="17">
    <w:name w:val="Plain Text"/>
    <w:basedOn w:val="1"/>
    <w:link w:val="48"/>
    <w:qFormat/>
    <w:uiPriority w:val="0"/>
    <w:rPr>
      <w:rFonts w:ascii="宋体" w:hAnsi="Calibri"/>
      <w:sz w:val="22"/>
    </w:rPr>
  </w:style>
  <w:style w:type="paragraph" w:styleId="18">
    <w:name w:val="Date"/>
    <w:basedOn w:val="1"/>
    <w:next w:val="1"/>
    <w:link w:val="49"/>
    <w:qFormat/>
    <w:uiPriority w:val="0"/>
    <w:pPr>
      <w:ind w:left="100" w:leftChars="2500"/>
    </w:pPr>
    <w:rPr>
      <w:rFonts w:ascii="Calibri" w:hAnsi="Calibri"/>
    </w:rPr>
  </w:style>
  <w:style w:type="paragraph" w:styleId="19">
    <w:name w:val="Body Text Indent 2"/>
    <w:basedOn w:val="1"/>
    <w:link w:val="50"/>
    <w:qFormat/>
    <w:uiPriority w:val="0"/>
    <w:pPr>
      <w:spacing w:line="480" w:lineRule="auto"/>
      <w:ind w:left="420" w:leftChars="200"/>
    </w:pPr>
    <w:rPr>
      <w:szCs w:val="24"/>
    </w:rPr>
  </w:style>
  <w:style w:type="paragraph" w:styleId="20">
    <w:name w:val="Balloon Text"/>
    <w:basedOn w:val="1"/>
    <w:link w:val="51"/>
    <w:qFormat/>
    <w:uiPriority w:val="0"/>
    <w:rPr>
      <w:rFonts w:ascii="Calibri" w:hAnsi="Calibri"/>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Calibri" w:hAnsi="Calibri"/>
    </w:rPr>
  </w:style>
  <w:style w:type="paragraph" w:styleId="24">
    <w:name w:val="toc 2"/>
    <w:basedOn w:val="1"/>
    <w:next w:val="1"/>
    <w:qFormat/>
    <w:uiPriority w:val="39"/>
    <w:pPr>
      <w:ind w:left="420" w:leftChars="200"/>
    </w:pPr>
    <w:rPr>
      <w:rFonts w:ascii="Calibri" w:hAnsi="Calibri"/>
    </w:rPr>
  </w:style>
  <w:style w:type="paragraph" w:styleId="25">
    <w:name w:val="annotation subject"/>
    <w:basedOn w:val="12"/>
    <w:next w:val="12"/>
    <w:link w:val="52"/>
    <w:qFormat/>
    <w:uiPriority w:val="0"/>
    <w:rPr>
      <w:b/>
      <w:bCs/>
    </w:rPr>
  </w:style>
  <w:style w:type="paragraph" w:styleId="26">
    <w:name w:val="Body Text First Indent 2"/>
    <w:basedOn w:val="14"/>
    <w:link w:val="54"/>
    <w:qFormat/>
    <w:uiPriority w:val="0"/>
    <w:pPr>
      <w:autoSpaceDE/>
      <w:autoSpaceDN/>
      <w:adjustRightInd/>
      <w:spacing w:after="120" w:line="240" w:lineRule="auto"/>
      <w:ind w:left="420" w:leftChars="200" w:firstLine="420" w:firstLineChars="200"/>
    </w:pPr>
    <w:rPr>
      <w:rFonts w:ascii="Times New Roman" w:hAnsi="Times New Roman"/>
      <w:color w:val="auto"/>
      <w:kern w:val="2"/>
      <w:sz w:val="21"/>
    </w:rPr>
  </w:style>
  <w:style w:type="character" w:styleId="29">
    <w:name w:val="page number"/>
    <w:qFormat/>
    <w:uiPriority w:val="0"/>
    <w:rPr>
      <w:rFonts w:ascii="Calibri" w:hAnsi="Calibri" w:eastAsia="宋体" w:cs="Times New Roman"/>
    </w:rPr>
  </w:style>
  <w:style w:type="character" w:styleId="30">
    <w:name w:val="FollowedHyperlink"/>
    <w:qFormat/>
    <w:uiPriority w:val="99"/>
    <w:rPr>
      <w:rFonts w:ascii="Times New Roman" w:hAnsi="Times New Roman" w:eastAsia="楷体_GB2312" w:cs="Times New Roman"/>
      <w:color w:val="000000"/>
      <w:u w:val="none"/>
    </w:rPr>
  </w:style>
  <w:style w:type="character" w:styleId="31">
    <w:name w:val="Hyperlink"/>
    <w:qFormat/>
    <w:uiPriority w:val="99"/>
    <w:rPr>
      <w:rFonts w:ascii="Calibri" w:hAnsi="Calibri" w:eastAsia="宋体" w:cs="Times New Roman"/>
      <w:color w:val="0000FF"/>
      <w:u w:val="single"/>
    </w:rPr>
  </w:style>
  <w:style w:type="character" w:styleId="32">
    <w:name w:val="annotation reference"/>
    <w:qFormat/>
    <w:uiPriority w:val="0"/>
    <w:rPr>
      <w:rFonts w:ascii="Calibri" w:hAnsi="Calibri" w:eastAsia="宋体" w:cs="Times New Roman"/>
      <w:sz w:val="21"/>
      <w:szCs w:val="21"/>
    </w:rPr>
  </w:style>
  <w:style w:type="paragraph" w:customStyle="1" w:styleId="33">
    <w:name w:val="_Style 3"/>
    <w:basedOn w:val="1"/>
    <w:qFormat/>
    <w:uiPriority w:val="0"/>
    <w:pPr>
      <w:spacing w:line="360" w:lineRule="auto"/>
      <w:jc w:val="center"/>
    </w:pPr>
    <w:rPr>
      <w:szCs w:val="20"/>
    </w:rPr>
  </w:style>
  <w:style w:type="paragraph" w:customStyle="1" w:styleId="34">
    <w:name w:val="样式 宋体 行距: 1.5 倍行距"/>
    <w:basedOn w:val="1"/>
    <w:qFormat/>
    <w:uiPriority w:val="0"/>
    <w:pPr>
      <w:jc w:val="center"/>
    </w:pPr>
    <w:rPr>
      <w:b/>
    </w:rPr>
  </w:style>
  <w:style w:type="character" w:customStyle="1" w:styleId="35">
    <w:name w:val="标题 1 字符"/>
    <w:basedOn w:val="28"/>
    <w:link w:val="4"/>
    <w:qFormat/>
    <w:uiPriority w:val="0"/>
    <w:rPr>
      <w:rFonts w:ascii="宋体" w:hAnsi="宋体" w:eastAsia="宋体" w:cs="Times New Roman"/>
      <w:b/>
      <w:kern w:val="44"/>
      <w:sz w:val="44"/>
      <w:szCs w:val="20"/>
    </w:rPr>
  </w:style>
  <w:style w:type="character" w:customStyle="1" w:styleId="36">
    <w:name w:val="标题 2 字符"/>
    <w:basedOn w:val="28"/>
    <w:link w:val="5"/>
    <w:qFormat/>
    <w:uiPriority w:val="9"/>
    <w:rPr>
      <w:rFonts w:ascii="Arial" w:hAnsi="Arial" w:eastAsia="宋体" w:cs="Times New Roman"/>
      <w:b/>
      <w:sz w:val="24"/>
      <w:szCs w:val="20"/>
    </w:rPr>
  </w:style>
  <w:style w:type="character" w:customStyle="1" w:styleId="37">
    <w:name w:val="标题 3 字符"/>
    <w:basedOn w:val="28"/>
    <w:link w:val="6"/>
    <w:qFormat/>
    <w:uiPriority w:val="0"/>
    <w:rPr>
      <w:rFonts w:ascii="宋体" w:hAnsi="宋体" w:eastAsia="宋体" w:cs="Times New Roman"/>
      <w:b/>
      <w:sz w:val="28"/>
      <w:szCs w:val="28"/>
    </w:rPr>
  </w:style>
  <w:style w:type="character" w:customStyle="1" w:styleId="38">
    <w:name w:val="标题 4 字符"/>
    <w:basedOn w:val="28"/>
    <w:link w:val="7"/>
    <w:qFormat/>
    <w:uiPriority w:val="0"/>
    <w:rPr>
      <w:rFonts w:ascii="Cambria" w:hAnsi="Cambria" w:eastAsia="宋体" w:cs="Times New Roman"/>
      <w:b/>
      <w:bCs/>
      <w:sz w:val="28"/>
      <w:szCs w:val="28"/>
    </w:rPr>
  </w:style>
  <w:style w:type="character" w:customStyle="1" w:styleId="39">
    <w:name w:val="标题 5 字符"/>
    <w:basedOn w:val="28"/>
    <w:link w:val="8"/>
    <w:qFormat/>
    <w:uiPriority w:val="0"/>
    <w:rPr>
      <w:rFonts w:ascii="Times New Roman" w:hAnsi="Times New Roman" w:eastAsia="宋体" w:cs="Times New Roman"/>
      <w:b/>
      <w:bCs/>
      <w:sz w:val="24"/>
      <w:szCs w:val="24"/>
    </w:rPr>
  </w:style>
  <w:style w:type="character" w:customStyle="1" w:styleId="40">
    <w:name w:val="标题 7 字符"/>
    <w:basedOn w:val="28"/>
    <w:link w:val="9"/>
    <w:qFormat/>
    <w:uiPriority w:val="0"/>
    <w:rPr>
      <w:rFonts w:ascii="Times New Roman" w:hAnsi="Times New Roman" w:eastAsia="宋体" w:cs="Times New Roman"/>
      <w:b/>
      <w:kern w:val="0"/>
      <w:sz w:val="24"/>
      <w:szCs w:val="20"/>
    </w:rPr>
  </w:style>
  <w:style w:type="character" w:customStyle="1" w:styleId="41">
    <w:name w:val="页眉 字符"/>
    <w:basedOn w:val="28"/>
    <w:link w:val="22"/>
    <w:qFormat/>
    <w:uiPriority w:val="0"/>
    <w:rPr>
      <w:rFonts w:ascii="Times New Roman" w:hAnsi="Times New Roman" w:eastAsia="宋体" w:cs="Times New Roman"/>
      <w:sz w:val="18"/>
      <w:szCs w:val="18"/>
    </w:rPr>
  </w:style>
  <w:style w:type="character" w:customStyle="1" w:styleId="42">
    <w:name w:val="页脚 字符"/>
    <w:basedOn w:val="28"/>
    <w:link w:val="21"/>
    <w:qFormat/>
    <w:uiPriority w:val="99"/>
    <w:rPr>
      <w:rFonts w:ascii="Times New Roman" w:hAnsi="Times New Roman" w:eastAsia="宋体" w:cs="Times New Roman"/>
      <w:sz w:val="18"/>
      <w:szCs w:val="18"/>
    </w:rPr>
  </w:style>
  <w:style w:type="character" w:customStyle="1" w:styleId="43">
    <w:name w:val="文档结构图 字符"/>
    <w:basedOn w:val="28"/>
    <w:link w:val="11"/>
    <w:qFormat/>
    <w:uiPriority w:val="0"/>
    <w:rPr>
      <w:rFonts w:ascii="宋体" w:hAnsi="Calibri" w:eastAsia="宋体" w:cs="Times New Roman"/>
      <w:sz w:val="18"/>
      <w:szCs w:val="18"/>
    </w:rPr>
  </w:style>
  <w:style w:type="character" w:customStyle="1" w:styleId="44">
    <w:name w:val="批注文字 字符"/>
    <w:basedOn w:val="28"/>
    <w:link w:val="12"/>
    <w:qFormat/>
    <w:uiPriority w:val="0"/>
    <w:rPr>
      <w:rFonts w:ascii="Calibri" w:hAnsi="Calibri" w:eastAsia="宋体" w:cs="Times New Roman"/>
    </w:rPr>
  </w:style>
  <w:style w:type="character" w:customStyle="1" w:styleId="45">
    <w:name w:val="正文文本 3 字符"/>
    <w:basedOn w:val="28"/>
    <w:link w:val="13"/>
    <w:qFormat/>
    <w:uiPriority w:val="0"/>
    <w:rPr>
      <w:rFonts w:ascii="宋体" w:hAnsi="Calibri" w:eastAsia="宋体" w:cs="Times New Roman"/>
      <w:sz w:val="24"/>
    </w:rPr>
  </w:style>
  <w:style w:type="character" w:customStyle="1" w:styleId="46">
    <w:name w:val="正文文本 字符"/>
    <w:basedOn w:val="28"/>
    <w:link w:val="3"/>
    <w:qFormat/>
    <w:uiPriority w:val="0"/>
    <w:rPr>
      <w:rFonts w:ascii="Times New Roman" w:hAnsi="Times New Roman" w:eastAsia="宋体" w:cs="Times New Roman"/>
      <w:szCs w:val="20"/>
    </w:rPr>
  </w:style>
  <w:style w:type="character" w:customStyle="1" w:styleId="47">
    <w:name w:val="正文文本缩进 字符"/>
    <w:basedOn w:val="28"/>
    <w:link w:val="14"/>
    <w:qFormat/>
    <w:uiPriority w:val="0"/>
    <w:rPr>
      <w:rFonts w:ascii="宋体" w:hAnsi="宋体" w:eastAsia="宋体" w:cs="Times New Roman"/>
      <w:color w:val="000000"/>
      <w:kern w:val="0"/>
      <w:sz w:val="20"/>
      <w:szCs w:val="24"/>
    </w:rPr>
  </w:style>
  <w:style w:type="character" w:customStyle="1" w:styleId="48">
    <w:name w:val="纯文本 字符"/>
    <w:basedOn w:val="28"/>
    <w:link w:val="17"/>
    <w:qFormat/>
    <w:uiPriority w:val="0"/>
    <w:rPr>
      <w:rFonts w:ascii="宋体" w:hAnsi="Calibri" w:eastAsia="宋体" w:cs="Times New Roman"/>
      <w:sz w:val="22"/>
    </w:rPr>
  </w:style>
  <w:style w:type="character" w:customStyle="1" w:styleId="49">
    <w:name w:val="日期 字符"/>
    <w:basedOn w:val="28"/>
    <w:link w:val="18"/>
    <w:qFormat/>
    <w:uiPriority w:val="0"/>
    <w:rPr>
      <w:rFonts w:ascii="Calibri" w:hAnsi="Calibri" w:eastAsia="宋体" w:cs="Times New Roman"/>
    </w:rPr>
  </w:style>
  <w:style w:type="character" w:customStyle="1" w:styleId="50">
    <w:name w:val="正文文本缩进 2 字符"/>
    <w:basedOn w:val="28"/>
    <w:link w:val="19"/>
    <w:qFormat/>
    <w:uiPriority w:val="0"/>
    <w:rPr>
      <w:rFonts w:ascii="Times New Roman" w:hAnsi="Times New Roman" w:eastAsia="宋体" w:cs="Times New Roman"/>
      <w:szCs w:val="24"/>
    </w:rPr>
  </w:style>
  <w:style w:type="character" w:customStyle="1" w:styleId="51">
    <w:name w:val="批注框文本 字符"/>
    <w:basedOn w:val="28"/>
    <w:link w:val="20"/>
    <w:qFormat/>
    <w:uiPriority w:val="0"/>
    <w:rPr>
      <w:rFonts w:ascii="Calibri" w:hAnsi="Calibri" w:eastAsia="宋体" w:cs="Times New Roman"/>
      <w:sz w:val="18"/>
      <w:szCs w:val="18"/>
    </w:rPr>
  </w:style>
  <w:style w:type="character" w:customStyle="1" w:styleId="52">
    <w:name w:val="批注主题 字符"/>
    <w:basedOn w:val="44"/>
    <w:link w:val="25"/>
    <w:qFormat/>
    <w:uiPriority w:val="0"/>
    <w:rPr>
      <w:rFonts w:ascii="Calibri" w:hAnsi="Calibri" w:eastAsia="宋体" w:cs="Times New Roman"/>
      <w:b/>
      <w:bCs/>
    </w:rPr>
  </w:style>
  <w:style w:type="character" w:customStyle="1" w:styleId="53">
    <w:name w:val="正文文本首行缩进 字符"/>
    <w:basedOn w:val="46"/>
    <w:link w:val="2"/>
    <w:qFormat/>
    <w:uiPriority w:val="0"/>
    <w:rPr>
      <w:rFonts w:ascii="Calibri" w:hAnsi="Calibri" w:eastAsia="宋体" w:cs="Times New Roman"/>
      <w:szCs w:val="24"/>
    </w:rPr>
  </w:style>
  <w:style w:type="character" w:customStyle="1" w:styleId="54">
    <w:name w:val="正文文本首行缩进 2 字符"/>
    <w:basedOn w:val="47"/>
    <w:link w:val="26"/>
    <w:qFormat/>
    <w:uiPriority w:val="0"/>
    <w:rPr>
      <w:rFonts w:ascii="Times New Roman" w:hAnsi="Times New Roman" w:eastAsia="宋体" w:cs="Times New Roman"/>
      <w:color w:val="000000"/>
      <w:kern w:val="0"/>
      <w:sz w:val="20"/>
      <w:szCs w:val="24"/>
    </w:rPr>
  </w:style>
  <w:style w:type="character" w:customStyle="1" w:styleId="55">
    <w:name w:val="datagrid-sort-icon3"/>
    <w:basedOn w:val="28"/>
    <w:qFormat/>
    <w:uiPriority w:val="0"/>
    <w:rPr>
      <w:rFonts w:ascii="Calibri" w:hAnsi="Calibri" w:eastAsia="宋体" w:cs="Times New Roman"/>
    </w:rPr>
  </w:style>
  <w:style w:type="paragraph" w:customStyle="1" w:styleId="56">
    <w:name w:val="列出段落1"/>
    <w:basedOn w:val="1"/>
    <w:qFormat/>
    <w:uiPriority w:val="0"/>
    <w:pPr>
      <w:ind w:firstLine="420" w:firstLineChars="200"/>
    </w:pPr>
    <w:rPr>
      <w:szCs w:val="24"/>
    </w:rPr>
  </w:style>
  <w:style w:type="paragraph" w:customStyle="1" w:styleId="57">
    <w:name w:val="列表段落1"/>
    <w:basedOn w:val="1"/>
    <w:qFormat/>
    <w:uiPriority w:val="0"/>
    <w:pPr>
      <w:ind w:firstLine="420" w:firstLineChars="200"/>
    </w:pPr>
    <w:rPr>
      <w:szCs w:val="24"/>
    </w:rPr>
  </w:style>
  <w:style w:type="paragraph" w:customStyle="1" w:styleId="5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修订1"/>
    <w:qFormat/>
    <w:uiPriority w:val="0"/>
    <w:rPr>
      <w:rFonts w:ascii="Times New Roman" w:hAnsi="Times New Roman" w:eastAsia="宋体" w:cs="Times New Roman"/>
      <w:kern w:val="2"/>
      <w:sz w:val="21"/>
      <w:szCs w:val="22"/>
      <w:lang w:val="en-US" w:eastAsia="zh-CN" w:bidi="ar-SA"/>
    </w:rPr>
  </w:style>
  <w:style w:type="paragraph" w:customStyle="1" w:styleId="6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1">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2">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3">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4">
    <w:name w:val="xl71"/>
    <w:basedOn w:val="1"/>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5">
    <w:name w:val="xl72"/>
    <w:basedOn w:val="1"/>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6">
    <w:name w:val="xl73"/>
    <w:basedOn w:val="1"/>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7">
    <w:name w:val="xl74"/>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68">
    <w:name w:val="xl75"/>
    <w:basedOn w:val="1"/>
    <w:qFormat/>
    <w:uiPriority w:val="0"/>
    <w:pPr>
      <w:widowControl/>
      <w:spacing w:before="100" w:beforeAutospacing="1" w:after="100" w:afterAutospacing="1"/>
      <w:jc w:val="center"/>
      <w:textAlignment w:val="center"/>
    </w:pPr>
    <w:rPr>
      <w:rFonts w:ascii="宋体" w:hAnsi="宋体" w:cs="宋体"/>
      <w:kern w:val="0"/>
      <w:sz w:val="28"/>
      <w:szCs w:val="28"/>
    </w:rPr>
  </w:style>
  <w:style w:type="paragraph" w:customStyle="1" w:styleId="69">
    <w:name w:val="xl76"/>
    <w:basedOn w:val="1"/>
    <w:qFormat/>
    <w:uiPriority w:val="0"/>
    <w:pPr>
      <w:widowControl/>
      <w:spacing w:before="100" w:beforeAutospacing="1" w:after="100" w:afterAutospacing="1"/>
      <w:jc w:val="center"/>
      <w:textAlignment w:val="center"/>
    </w:pPr>
    <w:rPr>
      <w:rFonts w:ascii="Calibri" w:hAnsi="Calibri" w:cs="Calibri"/>
      <w:kern w:val="0"/>
      <w:sz w:val="24"/>
      <w:szCs w:val="24"/>
    </w:rPr>
  </w:style>
  <w:style w:type="paragraph" w:customStyle="1" w:styleId="70">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1">
    <w:name w:val="xl7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5">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6">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7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1">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2">
    <w:name w:val="xl8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3">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4">
    <w:name w:val="xl9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5">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6">
    <w:name w:val="xl9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8">
    <w:name w:val="xl9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0">
    <w:name w:val="xl9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1">
    <w:name w:val="xl9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3">
    <w:name w:val="xl100"/>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4">
    <w:name w:val="xl101"/>
    <w:basedOn w:val="1"/>
    <w:qFormat/>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5">
    <w:name w:val="xl102"/>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7">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8">
    <w:name w:val="xl105"/>
    <w:basedOn w:val="1"/>
    <w:qFormat/>
    <w:uiPriority w:val="0"/>
    <w:pPr>
      <w:widowControl/>
      <w:pBdr>
        <w:lef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9">
    <w:name w:val="xl106"/>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0">
    <w:name w:val="xl107"/>
    <w:basedOn w:val="1"/>
    <w:qFormat/>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1">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2">
    <w:name w:val="xl109"/>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110"/>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4">
    <w:name w:val="xl111"/>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5">
    <w:name w:val="xl11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0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08">
    <w:name w:val="xl11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9">
    <w:name w:val="xl11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0">
    <w:name w:val="xl117"/>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1">
    <w:name w:val="xl11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2">
    <w:name w:val="xl119"/>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3">
    <w:name w:val="xl12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5">
    <w:name w:val="xl12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6">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117">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1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9">
    <w:name w:val="CM25"/>
    <w:basedOn w:val="118"/>
    <w:next w:val="118"/>
    <w:qFormat/>
    <w:uiPriority w:val="99"/>
    <w:pPr>
      <w:spacing w:line="426" w:lineRule="atLeast"/>
    </w:pPr>
    <w:rPr>
      <w:color w:val="auto"/>
    </w:rPr>
  </w:style>
  <w:style w:type="paragraph" w:customStyle="1" w:styleId="120">
    <w:name w:val="CM39"/>
    <w:basedOn w:val="118"/>
    <w:next w:val="118"/>
    <w:qFormat/>
    <w:uiPriority w:val="99"/>
    <w:rPr>
      <w:color w:val="auto"/>
    </w:rPr>
  </w:style>
  <w:style w:type="paragraph" w:customStyle="1" w:styleId="121">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122">
    <w:name w:val="Heading2"/>
    <w:basedOn w:val="1"/>
    <w:next w:val="1"/>
    <w:qFormat/>
    <w:uiPriority w:val="0"/>
    <w:pPr>
      <w:keepNext/>
      <w:keepLines/>
      <w:spacing w:before="260" w:after="260" w:line="412" w:lineRule="auto"/>
    </w:pPr>
    <w:rPr>
      <w:rFonts w:ascii="Arial" w:hAnsi="Arial" w:eastAsia="黑体"/>
      <w:kern w:val="0"/>
      <w:sz w:val="32"/>
      <w:szCs w:val="32"/>
    </w:rPr>
  </w:style>
  <w:style w:type="paragraph" w:customStyle="1" w:styleId="123">
    <w:name w:val="正文 New"/>
    <w:next w:val="1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首行缩进 2 New"/>
    <w:basedOn w:val="125"/>
    <w:qFormat/>
    <w:uiPriority w:val="0"/>
    <w:pPr>
      <w:ind w:firstLine="420" w:firstLineChars="200"/>
    </w:pPr>
    <w:rPr>
      <w:rFonts w:eastAsia="宋体"/>
      <w:kern w:val="2"/>
      <w:sz w:val="21"/>
      <w:szCs w:val="22"/>
    </w:rPr>
  </w:style>
  <w:style w:type="paragraph" w:customStyle="1" w:styleId="125">
    <w:name w:val="正文文本缩进 New"/>
    <w:basedOn w:val="123"/>
    <w:next w:val="126"/>
    <w:qFormat/>
    <w:uiPriority w:val="0"/>
    <w:pPr>
      <w:spacing w:after="120" w:afterLines="0"/>
      <w:ind w:left="420" w:leftChars="200"/>
    </w:pPr>
    <w:rPr>
      <w:rFonts w:eastAsia="宋体"/>
      <w:kern w:val="2"/>
      <w:sz w:val="21"/>
    </w:rPr>
  </w:style>
  <w:style w:type="paragraph" w:customStyle="1" w:styleId="126">
    <w:name w:val="寄信人地址 New"/>
    <w:basedOn w:val="123"/>
    <w:qFormat/>
    <w:uiPriority w:val="0"/>
    <w:pPr>
      <w:snapToGrid w:val="0"/>
    </w:pPr>
    <w:rPr>
      <w:rFonts w:ascii="Arial" w:hAnsi="Arial"/>
    </w:rPr>
  </w:style>
  <w:style w:type="paragraph" w:customStyle="1" w:styleId="127">
    <w:name w:val="Table Paragraph"/>
    <w:basedOn w:val="1"/>
    <w:qFormat/>
    <w:uiPriority w:val="0"/>
  </w:style>
  <w:style w:type="paragraph" w:customStyle="1" w:styleId="128">
    <w:name w:val="正文首行缩进 21"/>
    <w:basedOn w:val="14"/>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09CAC-AE91-4D8E-86E4-F06ECD7885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22177</Words>
  <Characters>23346</Characters>
  <Lines>369</Lines>
  <Paragraphs>104</Paragraphs>
  <TotalTime>15</TotalTime>
  <ScaleCrop>false</ScaleCrop>
  <LinksUpToDate>false</LinksUpToDate>
  <CharactersWithSpaces>23779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2023-02-06T02:26:00Z</dcterms:created>
  <dc:creator>Admin</dc:creator>
  <cp:lastModifiedBy>杨帅。。</cp:lastModifiedBy>
  <cp:lastPrinted>2025-06-10T09:41:00Z</cp:lastPrinted>
  <dcterms:modified xsi:type="dcterms:W3CDTF">2025-08-13T09:12:13Z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6B9E6F4050304DCEA33BFB7F51AE1F49_13</vt:lpwstr>
  </property>
  <property fmtid="{D5CDD505-2E9C-101B-9397-08002B2CF9AE}" pid="4" name="KSOTemplateDocerSaveRecord">
    <vt:lpwstr>eyJoZGlkIjoiZmQ3MTRmNGVlMjgwZTFkMjE1ZDJhZTdlNDBlMjg0YzEiLCJ1c2VySWQiOiIzMzkyMTk4OTUifQ==</vt:lpwstr>
  </property>
</Properties>
</file>